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5"/>
        <w:gridCol w:w="1462"/>
        <w:gridCol w:w="3771"/>
        <w:gridCol w:w="2319"/>
      </w:tblGrid>
      <w:tr w:rsidR="002A5BBD" w:rsidRPr="000F083E" w14:paraId="1D94435E" w14:textId="77777777" w:rsidTr="007C1E45">
        <w:trPr>
          <w:trHeight w:val="564"/>
        </w:trPr>
        <w:tc>
          <w:tcPr>
            <w:tcW w:w="3926" w:type="pct"/>
            <w:gridSpan w:val="3"/>
            <w:tcBorders>
              <w:bottom w:val="single" w:sz="4" w:space="0" w:color="auto"/>
            </w:tcBorders>
            <w:shd w:val="clear" w:color="auto" w:fill="8DB3E2" w:themeFill="text2" w:themeFillTint="66"/>
            <w:vAlign w:val="center"/>
          </w:tcPr>
          <w:p w14:paraId="0BC76BB2" w14:textId="77777777" w:rsidR="007C1A43" w:rsidRPr="000F083E" w:rsidRDefault="007C1A43" w:rsidP="00EA1A9F">
            <w:pPr>
              <w:jc w:val="center"/>
              <w:rPr>
                <w:rFonts w:ascii="Arial" w:hAnsi="Arial" w:cs="Arial"/>
                <w:b/>
                <w:sz w:val="20"/>
                <w:szCs w:val="20"/>
              </w:rPr>
            </w:pPr>
            <w:r w:rsidRPr="000F083E">
              <w:rPr>
                <w:rFonts w:ascii="Arial" w:hAnsi="Arial" w:cs="Arial"/>
                <w:b/>
                <w:color w:val="000000"/>
                <w:sz w:val="20"/>
                <w:szCs w:val="20"/>
              </w:rPr>
              <w:t>DOCUMENTO DE ESTUDIOS PREVIOS</w:t>
            </w:r>
          </w:p>
        </w:tc>
        <w:tc>
          <w:tcPr>
            <w:tcW w:w="1074" w:type="pct"/>
            <w:tcBorders>
              <w:bottom w:val="single" w:sz="4" w:space="0" w:color="auto"/>
            </w:tcBorders>
            <w:shd w:val="clear" w:color="auto" w:fill="8DB3E2" w:themeFill="text2" w:themeFillTint="66"/>
            <w:vAlign w:val="center"/>
          </w:tcPr>
          <w:p w14:paraId="7C7B3459" w14:textId="77777777" w:rsidR="007C1A43" w:rsidRPr="000F083E" w:rsidRDefault="007C1A43" w:rsidP="00EA1A9F">
            <w:pPr>
              <w:jc w:val="right"/>
              <w:rPr>
                <w:rFonts w:ascii="Arial" w:hAnsi="Arial" w:cs="Arial"/>
                <w:b/>
                <w:sz w:val="20"/>
                <w:szCs w:val="20"/>
              </w:rPr>
            </w:pPr>
            <w:r w:rsidRPr="000F083E">
              <w:rPr>
                <w:rFonts w:ascii="Arial" w:hAnsi="Arial" w:cs="Arial"/>
                <w:b/>
                <w:sz w:val="20"/>
                <w:szCs w:val="20"/>
              </w:rPr>
              <w:t>VERSIÓN 1</w:t>
            </w:r>
          </w:p>
        </w:tc>
      </w:tr>
      <w:tr w:rsidR="007C1A43" w:rsidRPr="000F083E" w14:paraId="1E527539" w14:textId="77777777" w:rsidTr="00A51BC2">
        <w:trPr>
          <w:trHeight w:val="334"/>
        </w:trPr>
        <w:tc>
          <w:tcPr>
            <w:tcW w:w="5000" w:type="pct"/>
            <w:gridSpan w:val="4"/>
            <w:shd w:val="clear" w:color="auto" w:fill="B8CCE4" w:themeFill="accent1" w:themeFillTint="66"/>
            <w:vAlign w:val="center"/>
          </w:tcPr>
          <w:p w14:paraId="5BE9403E" w14:textId="77777777" w:rsidR="007C1A43" w:rsidRPr="000F083E" w:rsidRDefault="007C1A43" w:rsidP="00EA1A9F">
            <w:pPr>
              <w:jc w:val="both"/>
              <w:rPr>
                <w:rFonts w:ascii="Arial" w:hAnsi="Arial" w:cs="Arial"/>
                <w:b/>
                <w:sz w:val="20"/>
                <w:szCs w:val="20"/>
              </w:rPr>
            </w:pPr>
            <w:r w:rsidRPr="000F083E">
              <w:rPr>
                <w:rFonts w:ascii="Arial" w:hAnsi="Arial" w:cs="Arial"/>
                <w:b/>
                <w:sz w:val="20"/>
                <w:szCs w:val="20"/>
              </w:rPr>
              <w:t>1. DATOS GENERAL</w:t>
            </w:r>
            <w:r w:rsidR="00B32946" w:rsidRPr="000F083E">
              <w:rPr>
                <w:rFonts w:ascii="Arial" w:hAnsi="Arial" w:cs="Arial"/>
                <w:b/>
                <w:sz w:val="20"/>
                <w:szCs w:val="20"/>
              </w:rPr>
              <w:t xml:space="preserve"> </w:t>
            </w:r>
            <w:r w:rsidRPr="000F083E">
              <w:rPr>
                <w:rFonts w:ascii="Arial" w:hAnsi="Arial" w:cs="Arial"/>
                <w:b/>
                <w:sz w:val="20"/>
                <w:szCs w:val="20"/>
              </w:rPr>
              <w:t>ES</w:t>
            </w:r>
          </w:p>
        </w:tc>
      </w:tr>
      <w:tr w:rsidR="002A5BBD" w:rsidRPr="000F083E" w14:paraId="46EB570A" w14:textId="77777777" w:rsidTr="00A3685D">
        <w:trPr>
          <w:trHeight w:val="536"/>
        </w:trPr>
        <w:tc>
          <w:tcPr>
            <w:tcW w:w="1502" w:type="pct"/>
          </w:tcPr>
          <w:p w14:paraId="5C67D85B" w14:textId="77777777" w:rsidR="007C1A43" w:rsidRPr="000F083E" w:rsidRDefault="007C1A43" w:rsidP="00EA1A9F">
            <w:pPr>
              <w:rPr>
                <w:rFonts w:ascii="Arial" w:hAnsi="Arial" w:cs="Arial"/>
                <w:sz w:val="20"/>
                <w:szCs w:val="20"/>
              </w:rPr>
            </w:pPr>
            <w:r w:rsidRPr="000F083E">
              <w:rPr>
                <w:rFonts w:ascii="Arial" w:hAnsi="Arial" w:cs="Arial"/>
                <w:b/>
                <w:sz w:val="20"/>
                <w:szCs w:val="20"/>
              </w:rPr>
              <w:t>Tipo de Presupuesto Asignado</w:t>
            </w:r>
          </w:p>
        </w:tc>
        <w:tc>
          <w:tcPr>
            <w:tcW w:w="3498" w:type="pct"/>
            <w:gridSpan w:val="3"/>
          </w:tcPr>
          <w:p w14:paraId="16E4144C" w14:textId="46243284" w:rsidR="007C1A43" w:rsidRPr="000F083E" w:rsidRDefault="00B47E51" w:rsidP="006F516B">
            <w:pPr>
              <w:rPr>
                <w:rFonts w:ascii="Arial" w:hAnsi="Arial" w:cs="Arial"/>
                <w:sz w:val="20"/>
                <w:szCs w:val="20"/>
              </w:rPr>
            </w:pPr>
            <w:r>
              <w:rPr>
                <w:rFonts w:ascii="Arial" w:hAnsi="Arial" w:cs="Arial"/>
                <w:sz w:val="20"/>
                <w:szCs w:val="20"/>
              </w:rPr>
              <w:t>INVERSION U2</w:t>
            </w:r>
          </w:p>
        </w:tc>
      </w:tr>
      <w:tr w:rsidR="002A5BBD" w:rsidRPr="000F083E" w14:paraId="69A02941" w14:textId="77777777" w:rsidTr="00A3685D">
        <w:trPr>
          <w:trHeight w:val="432"/>
        </w:trPr>
        <w:tc>
          <w:tcPr>
            <w:tcW w:w="1502" w:type="pct"/>
          </w:tcPr>
          <w:p w14:paraId="7C8686C8" w14:textId="553878DA" w:rsidR="00A84139" w:rsidRPr="000F083E" w:rsidRDefault="00A84139" w:rsidP="00EA1A9F">
            <w:pPr>
              <w:rPr>
                <w:rFonts w:ascii="Arial" w:hAnsi="Arial" w:cs="Arial"/>
                <w:b/>
                <w:sz w:val="20"/>
                <w:szCs w:val="20"/>
              </w:rPr>
            </w:pPr>
            <w:r>
              <w:rPr>
                <w:rFonts w:ascii="Arial" w:hAnsi="Arial" w:cs="Arial"/>
                <w:b/>
                <w:sz w:val="20"/>
                <w:szCs w:val="20"/>
              </w:rPr>
              <w:t>Nombre del Proyecto</w:t>
            </w:r>
          </w:p>
        </w:tc>
        <w:tc>
          <w:tcPr>
            <w:tcW w:w="3498" w:type="pct"/>
            <w:gridSpan w:val="3"/>
          </w:tcPr>
          <w:p w14:paraId="4FED9CAB" w14:textId="72FF0CA8" w:rsidR="00A84139" w:rsidRDefault="00B47E51" w:rsidP="000F083E">
            <w:pPr>
              <w:jc w:val="both"/>
              <w:rPr>
                <w:rFonts w:ascii="Arial" w:hAnsi="Arial" w:cs="Arial"/>
                <w:sz w:val="20"/>
                <w:szCs w:val="20"/>
              </w:rPr>
            </w:pPr>
            <w:r>
              <w:rPr>
                <w:rFonts w:ascii="Arial" w:hAnsi="Arial" w:cs="Arial"/>
                <w:sz w:val="20"/>
                <w:szCs w:val="20"/>
              </w:rPr>
              <w:t>COMPUTADORES PORTATILES AREA DE MANTENIMIENTO Y SOPORTE TECNOLOGICO</w:t>
            </w:r>
          </w:p>
        </w:tc>
      </w:tr>
      <w:tr w:rsidR="002A5BBD" w:rsidRPr="000F083E" w14:paraId="00F84816" w14:textId="77777777" w:rsidTr="00A3685D">
        <w:trPr>
          <w:trHeight w:val="432"/>
        </w:trPr>
        <w:tc>
          <w:tcPr>
            <w:tcW w:w="1502" w:type="pct"/>
          </w:tcPr>
          <w:p w14:paraId="4D76F3A6" w14:textId="77777777" w:rsidR="007C1A43" w:rsidRPr="000F083E" w:rsidRDefault="007C1A43" w:rsidP="00EA1A9F">
            <w:pPr>
              <w:rPr>
                <w:rFonts w:ascii="Arial" w:hAnsi="Arial" w:cs="Arial"/>
                <w:b/>
                <w:sz w:val="20"/>
                <w:szCs w:val="20"/>
              </w:rPr>
            </w:pPr>
            <w:r w:rsidRPr="000F083E">
              <w:rPr>
                <w:rFonts w:ascii="Arial" w:hAnsi="Arial" w:cs="Arial"/>
                <w:b/>
                <w:sz w:val="20"/>
                <w:szCs w:val="20"/>
              </w:rPr>
              <w:t>Fecha de elaboración del estudio previo</w:t>
            </w:r>
          </w:p>
        </w:tc>
        <w:tc>
          <w:tcPr>
            <w:tcW w:w="3498" w:type="pct"/>
            <w:gridSpan w:val="3"/>
          </w:tcPr>
          <w:p w14:paraId="676DF90D" w14:textId="2140B0A6" w:rsidR="0055614D" w:rsidRPr="000F083E" w:rsidRDefault="00722FFB" w:rsidP="000F083E">
            <w:pPr>
              <w:jc w:val="both"/>
              <w:rPr>
                <w:rFonts w:ascii="Arial" w:hAnsi="Arial" w:cs="Arial"/>
                <w:sz w:val="20"/>
                <w:szCs w:val="20"/>
              </w:rPr>
            </w:pPr>
            <w:r>
              <w:rPr>
                <w:rFonts w:ascii="Arial" w:hAnsi="Arial" w:cs="Arial"/>
                <w:sz w:val="20"/>
                <w:szCs w:val="20"/>
              </w:rPr>
              <w:t>Diciembre</w:t>
            </w:r>
            <w:r w:rsidR="003B2C05">
              <w:rPr>
                <w:rFonts w:ascii="Arial" w:hAnsi="Arial" w:cs="Arial"/>
                <w:sz w:val="20"/>
                <w:szCs w:val="20"/>
              </w:rPr>
              <w:t xml:space="preserve"> 202</w:t>
            </w:r>
            <w:r w:rsidR="00853F80">
              <w:rPr>
                <w:rFonts w:ascii="Arial" w:hAnsi="Arial" w:cs="Arial"/>
                <w:sz w:val="20"/>
                <w:szCs w:val="20"/>
              </w:rPr>
              <w:t>3</w:t>
            </w:r>
          </w:p>
        </w:tc>
      </w:tr>
      <w:tr w:rsidR="002A5BBD" w:rsidRPr="000F083E" w14:paraId="36DE5085" w14:textId="77777777" w:rsidTr="00A3685D">
        <w:trPr>
          <w:trHeight w:val="611"/>
        </w:trPr>
        <w:tc>
          <w:tcPr>
            <w:tcW w:w="1502" w:type="pct"/>
          </w:tcPr>
          <w:p w14:paraId="4FF217BB" w14:textId="77777777" w:rsidR="007C1A43" w:rsidRPr="000F083E" w:rsidRDefault="007C1A43" w:rsidP="00EA1A9F">
            <w:pPr>
              <w:rPr>
                <w:rFonts w:ascii="Arial" w:hAnsi="Arial" w:cs="Arial"/>
                <w:sz w:val="20"/>
                <w:szCs w:val="20"/>
              </w:rPr>
            </w:pPr>
            <w:r w:rsidRPr="000F083E">
              <w:rPr>
                <w:rFonts w:ascii="Arial" w:hAnsi="Arial" w:cs="Arial"/>
                <w:b/>
                <w:sz w:val="20"/>
                <w:szCs w:val="20"/>
              </w:rPr>
              <w:t>Nombre del funcionario que diligencia el estudio previo</w:t>
            </w:r>
          </w:p>
        </w:tc>
        <w:tc>
          <w:tcPr>
            <w:tcW w:w="3498" w:type="pct"/>
            <w:gridSpan w:val="3"/>
          </w:tcPr>
          <w:p w14:paraId="1585536E" w14:textId="7E23F236" w:rsidR="007C1A43" w:rsidRPr="000F083E" w:rsidRDefault="00B47E51" w:rsidP="001A7705">
            <w:pPr>
              <w:jc w:val="both"/>
              <w:rPr>
                <w:rFonts w:ascii="Arial" w:hAnsi="Arial" w:cs="Arial"/>
                <w:sz w:val="20"/>
                <w:szCs w:val="20"/>
              </w:rPr>
            </w:pPr>
            <w:r>
              <w:rPr>
                <w:rFonts w:ascii="Arial" w:hAnsi="Arial" w:cs="Arial"/>
                <w:sz w:val="20"/>
                <w:szCs w:val="20"/>
              </w:rPr>
              <w:t>ALFREDO HADECHNI MUNIVE</w:t>
            </w:r>
            <w:r w:rsidR="007202EE">
              <w:rPr>
                <w:rFonts w:ascii="Arial" w:hAnsi="Arial" w:cs="Arial"/>
                <w:sz w:val="20"/>
                <w:szCs w:val="20"/>
              </w:rPr>
              <w:t xml:space="preserve"> </w:t>
            </w:r>
          </w:p>
        </w:tc>
      </w:tr>
      <w:tr w:rsidR="002A5BBD" w:rsidRPr="000F083E" w14:paraId="15CFABC6" w14:textId="77777777" w:rsidTr="00A3685D">
        <w:trPr>
          <w:trHeight w:val="467"/>
        </w:trPr>
        <w:tc>
          <w:tcPr>
            <w:tcW w:w="1502" w:type="pct"/>
          </w:tcPr>
          <w:p w14:paraId="09C3C294" w14:textId="77777777" w:rsidR="007C1A43" w:rsidRPr="000F083E" w:rsidRDefault="007C1A43" w:rsidP="00EA1A9F">
            <w:pPr>
              <w:rPr>
                <w:rFonts w:ascii="Arial" w:hAnsi="Arial" w:cs="Arial"/>
                <w:b/>
                <w:sz w:val="20"/>
                <w:szCs w:val="20"/>
              </w:rPr>
            </w:pPr>
            <w:proofErr w:type="gramStart"/>
            <w:r w:rsidRPr="000F083E">
              <w:rPr>
                <w:rFonts w:ascii="Arial" w:hAnsi="Arial" w:cs="Arial"/>
                <w:b/>
                <w:sz w:val="20"/>
                <w:szCs w:val="20"/>
              </w:rPr>
              <w:t>Área  de</w:t>
            </w:r>
            <w:proofErr w:type="gramEnd"/>
            <w:r w:rsidRPr="000F083E">
              <w:rPr>
                <w:rFonts w:ascii="Arial" w:hAnsi="Arial" w:cs="Arial"/>
                <w:b/>
                <w:sz w:val="20"/>
                <w:szCs w:val="20"/>
              </w:rPr>
              <w:t xml:space="preserve"> Origen</w:t>
            </w:r>
          </w:p>
        </w:tc>
        <w:tc>
          <w:tcPr>
            <w:tcW w:w="3498" w:type="pct"/>
            <w:gridSpan w:val="3"/>
          </w:tcPr>
          <w:p w14:paraId="360C6D73" w14:textId="36EA4280" w:rsidR="007C1A43" w:rsidRPr="000F083E" w:rsidRDefault="00B47E51" w:rsidP="00C36B4B">
            <w:pPr>
              <w:jc w:val="both"/>
              <w:rPr>
                <w:rFonts w:ascii="Arial" w:hAnsi="Arial" w:cs="Arial"/>
                <w:sz w:val="20"/>
                <w:szCs w:val="20"/>
              </w:rPr>
            </w:pPr>
            <w:r>
              <w:rPr>
                <w:rFonts w:ascii="Arial" w:hAnsi="Arial" w:cs="Arial"/>
                <w:sz w:val="20"/>
                <w:szCs w:val="20"/>
              </w:rPr>
              <w:t>AREA DE MANTENIMIENTO Y SOPORTE TECNOLOGICO</w:t>
            </w:r>
          </w:p>
        </w:tc>
      </w:tr>
      <w:tr w:rsidR="007C1A43" w:rsidRPr="000F083E" w14:paraId="493D9515" w14:textId="77777777" w:rsidTr="00A51BC2">
        <w:trPr>
          <w:trHeight w:val="438"/>
        </w:trPr>
        <w:tc>
          <w:tcPr>
            <w:tcW w:w="5000" w:type="pct"/>
            <w:gridSpan w:val="4"/>
            <w:shd w:val="clear" w:color="auto" w:fill="B8CCE4" w:themeFill="accent1" w:themeFillTint="66"/>
          </w:tcPr>
          <w:p w14:paraId="5AFD79FC" w14:textId="77777777" w:rsidR="007C1A43" w:rsidRPr="000F083E" w:rsidRDefault="00831705" w:rsidP="00EA1A9F">
            <w:pPr>
              <w:jc w:val="both"/>
              <w:rPr>
                <w:rFonts w:ascii="Arial" w:hAnsi="Arial" w:cs="Arial"/>
                <w:sz w:val="20"/>
                <w:szCs w:val="20"/>
              </w:rPr>
            </w:pPr>
            <w:r w:rsidRPr="000F083E">
              <w:rPr>
                <w:rFonts w:ascii="Arial" w:hAnsi="Arial" w:cs="Arial"/>
                <w:b/>
                <w:sz w:val="20"/>
                <w:szCs w:val="20"/>
              </w:rPr>
              <w:t>2</w:t>
            </w:r>
            <w:r w:rsidR="007C1A43" w:rsidRPr="000F083E">
              <w:rPr>
                <w:rFonts w:ascii="Arial" w:hAnsi="Arial" w:cs="Arial"/>
                <w:b/>
                <w:sz w:val="20"/>
                <w:szCs w:val="20"/>
              </w:rPr>
              <w:t>. ELEMENTOS DEL ESTUDIO (Decreto 1082 de 2015.)</w:t>
            </w:r>
          </w:p>
        </w:tc>
      </w:tr>
      <w:tr w:rsidR="00E542BF" w:rsidRPr="000F083E" w14:paraId="750377AA" w14:textId="77777777" w:rsidTr="00A51BC2">
        <w:trPr>
          <w:trHeight w:val="438"/>
        </w:trPr>
        <w:tc>
          <w:tcPr>
            <w:tcW w:w="5000" w:type="pct"/>
            <w:gridSpan w:val="4"/>
            <w:shd w:val="clear" w:color="auto" w:fill="auto"/>
          </w:tcPr>
          <w:p w14:paraId="5A8D2CFB" w14:textId="77777777" w:rsidR="00E542BF" w:rsidRPr="000F083E" w:rsidRDefault="00E542BF" w:rsidP="00EA1A9F">
            <w:pPr>
              <w:jc w:val="both"/>
              <w:rPr>
                <w:rFonts w:ascii="Arial" w:hAnsi="Arial" w:cs="Arial"/>
                <w:b/>
                <w:sz w:val="20"/>
                <w:szCs w:val="20"/>
              </w:rPr>
            </w:pPr>
            <w:r w:rsidRPr="000F083E">
              <w:rPr>
                <w:rFonts w:ascii="Arial" w:hAnsi="Arial" w:cs="Arial"/>
                <w:b/>
                <w:sz w:val="20"/>
                <w:szCs w:val="20"/>
              </w:rPr>
              <w:t>2.1. DESCRIPCIÓN DE LA NECESIDAD QUE LA ENTIDAD PRETENDE SATISFACER</w:t>
            </w:r>
          </w:p>
        </w:tc>
      </w:tr>
      <w:tr w:rsidR="00E542BF" w:rsidRPr="000F083E" w14:paraId="306350BF" w14:textId="77777777" w:rsidTr="00A3685D">
        <w:trPr>
          <w:trHeight w:val="4817"/>
        </w:trPr>
        <w:tc>
          <w:tcPr>
            <w:tcW w:w="5000" w:type="pct"/>
            <w:gridSpan w:val="4"/>
          </w:tcPr>
          <w:p w14:paraId="42BCDD50" w14:textId="77777777" w:rsidR="005109BB" w:rsidRPr="005109BB" w:rsidRDefault="005109BB" w:rsidP="005109BB">
            <w:pPr>
              <w:autoSpaceDE w:val="0"/>
              <w:autoSpaceDN w:val="0"/>
              <w:jc w:val="both"/>
              <w:rPr>
                <w:rFonts w:ascii="Arial" w:hAnsi="Arial" w:cs="Arial"/>
                <w:i/>
                <w:iCs/>
                <w:sz w:val="20"/>
                <w:szCs w:val="20"/>
              </w:rPr>
            </w:pPr>
            <w:r w:rsidRPr="005109BB">
              <w:rPr>
                <w:rFonts w:ascii="Arial" w:hAnsi="Arial" w:cs="Arial"/>
                <w:i/>
                <w:iCs/>
                <w:sz w:val="20"/>
                <w:szCs w:val="20"/>
              </w:rPr>
              <w:t>La Dirección Seccional de Administración Judicial de Barranquilla - Atlántico, tiene a su cargo los despachos judiciales y sedes administrativas en la ciudad de Barranquilla y los Municipios del Departamento de Atlántico; por lo tanto, debe realizar el suministro de bienes y servicios que permitan garantizar la prestación del servicio de Administración de Justicia de manera oportuna y en las mejores condiciones.  Así mismo deberá garantizar el adecuado manejo de los recursos, velando por su correcta aplicación o utilización, en cumplimiento de los principios y postulados contenidos en la Ley 270 de 1996, Ley 1150 de 2007, en concordancia con lo establecido en el Decreto 1082 de 2015.</w:t>
            </w:r>
          </w:p>
          <w:p w14:paraId="6283285E" w14:textId="77777777" w:rsidR="005109BB" w:rsidRPr="005109BB" w:rsidRDefault="005109BB" w:rsidP="005109BB">
            <w:pPr>
              <w:autoSpaceDE w:val="0"/>
              <w:autoSpaceDN w:val="0"/>
              <w:jc w:val="both"/>
              <w:rPr>
                <w:rFonts w:ascii="Arial" w:hAnsi="Arial" w:cs="Arial"/>
                <w:i/>
                <w:iCs/>
                <w:sz w:val="20"/>
                <w:szCs w:val="20"/>
              </w:rPr>
            </w:pPr>
            <w:r w:rsidRPr="005109BB">
              <w:rPr>
                <w:rFonts w:ascii="Arial" w:hAnsi="Arial" w:cs="Arial"/>
                <w:i/>
                <w:iCs/>
                <w:sz w:val="20"/>
                <w:szCs w:val="20"/>
              </w:rPr>
              <w:t xml:space="preserve"> </w:t>
            </w:r>
          </w:p>
          <w:p w14:paraId="5CB083F9" w14:textId="77777777" w:rsidR="005109BB" w:rsidRPr="005109BB" w:rsidRDefault="005109BB" w:rsidP="005109BB">
            <w:pPr>
              <w:suppressAutoHyphens/>
              <w:ind w:right="227"/>
              <w:jc w:val="both"/>
              <w:rPr>
                <w:rFonts w:ascii="Arial" w:hAnsi="Arial" w:cs="Arial"/>
                <w:i/>
                <w:iCs/>
                <w:sz w:val="20"/>
                <w:szCs w:val="20"/>
                <w:lang w:eastAsia="en-US"/>
              </w:rPr>
            </w:pPr>
            <w:r w:rsidRPr="005109BB">
              <w:rPr>
                <w:rFonts w:ascii="Arial" w:hAnsi="Arial" w:cs="Arial"/>
                <w:i/>
                <w:iCs/>
                <w:sz w:val="20"/>
                <w:szCs w:val="20"/>
                <w:lang w:eastAsia="en-US"/>
              </w:rPr>
              <w:t>El Propósito fundamental del Plan Sectorial de Desarrollo de la Rama Judicial es orientar las actividades de esta Rama específica del poder público al cumplimiento de su objetivo misional de promover el acceso, la eficacia,  la calidad, la confianza visibilidad y transparencia, la autonomía y el fortalecimiento institucional en la administración de Justicia en el país, así  como  entender  y  atender,  en colaboración armónica con otros poderes del Estado, la solución de conflictos y el cumplimiento en forma integral de los fines de la Justicia para la sociedad.</w:t>
            </w:r>
          </w:p>
          <w:p w14:paraId="7AC3E1E3" w14:textId="77777777" w:rsidR="005109BB" w:rsidRPr="005109BB" w:rsidRDefault="005109BB" w:rsidP="005109BB">
            <w:pPr>
              <w:suppressAutoHyphens/>
              <w:autoSpaceDE w:val="0"/>
              <w:autoSpaceDN w:val="0"/>
              <w:adjustRightInd w:val="0"/>
              <w:jc w:val="both"/>
              <w:rPr>
                <w:rFonts w:ascii="Arial" w:hAnsi="Arial" w:cs="Arial"/>
                <w:i/>
                <w:iCs/>
                <w:sz w:val="20"/>
                <w:szCs w:val="20"/>
                <w:lang w:val="es-ES" w:eastAsia="ar-SA"/>
              </w:rPr>
            </w:pPr>
          </w:p>
          <w:p w14:paraId="47BDBA06" w14:textId="77777777" w:rsidR="005109BB" w:rsidRPr="005109BB" w:rsidRDefault="005109BB" w:rsidP="005109BB">
            <w:pPr>
              <w:suppressAutoHyphens/>
              <w:autoSpaceDE w:val="0"/>
              <w:autoSpaceDN w:val="0"/>
              <w:adjustRightInd w:val="0"/>
              <w:jc w:val="both"/>
              <w:rPr>
                <w:rFonts w:ascii="Arial" w:hAnsi="Arial" w:cs="Arial"/>
                <w:i/>
                <w:iCs/>
                <w:sz w:val="20"/>
                <w:szCs w:val="20"/>
                <w:lang w:val="es-ES" w:eastAsia="ar-SA"/>
              </w:rPr>
            </w:pPr>
            <w:r w:rsidRPr="005109BB">
              <w:rPr>
                <w:rFonts w:ascii="Arial" w:hAnsi="Arial" w:cs="Arial"/>
                <w:i/>
                <w:iCs/>
                <w:sz w:val="20"/>
                <w:szCs w:val="20"/>
                <w:lang w:val="es-ES" w:eastAsia="ar-SA"/>
              </w:rPr>
              <w:t>Así, las actividades propias de la Dirección Seccional de Administración Judicial de Barranquilla como órgano técnico administrativo del Sector Jurisdiccional de la Rama Judicial en el Atlántico, debe enmarcar su gestión en dicho Plan y el esfuerzo en su cumplimiento va dirigido a garantizar una administración eficiente de los recursos dispuestos para el funcionamiento de esta Entidad.</w:t>
            </w:r>
          </w:p>
          <w:p w14:paraId="54965C0F" w14:textId="77777777" w:rsidR="005109BB" w:rsidRPr="005109BB" w:rsidRDefault="005109BB" w:rsidP="005109BB">
            <w:pPr>
              <w:suppressAutoHyphens/>
              <w:ind w:right="227"/>
              <w:jc w:val="both"/>
              <w:rPr>
                <w:rFonts w:ascii="Arial" w:hAnsi="Arial" w:cs="Arial"/>
                <w:i/>
                <w:iCs/>
                <w:sz w:val="20"/>
                <w:szCs w:val="20"/>
                <w:lang w:eastAsia="en-US"/>
              </w:rPr>
            </w:pPr>
          </w:p>
          <w:p w14:paraId="27568A29" w14:textId="3DFF1126" w:rsidR="005109BB" w:rsidRDefault="005109BB" w:rsidP="005109BB">
            <w:pPr>
              <w:suppressAutoHyphens/>
              <w:ind w:right="227"/>
              <w:jc w:val="both"/>
              <w:rPr>
                <w:rFonts w:ascii="Arial" w:hAnsi="Arial" w:cs="Arial"/>
                <w:i/>
                <w:iCs/>
                <w:sz w:val="20"/>
                <w:szCs w:val="20"/>
                <w:lang w:eastAsia="en-US"/>
              </w:rPr>
            </w:pPr>
            <w:r w:rsidRPr="005109BB">
              <w:rPr>
                <w:rFonts w:ascii="Arial" w:hAnsi="Arial" w:cs="Arial"/>
                <w:i/>
                <w:iCs/>
                <w:sz w:val="20"/>
                <w:szCs w:val="20"/>
                <w:lang w:eastAsia="en-US"/>
              </w:rPr>
              <w:t>De igual forma, los procesos contractuales deben estar orientados al cumplimiento de los objetivos, metas, políticas, estrategias, programas y proyectos enmarcados por el Plan Sectorial de Desarrollo, por lo que, para efectos de contribuir al logro de los objetivos propuestos, se elabora el presente estudio de conveniencia y oportunidad.</w:t>
            </w:r>
          </w:p>
          <w:p w14:paraId="7D41B8DD" w14:textId="77777777" w:rsidR="005109BB" w:rsidRPr="005109BB" w:rsidRDefault="005109BB" w:rsidP="005109BB">
            <w:pPr>
              <w:suppressAutoHyphens/>
              <w:ind w:right="227"/>
              <w:jc w:val="both"/>
              <w:rPr>
                <w:rFonts w:ascii="Arial" w:hAnsi="Arial" w:cs="Arial"/>
                <w:i/>
                <w:iCs/>
                <w:sz w:val="20"/>
                <w:szCs w:val="20"/>
                <w:lang w:eastAsia="en-US"/>
              </w:rPr>
            </w:pPr>
          </w:p>
          <w:p w14:paraId="0BDBB28A" w14:textId="5D5E0339" w:rsidR="00E542BF" w:rsidRDefault="00E542BF" w:rsidP="00EA1A9F">
            <w:pPr>
              <w:jc w:val="both"/>
              <w:rPr>
                <w:rFonts w:ascii="Arial" w:hAnsi="Arial" w:cs="Arial"/>
                <w:sz w:val="20"/>
                <w:szCs w:val="20"/>
                <w:lang w:val="es-ES"/>
              </w:rPr>
            </w:pPr>
            <w:r w:rsidRPr="00761A88">
              <w:rPr>
                <w:rFonts w:ascii="Arial" w:hAnsi="Arial" w:cs="Arial"/>
                <w:sz w:val="20"/>
                <w:szCs w:val="20"/>
                <w:lang w:val="es-ES"/>
              </w:rPr>
              <w:t>El decreto 4170 de 2011, “Por el cual se crea la Agencia Nacional de Contratación Pública – Colombia Compra Eficiente -, se determinan sus objetivos y estructura”, ente rector, que tiene como objetivo “desarrollar e impulsar políticas públicas y herramientas, orientadas a la organización y articulación, de los partícipes en los procesos de compras y contratación pública con el fin de lograr una mayor eficiencia, trasparencia y optimización de recursos del estado.”, y como una de sus funciones, a la luz de lo preceptuado en el artículo 3 numeral 7, la de “diseñar, organizar y celebrar los acuerdos marco de precios y demás mecanismos de agregación de demanda de que trata el artículo 2° de la ley 1150 de 2007, de acuerdo con los procedimientos que se establezcan para el efecto”.</w:t>
            </w:r>
          </w:p>
          <w:p w14:paraId="7AAE952B" w14:textId="77777777" w:rsidR="005109BB" w:rsidRPr="00761A88" w:rsidRDefault="005109BB" w:rsidP="00EA1A9F">
            <w:pPr>
              <w:jc w:val="both"/>
              <w:rPr>
                <w:rFonts w:ascii="Arial" w:hAnsi="Arial" w:cs="Arial"/>
                <w:sz w:val="20"/>
                <w:szCs w:val="20"/>
                <w:lang w:val="es-ES"/>
              </w:rPr>
            </w:pPr>
          </w:p>
          <w:p w14:paraId="065CFDFA" w14:textId="7ED7B001" w:rsidR="00E542BF" w:rsidRPr="00761A88" w:rsidRDefault="00E542BF" w:rsidP="00EA1A9F">
            <w:pPr>
              <w:jc w:val="both"/>
              <w:rPr>
                <w:rFonts w:ascii="Arial" w:hAnsi="Arial" w:cs="Arial"/>
                <w:sz w:val="20"/>
                <w:szCs w:val="20"/>
                <w:lang w:val="es-ES"/>
              </w:rPr>
            </w:pPr>
            <w:r w:rsidRPr="00761A88">
              <w:rPr>
                <w:rFonts w:ascii="Arial" w:hAnsi="Arial" w:cs="Arial"/>
                <w:sz w:val="20"/>
                <w:szCs w:val="20"/>
                <w:lang w:val="es-ES"/>
              </w:rPr>
              <w:t>Si bien el Decreto 1082 de 2015, “Por medio del cual se expide el Decreto Único Reglamentario Del Sector Administrativo De Planeación Nacional” determina en el artículo 2.2.1.2.1.2.7, la “Procedencia del Acuerdo Marco de Precios”, indicando que “</w:t>
            </w:r>
            <w:r w:rsidRPr="00761A88">
              <w:rPr>
                <w:rFonts w:ascii="Arial" w:hAnsi="Arial" w:cs="Arial"/>
                <w:i/>
                <w:sz w:val="20"/>
                <w:szCs w:val="20"/>
                <w:lang w:val="es-ES"/>
              </w:rPr>
              <w:t>Las Entidades Estatales de la Rama Ejecutiva del poder Público del orden nacional, están obligadas a adquirir Bienes y Servicios de Características Técnicas Uniformes a través de los Acuerdos Marcos de Precios vigentes</w:t>
            </w:r>
            <w:r w:rsidRPr="00761A88">
              <w:rPr>
                <w:rFonts w:ascii="Arial" w:hAnsi="Arial" w:cs="Arial"/>
                <w:sz w:val="20"/>
                <w:szCs w:val="20"/>
                <w:lang w:val="es-ES"/>
              </w:rPr>
              <w:t xml:space="preserve">. Igualmente señala que los organismos autónomos, como lo es la Rama Judicial, no están </w:t>
            </w:r>
            <w:r w:rsidR="00A84139" w:rsidRPr="00761A88">
              <w:rPr>
                <w:rFonts w:ascii="Arial" w:hAnsi="Arial" w:cs="Arial"/>
                <w:sz w:val="20"/>
                <w:szCs w:val="20"/>
                <w:lang w:val="es-ES"/>
              </w:rPr>
              <w:t>obligados,</w:t>
            </w:r>
            <w:r w:rsidRPr="00761A88">
              <w:rPr>
                <w:rFonts w:ascii="Arial" w:hAnsi="Arial" w:cs="Arial"/>
                <w:sz w:val="20"/>
                <w:szCs w:val="20"/>
                <w:lang w:val="es-ES"/>
              </w:rPr>
              <w:t xml:space="preserve"> pero si facultados para hacerlo.</w:t>
            </w:r>
          </w:p>
          <w:p w14:paraId="388808E2" w14:textId="1813A774" w:rsidR="00E542BF" w:rsidRPr="00761A88" w:rsidRDefault="00E542BF" w:rsidP="00EA1A9F">
            <w:pPr>
              <w:jc w:val="both"/>
              <w:rPr>
                <w:rFonts w:ascii="Arial" w:hAnsi="Arial" w:cs="Arial"/>
                <w:sz w:val="20"/>
                <w:szCs w:val="20"/>
                <w:lang w:val="es-ES"/>
              </w:rPr>
            </w:pPr>
            <w:r w:rsidRPr="00761A88">
              <w:rPr>
                <w:rFonts w:ascii="Arial" w:hAnsi="Arial" w:cs="Arial"/>
                <w:sz w:val="20"/>
                <w:szCs w:val="20"/>
                <w:lang w:val="es-ES"/>
              </w:rPr>
              <w:t xml:space="preserve">Aunado a lo anterior,  la Dirección Ejecutiva de </w:t>
            </w:r>
            <w:r w:rsidR="006347E9" w:rsidRPr="00761A88">
              <w:rPr>
                <w:rFonts w:ascii="Arial" w:hAnsi="Arial" w:cs="Arial"/>
                <w:sz w:val="20"/>
                <w:szCs w:val="20"/>
                <w:lang w:val="es-ES"/>
              </w:rPr>
              <w:t>A</w:t>
            </w:r>
            <w:r w:rsidRPr="00761A88">
              <w:rPr>
                <w:rFonts w:ascii="Arial" w:hAnsi="Arial" w:cs="Arial"/>
                <w:sz w:val="20"/>
                <w:szCs w:val="20"/>
                <w:lang w:val="es-ES"/>
              </w:rPr>
              <w:t xml:space="preserve">dministración </w:t>
            </w:r>
            <w:r w:rsidR="006347E9" w:rsidRPr="00761A88">
              <w:rPr>
                <w:rFonts w:ascii="Arial" w:hAnsi="Arial" w:cs="Arial"/>
                <w:sz w:val="20"/>
                <w:szCs w:val="20"/>
                <w:lang w:val="es-ES"/>
              </w:rPr>
              <w:t>J</w:t>
            </w:r>
            <w:r w:rsidRPr="00761A88">
              <w:rPr>
                <w:rFonts w:ascii="Arial" w:hAnsi="Arial" w:cs="Arial"/>
                <w:sz w:val="20"/>
                <w:szCs w:val="20"/>
                <w:lang w:val="es-ES"/>
              </w:rPr>
              <w:t xml:space="preserve">udicial, a través de la circular DEAJC15-17 de marzo 2 de 2015, sugirió a los Directores Seccionales de Administración Judicial, tener en cuenta la Directiva Presidencial </w:t>
            </w:r>
            <w:proofErr w:type="spellStart"/>
            <w:r w:rsidRPr="00761A88">
              <w:rPr>
                <w:rFonts w:ascii="Arial" w:hAnsi="Arial" w:cs="Arial"/>
                <w:sz w:val="20"/>
                <w:szCs w:val="20"/>
                <w:lang w:val="es-ES"/>
              </w:rPr>
              <w:t>N°</w:t>
            </w:r>
            <w:proofErr w:type="spellEnd"/>
            <w:r w:rsidRPr="00761A88">
              <w:rPr>
                <w:rFonts w:ascii="Arial" w:hAnsi="Arial" w:cs="Arial"/>
                <w:sz w:val="20"/>
                <w:szCs w:val="20"/>
                <w:lang w:val="es-ES"/>
              </w:rPr>
              <w:t xml:space="preserve"> 06 de 2014, cuyo  objeto asunto es el plan de Austeridad, donde se ordena “hacer uso de los acuerdos marcos de precios diseñados por Colombia Eficiente, para la ejecución del plan de adquisiciones (</w:t>
            </w:r>
            <w:hyperlink r:id="rId11" w:history="1">
              <w:r w:rsidRPr="00761A88">
                <w:rPr>
                  <w:rStyle w:val="Hipervnculo"/>
                  <w:rFonts w:ascii="Arial" w:hAnsi="Arial" w:cs="Arial"/>
                  <w:color w:val="auto"/>
                  <w:sz w:val="20"/>
                  <w:szCs w:val="20"/>
                  <w:lang w:val="es-ES"/>
                </w:rPr>
                <w:t>www.colombiacompra.gov.co</w:t>
              </w:r>
            </w:hyperlink>
            <w:r w:rsidRPr="00761A88">
              <w:rPr>
                <w:rFonts w:ascii="Arial" w:hAnsi="Arial" w:cs="Arial"/>
                <w:sz w:val="20"/>
                <w:szCs w:val="20"/>
                <w:lang w:val="es-ES"/>
              </w:rPr>
              <w:t>)” y mediante circular PCSJC17-8 cuyo asunto es Directriz de transparencia y eficiencia en materia de contratación, que las Direcciones Ejecutivas De Administración Judicial Seccionales acudan, cuando a ello hubiere lugar, a las herramientas que en materia de contratación estatal ofrece Colombia Compra Eficiente, siempre y cuando resulten más favorables y convenientes a los fines estatales perseguidos en los procesos de contratación.</w:t>
            </w:r>
          </w:p>
          <w:p w14:paraId="4AB3EAA6" w14:textId="1B8AFDCA" w:rsidR="00670031" w:rsidRDefault="00670031" w:rsidP="00670031">
            <w:pPr>
              <w:jc w:val="both"/>
              <w:rPr>
                <w:rFonts w:ascii="Arial" w:hAnsi="Arial" w:cs="Arial"/>
                <w:sz w:val="20"/>
                <w:szCs w:val="20"/>
                <w:lang w:val="es-ES"/>
              </w:rPr>
            </w:pPr>
            <w:r w:rsidRPr="00761A88">
              <w:rPr>
                <w:rFonts w:ascii="Arial" w:hAnsi="Arial" w:cs="Arial"/>
                <w:sz w:val="20"/>
                <w:szCs w:val="20"/>
                <w:lang w:val="es-ES"/>
              </w:rPr>
              <w:t xml:space="preserve">Finalmente, el Manual de Contratación implementado mediante la Resolución No. 7525 del 31 de diciembre de 2019 en el capítulo quinto dispone: “5.1.5. Contratación de Mínima Cuantía es aplicable para la adquisición de bienes, obras y servicios cuyo valor no exceda del diez por ciento (10%) de la menor cuantía, independientemente de su objeto (Subsección 5 de la Sección 2, Capitulo 2, artículo 2.2.1.2.1.5.1 del Decreto 1082 de 2015). </w:t>
            </w:r>
          </w:p>
          <w:p w14:paraId="3E36F963" w14:textId="5E0A1DFC" w:rsidR="00A3685D" w:rsidRDefault="00A3685D" w:rsidP="00670031">
            <w:pPr>
              <w:jc w:val="both"/>
              <w:rPr>
                <w:rFonts w:ascii="Arial" w:hAnsi="Arial" w:cs="Arial"/>
                <w:sz w:val="20"/>
                <w:szCs w:val="20"/>
                <w:lang w:val="es-ES"/>
              </w:rPr>
            </w:pPr>
          </w:p>
          <w:p w14:paraId="71A1E490" w14:textId="77777777" w:rsidR="00A3685D" w:rsidRPr="00106AB9" w:rsidRDefault="00A3685D" w:rsidP="00A3685D">
            <w:pPr>
              <w:pStyle w:val="Default"/>
              <w:jc w:val="both"/>
              <w:rPr>
                <w:color w:val="auto"/>
                <w:sz w:val="22"/>
                <w:szCs w:val="22"/>
              </w:rPr>
            </w:pPr>
            <w:r w:rsidRPr="00106AB9">
              <w:rPr>
                <w:color w:val="auto"/>
                <w:sz w:val="22"/>
                <w:szCs w:val="22"/>
              </w:rPr>
              <w:t xml:space="preserve">No obstante, </w:t>
            </w:r>
            <w:r>
              <w:rPr>
                <w:color w:val="auto"/>
                <w:sz w:val="22"/>
                <w:szCs w:val="22"/>
              </w:rPr>
              <w:t xml:space="preserve">el </w:t>
            </w:r>
            <w:r w:rsidRPr="00D14D73">
              <w:rPr>
                <w:color w:val="auto"/>
                <w:sz w:val="22"/>
                <w:szCs w:val="22"/>
              </w:rPr>
              <w:t>19 de mayo de 2022</w:t>
            </w:r>
            <w:r>
              <w:rPr>
                <w:color w:val="auto"/>
                <w:sz w:val="22"/>
                <w:szCs w:val="22"/>
              </w:rPr>
              <w:t xml:space="preserve"> se recibe respuesta del Subdirector de Negocios de Colombia Compra Eficiente </w:t>
            </w:r>
            <w:r w:rsidRPr="00D14D73">
              <w:rPr>
                <w:color w:val="auto"/>
                <w:sz w:val="22"/>
                <w:szCs w:val="22"/>
              </w:rPr>
              <w:t>ANDRÉS RICARDO MANCIPE GONZÁLEZ</w:t>
            </w:r>
            <w:r>
              <w:rPr>
                <w:color w:val="auto"/>
                <w:sz w:val="22"/>
                <w:szCs w:val="22"/>
              </w:rPr>
              <w:t xml:space="preserve"> bajo el </w:t>
            </w:r>
            <w:r w:rsidRPr="00D14D73">
              <w:rPr>
                <w:color w:val="auto"/>
                <w:sz w:val="22"/>
                <w:szCs w:val="22"/>
              </w:rPr>
              <w:t>Radicado: No. P20220427004137</w:t>
            </w:r>
            <w:r>
              <w:rPr>
                <w:color w:val="auto"/>
                <w:sz w:val="22"/>
                <w:szCs w:val="22"/>
              </w:rPr>
              <w:t xml:space="preserve">, de la solicitud realizada por la entidad respecto a la aplicación de los acuerdos marco cuando la modalidad de contratación es de mínima cuantía </w:t>
            </w:r>
            <w:r w:rsidRPr="00827C7D">
              <w:rPr>
                <w:b/>
                <w:i/>
                <w:color w:val="auto"/>
                <w:sz w:val="22"/>
                <w:szCs w:val="22"/>
              </w:rPr>
              <w:t xml:space="preserve">… Con fundamento en lo expuesto, se debe mirar es el presupuesto de la entidad para adquirir el bien o servicio a requerir el procedimiento que se debe adelantar es según la modalidad de contratación que la entidad considere que en cada caso particular aplique. En efecto, para el caso de la contratación cuyo presupuesto no excede el 10% de la menor cuantía de un producto o servicio, será el establecido en el artículo 34 de la ley 2069 de 2020, esto es, a través del procedimiento de </w:t>
            </w:r>
            <w:r w:rsidRPr="00827C7D">
              <w:rPr>
                <w:b/>
                <w:i/>
                <w:color w:val="auto"/>
                <w:sz w:val="22"/>
                <w:szCs w:val="22"/>
              </w:rPr>
              <w:lastRenderedPageBreak/>
              <w:t>mínima cuantía, sin tener en cuenta la previsión que en su momento estableció el Parágrafo 3, el cual fue adicionado al Art. 2 Núm., 5 de la Ley 1150 de 2007, mediante el Art. 42 de la ley 1955 de 2019...</w:t>
            </w:r>
          </w:p>
          <w:p w14:paraId="452D3047" w14:textId="77777777" w:rsidR="00A3685D" w:rsidRPr="00761A88" w:rsidRDefault="00A3685D" w:rsidP="00670031">
            <w:pPr>
              <w:jc w:val="both"/>
              <w:rPr>
                <w:rFonts w:ascii="Arial" w:hAnsi="Arial" w:cs="Arial"/>
                <w:sz w:val="20"/>
                <w:szCs w:val="20"/>
                <w:lang w:val="es-ES"/>
              </w:rPr>
            </w:pPr>
          </w:p>
          <w:p w14:paraId="1D6E9145" w14:textId="4411834F" w:rsidR="007C632E" w:rsidRPr="00761A88" w:rsidRDefault="00417267" w:rsidP="007C632E">
            <w:pPr>
              <w:autoSpaceDE w:val="0"/>
              <w:autoSpaceDN w:val="0"/>
              <w:adjustRightInd w:val="0"/>
              <w:jc w:val="both"/>
              <w:rPr>
                <w:rFonts w:ascii="Arial" w:hAnsi="Arial" w:cs="Arial"/>
                <w:i/>
                <w:sz w:val="20"/>
                <w:szCs w:val="20"/>
              </w:rPr>
            </w:pPr>
            <w:r w:rsidRPr="00761A88">
              <w:rPr>
                <w:rFonts w:ascii="Arial" w:hAnsi="Arial" w:cs="Arial"/>
                <w:sz w:val="20"/>
                <w:szCs w:val="20"/>
              </w:rPr>
              <w:t>De otra parte</w:t>
            </w:r>
            <w:r w:rsidR="007C632E" w:rsidRPr="00761A88">
              <w:rPr>
                <w:rFonts w:ascii="Arial" w:hAnsi="Arial" w:cs="Arial"/>
                <w:sz w:val="20"/>
                <w:szCs w:val="20"/>
              </w:rPr>
              <w:t>, nuestro actual manual de contratación reglamenta: “</w:t>
            </w:r>
            <w:r w:rsidR="007C632E" w:rsidRPr="00761A88">
              <w:rPr>
                <w:rFonts w:ascii="Arial" w:hAnsi="Arial" w:cs="Arial"/>
                <w:i/>
                <w:sz w:val="20"/>
                <w:szCs w:val="20"/>
              </w:rPr>
              <w:t>El parágrafo 1 del artículo 2o de la Ley 1150 de 2007, las Entidades Estatales pueden hacer adquisiciones de mínima cuantía en "gran almacén" por medio de la Tienda Virtual del Estado Colombiano. El Decreto 1082 de 2015 señala las reglas para adquirir bienes hasta por el monto de su mínima cuantía en Grandes Superficies.</w:t>
            </w:r>
          </w:p>
          <w:p w14:paraId="020904DA" w14:textId="2F0BDE5C" w:rsidR="007C632E" w:rsidRPr="00761A88" w:rsidRDefault="007C632E" w:rsidP="007C632E">
            <w:pPr>
              <w:autoSpaceDE w:val="0"/>
              <w:autoSpaceDN w:val="0"/>
              <w:adjustRightInd w:val="0"/>
              <w:jc w:val="both"/>
              <w:rPr>
                <w:rFonts w:ascii="Arial" w:hAnsi="Arial" w:cs="Arial"/>
                <w:i/>
                <w:sz w:val="20"/>
                <w:szCs w:val="20"/>
              </w:rPr>
            </w:pPr>
          </w:p>
          <w:p w14:paraId="3FF24FA2" w14:textId="5E3146C0" w:rsidR="00412DF9" w:rsidRDefault="007C632E" w:rsidP="00A3685D">
            <w:pPr>
              <w:autoSpaceDE w:val="0"/>
              <w:autoSpaceDN w:val="0"/>
              <w:adjustRightInd w:val="0"/>
              <w:jc w:val="both"/>
              <w:rPr>
                <w:rFonts w:ascii="Arial" w:hAnsi="Arial" w:cs="Arial"/>
                <w:i/>
                <w:sz w:val="20"/>
                <w:szCs w:val="20"/>
              </w:rPr>
            </w:pPr>
            <w:r w:rsidRPr="00761A88">
              <w:rPr>
                <w:rFonts w:ascii="Arial" w:hAnsi="Arial" w:cs="Arial"/>
                <w:i/>
                <w:sz w:val="20"/>
                <w:szCs w:val="20"/>
              </w:rPr>
              <w:t>Colombia Compra Eficiente en ejecución de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 para sus Procesos de Contratación de mínima cuantía.</w:t>
            </w:r>
          </w:p>
          <w:p w14:paraId="2374165C" w14:textId="36A649CD" w:rsidR="00A3685D" w:rsidRDefault="00A3685D" w:rsidP="00A3685D">
            <w:pPr>
              <w:autoSpaceDE w:val="0"/>
              <w:autoSpaceDN w:val="0"/>
              <w:adjustRightInd w:val="0"/>
              <w:jc w:val="both"/>
              <w:rPr>
                <w:rFonts w:ascii="Arial" w:hAnsi="Arial" w:cs="Arial"/>
                <w:i/>
                <w:sz w:val="20"/>
                <w:szCs w:val="20"/>
              </w:rPr>
            </w:pPr>
          </w:p>
          <w:p w14:paraId="6D0B1664" w14:textId="69F0900A" w:rsidR="005109BB" w:rsidRPr="005109BB" w:rsidRDefault="00A3685D" w:rsidP="00A3685D">
            <w:pPr>
              <w:autoSpaceDE w:val="0"/>
              <w:autoSpaceDN w:val="0"/>
              <w:adjustRightInd w:val="0"/>
              <w:jc w:val="both"/>
              <w:rPr>
                <w:rFonts w:ascii="Arial" w:hAnsi="Arial" w:cs="Arial"/>
                <w:i/>
                <w:sz w:val="20"/>
                <w:szCs w:val="20"/>
                <w:lang w:val="es-ES" w:eastAsia="ar-SA"/>
              </w:rPr>
            </w:pPr>
            <w:r>
              <w:rPr>
                <w:rFonts w:ascii="Arial" w:hAnsi="Arial" w:cs="Arial"/>
                <w:i/>
                <w:sz w:val="20"/>
                <w:szCs w:val="20"/>
              </w:rPr>
              <w:t>Ahora bien,</w:t>
            </w:r>
            <w:bookmarkStart w:id="0" w:name="_Hlk73368813"/>
            <w:r>
              <w:rPr>
                <w:rFonts w:ascii="Arial" w:hAnsi="Arial" w:cs="Arial"/>
                <w:i/>
                <w:sz w:val="20"/>
                <w:szCs w:val="20"/>
              </w:rPr>
              <w:t xml:space="preserve"> </w:t>
            </w:r>
            <w:r w:rsidR="005109BB" w:rsidRPr="005109BB">
              <w:rPr>
                <w:rFonts w:ascii="Arial" w:hAnsi="Arial" w:cs="Arial"/>
                <w:i/>
                <w:sz w:val="20"/>
                <w:szCs w:val="20"/>
                <w:lang w:val="es-ES" w:eastAsia="ar-SA"/>
              </w:rPr>
              <w:t xml:space="preserve">Para el establecimiento de la necesidad Se determino, enfocados en el Plan Estratégico de Transformación Digital 2021-2025, adoptado a través de Acuerdo PCSJA20-11631, se dio especial importancia a la modernización de los computadores personales, actividad en cuyo alcance está </w:t>
            </w:r>
            <w:r w:rsidR="005109BB" w:rsidRPr="005109BB">
              <w:rPr>
                <w:rFonts w:ascii="Arial" w:hAnsi="Arial" w:cs="Arial"/>
                <w:i/>
                <w:iCs/>
                <w:sz w:val="20"/>
                <w:szCs w:val="20"/>
                <w:lang w:val="es-ES" w:eastAsia="ar-SA"/>
              </w:rPr>
              <w:t>“Adquirir equipos de escritorio, dispositivos móviles y portátiles con las características adecuadas (...) para que se puedan utilizar las herramientas y aplicaciones según los roles”</w:t>
            </w:r>
          </w:p>
          <w:bookmarkEnd w:id="0"/>
          <w:p w14:paraId="46D5F7F4" w14:textId="77777777" w:rsidR="00A51BC2" w:rsidRDefault="00A51BC2" w:rsidP="00A3685D">
            <w:pPr>
              <w:suppressAutoHyphens/>
              <w:rPr>
                <w:rFonts w:ascii="Arial" w:hAnsi="Arial" w:cs="Arial"/>
                <w:sz w:val="20"/>
                <w:szCs w:val="20"/>
              </w:rPr>
            </w:pPr>
          </w:p>
          <w:p w14:paraId="55C98E42" w14:textId="07F58C1F" w:rsidR="00A3685D" w:rsidRPr="00761A88" w:rsidRDefault="00A3685D" w:rsidP="00A3685D">
            <w:pPr>
              <w:suppressAutoHyphens/>
              <w:rPr>
                <w:rFonts w:ascii="Arial" w:hAnsi="Arial" w:cs="Arial"/>
                <w:sz w:val="20"/>
                <w:szCs w:val="20"/>
              </w:rPr>
            </w:pPr>
            <w:r>
              <w:rPr>
                <w:rFonts w:ascii="Arial" w:hAnsi="Arial" w:cs="Arial"/>
                <w:sz w:val="20"/>
                <w:szCs w:val="20"/>
              </w:rPr>
              <w:t>Es importante recalcar que los recursos utilizados para realizar esta contratación son producto de saldos de contratos de adquisición de computadores y son utilizados teniendo en cuenta la optimización de recursos y la necesidad del área.</w:t>
            </w:r>
          </w:p>
        </w:tc>
      </w:tr>
      <w:tr w:rsidR="00E542BF" w:rsidRPr="000F083E" w14:paraId="1D5AB375" w14:textId="77777777" w:rsidTr="00A51BC2">
        <w:trPr>
          <w:trHeight w:val="268"/>
        </w:trPr>
        <w:tc>
          <w:tcPr>
            <w:tcW w:w="5000" w:type="pct"/>
            <w:gridSpan w:val="4"/>
          </w:tcPr>
          <w:p w14:paraId="6D1D6FE6" w14:textId="77777777" w:rsidR="00E542BF" w:rsidRPr="000F083E" w:rsidRDefault="00E542BF" w:rsidP="0099695A">
            <w:pPr>
              <w:pStyle w:val="Default"/>
              <w:jc w:val="both"/>
              <w:rPr>
                <w:sz w:val="20"/>
                <w:szCs w:val="20"/>
              </w:rPr>
            </w:pPr>
            <w:r w:rsidRPr="000F083E">
              <w:rPr>
                <w:b/>
                <w:sz w:val="20"/>
                <w:szCs w:val="20"/>
              </w:rPr>
              <w:lastRenderedPageBreak/>
              <w:t>2.1.1. Marco de Contratación</w:t>
            </w:r>
          </w:p>
        </w:tc>
      </w:tr>
      <w:tr w:rsidR="00E542BF" w:rsidRPr="000F083E" w14:paraId="0B8B5255" w14:textId="77777777" w:rsidTr="005109BB">
        <w:trPr>
          <w:trHeight w:val="7227"/>
        </w:trPr>
        <w:tc>
          <w:tcPr>
            <w:tcW w:w="5000" w:type="pct"/>
            <w:gridSpan w:val="4"/>
          </w:tcPr>
          <w:p w14:paraId="1178DC86" w14:textId="65B6D885" w:rsidR="00E542BF" w:rsidRDefault="00E717A7" w:rsidP="00D420CD">
            <w:pPr>
              <w:jc w:val="both"/>
              <w:rPr>
                <w:rFonts w:ascii="Arial" w:eastAsia="Calibri" w:hAnsi="Arial" w:cs="Arial"/>
                <w:sz w:val="20"/>
                <w:szCs w:val="20"/>
                <w:lang w:val="es-ES_tradnl"/>
              </w:rPr>
            </w:pPr>
            <w:r w:rsidRPr="004720A9">
              <w:rPr>
                <w:rFonts w:ascii="Arial" w:hAnsi="Arial" w:cs="Arial"/>
                <w:sz w:val="20"/>
                <w:szCs w:val="20"/>
              </w:rPr>
              <w:t>La Contratación, se enmarca en el Cumplimiento Del Plan Sectorial De Desarrollo De La Rama Judicial 2023 – 2026 “Hacia una justicia confiable, digital e incluyente”</w:t>
            </w:r>
            <w:r w:rsidR="00D420CD">
              <w:rPr>
                <w:rFonts w:ascii="Arial" w:hAnsi="Arial" w:cs="Arial"/>
                <w:sz w:val="20"/>
                <w:szCs w:val="20"/>
              </w:rPr>
              <w:t>. Así m</w:t>
            </w:r>
            <w:r w:rsidR="00E542BF" w:rsidRPr="00685A18">
              <w:rPr>
                <w:rFonts w:ascii="Arial" w:eastAsia="Calibri" w:hAnsi="Arial" w:cs="Arial"/>
                <w:sz w:val="20"/>
                <w:szCs w:val="20"/>
                <w:lang w:val="es-ES_tradnl"/>
              </w:rPr>
              <w:t>ismo, se encuentra prevista en el Plan Anual de Adquisiciones de la entidad, cuya actualización se realizó e</w:t>
            </w:r>
            <w:r w:rsidR="00ED301B">
              <w:rPr>
                <w:rFonts w:ascii="Arial" w:eastAsia="Calibri" w:hAnsi="Arial" w:cs="Arial"/>
                <w:sz w:val="20"/>
                <w:szCs w:val="20"/>
                <w:lang w:val="es-ES_tradnl"/>
              </w:rPr>
              <w:t xml:space="preserve">n </w:t>
            </w:r>
            <w:r w:rsidR="00940C60">
              <w:rPr>
                <w:rFonts w:ascii="Arial" w:eastAsia="Calibri" w:hAnsi="Arial" w:cs="Arial"/>
                <w:sz w:val="20"/>
                <w:szCs w:val="20"/>
                <w:lang w:val="es-ES_tradnl"/>
              </w:rPr>
              <w:t>enero del</w:t>
            </w:r>
            <w:r w:rsidR="00730298">
              <w:rPr>
                <w:rFonts w:ascii="Arial" w:eastAsia="Calibri" w:hAnsi="Arial" w:cs="Arial"/>
                <w:sz w:val="20"/>
                <w:szCs w:val="20"/>
                <w:lang w:val="es-ES_tradnl"/>
              </w:rPr>
              <w:t xml:space="preserve"> 202</w:t>
            </w:r>
            <w:r w:rsidR="00893B8C">
              <w:rPr>
                <w:rFonts w:ascii="Arial" w:eastAsia="Calibri" w:hAnsi="Arial" w:cs="Arial"/>
                <w:sz w:val="20"/>
                <w:szCs w:val="20"/>
                <w:lang w:val="es-ES_tradnl"/>
              </w:rPr>
              <w:t>3.</w:t>
            </w:r>
          </w:p>
          <w:p w14:paraId="329D4B3F" w14:textId="77777777" w:rsidR="00A3685D" w:rsidRDefault="00A3685D" w:rsidP="00D420CD">
            <w:pPr>
              <w:jc w:val="both"/>
              <w:rPr>
                <w:rFonts w:ascii="Arial" w:eastAsia="Calibri" w:hAnsi="Arial" w:cs="Arial"/>
                <w:sz w:val="20"/>
                <w:szCs w:val="20"/>
                <w:lang w:val="es-ES_tradnl"/>
              </w:rPr>
            </w:pPr>
          </w:p>
          <w:tbl>
            <w:tblPr>
              <w:tblStyle w:val="Tablaconcuadrcula"/>
              <w:tblW w:w="0" w:type="auto"/>
              <w:jc w:val="center"/>
              <w:tblLook w:val="04A0" w:firstRow="1" w:lastRow="0" w:firstColumn="1" w:lastColumn="0" w:noHBand="0" w:noVBand="1"/>
            </w:tblPr>
            <w:tblGrid>
              <w:gridCol w:w="2013"/>
              <w:gridCol w:w="6124"/>
            </w:tblGrid>
            <w:tr w:rsidR="00BC057F" w:rsidRPr="00D20DC7" w14:paraId="65F25AE3" w14:textId="77777777" w:rsidTr="00BC057F">
              <w:trPr>
                <w:jc w:val="center"/>
              </w:trPr>
              <w:tc>
                <w:tcPr>
                  <w:tcW w:w="2013" w:type="dxa"/>
                </w:tcPr>
                <w:p w14:paraId="64B0B67A" w14:textId="77777777" w:rsidR="00BC057F" w:rsidRPr="00D20DC7" w:rsidRDefault="00BC057F" w:rsidP="00BC057F">
                  <w:pPr>
                    <w:jc w:val="both"/>
                    <w:rPr>
                      <w:rFonts w:ascii="Arial" w:hAnsi="Arial" w:cs="Arial"/>
                      <w:b/>
                      <w:sz w:val="20"/>
                      <w:szCs w:val="20"/>
                    </w:rPr>
                  </w:pPr>
                  <w:r w:rsidRPr="00D20DC7">
                    <w:rPr>
                      <w:rFonts w:ascii="Arial" w:hAnsi="Arial" w:cs="Arial"/>
                      <w:b/>
                      <w:sz w:val="20"/>
                      <w:szCs w:val="20"/>
                    </w:rPr>
                    <w:t>Objetivo General</w:t>
                  </w:r>
                </w:p>
              </w:tc>
              <w:tc>
                <w:tcPr>
                  <w:tcW w:w="6124" w:type="dxa"/>
                </w:tcPr>
                <w:p w14:paraId="6A555031" w14:textId="1B1A5AFE" w:rsidR="00BC057F" w:rsidRPr="00D20DC7" w:rsidRDefault="00BC057F" w:rsidP="00BC057F">
                  <w:pPr>
                    <w:jc w:val="both"/>
                    <w:rPr>
                      <w:rFonts w:ascii="Arial" w:hAnsi="Arial" w:cs="Arial"/>
                      <w:sz w:val="20"/>
                      <w:szCs w:val="20"/>
                    </w:rPr>
                  </w:pPr>
                  <w:r>
                    <w:rPr>
                      <w:rFonts w:ascii="Arial" w:hAnsi="Arial" w:cs="Arial"/>
                      <w:iCs/>
                      <w:sz w:val="20"/>
                      <w:szCs w:val="20"/>
                      <w:lang w:val="es-ES"/>
                    </w:rPr>
                    <w:t>P</w:t>
                  </w:r>
                  <w:r w:rsidRPr="00D20DC7">
                    <w:rPr>
                      <w:rFonts w:ascii="Arial" w:hAnsi="Arial" w:cs="Arial"/>
                      <w:iCs/>
                      <w:sz w:val="20"/>
                      <w:szCs w:val="20"/>
                      <w:lang w:val="es-ES"/>
                    </w:rPr>
                    <w:t xml:space="preserve">ropender por el bienestar de </w:t>
                  </w:r>
                  <w:r>
                    <w:rPr>
                      <w:rFonts w:ascii="Arial" w:hAnsi="Arial" w:cs="Arial"/>
                      <w:iCs/>
                      <w:sz w:val="20"/>
                      <w:szCs w:val="20"/>
                      <w:lang w:val="es-ES"/>
                    </w:rPr>
                    <w:t>lo</w:t>
                  </w:r>
                  <w:r w:rsidRPr="00D20DC7">
                    <w:rPr>
                      <w:rFonts w:ascii="Arial" w:hAnsi="Arial" w:cs="Arial"/>
                      <w:iCs/>
                      <w:sz w:val="20"/>
                      <w:szCs w:val="20"/>
                      <w:lang w:val="es-ES"/>
                    </w:rPr>
                    <w:t>s funcionarios y empleados</w:t>
                  </w:r>
                  <w:r>
                    <w:rPr>
                      <w:rFonts w:ascii="Arial" w:hAnsi="Arial" w:cs="Arial"/>
                      <w:iCs/>
                      <w:sz w:val="20"/>
                      <w:szCs w:val="20"/>
                      <w:lang w:val="es-ES"/>
                    </w:rPr>
                    <w:t xml:space="preserve"> de los Despachos y Juzgados de la Rama Judicial</w:t>
                  </w:r>
                  <w:r w:rsidRPr="00D20DC7">
                    <w:rPr>
                      <w:rFonts w:ascii="Arial" w:hAnsi="Arial" w:cs="Arial"/>
                      <w:iCs/>
                      <w:sz w:val="20"/>
                      <w:szCs w:val="20"/>
                      <w:lang w:val="es-ES"/>
                    </w:rPr>
                    <w:t xml:space="preserve">, suministrándoles los medios y las herramientas necesarias para </w:t>
                  </w:r>
                  <w:r>
                    <w:rPr>
                      <w:rFonts w:ascii="Arial" w:hAnsi="Arial" w:cs="Arial"/>
                      <w:iCs/>
                      <w:sz w:val="20"/>
                      <w:szCs w:val="20"/>
                      <w:lang w:val="es-ES"/>
                    </w:rPr>
                    <w:t>cumplir los estándares que exige la normativa en cada puesto de trabajo.</w:t>
                  </w:r>
                </w:p>
              </w:tc>
            </w:tr>
            <w:tr w:rsidR="00BC057F" w:rsidRPr="00D20DC7" w14:paraId="73C064F0" w14:textId="77777777" w:rsidTr="00BC057F">
              <w:trPr>
                <w:jc w:val="center"/>
              </w:trPr>
              <w:tc>
                <w:tcPr>
                  <w:tcW w:w="2013" w:type="dxa"/>
                </w:tcPr>
                <w:p w14:paraId="1D95B6AB" w14:textId="77777777" w:rsidR="00BC057F" w:rsidRPr="00D20DC7" w:rsidRDefault="00BC057F" w:rsidP="00BC057F">
                  <w:pPr>
                    <w:jc w:val="both"/>
                    <w:rPr>
                      <w:rFonts w:ascii="Arial" w:hAnsi="Arial" w:cs="Arial"/>
                      <w:b/>
                      <w:sz w:val="20"/>
                      <w:szCs w:val="20"/>
                    </w:rPr>
                  </w:pPr>
                  <w:r w:rsidRPr="00D20DC7">
                    <w:rPr>
                      <w:rFonts w:ascii="Arial" w:hAnsi="Arial" w:cs="Arial"/>
                      <w:b/>
                      <w:sz w:val="20"/>
                      <w:szCs w:val="20"/>
                    </w:rPr>
                    <w:t>Objetivo específico:</w:t>
                  </w:r>
                </w:p>
              </w:tc>
              <w:tc>
                <w:tcPr>
                  <w:tcW w:w="6124" w:type="dxa"/>
                </w:tcPr>
                <w:p w14:paraId="38D23823" w14:textId="16587988" w:rsidR="005F5EDD" w:rsidRPr="00B97618" w:rsidRDefault="00A3685D" w:rsidP="005F5EDD">
                  <w:pPr>
                    <w:pStyle w:val="Default"/>
                    <w:jc w:val="both"/>
                    <w:rPr>
                      <w:sz w:val="20"/>
                      <w:szCs w:val="20"/>
                    </w:rPr>
                  </w:pPr>
                  <w:r w:rsidRPr="00111C8D">
                    <w:rPr>
                      <w:bCs/>
                      <w:sz w:val="20"/>
                      <w:szCs w:val="20"/>
                    </w:rPr>
                    <w:t>Adquirir e instalar computadores para el área de Mantenimiento de la Rama Judicial en la seccional Barranquilla.</w:t>
                  </w:r>
                </w:p>
              </w:tc>
            </w:tr>
          </w:tbl>
          <w:p w14:paraId="0E516DAA" w14:textId="77777777" w:rsidR="00A3685D" w:rsidRDefault="00A3685D" w:rsidP="002A4576">
            <w:pPr>
              <w:jc w:val="both"/>
              <w:rPr>
                <w:rFonts w:ascii="Arial" w:hAnsi="Arial" w:cs="Arial"/>
              </w:rPr>
            </w:pPr>
          </w:p>
          <w:p w14:paraId="203D7C68" w14:textId="3161C1B8" w:rsidR="002A4576" w:rsidRDefault="002A4576" w:rsidP="002A4576">
            <w:pPr>
              <w:jc w:val="both"/>
              <w:rPr>
                <w:rFonts w:ascii="Arial" w:hAnsi="Arial" w:cs="Arial"/>
              </w:rPr>
            </w:pPr>
            <w:r w:rsidRPr="00C73D83">
              <w:rPr>
                <w:rFonts w:ascii="Arial" w:hAnsi="Arial" w:cs="Arial"/>
              </w:rPr>
              <w:t xml:space="preserve"> </w:t>
            </w:r>
            <w:r w:rsidR="005109BB" w:rsidRPr="005109BB">
              <w:rPr>
                <w:rFonts w:ascii="Arial" w:hAnsi="Arial" w:cs="Arial"/>
              </w:rPr>
              <w:t>Transformación Digital de la Rama Judicial</w:t>
            </w:r>
          </w:p>
          <w:p w14:paraId="5136ABFB" w14:textId="77777777" w:rsidR="005109BB" w:rsidRPr="00C73D83" w:rsidRDefault="005109BB" w:rsidP="002A4576">
            <w:pPr>
              <w:jc w:val="both"/>
              <w:rPr>
                <w:rFonts w:ascii="Arial" w:hAnsi="Arial" w:cs="Arial"/>
              </w:rPr>
            </w:pPr>
          </w:p>
          <w:p w14:paraId="71DA5EEC" w14:textId="77777777" w:rsidR="002A4576" w:rsidRPr="00C73D83" w:rsidRDefault="002A4576" w:rsidP="002A4576">
            <w:pPr>
              <w:spacing w:after="200"/>
              <w:jc w:val="both"/>
              <w:rPr>
                <w:rFonts w:ascii="Arial" w:eastAsia="Calibri" w:hAnsi="Arial" w:cs="Arial"/>
                <w:color w:val="000000"/>
              </w:rPr>
            </w:pPr>
            <w:r w:rsidRPr="00C73D83">
              <w:rPr>
                <w:rFonts w:ascii="Arial" w:eastAsia="Calibri" w:hAnsi="Arial" w:cs="Arial"/>
                <w:color w:val="000000"/>
              </w:rPr>
              <w:t>La contratación, se enmarca en el cumplimiento del Plan Sectorial de Desarrollo de la Rama Judicial 2023– 2026 y responde a Políticas de Eficiencia y Eficacia de la Nación - Consejo Superior de la Judicatura.</w:t>
            </w:r>
          </w:p>
          <w:p w14:paraId="617865F7" w14:textId="77777777" w:rsidR="002A4576" w:rsidRPr="00C73D83" w:rsidRDefault="002A4576" w:rsidP="002A4576">
            <w:pPr>
              <w:spacing w:after="200"/>
              <w:jc w:val="both"/>
              <w:rPr>
                <w:rFonts w:ascii="Arial" w:eastAsia="Calibri" w:hAnsi="Arial" w:cs="Arial"/>
                <w:b/>
                <w:color w:val="000000"/>
              </w:rPr>
            </w:pPr>
            <w:r w:rsidRPr="00C73D83">
              <w:rPr>
                <w:rFonts w:ascii="Arial" w:eastAsia="Calibri" w:hAnsi="Arial" w:cs="Arial"/>
                <w:b/>
                <w:color w:val="000000"/>
              </w:rPr>
              <w:t xml:space="preserve">Acuerdo de aprobación plan de inversiones </w:t>
            </w:r>
            <w:proofErr w:type="spellStart"/>
            <w:r w:rsidRPr="00C73D83">
              <w:rPr>
                <w:rFonts w:ascii="Arial" w:eastAsia="Calibri" w:hAnsi="Arial" w:cs="Arial"/>
                <w:b/>
                <w:color w:val="000000"/>
              </w:rPr>
              <w:t>Nº</w:t>
            </w:r>
            <w:proofErr w:type="spellEnd"/>
            <w:r w:rsidRPr="00C73D83">
              <w:rPr>
                <w:rFonts w:ascii="Arial" w:eastAsia="Calibri" w:hAnsi="Arial" w:cs="Arial"/>
                <w:b/>
                <w:color w:val="000000"/>
              </w:rPr>
              <w:t xml:space="preserve"> y fecha</w:t>
            </w:r>
          </w:p>
          <w:p w14:paraId="62EC93AA" w14:textId="77777777" w:rsidR="002A4576" w:rsidRPr="00C73D83" w:rsidRDefault="002A4576" w:rsidP="002A4576">
            <w:pPr>
              <w:spacing w:after="200"/>
              <w:jc w:val="both"/>
              <w:rPr>
                <w:rFonts w:ascii="Arial" w:eastAsia="Calibri" w:hAnsi="Arial" w:cs="Arial"/>
                <w:b/>
                <w:color w:val="000000"/>
              </w:rPr>
            </w:pPr>
            <w:r w:rsidRPr="00C73D83">
              <w:rPr>
                <w:rFonts w:ascii="Arial" w:eastAsia="Calibri" w:hAnsi="Arial" w:cs="Arial"/>
                <w:color w:val="000000"/>
              </w:rPr>
              <w:t>La Sala Administrativa del Consejo Superior de la Judicatura aprobó el Plan de Inversiones mediante</w:t>
            </w:r>
            <w:r w:rsidRPr="00C73D83">
              <w:rPr>
                <w:rFonts w:ascii="Arial" w:eastAsia="Calibri" w:hAnsi="Arial" w:cs="Arial"/>
                <w:b/>
                <w:color w:val="000000"/>
              </w:rPr>
              <w:t>:</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2554"/>
            </w:tblGrid>
            <w:tr w:rsidR="002A4576" w:rsidRPr="00C73D83" w14:paraId="4EC9623D" w14:textId="77777777" w:rsidTr="005109BB">
              <w:trPr>
                <w:trHeight w:val="335"/>
                <w:jc w:val="center"/>
              </w:trPr>
              <w:tc>
                <w:tcPr>
                  <w:tcW w:w="3471" w:type="dxa"/>
                  <w:hideMark/>
                </w:tcPr>
                <w:p w14:paraId="28E9BFEB" w14:textId="77777777" w:rsidR="002A4576" w:rsidRPr="00C73D83" w:rsidRDefault="002A4576" w:rsidP="002A4576">
                  <w:pPr>
                    <w:pStyle w:val="TableParagraph"/>
                    <w:spacing w:before="52"/>
                    <w:ind w:left="1243"/>
                  </w:pPr>
                  <w:r w:rsidRPr="00C73D83">
                    <w:t>No.</w:t>
                  </w:r>
                  <w:r w:rsidRPr="00C73D83">
                    <w:rPr>
                      <w:spacing w:val="-3"/>
                    </w:rPr>
                    <w:t xml:space="preserve"> </w:t>
                  </w:r>
                  <w:r w:rsidRPr="00C73D83">
                    <w:t>Acuerdo</w:t>
                  </w:r>
                </w:p>
              </w:tc>
              <w:tc>
                <w:tcPr>
                  <w:tcW w:w="2554" w:type="dxa"/>
                  <w:hideMark/>
                </w:tcPr>
                <w:p w14:paraId="2A746813" w14:textId="77777777" w:rsidR="002A4576" w:rsidRPr="00C73D83" w:rsidRDefault="002A4576" w:rsidP="002A4576">
                  <w:pPr>
                    <w:pStyle w:val="TableParagraph"/>
                    <w:spacing w:before="52"/>
                    <w:ind w:left="377" w:right="245"/>
                    <w:jc w:val="center"/>
                  </w:pPr>
                  <w:r w:rsidRPr="00C73D83">
                    <w:t>Fecha</w:t>
                  </w:r>
                </w:p>
              </w:tc>
            </w:tr>
            <w:tr w:rsidR="002A4576" w:rsidRPr="009D6417" w14:paraId="1280DC28" w14:textId="77777777" w:rsidTr="005109BB">
              <w:trPr>
                <w:trHeight w:val="229"/>
                <w:jc w:val="center"/>
              </w:trPr>
              <w:tc>
                <w:tcPr>
                  <w:tcW w:w="3471" w:type="dxa"/>
                  <w:hideMark/>
                </w:tcPr>
                <w:p w14:paraId="1ECAA6FD" w14:textId="77777777" w:rsidR="002A4576" w:rsidRPr="00C73D83" w:rsidRDefault="002A4576" w:rsidP="002A4576">
                  <w:pPr>
                    <w:pStyle w:val="TableParagraph"/>
                    <w:spacing w:line="210" w:lineRule="exact"/>
                    <w:ind w:left="527"/>
                  </w:pPr>
                </w:p>
                <w:p w14:paraId="5F74EFCE" w14:textId="77777777" w:rsidR="002A4576" w:rsidRPr="00C73D83" w:rsidRDefault="002A4576" w:rsidP="002A4576">
                  <w:pPr>
                    <w:pStyle w:val="TableParagraph"/>
                    <w:spacing w:line="210" w:lineRule="exact"/>
                    <w:ind w:left="527"/>
                  </w:pPr>
                  <w:r w:rsidRPr="00C73D83">
                    <w:t>ACUERDO PCSJA22-12030</w:t>
                  </w:r>
                </w:p>
              </w:tc>
              <w:tc>
                <w:tcPr>
                  <w:tcW w:w="2554" w:type="dxa"/>
                  <w:hideMark/>
                </w:tcPr>
                <w:p w14:paraId="24209F02" w14:textId="77777777" w:rsidR="002A4576" w:rsidRPr="00C73D83" w:rsidRDefault="002A4576" w:rsidP="002A4576">
                  <w:pPr>
                    <w:pStyle w:val="TableParagraph"/>
                    <w:spacing w:line="210" w:lineRule="exact"/>
                    <w:ind w:left="377" w:right="247"/>
                    <w:jc w:val="center"/>
                  </w:pPr>
                  <w:r w:rsidRPr="00C73D83">
                    <w:t>28 de diciembre de 2022</w:t>
                  </w:r>
                </w:p>
              </w:tc>
            </w:tr>
          </w:tbl>
          <w:p w14:paraId="5C260DD2" w14:textId="77777777" w:rsidR="00BC057F" w:rsidRDefault="00BC057F" w:rsidP="00D420CD">
            <w:pPr>
              <w:jc w:val="both"/>
              <w:rPr>
                <w:rFonts w:ascii="Arial" w:hAnsi="Arial" w:cs="Arial"/>
                <w:sz w:val="20"/>
                <w:szCs w:val="20"/>
              </w:rPr>
            </w:pPr>
          </w:p>
          <w:tbl>
            <w:tblPr>
              <w:tblW w:w="55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0A0" w:firstRow="1" w:lastRow="0" w:firstColumn="1" w:lastColumn="0" w:noHBand="0" w:noVBand="0"/>
            </w:tblPr>
            <w:tblGrid>
              <w:gridCol w:w="2484"/>
              <w:gridCol w:w="3374"/>
              <w:gridCol w:w="1715"/>
              <w:gridCol w:w="4290"/>
            </w:tblGrid>
            <w:tr w:rsidR="005109BB" w:rsidRPr="005109BB" w14:paraId="17583083" w14:textId="77777777" w:rsidTr="005109BB">
              <w:trPr>
                <w:trHeight w:val="20"/>
              </w:trPr>
              <w:tc>
                <w:tcPr>
                  <w:tcW w:w="1047" w:type="pct"/>
                  <w:shd w:val="clear" w:color="auto" w:fill="D9D9D9" w:themeFill="background1" w:themeFillShade="D9"/>
                  <w:vAlign w:val="center"/>
                </w:tcPr>
                <w:p w14:paraId="50CE48F2" w14:textId="77777777" w:rsidR="005109BB" w:rsidRPr="005109BB" w:rsidRDefault="005109BB" w:rsidP="005109BB">
                  <w:pPr>
                    <w:suppressAutoHyphens/>
                    <w:jc w:val="both"/>
                    <w:rPr>
                      <w:rFonts w:ascii="Arial" w:hAnsi="Arial" w:cs="Arial"/>
                      <w:bCs/>
                      <w:i/>
                      <w:color w:val="000000" w:themeColor="text1"/>
                      <w:sz w:val="20"/>
                      <w:szCs w:val="20"/>
                      <w:lang w:val="es-ES"/>
                    </w:rPr>
                  </w:pPr>
                  <w:r w:rsidRPr="005109BB">
                    <w:rPr>
                      <w:rFonts w:ascii="Arial" w:hAnsi="Arial" w:cs="Arial"/>
                      <w:bCs/>
                      <w:i/>
                      <w:color w:val="000000" w:themeColor="text1"/>
                      <w:sz w:val="20"/>
                      <w:szCs w:val="20"/>
                      <w:lang w:val="es-ES"/>
                    </w:rPr>
                    <w:t>2.1.1 Número</w:t>
                  </w:r>
                </w:p>
              </w:tc>
              <w:tc>
                <w:tcPr>
                  <w:tcW w:w="1422" w:type="pct"/>
                  <w:vAlign w:val="center"/>
                </w:tcPr>
                <w:p w14:paraId="14D14049" w14:textId="77777777" w:rsidR="005109BB" w:rsidRPr="005109BB" w:rsidRDefault="005109BB" w:rsidP="005109BB">
                  <w:pPr>
                    <w:suppressAutoHyphens/>
                    <w:jc w:val="both"/>
                    <w:rPr>
                      <w:rFonts w:ascii="Arial" w:hAnsi="Arial" w:cs="Arial"/>
                      <w:bCs/>
                      <w:i/>
                      <w:color w:val="000000" w:themeColor="text1"/>
                      <w:sz w:val="20"/>
                      <w:szCs w:val="20"/>
                      <w:lang w:val="es-ES"/>
                    </w:rPr>
                  </w:pPr>
                  <w:r w:rsidRPr="005109BB">
                    <w:rPr>
                      <w:rFonts w:ascii="Arial" w:hAnsi="Arial" w:cs="Arial"/>
                      <w:bCs/>
                      <w:i/>
                      <w:color w:val="000000" w:themeColor="text1"/>
                      <w:sz w:val="20"/>
                      <w:szCs w:val="20"/>
                      <w:lang w:val="es-ES"/>
                    </w:rPr>
                    <w:t>PCSJA23-12085</w:t>
                  </w:r>
                </w:p>
                <w:p w14:paraId="3A9BF83A" w14:textId="77777777" w:rsidR="005109BB" w:rsidRPr="005109BB" w:rsidRDefault="005109BB" w:rsidP="005109BB">
                  <w:pPr>
                    <w:suppressAutoHyphens/>
                    <w:jc w:val="both"/>
                    <w:rPr>
                      <w:rFonts w:ascii="Arial" w:hAnsi="Arial" w:cs="Arial"/>
                      <w:bCs/>
                      <w:i/>
                      <w:color w:val="000000" w:themeColor="text1"/>
                      <w:sz w:val="20"/>
                      <w:szCs w:val="20"/>
                      <w:lang w:val="es-ES"/>
                    </w:rPr>
                  </w:pPr>
                  <w:r w:rsidRPr="005109BB">
                    <w:rPr>
                      <w:rFonts w:ascii="Arial" w:hAnsi="Arial" w:cs="Arial"/>
                      <w:bCs/>
                      <w:i/>
                      <w:color w:val="000000" w:themeColor="text1"/>
                      <w:sz w:val="20"/>
                      <w:szCs w:val="20"/>
                      <w:lang w:val="es-ES"/>
                    </w:rPr>
                    <w:t xml:space="preserve">Resolución - 6455 </w:t>
                  </w:r>
                </w:p>
              </w:tc>
              <w:tc>
                <w:tcPr>
                  <w:tcW w:w="723" w:type="pct"/>
                  <w:shd w:val="clear" w:color="auto" w:fill="D9D9D9" w:themeFill="background1" w:themeFillShade="D9"/>
                  <w:vAlign w:val="center"/>
                </w:tcPr>
                <w:p w14:paraId="0C8E9C65" w14:textId="77777777" w:rsidR="005109BB" w:rsidRPr="005109BB" w:rsidRDefault="005109BB" w:rsidP="005109BB">
                  <w:pPr>
                    <w:suppressAutoHyphens/>
                    <w:jc w:val="both"/>
                    <w:rPr>
                      <w:rFonts w:ascii="Arial" w:hAnsi="Arial" w:cs="Arial"/>
                      <w:bCs/>
                      <w:i/>
                      <w:color w:val="000000" w:themeColor="text1"/>
                      <w:sz w:val="20"/>
                      <w:szCs w:val="20"/>
                      <w:lang w:val="es-ES"/>
                    </w:rPr>
                  </w:pPr>
                  <w:r w:rsidRPr="005109BB">
                    <w:rPr>
                      <w:rFonts w:ascii="Arial" w:hAnsi="Arial" w:cs="Arial"/>
                      <w:bCs/>
                      <w:i/>
                      <w:color w:val="000000" w:themeColor="text1"/>
                      <w:sz w:val="20"/>
                      <w:szCs w:val="20"/>
                      <w:lang w:val="es-ES"/>
                    </w:rPr>
                    <w:t>2.1.2 Fecha</w:t>
                  </w:r>
                </w:p>
              </w:tc>
              <w:tc>
                <w:tcPr>
                  <w:tcW w:w="1808" w:type="pct"/>
                  <w:vAlign w:val="center"/>
                </w:tcPr>
                <w:p w14:paraId="56128191" w14:textId="77777777" w:rsidR="005109BB" w:rsidRPr="005109BB" w:rsidRDefault="005109BB" w:rsidP="005109BB">
                  <w:pPr>
                    <w:suppressAutoHyphens/>
                    <w:jc w:val="both"/>
                    <w:rPr>
                      <w:rFonts w:ascii="Arial" w:hAnsi="Arial" w:cs="Arial"/>
                      <w:i/>
                      <w:color w:val="000000" w:themeColor="text1"/>
                      <w:sz w:val="20"/>
                      <w:szCs w:val="20"/>
                      <w:lang w:val="es-ES"/>
                    </w:rPr>
                  </w:pPr>
                  <w:r w:rsidRPr="005109BB">
                    <w:rPr>
                      <w:rFonts w:ascii="Arial" w:hAnsi="Arial" w:cs="Arial"/>
                      <w:i/>
                      <w:color w:val="000000" w:themeColor="text1"/>
                      <w:sz w:val="20"/>
                      <w:szCs w:val="20"/>
                      <w:lang w:val="es-ES"/>
                    </w:rPr>
                    <w:t xml:space="preserve">01 de </w:t>
                  </w:r>
                  <w:proofErr w:type="gramStart"/>
                  <w:r w:rsidRPr="005109BB">
                    <w:rPr>
                      <w:rFonts w:ascii="Arial" w:hAnsi="Arial" w:cs="Arial"/>
                      <w:i/>
                      <w:color w:val="000000" w:themeColor="text1"/>
                      <w:sz w:val="20"/>
                      <w:szCs w:val="20"/>
                      <w:lang w:val="es-ES"/>
                    </w:rPr>
                    <w:t>Agosto</w:t>
                  </w:r>
                  <w:proofErr w:type="gramEnd"/>
                  <w:r w:rsidRPr="005109BB">
                    <w:rPr>
                      <w:rFonts w:ascii="Arial" w:hAnsi="Arial" w:cs="Arial"/>
                      <w:i/>
                      <w:color w:val="000000" w:themeColor="text1"/>
                      <w:sz w:val="20"/>
                      <w:szCs w:val="20"/>
                      <w:lang w:val="es-ES"/>
                    </w:rPr>
                    <w:t xml:space="preserve"> de 2023</w:t>
                  </w:r>
                </w:p>
                <w:p w14:paraId="1F017E54" w14:textId="77777777" w:rsidR="005109BB" w:rsidRPr="005109BB" w:rsidRDefault="005109BB" w:rsidP="005109BB">
                  <w:pPr>
                    <w:suppressAutoHyphens/>
                    <w:jc w:val="both"/>
                    <w:rPr>
                      <w:rFonts w:ascii="Arial" w:hAnsi="Arial" w:cs="Arial"/>
                      <w:i/>
                      <w:color w:val="000000" w:themeColor="text1"/>
                      <w:sz w:val="20"/>
                      <w:szCs w:val="20"/>
                      <w:lang w:val="es-ES"/>
                    </w:rPr>
                  </w:pPr>
                  <w:r w:rsidRPr="005109BB">
                    <w:rPr>
                      <w:rFonts w:ascii="Arial" w:hAnsi="Arial" w:cs="Arial"/>
                      <w:i/>
                      <w:color w:val="000000" w:themeColor="text1"/>
                      <w:sz w:val="20"/>
                      <w:szCs w:val="20"/>
                      <w:lang w:val="es-ES"/>
                    </w:rPr>
                    <w:t xml:space="preserve">10 de </w:t>
                  </w:r>
                  <w:proofErr w:type="gramStart"/>
                  <w:r w:rsidRPr="005109BB">
                    <w:rPr>
                      <w:rFonts w:ascii="Arial" w:hAnsi="Arial" w:cs="Arial"/>
                      <w:i/>
                      <w:color w:val="000000" w:themeColor="text1"/>
                      <w:sz w:val="20"/>
                      <w:szCs w:val="20"/>
                      <w:lang w:val="es-ES"/>
                    </w:rPr>
                    <w:t>Agosto</w:t>
                  </w:r>
                  <w:proofErr w:type="gramEnd"/>
                  <w:r w:rsidRPr="005109BB">
                    <w:rPr>
                      <w:rFonts w:ascii="Arial" w:hAnsi="Arial" w:cs="Arial"/>
                      <w:i/>
                      <w:color w:val="000000" w:themeColor="text1"/>
                      <w:sz w:val="20"/>
                      <w:szCs w:val="20"/>
                      <w:lang w:val="es-ES"/>
                    </w:rPr>
                    <w:t xml:space="preserve"> de 2023</w:t>
                  </w:r>
                </w:p>
              </w:tc>
            </w:tr>
          </w:tbl>
          <w:p w14:paraId="03025534" w14:textId="4846B8A3" w:rsidR="005109BB" w:rsidRPr="000F083E" w:rsidRDefault="005109BB" w:rsidP="00D420CD">
            <w:pPr>
              <w:jc w:val="both"/>
              <w:rPr>
                <w:rFonts w:ascii="Arial" w:hAnsi="Arial" w:cs="Arial"/>
                <w:sz w:val="20"/>
                <w:szCs w:val="20"/>
              </w:rPr>
            </w:pPr>
          </w:p>
        </w:tc>
      </w:tr>
      <w:tr w:rsidR="00D8213C" w:rsidRPr="000F083E" w14:paraId="54F0F1B2" w14:textId="77777777" w:rsidTr="00696103">
        <w:trPr>
          <w:trHeight w:val="474"/>
        </w:trPr>
        <w:tc>
          <w:tcPr>
            <w:tcW w:w="5000" w:type="pct"/>
            <w:gridSpan w:val="4"/>
            <w:shd w:val="clear" w:color="auto" w:fill="B8CCE4" w:themeFill="accent1" w:themeFillTint="66"/>
          </w:tcPr>
          <w:p w14:paraId="7AE24152" w14:textId="77777777" w:rsidR="00D8213C" w:rsidRPr="000F083E" w:rsidRDefault="00831705" w:rsidP="00EA1A9F">
            <w:pPr>
              <w:jc w:val="both"/>
              <w:rPr>
                <w:rFonts w:ascii="Arial" w:hAnsi="Arial" w:cs="Arial"/>
                <w:sz w:val="20"/>
                <w:szCs w:val="20"/>
              </w:rPr>
            </w:pPr>
            <w:r w:rsidRPr="000F083E">
              <w:rPr>
                <w:rFonts w:ascii="Arial" w:hAnsi="Arial" w:cs="Arial"/>
                <w:b/>
                <w:sz w:val="20"/>
                <w:szCs w:val="20"/>
              </w:rPr>
              <w:t>3</w:t>
            </w:r>
            <w:r w:rsidR="00D8213C" w:rsidRPr="000F083E">
              <w:rPr>
                <w:rFonts w:ascii="Arial" w:hAnsi="Arial" w:cs="Arial"/>
                <w:b/>
                <w:sz w:val="20"/>
                <w:szCs w:val="20"/>
              </w:rPr>
              <w:t>. OBJETO A CONTRATAR, ESPECIFICACIONES, AUTORIZACIONES, PERMISOS Y LICENCIAS REQUERIDOS PARA SU EJECUCIÓN</w:t>
            </w:r>
          </w:p>
        </w:tc>
      </w:tr>
      <w:tr w:rsidR="00DE713C" w:rsidRPr="000F083E" w14:paraId="3A967539" w14:textId="77777777" w:rsidTr="00696103">
        <w:trPr>
          <w:trHeight w:val="229"/>
        </w:trPr>
        <w:tc>
          <w:tcPr>
            <w:tcW w:w="5000" w:type="pct"/>
            <w:gridSpan w:val="4"/>
            <w:shd w:val="clear" w:color="auto" w:fill="auto"/>
          </w:tcPr>
          <w:p w14:paraId="3A752197" w14:textId="08A81819" w:rsidR="00DE713C" w:rsidRPr="000F083E" w:rsidRDefault="00DE713C" w:rsidP="00EA1A9F">
            <w:pPr>
              <w:jc w:val="both"/>
              <w:rPr>
                <w:rFonts w:ascii="Arial" w:hAnsi="Arial" w:cs="Arial"/>
                <w:b/>
                <w:sz w:val="20"/>
                <w:szCs w:val="20"/>
              </w:rPr>
            </w:pPr>
            <w:r w:rsidRPr="000F083E">
              <w:rPr>
                <w:rFonts w:ascii="Arial" w:hAnsi="Arial" w:cs="Arial"/>
                <w:b/>
                <w:sz w:val="20"/>
                <w:szCs w:val="20"/>
              </w:rPr>
              <w:t>3.1. OBJETO CONTRACTUAL</w:t>
            </w:r>
          </w:p>
        </w:tc>
      </w:tr>
      <w:tr w:rsidR="00DE713C" w:rsidRPr="000F083E" w14:paraId="7D114B3D" w14:textId="77777777" w:rsidTr="00A9341F">
        <w:trPr>
          <w:trHeight w:val="773"/>
        </w:trPr>
        <w:tc>
          <w:tcPr>
            <w:tcW w:w="5000" w:type="pct"/>
            <w:gridSpan w:val="4"/>
          </w:tcPr>
          <w:p w14:paraId="1EF181C0" w14:textId="77777777" w:rsidR="00111C8D" w:rsidRDefault="00111C8D" w:rsidP="00111C8D">
            <w:pPr>
              <w:pStyle w:val="Default"/>
            </w:pPr>
          </w:p>
          <w:p w14:paraId="391BDD9B" w14:textId="5106238B" w:rsidR="00DE713C" w:rsidRPr="000F083E" w:rsidRDefault="00111C8D" w:rsidP="00111C8D">
            <w:pPr>
              <w:pStyle w:val="Default"/>
              <w:rPr>
                <w:sz w:val="20"/>
                <w:szCs w:val="20"/>
              </w:rPr>
            </w:pPr>
            <w:r w:rsidRPr="00111C8D">
              <w:rPr>
                <w:bCs/>
                <w:sz w:val="20"/>
                <w:szCs w:val="20"/>
              </w:rPr>
              <w:t>Adquirir e instalar computadores para el área de Mantenimiento de la Rama Judicial en la seccional Barranquilla.</w:t>
            </w:r>
          </w:p>
        </w:tc>
      </w:tr>
      <w:tr w:rsidR="00DE713C" w:rsidRPr="000F083E" w14:paraId="23D8E1EB" w14:textId="77777777" w:rsidTr="00894086">
        <w:trPr>
          <w:trHeight w:val="243"/>
        </w:trPr>
        <w:tc>
          <w:tcPr>
            <w:tcW w:w="5000" w:type="pct"/>
            <w:gridSpan w:val="4"/>
          </w:tcPr>
          <w:p w14:paraId="1B804B63" w14:textId="77777777" w:rsidR="00DE713C" w:rsidRPr="000F083E" w:rsidRDefault="00DE713C" w:rsidP="003A2090">
            <w:pPr>
              <w:jc w:val="both"/>
              <w:rPr>
                <w:rFonts w:ascii="Arial" w:hAnsi="Arial" w:cs="Arial"/>
                <w:sz w:val="20"/>
                <w:szCs w:val="20"/>
              </w:rPr>
            </w:pPr>
            <w:r w:rsidRPr="000F083E">
              <w:rPr>
                <w:rFonts w:ascii="Arial" w:hAnsi="Arial" w:cs="Arial"/>
                <w:b/>
                <w:sz w:val="20"/>
                <w:szCs w:val="20"/>
              </w:rPr>
              <w:t>3.1.1. Descripción del Proyecto.</w:t>
            </w:r>
          </w:p>
        </w:tc>
      </w:tr>
      <w:tr w:rsidR="00DE713C" w:rsidRPr="000F083E" w14:paraId="7F174180" w14:textId="77777777" w:rsidTr="007C1E45">
        <w:trPr>
          <w:trHeight w:val="564"/>
        </w:trPr>
        <w:tc>
          <w:tcPr>
            <w:tcW w:w="5000" w:type="pct"/>
            <w:gridSpan w:val="4"/>
          </w:tcPr>
          <w:p w14:paraId="2B1A4460" w14:textId="0AF25B91" w:rsidR="00EE7BF1" w:rsidRDefault="00111C8D" w:rsidP="00000010">
            <w:pPr>
              <w:suppressAutoHyphens/>
              <w:jc w:val="both"/>
              <w:rPr>
                <w:rFonts w:ascii="Arial" w:hAnsi="Arial" w:cs="Arial"/>
                <w:sz w:val="20"/>
                <w:szCs w:val="20"/>
              </w:rPr>
            </w:pPr>
            <w:r>
              <w:rPr>
                <w:rFonts w:ascii="Arial" w:hAnsi="Arial" w:cs="Arial"/>
                <w:sz w:val="20"/>
                <w:szCs w:val="20"/>
              </w:rPr>
              <w:t>CARACTERISTICAS TECNICAS MINIMAS:</w:t>
            </w:r>
          </w:p>
          <w:tbl>
            <w:tblPr>
              <w:tblW w:w="6820" w:type="dxa"/>
              <w:jc w:val="center"/>
              <w:tblCellMar>
                <w:left w:w="70" w:type="dxa"/>
                <w:right w:w="70" w:type="dxa"/>
              </w:tblCellMar>
              <w:tblLook w:val="04A0" w:firstRow="1" w:lastRow="0" w:firstColumn="1" w:lastColumn="0" w:noHBand="0" w:noVBand="1"/>
            </w:tblPr>
            <w:tblGrid>
              <w:gridCol w:w="2480"/>
              <w:gridCol w:w="4340"/>
            </w:tblGrid>
            <w:tr w:rsidR="00111C8D" w:rsidRPr="00111C8D" w14:paraId="54855307" w14:textId="77777777" w:rsidTr="005109BB">
              <w:trPr>
                <w:trHeight w:val="510"/>
                <w:jc w:val="center"/>
              </w:trPr>
              <w:tc>
                <w:tcPr>
                  <w:tcW w:w="24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5720BB81" w14:textId="77777777" w:rsidR="00111C8D" w:rsidRPr="00111C8D" w:rsidRDefault="00111C8D" w:rsidP="00111C8D">
                  <w:pPr>
                    <w:suppressAutoHyphens/>
                    <w:jc w:val="center"/>
                    <w:rPr>
                      <w:rFonts w:ascii="Arial" w:hAnsi="Arial" w:cs="Arial"/>
                      <w:b/>
                      <w:bCs/>
                      <w:i/>
                      <w:iCs/>
                      <w:color w:val="000000"/>
                      <w:sz w:val="18"/>
                      <w:szCs w:val="18"/>
                    </w:rPr>
                  </w:pPr>
                  <w:r w:rsidRPr="00111C8D">
                    <w:rPr>
                      <w:rFonts w:ascii="Arial" w:hAnsi="Arial" w:cs="Arial"/>
                      <w:b/>
                      <w:bCs/>
                      <w:i/>
                      <w:iCs/>
                      <w:color w:val="000000"/>
                      <w:sz w:val="18"/>
                      <w:szCs w:val="18"/>
                      <w:lang w:val="es-ES" w:eastAsia="ar-SA"/>
                    </w:rPr>
                    <w:t>Especificación esencial</w:t>
                  </w:r>
                </w:p>
              </w:tc>
              <w:tc>
                <w:tcPr>
                  <w:tcW w:w="4340" w:type="dxa"/>
                  <w:tcBorders>
                    <w:top w:val="single" w:sz="8" w:space="0" w:color="auto"/>
                    <w:left w:val="nil"/>
                    <w:bottom w:val="single" w:sz="8" w:space="0" w:color="auto"/>
                    <w:right w:val="single" w:sz="8" w:space="0" w:color="auto"/>
                  </w:tcBorders>
                  <w:shd w:val="clear" w:color="000000" w:fill="BDD6EE"/>
                  <w:vAlign w:val="center"/>
                  <w:hideMark/>
                </w:tcPr>
                <w:p w14:paraId="1DC61E4E" w14:textId="77777777" w:rsidR="00111C8D" w:rsidRPr="00111C8D" w:rsidRDefault="00111C8D" w:rsidP="00111C8D">
                  <w:pPr>
                    <w:suppressAutoHyphens/>
                    <w:jc w:val="center"/>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w:t>
                  </w:r>
                </w:p>
              </w:tc>
            </w:tr>
            <w:tr w:rsidR="00111C8D" w:rsidRPr="00111C8D" w14:paraId="4A8CB59A" w14:textId="77777777" w:rsidTr="005109BB">
              <w:trPr>
                <w:trHeight w:val="300"/>
                <w:jc w:val="center"/>
              </w:trPr>
              <w:tc>
                <w:tcPr>
                  <w:tcW w:w="2480" w:type="dxa"/>
                  <w:tcBorders>
                    <w:top w:val="single" w:sz="4" w:space="0" w:color="auto"/>
                    <w:left w:val="single" w:sz="8" w:space="0" w:color="auto"/>
                    <w:bottom w:val="single" w:sz="4" w:space="0" w:color="auto"/>
                    <w:right w:val="single" w:sz="8" w:space="0" w:color="auto"/>
                  </w:tcBorders>
                  <w:noWrap/>
                  <w:vAlign w:val="center"/>
                  <w:hideMark/>
                </w:tcPr>
                <w:p w14:paraId="19CF1254"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Línea</w:t>
                  </w:r>
                </w:p>
              </w:tc>
              <w:tc>
                <w:tcPr>
                  <w:tcW w:w="4340" w:type="dxa"/>
                  <w:tcBorders>
                    <w:top w:val="single" w:sz="4" w:space="0" w:color="auto"/>
                    <w:left w:val="nil"/>
                    <w:bottom w:val="single" w:sz="4" w:space="0" w:color="auto"/>
                    <w:right w:val="single" w:sz="8" w:space="0" w:color="auto"/>
                  </w:tcBorders>
                  <w:shd w:val="clear" w:color="000000" w:fill="FFFFFF"/>
                  <w:vAlign w:val="center"/>
                  <w:hideMark/>
                </w:tcPr>
                <w:p w14:paraId="37FEF1BD"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Corporativa</w:t>
                  </w:r>
                </w:p>
              </w:tc>
            </w:tr>
            <w:tr w:rsidR="00111C8D" w:rsidRPr="00111C8D" w14:paraId="74D8908E"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131FBBE6"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Pantalla</w:t>
                  </w:r>
                </w:p>
              </w:tc>
              <w:tc>
                <w:tcPr>
                  <w:tcW w:w="4340" w:type="dxa"/>
                  <w:tcBorders>
                    <w:top w:val="nil"/>
                    <w:left w:val="nil"/>
                    <w:bottom w:val="single" w:sz="4" w:space="0" w:color="auto"/>
                    <w:right w:val="single" w:sz="8" w:space="0" w:color="auto"/>
                  </w:tcBorders>
                  <w:shd w:val="clear" w:color="000000" w:fill="FFFFFF"/>
                  <w:vAlign w:val="center"/>
                  <w:hideMark/>
                </w:tcPr>
                <w:p w14:paraId="4378300F"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15“full HD, retroiluminada y antirreflejo</w:t>
                  </w:r>
                </w:p>
              </w:tc>
            </w:tr>
            <w:tr w:rsidR="00111C8D" w:rsidRPr="00111C8D" w14:paraId="2994FD96" w14:textId="77777777" w:rsidTr="005109BB">
              <w:trPr>
                <w:trHeight w:val="1177"/>
                <w:jc w:val="center"/>
              </w:trPr>
              <w:tc>
                <w:tcPr>
                  <w:tcW w:w="2480" w:type="dxa"/>
                  <w:tcBorders>
                    <w:top w:val="nil"/>
                    <w:left w:val="single" w:sz="8" w:space="0" w:color="auto"/>
                    <w:bottom w:val="single" w:sz="4" w:space="0" w:color="auto"/>
                    <w:right w:val="single" w:sz="8" w:space="0" w:color="auto"/>
                  </w:tcBorders>
                  <w:noWrap/>
                  <w:vAlign w:val="center"/>
                  <w:hideMark/>
                </w:tcPr>
                <w:p w14:paraId="332E8103"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Tipo de computadores:</w:t>
                  </w:r>
                </w:p>
              </w:tc>
              <w:tc>
                <w:tcPr>
                  <w:tcW w:w="4340" w:type="dxa"/>
                  <w:tcBorders>
                    <w:top w:val="nil"/>
                    <w:left w:val="nil"/>
                    <w:bottom w:val="single" w:sz="4" w:space="0" w:color="auto"/>
                    <w:right w:val="single" w:sz="8" w:space="0" w:color="auto"/>
                  </w:tcBorders>
                  <w:shd w:val="clear" w:color="000000" w:fill="FFFFFF"/>
                  <w:vAlign w:val="center"/>
                  <w:hideMark/>
                </w:tcPr>
                <w:p w14:paraId="1A181973" w14:textId="3E373582" w:rsidR="00111C8D" w:rsidRPr="00111C8D" w:rsidRDefault="0075526C" w:rsidP="00111C8D">
                  <w:pPr>
                    <w:suppressAutoHyphens/>
                    <w:rPr>
                      <w:rFonts w:ascii="Arial" w:hAnsi="Arial" w:cs="Arial"/>
                      <w:i/>
                      <w:iCs/>
                      <w:sz w:val="18"/>
                      <w:szCs w:val="18"/>
                      <w:lang w:val="es-ES" w:eastAsia="ar-SA"/>
                    </w:rPr>
                  </w:pPr>
                  <w:r w:rsidRPr="00111C8D">
                    <w:rPr>
                      <w:rFonts w:ascii="Arial" w:hAnsi="Arial" w:cs="Arial"/>
                      <w:i/>
                      <w:iCs/>
                      <w:sz w:val="18"/>
                      <w:szCs w:val="18"/>
                      <w:lang w:val="es-ES" w:eastAsia="ar-SA"/>
                    </w:rPr>
                    <w:t>Computadores portátiles</w:t>
                  </w:r>
                  <w:r w:rsidR="00111C8D" w:rsidRPr="00111C8D">
                    <w:rPr>
                      <w:rFonts w:ascii="Arial" w:hAnsi="Arial" w:cs="Arial"/>
                      <w:i/>
                      <w:iCs/>
                      <w:sz w:val="18"/>
                      <w:szCs w:val="18"/>
                      <w:lang w:val="es-ES" w:eastAsia="ar-SA"/>
                    </w:rPr>
                    <w:t xml:space="preserve"> 15’’ con SSD </w:t>
                  </w:r>
                  <w:r w:rsidR="00111C8D">
                    <w:rPr>
                      <w:rFonts w:ascii="Arial" w:hAnsi="Arial" w:cs="Arial"/>
                      <w:i/>
                      <w:iCs/>
                      <w:sz w:val="18"/>
                      <w:szCs w:val="18"/>
                      <w:lang w:val="es-ES" w:eastAsia="ar-SA"/>
                    </w:rPr>
                    <w:t>512 GB</w:t>
                  </w:r>
                  <w:r w:rsidR="00111C8D" w:rsidRPr="00111C8D">
                    <w:rPr>
                      <w:rFonts w:ascii="Arial" w:hAnsi="Arial" w:cs="Arial"/>
                      <w:i/>
                      <w:iCs/>
                      <w:sz w:val="18"/>
                      <w:szCs w:val="18"/>
                      <w:lang w:val="es-ES" w:eastAsia="ar-SA"/>
                    </w:rPr>
                    <w:t xml:space="preserve">. 16GB RAM DDR4 3200Mhz productividad avanzada 5000 </w:t>
                  </w:r>
                  <w:proofErr w:type="spellStart"/>
                  <w:r w:rsidR="00111C8D" w:rsidRPr="00111C8D">
                    <w:rPr>
                      <w:rFonts w:ascii="Arial" w:hAnsi="Arial" w:cs="Arial"/>
                      <w:i/>
                      <w:iCs/>
                      <w:sz w:val="18"/>
                      <w:szCs w:val="18"/>
                      <w:lang w:val="es-ES" w:eastAsia="ar-SA"/>
                    </w:rPr>
                    <w:t>PCMark</w:t>
                  </w:r>
                  <w:proofErr w:type="spellEnd"/>
                  <w:r w:rsidR="00111C8D" w:rsidRPr="00111C8D">
                    <w:rPr>
                      <w:rFonts w:ascii="Arial" w:hAnsi="Arial" w:cs="Arial"/>
                      <w:i/>
                      <w:iCs/>
                      <w:sz w:val="18"/>
                      <w:szCs w:val="18"/>
                      <w:lang w:val="es-ES" w:eastAsia="ar-SA"/>
                    </w:rPr>
                    <w:t xml:space="preserve"> 10 full HD, retroiluminada y </w:t>
                  </w:r>
                  <w:proofErr w:type="spellStart"/>
                  <w:r w:rsidR="00111C8D" w:rsidRPr="00111C8D">
                    <w:rPr>
                      <w:rFonts w:ascii="Arial" w:hAnsi="Arial" w:cs="Arial"/>
                      <w:i/>
                      <w:iCs/>
                      <w:sz w:val="18"/>
                      <w:szCs w:val="18"/>
                      <w:lang w:val="es-ES" w:eastAsia="ar-SA"/>
                    </w:rPr>
                    <w:t>antireflejo</w:t>
                  </w:r>
                  <w:proofErr w:type="spellEnd"/>
                  <w:r w:rsidR="00111C8D" w:rsidRPr="00111C8D">
                    <w:rPr>
                      <w:rFonts w:ascii="Arial" w:hAnsi="Arial" w:cs="Arial"/>
                      <w:i/>
                      <w:iCs/>
                      <w:sz w:val="18"/>
                      <w:szCs w:val="18"/>
                      <w:lang w:val="es-ES" w:eastAsia="ar-SA"/>
                    </w:rPr>
                    <w:t xml:space="preserve">, con administración y gestión remota. </w:t>
                  </w:r>
                </w:p>
              </w:tc>
            </w:tr>
            <w:tr w:rsidR="00111C8D" w:rsidRPr="00111C8D" w14:paraId="797436D2" w14:textId="77777777" w:rsidTr="005109BB">
              <w:trPr>
                <w:trHeight w:val="843"/>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53D12ECB"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Tipo de almacenamiento interno</w:t>
                  </w:r>
                </w:p>
              </w:tc>
              <w:tc>
                <w:tcPr>
                  <w:tcW w:w="4340" w:type="dxa"/>
                  <w:tcBorders>
                    <w:top w:val="nil"/>
                    <w:left w:val="nil"/>
                    <w:bottom w:val="single" w:sz="4" w:space="0" w:color="auto"/>
                    <w:right w:val="single" w:sz="8" w:space="0" w:color="auto"/>
                  </w:tcBorders>
                  <w:shd w:val="clear" w:color="000000" w:fill="FFFFFF"/>
                  <w:vAlign w:val="center"/>
                  <w:hideMark/>
                </w:tcPr>
                <w:p w14:paraId="1AFD10A4" w14:textId="77777777" w:rsidR="00111C8D" w:rsidRPr="00111C8D" w:rsidRDefault="00111C8D" w:rsidP="00111C8D">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SDD M.2 </w:t>
                  </w:r>
                  <w:proofErr w:type="spellStart"/>
                  <w:r w:rsidRPr="00111C8D">
                    <w:rPr>
                      <w:rFonts w:ascii="Arial" w:hAnsi="Arial" w:cs="Arial"/>
                      <w:i/>
                      <w:iCs/>
                      <w:sz w:val="18"/>
                      <w:szCs w:val="18"/>
                      <w:lang w:val="es-ES" w:eastAsia="ar-SA"/>
                    </w:rPr>
                    <w:t>NVMe</w:t>
                  </w:r>
                  <w:proofErr w:type="spellEnd"/>
                  <w:r w:rsidRPr="00111C8D">
                    <w:rPr>
                      <w:rFonts w:ascii="Arial" w:hAnsi="Arial" w:cs="Arial"/>
                      <w:i/>
                      <w:iCs/>
                      <w:sz w:val="18"/>
                      <w:szCs w:val="18"/>
                      <w:lang w:val="es-ES" w:eastAsia="ar-SA"/>
                    </w:rPr>
                    <w:t xml:space="preserve"> PCIe GEN4X4</w:t>
                  </w:r>
                </w:p>
              </w:tc>
            </w:tr>
            <w:tr w:rsidR="00111C8D" w:rsidRPr="00111C8D" w14:paraId="066934AB" w14:textId="77777777" w:rsidTr="005109BB">
              <w:trPr>
                <w:trHeight w:val="54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7A680EEC"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lastRenderedPageBreak/>
                    <w:t>Capacidad de Almacenamiento</w:t>
                  </w:r>
                </w:p>
              </w:tc>
              <w:tc>
                <w:tcPr>
                  <w:tcW w:w="4340" w:type="dxa"/>
                  <w:tcBorders>
                    <w:top w:val="nil"/>
                    <w:left w:val="nil"/>
                    <w:bottom w:val="single" w:sz="4" w:space="0" w:color="auto"/>
                    <w:right w:val="single" w:sz="8" w:space="0" w:color="auto"/>
                  </w:tcBorders>
                  <w:shd w:val="clear" w:color="000000" w:fill="FFFFFF"/>
                  <w:vAlign w:val="center"/>
                  <w:hideMark/>
                </w:tcPr>
                <w:p w14:paraId="05115EA9" w14:textId="2F6A6D79"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Mínimo: Disco de Estado Sólido </w:t>
                  </w:r>
                  <w:r w:rsidR="0075526C">
                    <w:rPr>
                      <w:rFonts w:ascii="Arial" w:hAnsi="Arial" w:cs="Arial"/>
                      <w:i/>
                      <w:iCs/>
                      <w:color w:val="000000"/>
                      <w:sz w:val="18"/>
                      <w:szCs w:val="18"/>
                      <w:lang w:val="es-ES" w:eastAsia="ar-SA"/>
                    </w:rPr>
                    <w:t>512 GB</w:t>
                  </w:r>
                  <w:r w:rsidRPr="00111C8D">
                    <w:rPr>
                      <w:rFonts w:ascii="Arial" w:hAnsi="Arial" w:cs="Arial"/>
                      <w:i/>
                      <w:iCs/>
                      <w:color w:val="000000"/>
                      <w:sz w:val="18"/>
                      <w:szCs w:val="18"/>
                      <w:lang w:val="es-ES" w:eastAsia="ar-SA"/>
                    </w:rPr>
                    <w:t xml:space="preserve"> PCIe, Instalado de Fábrica. Que sea Cubierto por la Garantía que ofrece el Fabricante.</w:t>
                  </w:r>
                </w:p>
              </w:tc>
            </w:tr>
            <w:tr w:rsidR="00111C8D" w:rsidRPr="00111C8D" w14:paraId="6816E90B"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0D162B3D"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Memoria RAM</w:t>
                  </w:r>
                </w:p>
              </w:tc>
              <w:tc>
                <w:tcPr>
                  <w:tcW w:w="4340" w:type="dxa"/>
                  <w:tcBorders>
                    <w:top w:val="nil"/>
                    <w:left w:val="nil"/>
                    <w:bottom w:val="single" w:sz="4" w:space="0" w:color="auto"/>
                    <w:right w:val="single" w:sz="8" w:space="0" w:color="auto"/>
                  </w:tcBorders>
                  <w:shd w:val="clear" w:color="000000" w:fill="FFFFFF"/>
                  <w:vAlign w:val="center"/>
                  <w:hideMark/>
                </w:tcPr>
                <w:p w14:paraId="26856F98"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Mínima instalada 16 GB DDR4 3200 MHz con capacidad para ampliación a 32 GB, Memorias Instaladas De Fábrica. Que sean Cubiertas por la Garantía del Fabricante.</w:t>
                  </w:r>
                </w:p>
              </w:tc>
            </w:tr>
            <w:tr w:rsidR="00111C8D" w:rsidRPr="00111C8D" w14:paraId="44D6AA16"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51F72822"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Procesador</w:t>
                  </w:r>
                </w:p>
              </w:tc>
              <w:tc>
                <w:tcPr>
                  <w:tcW w:w="4340" w:type="dxa"/>
                  <w:tcBorders>
                    <w:top w:val="nil"/>
                    <w:left w:val="nil"/>
                    <w:bottom w:val="single" w:sz="4" w:space="0" w:color="auto"/>
                    <w:right w:val="single" w:sz="8" w:space="0" w:color="auto"/>
                  </w:tcBorders>
                  <w:shd w:val="clear" w:color="000000" w:fill="FFFFFF"/>
                  <w:vAlign w:val="center"/>
                  <w:hideMark/>
                </w:tcPr>
                <w:p w14:paraId="11CB71BA" w14:textId="166E4112" w:rsidR="00111C8D" w:rsidRPr="00111C8D" w:rsidRDefault="0075526C" w:rsidP="00111C8D">
                  <w:pPr>
                    <w:suppressAutoHyphens/>
                    <w:rPr>
                      <w:rFonts w:ascii="Arial" w:hAnsi="Arial" w:cs="Arial"/>
                      <w:i/>
                      <w:iCs/>
                      <w:color w:val="000000"/>
                      <w:sz w:val="18"/>
                      <w:szCs w:val="18"/>
                      <w:lang w:val="es-ES" w:eastAsia="ar-SA"/>
                    </w:rPr>
                  </w:pPr>
                  <w:r w:rsidRPr="0075526C">
                    <w:rPr>
                      <w:rFonts w:ascii="Arial" w:hAnsi="Arial" w:cs="Arial"/>
                      <w:i/>
                      <w:iCs/>
                      <w:color w:val="000000"/>
                      <w:sz w:val="18"/>
                      <w:szCs w:val="18"/>
                      <w:lang w:val="es-ES" w:eastAsia="ar-SA"/>
                    </w:rPr>
                    <w:t>frecuencia base de 1,7 GHz, hasta 4,7 GHz con tecnología, 12 MB de caché L3, 10 núcleos, 12 subprocesos</w:t>
                  </w:r>
                </w:p>
              </w:tc>
            </w:tr>
            <w:tr w:rsidR="00111C8D" w:rsidRPr="00111C8D" w14:paraId="0F3DB715" w14:textId="77777777" w:rsidTr="005109BB">
              <w:trPr>
                <w:trHeight w:val="810"/>
                <w:jc w:val="center"/>
              </w:trPr>
              <w:tc>
                <w:tcPr>
                  <w:tcW w:w="2480" w:type="dxa"/>
                  <w:tcBorders>
                    <w:top w:val="nil"/>
                    <w:left w:val="single" w:sz="8" w:space="0" w:color="auto"/>
                    <w:bottom w:val="single" w:sz="4" w:space="0" w:color="auto"/>
                    <w:right w:val="single" w:sz="8" w:space="0" w:color="auto"/>
                  </w:tcBorders>
                  <w:noWrap/>
                  <w:vAlign w:val="center"/>
                  <w:hideMark/>
                </w:tcPr>
                <w:p w14:paraId="7A47ECB3"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Sistema Operativo</w:t>
                  </w:r>
                </w:p>
              </w:tc>
              <w:tc>
                <w:tcPr>
                  <w:tcW w:w="4340" w:type="dxa"/>
                  <w:tcBorders>
                    <w:top w:val="nil"/>
                    <w:left w:val="nil"/>
                    <w:bottom w:val="single" w:sz="4" w:space="0" w:color="auto"/>
                    <w:right w:val="single" w:sz="8" w:space="0" w:color="auto"/>
                  </w:tcBorders>
                  <w:shd w:val="clear" w:color="000000" w:fill="FFFFFF"/>
                  <w:vAlign w:val="center"/>
                  <w:hideMark/>
                </w:tcPr>
                <w:p w14:paraId="34507FA5"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Windows 10 Pro 64 bits - OEM preinstalado + Windows 11 Pro licenciado O Windows 11 Pro OEM preinstalado y licenciado</w:t>
                  </w:r>
                </w:p>
              </w:tc>
            </w:tr>
            <w:tr w:rsidR="00111C8D" w:rsidRPr="00111C8D" w14:paraId="440217B2" w14:textId="77777777" w:rsidTr="005109BB">
              <w:trPr>
                <w:trHeight w:val="810"/>
                <w:jc w:val="center"/>
              </w:trPr>
              <w:tc>
                <w:tcPr>
                  <w:tcW w:w="2480" w:type="dxa"/>
                  <w:tcBorders>
                    <w:top w:val="nil"/>
                    <w:left w:val="single" w:sz="8" w:space="0" w:color="auto"/>
                    <w:bottom w:val="single" w:sz="4" w:space="0" w:color="auto"/>
                    <w:right w:val="single" w:sz="8" w:space="0" w:color="auto"/>
                  </w:tcBorders>
                  <w:noWrap/>
                  <w:vAlign w:val="center"/>
                  <w:hideMark/>
                </w:tcPr>
                <w:p w14:paraId="2BEFE158"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Conectividad LAN</w:t>
                  </w:r>
                </w:p>
              </w:tc>
              <w:tc>
                <w:tcPr>
                  <w:tcW w:w="4340" w:type="dxa"/>
                  <w:tcBorders>
                    <w:top w:val="nil"/>
                    <w:left w:val="nil"/>
                    <w:bottom w:val="single" w:sz="4" w:space="0" w:color="auto"/>
                    <w:right w:val="single" w:sz="8" w:space="0" w:color="auto"/>
                  </w:tcBorders>
                  <w:shd w:val="clear" w:color="000000" w:fill="FFFFFF"/>
                  <w:vAlign w:val="center"/>
                  <w:hideMark/>
                </w:tcPr>
                <w:p w14:paraId="2CA4A95D"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Puerto de red Ethernet RJ45 (estándar o mini o con adaptador USB + puerto USB adicional) 10/100/1000</w:t>
                  </w:r>
                </w:p>
              </w:tc>
            </w:tr>
            <w:tr w:rsidR="00111C8D" w:rsidRPr="00111C8D" w14:paraId="5B4D46AD"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1F53E95F"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Conectividad inalámbrica</w:t>
                  </w:r>
                </w:p>
              </w:tc>
              <w:tc>
                <w:tcPr>
                  <w:tcW w:w="4340" w:type="dxa"/>
                  <w:tcBorders>
                    <w:top w:val="nil"/>
                    <w:left w:val="nil"/>
                    <w:bottom w:val="single" w:sz="4" w:space="0" w:color="auto"/>
                    <w:right w:val="single" w:sz="8" w:space="0" w:color="auto"/>
                  </w:tcBorders>
                  <w:shd w:val="clear" w:color="000000" w:fill="FFFFFF"/>
                  <w:vAlign w:val="center"/>
                  <w:hideMark/>
                </w:tcPr>
                <w:p w14:paraId="712CB5F4" w14:textId="77777777" w:rsidR="00111C8D" w:rsidRPr="00111C8D" w:rsidRDefault="00111C8D" w:rsidP="00111C8D">
                  <w:pPr>
                    <w:suppressAutoHyphens/>
                    <w:rPr>
                      <w:rFonts w:ascii="Arial" w:hAnsi="Arial" w:cs="Arial"/>
                      <w:i/>
                      <w:iCs/>
                      <w:color w:val="000000"/>
                      <w:sz w:val="18"/>
                      <w:szCs w:val="18"/>
                      <w:lang w:val="en-US" w:eastAsia="ar-SA"/>
                    </w:rPr>
                  </w:pPr>
                  <w:proofErr w:type="spellStart"/>
                  <w:r w:rsidRPr="00111C8D">
                    <w:rPr>
                      <w:rFonts w:ascii="Arial" w:hAnsi="Arial" w:cs="Arial"/>
                      <w:i/>
                      <w:iCs/>
                      <w:color w:val="000000"/>
                      <w:sz w:val="18"/>
                      <w:szCs w:val="18"/>
                      <w:lang w:val="en-US" w:eastAsia="ar-SA"/>
                    </w:rPr>
                    <w:t>WiFi</w:t>
                  </w:r>
                  <w:proofErr w:type="spellEnd"/>
                  <w:r w:rsidRPr="00111C8D">
                    <w:rPr>
                      <w:rFonts w:ascii="Arial" w:hAnsi="Arial" w:cs="Arial"/>
                      <w:i/>
                      <w:iCs/>
                      <w:color w:val="000000"/>
                      <w:sz w:val="18"/>
                      <w:szCs w:val="18"/>
                      <w:lang w:val="en-US" w:eastAsia="ar-SA"/>
                    </w:rPr>
                    <w:t xml:space="preserve"> 802.11 ax 2x2 </w:t>
                  </w:r>
                  <w:r w:rsidRPr="00111C8D">
                    <w:rPr>
                      <w:rFonts w:ascii="Arial" w:hAnsi="Arial" w:cs="Arial"/>
                      <w:i/>
                      <w:iCs/>
                      <w:color w:val="000000"/>
                      <w:sz w:val="18"/>
                      <w:szCs w:val="18"/>
                      <w:lang w:val="en-US" w:eastAsia="ar-SA"/>
                    </w:rPr>
                    <w:br/>
                    <w:t>Bluetooth 5.x</w:t>
                  </w:r>
                </w:p>
              </w:tc>
            </w:tr>
            <w:tr w:rsidR="00111C8D" w:rsidRPr="00111C8D" w14:paraId="0CCABA64" w14:textId="77777777" w:rsidTr="005109BB">
              <w:trPr>
                <w:trHeight w:val="510"/>
                <w:jc w:val="center"/>
              </w:trPr>
              <w:tc>
                <w:tcPr>
                  <w:tcW w:w="2480" w:type="dxa"/>
                  <w:tcBorders>
                    <w:top w:val="nil"/>
                    <w:left w:val="single" w:sz="8" w:space="0" w:color="auto"/>
                    <w:bottom w:val="single" w:sz="4" w:space="0" w:color="auto"/>
                    <w:right w:val="single" w:sz="8" w:space="0" w:color="auto"/>
                  </w:tcBorders>
                  <w:noWrap/>
                  <w:vAlign w:val="center"/>
                  <w:hideMark/>
                </w:tcPr>
                <w:p w14:paraId="3E9D508F"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USB</w:t>
                  </w:r>
                </w:p>
              </w:tc>
              <w:tc>
                <w:tcPr>
                  <w:tcW w:w="4340" w:type="dxa"/>
                  <w:tcBorders>
                    <w:top w:val="nil"/>
                    <w:left w:val="nil"/>
                    <w:bottom w:val="single" w:sz="4" w:space="0" w:color="auto"/>
                    <w:right w:val="single" w:sz="8" w:space="0" w:color="auto"/>
                  </w:tcBorders>
                  <w:shd w:val="clear" w:color="000000" w:fill="FFFFFF"/>
                  <w:vAlign w:val="center"/>
                  <w:hideMark/>
                </w:tcPr>
                <w:p w14:paraId="34286580"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3 puertos USB 3.0, al menos 2 de ellos SS (</w:t>
                  </w:r>
                  <w:proofErr w:type="spellStart"/>
                  <w:r w:rsidRPr="00111C8D">
                    <w:rPr>
                      <w:rFonts w:ascii="Arial" w:hAnsi="Arial" w:cs="Arial"/>
                      <w:i/>
                      <w:iCs/>
                      <w:color w:val="000000"/>
                      <w:sz w:val="18"/>
                      <w:szCs w:val="18"/>
                      <w:lang w:val="es-ES" w:eastAsia="ar-SA"/>
                    </w:rPr>
                    <w:t>Superspeed</w:t>
                  </w:r>
                  <w:proofErr w:type="spellEnd"/>
                  <w:r w:rsidRPr="00111C8D">
                    <w:rPr>
                      <w:rFonts w:ascii="Arial" w:hAnsi="Arial" w:cs="Arial"/>
                      <w:i/>
                      <w:iCs/>
                      <w:color w:val="000000"/>
                      <w:sz w:val="18"/>
                      <w:szCs w:val="18"/>
                      <w:lang w:val="es-ES" w:eastAsia="ar-SA"/>
                    </w:rPr>
                    <w:t>)</w:t>
                  </w:r>
                </w:p>
              </w:tc>
            </w:tr>
            <w:tr w:rsidR="00111C8D" w:rsidRPr="00111C8D" w14:paraId="7BD03522"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585D4E77"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de video</w:t>
                  </w:r>
                </w:p>
              </w:tc>
              <w:tc>
                <w:tcPr>
                  <w:tcW w:w="4340" w:type="dxa"/>
                  <w:tcBorders>
                    <w:top w:val="nil"/>
                    <w:left w:val="nil"/>
                    <w:bottom w:val="single" w:sz="4" w:space="0" w:color="auto"/>
                    <w:right w:val="single" w:sz="8" w:space="0" w:color="auto"/>
                  </w:tcBorders>
                  <w:shd w:val="clear" w:color="000000" w:fill="FFFFFF"/>
                  <w:vAlign w:val="center"/>
                  <w:hideMark/>
                </w:tcPr>
                <w:p w14:paraId="0E9817A8"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1 puerto de video HDMI </w:t>
                  </w:r>
                </w:p>
              </w:tc>
            </w:tr>
            <w:tr w:rsidR="00111C8D" w:rsidRPr="00111C8D" w14:paraId="7B8E33D9"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7D9366E3"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Características IPv6</w:t>
                  </w:r>
                </w:p>
              </w:tc>
              <w:tc>
                <w:tcPr>
                  <w:tcW w:w="4340" w:type="dxa"/>
                  <w:tcBorders>
                    <w:top w:val="nil"/>
                    <w:left w:val="nil"/>
                    <w:bottom w:val="single" w:sz="4" w:space="0" w:color="auto"/>
                    <w:right w:val="single" w:sz="8" w:space="0" w:color="auto"/>
                  </w:tcBorders>
                  <w:shd w:val="clear" w:color="000000" w:fill="FFFFFF"/>
                  <w:vAlign w:val="center"/>
                  <w:hideMark/>
                </w:tcPr>
                <w:p w14:paraId="1ADF1751"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Compatibilidad dual IPv6 / IPv4</w:t>
                  </w:r>
                </w:p>
              </w:tc>
            </w:tr>
            <w:tr w:rsidR="00111C8D" w:rsidRPr="00111C8D" w14:paraId="2215D263" w14:textId="77777777" w:rsidTr="005109BB">
              <w:trPr>
                <w:trHeight w:val="81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1967F93B"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Características para videoconferencia</w:t>
                  </w:r>
                </w:p>
              </w:tc>
              <w:tc>
                <w:tcPr>
                  <w:tcW w:w="4340" w:type="dxa"/>
                  <w:tcBorders>
                    <w:top w:val="nil"/>
                    <w:left w:val="nil"/>
                    <w:bottom w:val="single" w:sz="4" w:space="0" w:color="auto"/>
                    <w:right w:val="single" w:sz="8" w:space="0" w:color="auto"/>
                  </w:tcBorders>
                  <w:shd w:val="clear" w:color="000000" w:fill="FFFFFF"/>
                  <w:vAlign w:val="center"/>
                  <w:hideMark/>
                </w:tcPr>
                <w:p w14:paraId="44D10767"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Cámara web Integrada HD + Micrófono Integrado + tarjeta de sonido y parlante(s) interno(s) activos. Sonido estéreo. </w:t>
                  </w:r>
                </w:p>
              </w:tc>
            </w:tr>
            <w:tr w:rsidR="00111C8D" w:rsidRPr="00111C8D" w14:paraId="46601BD2"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3A34DCE2"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para audio</w:t>
                  </w:r>
                </w:p>
              </w:tc>
              <w:tc>
                <w:tcPr>
                  <w:tcW w:w="4340" w:type="dxa"/>
                  <w:tcBorders>
                    <w:top w:val="nil"/>
                    <w:left w:val="nil"/>
                    <w:bottom w:val="single" w:sz="4" w:space="0" w:color="auto"/>
                    <w:right w:val="single" w:sz="8" w:space="0" w:color="auto"/>
                  </w:tcBorders>
                  <w:shd w:val="clear" w:color="000000" w:fill="FFFFFF"/>
                  <w:vAlign w:val="center"/>
                  <w:hideMark/>
                </w:tcPr>
                <w:p w14:paraId="190A976E"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Puerto de auriculares y de micrófono de 3.5 mm en combo</w:t>
                  </w:r>
                </w:p>
              </w:tc>
            </w:tr>
            <w:tr w:rsidR="00111C8D" w:rsidRPr="00111C8D" w14:paraId="15AD9EE8"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70181E5A" w14:textId="77777777" w:rsidR="00111C8D" w:rsidRPr="00111C8D" w:rsidRDefault="00111C8D" w:rsidP="00111C8D">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Dispositivos de entrada</w:t>
                  </w:r>
                </w:p>
              </w:tc>
              <w:tc>
                <w:tcPr>
                  <w:tcW w:w="4340" w:type="dxa"/>
                  <w:tcBorders>
                    <w:top w:val="nil"/>
                    <w:left w:val="nil"/>
                    <w:bottom w:val="single" w:sz="4" w:space="0" w:color="auto"/>
                    <w:right w:val="single" w:sz="8" w:space="0" w:color="auto"/>
                  </w:tcBorders>
                  <w:shd w:val="clear" w:color="000000" w:fill="FFFFFF"/>
                  <w:vAlign w:val="center"/>
                  <w:hideMark/>
                </w:tcPr>
                <w:p w14:paraId="68516571" w14:textId="77777777" w:rsidR="00111C8D" w:rsidRPr="00111C8D" w:rsidRDefault="00111C8D" w:rsidP="00111C8D">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Teclado en español y dispositivo señalador de dos clics incorporados.</w:t>
                  </w:r>
                </w:p>
              </w:tc>
            </w:tr>
            <w:tr w:rsidR="00111C8D" w:rsidRPr="00111C8D" w14:paraId="424BFBD0" w14:textId="77777777" w:rsidTr="005109BB">
              <w:trPr>
                <w:trHeight w:val="108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77DF261F" w14:textId="77777777" w:rsidR="00111C8D" w:rsidRPr="00111C8D" w:rsidRDefault="00111C8D" w:rsidP="00111C8D">
                  <w:pPr>
                    <w:suppressAutoHyphens/>
                    <w:rPr>
                      <w:rFonts w:ascii="Arial" w:hAnsi="Arial" w:cs="Arial"/>
                      <w:b/>
                      <w:bCs/>
                      <w:i/>
                      <w:iCs/>
                      <w:sz w:val="18"/>
                      <w:szCs w:val="18"/>
                      <w:lang w:val="es-ES" w:eastAsia="ar-SA"/>
                    </w:rPr>
                  </w:pPr>
                  <w:r w:rsidRPr="00111C8D">
                    <w:rPr>
                      <w:rFonts w:ascii="Arial" w:hAnsi="Arial" w:cs="Arial"/>
                      <w:b/>
                      <w:bCs/>
                      <w:i/>
                      <w:iCs/>
                      <w:sz w:val="18"/>
                      <w:szCs w:val="18"/>
                      <w:lang w:val="es-ES" w:eastAsia="ar-SA"/>
                    </w:rPr>
                    <w:t>Certificación energética</w:t>
                  </w:r>
                </w:p>
              </w:tc>
              <w:tc>
                <w:tcPr>
                  <w:tcW w:w="4340" w:type="dxa"/>
                  <w:tcBorders>
                    <w:top w:val="nil"/>
                    <w:left w:val="nil"/>
                    <w:bottom w:val="single" w:sz="4" w:space="0" w:color="auto"/>
                    <w:right w:val="single" w:sz="8" w:space="0" w:color="auto"/>
                  </w:tcBorders>
                  <w:shd w:val="clear" w:color="000000" w:fill="FFFFFF"/>
                  <w:vAlign w:val="center"/>
                  <w:hideMark/>
                </w:tcPr>
                <w:p w14:paraId="46C658DD" w14:textId="77777777" w:rsidR="00111C8D" w:rsidRPr="00111C8D" w:rsidRDefault="00111C8D" w:rsidP="00111C8D">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COMPONENTE-AIO-169 Energy </w:t>
                  </w:r>
                  <w:proofErr w:type="spellStart"/>
                  <w:r w:rsidRPr="00111C8D">
                    <w:rPr>
                      <w:rFonts w:ascii="Arial" w:hAnsi="Arial" w:cs="Arial"/>
                      <w:i/>
                      <w:iCs/>
                      <w:sz w:val="18"/>
                      <w:szCs w:val="18"/>
                      <w:lang w:val="es-ES" w:eastAsia="ar-SA"/>
                    </w:rPr>
                    <w:t>Star</w:t>
                  </w:r>
                  <w:proofErr w:type="spellEnd"/>
                  <w:r w:rsidRPr="00111C8D">
                    <w:rPr>
                      <w:rFonts w:ascii="Arial" w:hAnsi="Arial" w:cs="Arial"/>
                      <w:i/>
                      <w:iCs/>
                      <w:sz w:val="18"/>
                      <w:szCs w:val="18"/>
                      <w:lang w:val="es-ES" w:eastAsia="ar-SA"/>
                    </w:rPr>
                    <w:t xml:space="preserve"> 8.x o superior o China </w:t>
                  </w:r>
                  <w:proofErr w:type="spellStart"/>
                  <w:r w:rsidRPr="00111C8D">
                    <w:rPr>
                      <w:rFonts w:ascii="Arial" w:hAnsi="Arial" w:cs="Arial"/>
                      <w:i/>
                      <w:iCs/>
                      <w:sz w:val="18"/>
                      <w:szCs w:val="18"/>
                      <w:lang w:val="es-ES" w:eastAsia="ar-SA"/>
                    </w:rPr>
                    <w:t>Certificate</w:t>
                  </w:r>
                  <w:proofErr w:type="spellEnd"/>
                  <w:r w:rsidRPr="00111C8D">
                    <w:rPr>
                      <w:rFonts w:ascii="Arial" w:hAnsi="Arial" w:cs="Arial"/>
                      <w:i/>
                      <w:iCs/>
                      <w:sz w:val="18"/>
                      <w:szCs w:val="18"/>
                      <w:lang w:val="es-ES" w:eastAsia="ar-SA"/>
                    </w:rPr>
                    <w:t xml:space="preserve"> </w:t>
                  </w:r>
                  <w:proofErr w:type="spellStart"/>
                  <w:r w:rsidRPr="00111C8D">
                    <w:rPr>
                      <w:rFonts w:ascii="Arial" w:hAnsi="Arial" w:cs="Arial"/>
                      <w:i/>
                      <w:iCs/>
                      <w:sz w:val="18"/>
                      <w:szCs w:val="18"/>
                      <w:lang w:val="es-ES" w:eastAsia="ar-SA"/>
                    </w:rPr>
                    <w:t>for</w:t>
                  </w:r>
                  <w:proofErr w:type="spellEnd"/>
                  <w:r w:rsidRPr="00111C8D">
                    <w:rPr>
                      <w:rFonts w:ascii="Arial" w:hAnsi="Arial" w:cs="Arial"/>
                      <w:i/>
                      <w:iCs/>
                      <w:sz w:val="18"/>
                      <w:szCs w:val="18"/>
                      <w:lang w:val="es-ES" w:eastAsia="ar-SA"/>
                    </w:rPr>
                    <w:t xml:space="preserve"> Energy </w:t>
                  </w:r>
                  <w:proofErr w:type="spellStart"/>
                  <w:r w:rsidRPr="00111C8D">
                    <w:rPr>
                      <w:rFonts w:ascii="Arial" w:hAnsi="Arial" w:cs="Arial"/>
                      <w:i/>
                      <w:iCs/>
                      <w:sz w:val="18"/>
                      <w:szCs w:val="18"/>
                      <w:lang w:val="es-ES" w:eastAsia="ar-SA"/>
                    </w:rPr>
                    <w:t>Conservation</w:t>
                  </w:r>
                  <w:proofErr w:type="spellEnd"/>
                  <w:r w:rsidRPr="00111C8D">
                    <w:rPr>
                      <w:rFonts w:ascii="Arial" w:hAnsi="Arial" w:cs="Arial"/>
                      <w:i/>
                      <w:iCs/>
                      <w:sz w:val="18"/>
                      <w:szCs w:val="18"/>
                      <w:lang w:val="es-ES" w:eastAsia="ar-SA"/>
                    </w:rPr>
                    <w:t xml:space="preserve"> </w:t>
                  </w:r>
                  <w:proofErr w:type="spellStart"/>
                  <w:r w:rsidRPr="00111C8D">
                    <w:rPr>
                      <w:rFonts w:ascii="Arial" w:hAnsi="Arial" w:cs="Arial"/>
                      <w:i/>
                      <w:iCs/>
                      <w:sz w:val="18"/>
                      <w:szCs w:val="18"/>
                      <w:lang w:val="es-ES" w:eastAsia="ar-SA"/>
                    </w:rPr>
                    <w:t>Product</w:t>
                  </w:r>
                  <w:proofErr w:type="spellEnd"/>
                  <w:r w:rsidRPr="00111C8D">
                    <w:rPr>
                      <w:rFonts w:ascii="Arial" w:hAnsi="Arial" w:cs="Arial"/>
                      <w:i/>
                      <w:iCs/>
                      <w:sz w:val="18"/>
                      <w:szCs w:val="18"/>
                      <w:lang w:val="es-ES" w:eastAsia="ar-SA"/>
                    </w:rPr>
                    <w:t xml:space="preserve"> o </w:t>
                  </w:r>
                  <w:proofErr w:type="spellStart"/>
                  <w:r w:rsidRPr="00111C8D">
                    <w:rPr>
                      <w:rFonts w:ascii="Arial" w:hAnsi="Arial" w:cs="Arial"/>
                      <w:i/>
                      <w:iCs/>
                      <w:sz w:val="18"/>
                      <w:szCs w:val="18"/>
                      <w:lang w:val="es-ES" w:eastAsia="ar-SA"/>
                    </w:rPr>
                    <w:t>Ecodesign</w:t>
                  </w:r>
                  <w:proofErr w:type="spellEnd"/>
                  <w:r w:rsidRPr="00111C8D">
                    <w:rPr>
                      <w:rFonts w:ascii="Arial" w:hAnsi="Arial" w:cs="Arial"/>
                      <w:i/>
                      <w:iCs/>
                      <w:sz w:val="18"/>
                      <w:szCs w:val="18"/>
                      <w:lang w:val="es-ES" w:eastAsia="ar-SA"/>
                    </w:rPr>
                    <w:t xml:space="preserve"> and Energy </w:t>
                  </w:r>
                  <w:proofErr w:type="spellStart"/>
                  <w:r w:rsidRPr="00111C8D">
                    <w:rPr>
                      <w:rFonts w:ascii="Arial" w:hAnsi="Arial" w:cs="Arial"/>
                      <w:i/>
                      <w:iCs/>
                      <w:sz w:val="18"/>
                      <w:szCs w:val="18"/>
                      <w:lang w:val="es-ES" w:eastAsia="ar-SA"/>
                    </w:rPr>
                    <w:t>Labelling</w:t>
                  </w:r>
                  <w:proofErr w:type="spellEnd"/>
                  <w:r w:rsidRPr="00111C8D">
                    <w:rPr>
                      <w:rFonts w:ascii="Arial" w:hAnsi="Arial" w:cs="Arial"/>
                      <w:i/>
                      <w:iCs/>
                      <w:sz w:val="18"/>
                      <w:szCs w:val="18"/>
                      <w:lang w:val="es-ES" w:eastAsia="ar-SA"/>
                    </w:rPr>
                    <w:t xml:space="preserve"> - Todas las zonas</w:t>
                  </w:r>
                </w:p>
              </w:tc>
            </w:tr>
            <w:tr w:rsidR="00111C8D" w:rsidRPr="00111C8D" w14:paraId="6222CBEE" w14:textId="77777777" w:rsidTr="005109BB">
              <w:trPr>
                <w:trHeight w:val="54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7808391E" w14:textId="77777777" w:rsidR="00111C8D" w:rsidRPr="00111C8D" w:rsidRDefault="00111C8D" w:rsidP="00111C8D">
                  <w:pPr>
                    <w:suppressAutoHyphens/>
                    <w:rPr>
                      <w:rFonts w:ascii="Arial" w:hAnsi="Arial" w:cs="Arial"/>
                      <w:b/>
                      <w:bCs/>
                      <w:i/>
                      <w:iCs/>
                      <w:sz w:val="18"/>
                      <w:szCs w:val="18"/>
                      <w:lang w:val="es-ES" w:eastAsia="ar-SA"/>
                    </w:rPr>
                  </w:pPr>
                  <w:r w:rsidRPr="00111C8D">
                    <w:rPr>
                      <w:rFonts w:ascii="Arial" w:hAnsi="Arial" w:cs="Arial"/>
                      <w:b/>
                      <w:bCs/>
                      <w:i/>
                      <w:iCs/>
                      <w:sz w:val="18"/>
                      <w:szCs w:val="18"/>
                      <w:lang w:val="es-ES" w:eastAsia="ar-SA"/>
                    </w:rPr>
                    <w:t>Certificación ambiental</w:t>
                  </w:r>
                </w:p>
              </w:tc>
              <w:tc>
                <w:tcPr>
                  <w:tcW w:w="4340" w:type="dxa"/>
                  <w:tcBorders>
                    <w:top w:val="nil"/>
                    <w:left w:val="nil"/>
                    <w:bottom w:val="single" w:sz="4" w:space="0" w:color="auto"/>
                    <w:right w:val="single" w:sz="8" w:space="0" w:color="auto"/>
                  </w:tcBorders>
                  <w:shd w:val="clear" w:color="000000" w:fill="FFFFFF"/>
                  <w:vAlign w:val="center"/>
                  <w:hideMark/>
                </w:tcPr>
                <w:p w14:paraId="6E843CF1" w14:textId="77777777" w:rsidR="00111C8D" w:rsidRPr="00111C8D" w:rsidRDefault="00111C8D" w:rsidP="00111C8D">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COMPONENTE-AIO-166 Certificación </w:t>
                  </w:r>
                  <w:proofErr w:type="spellStart"/>
                  <w:r w:rsidRPr="00111C8D">
                    <w:rPr>
                      <w:rFonts w:ascii="Arial" w:hAnsi="Arial" w:cs="Arial"/>
                      <w:i/>
                      <w:iCs/>
                      <w:sz w:val="18"/>
                      <w:szCs w:val="18"/>
                      <w:lang w:val="es-ES" w:eastAsia="ar-SA"/>
                    </w:rPr>
                    <w:t>Epeat</w:t>
                  </w:r>
                  <w:proofErr w:type="spellEnd"/>
                  <w:r w:rsidRPr="00111C8D">
                    <w:rPr>
                      <w:rFonts w:ascii="Arial" w:hAnsi="Arial" w:cs="Arial"/>
                      <w:i/>
                      <w:iCs/>
                      <w:sz w:val="18"/>
                      <w:szCs w:val="18"/>
                      <w:lang w:val="es-ES" w:eastAsia="ar-SA"/>
                    </w:rPr>
                    <w:t xml:space="preserve"> Gold - Todas las zonas</w:t>
                  </w:r>
                </w:p>
              </w:tc>
            </w:tr>
          </w:tbl>
          <w:p w14:paraId="0EAF7A75" w14:textId="77777777" w:rsidR="00111C8D" w:rsidRDefault="00111C8D" w:rsidP="00000010">
            <w:pPr>
              <w:suppressAutoHyphens/>
              <w:jc w:val="both"/>
              <w:rPr>
                <w:rFonts w:ascii="Arial" w:hAnsi="Arial" w:cs="Arial"/>
                <w:sz w:val="20"/>
                <w:szCs w:val="20"/>
              </w:rPr>
            </w:pPr>
          </w:p>
          <w:p w14:paraId="71A3E961" w14:textId="383D35A2" w:rsidR="00EE7BF1" w:rsidRDefault="00EE7BF1" w:rsidP="00000010">
            <w:pPr>
              <w:suppressAutoHyphens/>
              <w:jc w:val="both"/>
              <w:rPr>
                <w:rFonts w:ascii="Arial" w:hAnsi="Arial" w:cs="Arial"/>
                <w:sz w:val="20"/>
                <w:szCs w:val="20"/>
              </w:rPr>
            </w:pPr>
          </w:p>
          <w:p w14:paraId="1F3F6A62" w14:textId="5EE105F8" w:rsidR="00EE7BF1" w:rsidRDefault="00EE7BF1" w:rsidP="00000010">
            <w:pPr>
              <w:suppressAutoHyphens/>
              <w:jc w:val="both"/>
              <w:rPr>
                <w:rFonts w:ascii="Arial" w:hAnsi="Arial" w:cs="Arial"/>
                <w:sz w:val="20"/>
                <w:szCs w:val="20"/>
              </w:rPr>
            </w:pPr>
          </w:p>
          <w:p w14:paraId="79AEE929" w14:textId="4633C394" w:rsidR="00EE7BF1" w:rsidRDefault="00EE7BF1" w:rsidP="00000010">
            <w:pPr>
              <w:suppressAutoHyphens/>
              <w:jc w:val="both"/>
              <w:rPr>
                <w:rFonts w:ascii="Arial" w:hAnsi="Arial" w:cs="Arial"/>
                <w:sz w:val="20"/>
                <w:szCs w:val="20"/>
              </w:rPr>
            </w:pPr>
          </w:p>
          <w:tbl>
            <w:tblPr>
              <w:tblW w:w="10637" w:type="dxa"/>
              <w:tblCellMar>
                <w:left w:w="70" w:type="dxa"/>
                <w:right w:w="70" w:type="dxa"/>
              </w:tblCellMar>
              <w:tblLook w:val="04A0" w:firstRow="1" w:lastRow="0" w:firstColumn="1" w:lastColumn="0" w:noHBand="0" w:noVBand="1"/>
            </w:tblPr>
            <w:tblGrid>
              <w:gridCol w:w="480"/>
              <w:gridCol w:w="1240"/>
              <w:gridCol w:w="692"/>
              <w:gridCol w:w="847"/>
              <w:gridCol w:w="2299"/>
              <w:gridCol w:w="1281"/>
              <w:gridCol w:w="1156"/>
              <w:gridCol w:w="1138"/>
              <w:gridCol w:w="1504"/>
            </w:tblGrid>
            <w:tr w:rsidR="002A4576" w:rsidRPr="002A4576" w14:paraId="06A584A2" w14:textId="77777777" w:rsidTr="002A4576">
              <w:trPr>
                <w:trHeight w:val="315"/>
              </w:trPr>
              <w:tc>
                <w:tcPr>
                  <w:tcW w:w="478" w:type="dxa"/>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FF189E8"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ITEM</w:t>
                  </w:r>
                </w:p>
              </w:tc>
              <w:tc>
                <w:tcPr>
                  <w:tcW w:w="1241" w:type="dxa"/>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0446C1D"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ELEMENTO</w:t>
                  </w:r>
                </w:p>
              </w:tc>
              <w:tc>
                <w:tcPr>
                  <w:tcW w:w="689"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7BF45E7C"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UNIDAD</w:t>
                  </w:r>
                </w:p>
              </w:tc>
              <w:tc>
                <w:tcPr>
                  <w:tcW w:w="84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8D9C5F6"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CANTIDAD</w:t>
                  </w:r>
                </w:p>
              </w:tc>
              <w:tc>
                <w:tcPr>
                  <w:tcW w:w="5879" w:type="dxa"/>
                  <w:gridSpan w:val="4"/>
                  <w:tcBorders>
                    <w:top w:val="single" w:sz="8" w:space="0" w:color="auto"/>
                    <w:left w:val="nil"/>
                    <w:bottom w:val="single" w:sz="8" w:space="0" w:color="auto"/>
                    <w:right w:val="nil"/>
                  </w:tcBorders>
                  <w:shd w:val="clear" w:color="000000" w:fill="F2F2F2"/>
                  <w:vAlign w:val="center"/>
                  <w:hideMark/>
                </w:tcPr>
                <w:p w14:paraId="058C6595"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TVEC C.C.E. GRANDES SUPERFICIES</w:t>
                  </w:r>
                </w:p>
              </w:tc>
              <w:tc>
                <w:tcPr>
                  <w:tcW w:w="1505" w:type="dxa"/>
                  <w:tcBorders>
                    <w:top w:val="single" w:sz="8" w:space="0" w:color="auto"/>
                    <w:left w:val="nil"/>
                    <w:bottom w:val="single" w:sz="8" w:space="0" w:color="auto"/>
                    <w:right w:val="single" w:sz="8" w:space="0" w:color="auto"/>
                  </w:tcBorders>
                  <w:shd w:val="clear" w:color="000000" w:fill="F2F2F2"/>
                  <w:vAlign w:val="center"/>
                  <w:hideMark/>
                </w:tcPr>
                <w:p w14:paraId="7621B83A" w14:textId="77777777" w:rsidR="002A4576" w:rsidRPr="002A4576" w:rsidRDefault="002A4576" w:rsidP="002A4576">
                  <w:pPr>
                    <w:rPr>
                      <w:rFonts w:ascii="Calibri" w:hAnsi="Calibri" w:cs="Calibri"/>
                      <w:b/>
                      <w:bCs/>
                      <w:color w:val="000000"/>
                      <w:sz w:val="16"/>
                      <w:szCs w:val="16"/>
                    </w:rPr>
                  </w:pPr>
                  <w:r w:rsidRPr="002A4576">
                    <w:rPr>
                      <w:rFonts w:ascii="Calibri" w:hAnsi="Calibri" w:cs="Calibri"/>
                      <w:b/>
                      <w:bCs/>
                      <w:color w:val="000000"/>
                      <w:sz w:val="16"/>
                      <w:szCs w:val="16"/>
                    </w:rPr>
                    <w:t> </w:t>
                  </w:r>
                </w:p>
              </w:tc>
            </w:tr>
            <w:tr w:rsidR="002A4576" w:rsidRPr="002A4576" w14:paraId="6F732002" w14:textId="77777777" w:rsidTr="002A4576">
              <w:trPr>
                <w:trHeight w:val="825"/>
              </w:trPr>
              <w:tc>
                <w:tcPr>
                  <w:tcW w:w="478" w:type="dxa"/>
                  <w:vMerge/>
                  <w:tcBorders>
                    <w:top w:val="single" w:sz="8" w:space="0" w:color="auto"/>
                    <w:left w:val="single" w:sz="8" w:space="0" w:color="auto"/>
                    <w:bottom w:val="single" w:sz="8" w:space="0" w:color="auto"/>
                    <w:right w:val="single" w:sz="8" w:space="0" w:color="auto"/>
                  </w:tcBorders>
                  <w:vAlign w:val="center"/>
                  <w:hideMark/>
                </w:tcPr>
                <w:p w14:paraId="16DDDC33" w14:textId="77777777" w:rsidR="002A4576" w:rsidRPr="002A4576" w:rsidRDefault="002A4576" w:rsidP="002A4576">
                  <w:pPr>
                    <w:rPr>
                      <w:rFonts w:ascii="Calibri" w:hAnsi="Calibri" w:cs="Calibri"/>
                      <w:b/>
                      <w:bCs/>
                      <w:color w:val="000000"/>
                      <w:sz w:val="16"/>
                      <w:szCs w:val="16"/>
                    </w:rPr>
                  </w:pPr>
                </w:p>
              </w:tc>
              <w:tc>
                <w:tcPr>
                  <w:tcW w:w="1241" w:type="dxa"/>
                  <w:vMerge/>
                  <w:tcBorders>
                    <w:top w:val="single" w:sz="8" w:space="0" w:color="auto"/>
                    <w:left w:val="single" w:sz="8" w:space="0" w:color="auto"/>
                    <w:bottom w:val="single" w:sz="8" w:space="0" w:color="auto"/>
                    <w:right w:val="single" w:sz="8" w:space="0" w:color="auto"/>
                  </w:tcBorders>
                  <w:vAlign w:val="center"/>
                  <w:hideMark/>
                </w:tcPr>
                <w:p w14:paraId="58553D7C" w14:textId="77777777" w:rsidR="002A4576" w:rsidRPr="002A4576" w:rsidRDefault="002A4576" w:rsidP="002A4576">
                  <w:pPr>
                    <w:rPr>
                      <w:rFonts w:ascii="Calibri" w:hAnsi="Calibri" w:cs="Calibri"/>
                      <w:b/>
                      <w:bCs/>
                      <w:color w:val="000000"/>
                      <w:sz w:val="16"/>
                      <w:szCs w:val="16"/>
                    </w:rPr>
                  </w:pPr>
                </w:p>
              </w:tc>
              <w:tc>
                <w:tcPr>
                  <w:tcW w:w="689" w:type="dxa"/>
                  <w:vMerge/>
                  <w:tcBorders>
                    <w:top w:val="single" w:sz="8" w:space="0" w:color="auto"/>
                    <w:left w:val="single" w:sz="8" w:space="0" w:color="auto"/>
                    <w:bottom w:val="single" w:sz="8" w:space="0" w:color="auto"/>
                    <w:right w:val="single" w:sz="8" w:space="0" w:color="auto"/>
                  </w:tcBorders>
                  <w:vAlign w:val="center"/>
                  <w:hideMark/>
                </w:tcPr>
                <w:p w14:paraId="59249749" w14:textId="77777777" w:rsidR="002A4576" w:rsidRPr="002A4576" w:rsidRDefault="002A4576" w:rsidP="002A4576">
                  <w:pPr>
                    <w:rPr>
                      <w:rFonts w:ascii="Calibri" w:hAnsi="Calibri" w:cs="Calibri"/>
                      <w:b/>
                      <w:bCs/>
                      <w:color w:val="000000"/>
                      <w:sz w:val="16"/>
                      <w:szCs w:val="16"/>
                    </w:rPr>
                  </w:pPr>
                </w:p>
              </w:tc>
              <w:tc>
                <w:tcPr>
                  <w:tcW w:w="845" w:type="dxa"/>
                  <w:vMerge/>
                  <w:tcBorders>
                    <w:top w:val="single" w:sz="8" w:space="0" w:color="auto"/>
                    <w:left w:val="single" w:sz="8" w:space="0" w:color="auto"/>
                    <w:bottom w:val="single" w:sz="8" w:space="0" w:color="000000"/>
                    <w:right w:val="single" w:sz="8" w:space="0" w:color="auto"/>
                  </w:tcBorders>
                  <w:vAlign w:val="center"/>
                  <w:hideMark/>
                </w:tcPr>
                <w:p w14:paraId="6BCCB22B" w14:textId="77777777" w:rsidR="002A4576" w:rsidRPr="002A4576" w:rsidRDefault="002A4576" w:rsidP="002A4576">
                  <w:pPr>
                    <w:rPr>
                      <w:rFonts w:ascii="Calibri" w:hAnsi="Calibri" w:cs="Calibri"/>
                      <w:b/>
                      <w:bCs/>
                      <w:color w:val="000000"/>
                      <w:sz w:val="16"/>
                      <w:szCs w:val="16"/>
                    </w:rPr>
                  </w:pPr>
                </w:p>
              </w:tc>
              <w:tc>
                <w:tcPr>
                  <w:tcW w:w="2301" w:type="dxa"/>
                  <w:tcBorders>
                    <w:top w:val="nil"/>
                    <w:left w:val="nil"/>
                    <w:bottom w:val="single" w:sz="8" w:space="0" w:color="auto"/>
                    <w:right w:val="single" w:sz="8" w:space="0" w:color="auto"/>
                  </w:tcBorders>
                  <w:shd w:val="clear" w:color="000000" w:fill="F2F2F2"/>
                  <w:vAlign w:val="center"/>
                  <w:hideMark/>
                </w:tcPr>
                <w:p w14:paraId="26DC15FB"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PROVEER INTERNACIONAL SAS</w:t>
                  </w:r>
                </w:p>
              </w:tc>
              <w:tc>
                <w:tcPr>
                  <w:tcW w:w="1282" w:type="dxa"/>
                  <w:tcBorders>
                    <w:top w:val="nil"/>
                    <w:left w:val="nil"/>
                    <w:bottom w:val="single" w:sz="8" w:space="0" w:color="auto"/>
                    <w:right w:val="single" w:sz="8" w:space="0" w:color="auto"/>
                  </w:tcBorders>
                  <w:shd w:val="clear" w:color="000000" w:fill="F2F2F2"/>
                  <w:vAlign w:val="center"/>
                  <w:hideMark/>
                </w:tcPr>
                <w:p w14:paraId="6444097C"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PANAMERICANA</w:t>
                  </w:r>
                </w:p>
              </w:tc>
              <w:tc>
                <w:tcPr>
                  <w:tcW w:w="1157" w:type="dxa"/>
                  <w:tcBorders>
                    <w:top w:val="nil"/>
                    <w:left w:val="nil"/>
                    <w:bottom w:val="single" w:sz="8" w:space="0" w:color="auto"/>
                    <w:right w:val="single" w:sz="8" w:space="0" w:color="auto"/>
                  </w:tcBorders>
                  <w:shd w:val="clear" w:color="000000" w:fill="F2F2F2"/>
                  <w:vAlign w:val="center"/>
                  <w:hideMark/>
                </w:tcPr>
                <w:p w14:paraId="212CC8F1"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 xml:space="preserve">VENEPLAST </w:t>
                  </w:r>
                </w:p>
              </w:tc>
              <w:tc>
                <w:tcPr>
                  <w:tcW w:w="1139" w:type="dxa"/>
                  <w:tcBorders>
                    <w:top w:val="nil"/>
                    <w:left w:val="nil"/>
                    <w:bottom w:val="single" w:sz="8" w:space="0" w:color="auto"/>
                    <w:right w:val="single" w:sz="8" w:space="0" w:color="auto"/>
                  </w:tcBorders>
                  <w:shd w:val="clear" w:color="000000" w:fill="F2F2F2"/>
                  <w:vAlign w:val="center"/>
                  <w:hideMark/>
                </w:tcPr>
                <w:p w14:paraId="4E2598CC"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HAS LTDA</w:t>
                  </w:r>
                </w:p>
              </w:tc>
              <w:tc>
                <w:tcPr>
                  <w:tcW w:w="1505" w:type="dxa"/>
                  <w:tcBorders>
                    <w:top w:val="nil"/>
                    <w:left w:val="nil"/>
                    <w:bottom w:val="single" w:sz="8" w:space="0" w:color="auto"/>
                    <w:right w:val="single" w:sz="8" w:space="0" w:color="auto"/>
                  </w:tcBorders>
                  <w:shd w:val="clear" w:color="000000" w:fill="F2F2F2"/>
                  <w:vAlign w:val="center"/>
                  <w:hideMark/>
                </w:tcPr>
                <w:p w14:paraId="13639C62" w14:textId="77777777" w:rsidR="002A4576" w:rsidRPr="002A4576" w:rsidRDefault="002A4576" w:rsidP="002A4576">
                  <w:pPr>
                    <w:jc w:val="center"/>
                    <w:rPr>
                      <w:rFonts w:ascii="Calibri" w:hAnsi="Calibri" w:cs="Calibri"/>
                      <w:b/>
                      <w:bCs/>
                      <w:color w:val="000000"/>
                      <w:sz w:val="16"/>
                      <w:szCs w:val="16"/>
                    </w:rPr>
                  </w:pPr>
                  <w:r w:rsidRPr="002A4576">
                    <w:rPr>
                      <w:rFonts w:ascii="Calibri" w:hAnsi="Calibri" w:cs="Calibri"/>
                      <w:b/>
                      <w:bCs/>
                      <w:color w:val="000000"/>
                      <w:sz w:val="16"/>
                      <w:szCs w:val="16"/>
                    </w:rPr>
                    <w:t>TOTAL</w:t>
                  </w:r>
                </w:p>
              </w:tc>
            </w:tr>
            <w:tr w:rsidR="002A4576" w:rsidRPr="002A4576" w14:paraId="01E5F437" w14:textId="77777777" w:rsidTr="002A4576">
              <w:trPr>
                <w:trHeight w:val="216"/>
              </w:trPr>
              <w:tc>
                <w:tcPr>
                  <w:tcW w:w="478" w:type="dxa"/>
                  <w:tcBorders>
                    <w:top w:val="nil"/>
                    <w:left w:val="single" w:sz="8" w:space="0" w:color="auto"/>
                    <w:bottom w:val="single" w:sz="8" w:space="0" w:color="auto"/>
                    <w:right w:val="single" w:sz="8" w:space="0" w:color="auto"/>
                  </w:tcBorders>
                  <w:shd w:val="clear" w:color="auto" w:fill="auto"/>
                  <w:noWrap/>
                  <w:vAlign w:val="bottom"/>
                  <w:hideMark/>
                </w:tcPr>
                <w:p w14:paraId="2E9FE6B6" w14:textId="77777777" w:rsidR="002A4576" w:rsidRPr="002A4576" w:rsidRDefault="002A4576" w:rsidP="002A4576">
                  <w:pPr>
                    <w:jc w:val="center"/>
                    <w:rPr>
                      <w:rFonts w:ascii="Calibri" w:hAnsi="Calibri" w:cs="Calibri"/>
                      <w:color w:val="000000"/>
                      <w:sz w:val="16"/>
                      <w:szCs w:val="16"/>
                    </w:rPr>
                  </w:pPr>
                  <w:r w:rsidRPr="002A4576">
                    <w:rPr>
                      <w:rFonts w:ascii="Calibri" w:hAnsi="Calibri" w:cs="Calibri"/>
                      <w:color w:val="000000"/>
                      <w:sz w:val="16"/>
                      <w:szCs w:val="16"/>
                    </w:rPr>
                    <w:t>1</w:t>
                  </w:r>
                </w:p>
              </w:tc>
              <w:tc>
                <w:tcPr>
                  <w:tcW w:w="1241" w:type="dxa"/>
                  <w:tcBorders>
                    <w:top w:val="nil"/>
                    <w:left w:val="nil"/>
                    <w:bottom w:val="single" w:sz="8" w:space="0" w:color="auto"/>
                    <w:right w:val="single" w:sz="8" w:space="0" w:color="auto"/>
                  </w:tcBorders>
                  <w:shd w:val="clear" w:color="auto" w:fill="auto"/>
                  <w:noWrap/>
                  <w:vAlign w:val="bottom"/>
                  <w:hideMark/>
                </w:tcPr>
                <w:p w14:paraId="4762A2DE" w14:textId="77777777" w:rsidR="002A4576" w:rsidRPr="002A4576" w:rsidRDefault="002A4576" w:rsidP="002A4576">
                  <w:pPr>
                    <w:rPr>
                      <w:rFonts w:ascii="Calibri" w:hAnsi="Calibri" w:cs="Calibri"/>
                      <w:color w:val="000000"/>
                      <w:sz w:val="16"/>
                      <w:szCs w:val="16"/>
                    </w:rPr>
                  </w:pPr>
                  <w:r w:rsidRPr="002A4576">
                    <w:rPr>
                      <w:rFonts w:ascii="Calibri" w:hAnsi="Calibri" w:cs="Calibri"/>
                      <w:color w:val="000000"/>
                      <w:sz w:val="16"/>
                      <w:szCs w:val="16"/>
                    </w:rPr>
                    <w:t>COMPUTADOR PORTATIL</w:t>
                  </w:r>
                </w:p>
              </w:tc>
              <w:tc>
                <w:tcPr>
                  <w:tcW w:w="689" w:type="dxa"/>
                  <w:tcBorders>
                    <w:top w:val="nil"/>
                    <w:left w:val="nil"/>
                    <w:bottom w:val="single" w:sz="8" w:space="0" w:color="auto"/>
                    <w:right w:val="single" w:sz="8" w:space="0" w:color="auto"/>
                  </w:tcBorders>
                  <w:shd w:val="clear" w:color="auto" w:fill="auto"/>
                  <w:noWrap/>
                  <w:vAlign w:val="bottom"/>
                  <w:hideMark/>
                </w:tcPr>
                <w:p w14:paraId="2E0EF4D1" w14:textId="77777777" w:rsidR="002A4576" w:rsidRPr="002A4576" w:rsidRDefault="002A4576" w:rsidP="002A4576">
                  <w:pPr>
                    <w:jc w:val="center"/>
                    <w:rPr>
                      <w:rFonts w:ascii="Calibri" w:hAnsi="Calibri" w:cs="Calibri"/>
                      <w:color w:val="000000"/>
                      <w:sz w:val="16"/>
                      <w:szCs w:val="16"/>
                    </w:rPr>
                  </w:pPr>
                  <w:r w:rsidRPr="002A4576">
                    <w:rPr>
                      <w:rFonts w:ascii="Calibri" w:hAnsi="Calibri" w:cs="Calibri"/>
                      <w:color w:val="000000"/>
                      <w:sz w:val="16"/>
                      <w:szCs w:val="16"/>
                    </w:rPr>
                    <w:t>UNIDAD</w:t>
                  </w:r>
                </w:p>
              </w:tc>
              <w:tc>
                <w:tcPr>
                  <w:tcW w:w="845" w:type="dxa"/>
                  <w:tcBorders>
                    <w:top w:val="nil"/>
                    <w:left w:val="nil"/>
                    <w:bottom w:val="single" w:sz="8" w:space="0" w:color="auto"/>
                    <w:right w:val="single" w:sz="8" w:space="0" w:color="auto"/>
                  </w:tcBorders>
                  <w:shd w:val="clear" w:color="auto" w:fill="auto"/>
                  <w:noWrap/>
                  <w:vAlign w:val="bottom"/>
                  <w:hideMark/>
                </w:tcPr>
                <w:p w14:paraId="0ED2CB6C" w14:textId="77777777" w:rsidR="002A4576" w:rsidRPr="002A4576" w:rsidRDefault="002A4576" w:rsidP="002A4576">
                  <w:pPr>
                    <w:jc w:val="center"/>
                    <w:rPr>
                      <w:rFonts w:ascii="Calibri" w:hAnsi="Calibri" w:cs="Calibri"/>
                      <w:color w:val="000000"/>
                      <w:sz w:val="16"/>
                      <w:szCs w:val="16"/>
                    </w:rPr>
                  </w:pPr>
                  <w:r w:rsidRPr="002A4576">
                    <w:rPr>
                      <w:rFonts w:ascii="Calibri" w:hAnsi="Calibri" w:cs="Calibri"/>
                      <w:color w:val="000000"/>
                      <w:sz w:val="16"/>
                      <w:szCs w:val="16"/>
                    </w:rPr>
                    <w:t>2</w:t>
                  </w:r>
                </w:p>
              </w:tc>
              <w:tc>
                <w:tcPr>
                  <w:tcW w:w="2301" w:type="dxa"/>
                  <w:tcBorders>
                    <w:top w:val="nil"/>
                    <w:left w:val="nil"/>
                    <w:bottom w:val="single" w:sz="8" w:space="0" w:color="auto"/>
                    <w:right w:val="single" w:sz="8" w:space="0" w:color="auto"/>
                  </w:tcBorders>
                  <w:shd w:val="clear" w:color="auto" w:fill="auto"/>
                  <w:noWrap/>
                  <w:vAlign w:val="bottom"/>
                  <w:hideMark/>
                </w:tcPr>
                <w:p w14:paraId="47D2AB60" w14:textId="77777777" w:rsidR="002A4576" w:rsidRPr="002A4576" w:rsidRDefault="002A4576" w:rsidP="002A4576">
                  <w:pPr>
                    <w:jc w:val="right"/>
                    <w:rPr>
                      <w:rFonts w:ascii="Calibri" w:hAnsi="Calibri" w:cs="Calibri"/>
                      <w:color w:val="000000"/>
                      <w:sz w:val="16"/>
                      <w:szCs w:val="16"/>
                    </w:rPr>
                  </w:pPr>
                  <w:r w:rsidRPr="002A4576">
                    <w:rPr>
                      <w:rFonts w:ascii="Calibri" w:hAnsi="Calibri" w:cs="Calibri"/>
                      <w:color w:val="000000"/>
                      <w:sz w:val="16"/>
                      <w:szCs w:val="16"/>
                    </w:rPr>
                    <w:t>$ 7.188.963,00</w:t>
                  </w:r>
                </w:p>
              </w:tc>
              <w:tc>
                <w:tcPr>
                  <w:tcW w:w="1282" w:type="dxa"/>
                  <w:tcBorders>
                    <w:top w:val="nil"/>
                    <w:left w:val="nil"/>
                    <w:bottom w:val="single" w:sz="8" w:space="0" w:color="auto"/>
                    <w:right w:val="single" w:sz="8" w:space="0" w:color="auto"/>
                  </w:tcBorders>
                  <w:shd w:val="clear" w:color="auto" w:fill="auto"/>
                  <w:noWrap/>
                  <w:vAlign w:val="bottom"/>
                  <w:hideMark/>
                </w:tcPr>
                <w:p w14:paraId="7805641A" w14:textId="77777777" w:rsidR="002A4576" w:rsidRPr="002A4576" w:rsidRDefault="002A4576" w:rsidP="002A4576">
                  <w:pPr>
                    <w:jc w:val="right"/>
                    <w:rPr>
                      <w:rFonts w:ascii="Calibri" w:hAnsi="Calibri" w:cs="Calibri"/>
                      <w:color w:val="000000"/>
                      <w:sz w:val="16"/>
                      <w:szCs w:val="16"/>
                    </w:rPr>
                  </w:pPr>
                  <w:r w:rsidRPr="002A4576">
                    <w:rPr>
                      <w:rFonts w:ascii="Calibri" w:hAnsi="Calibri" w:cs="Calibri"/>
                      <w:color w:val="000000"/>
                      <w:sz w:val="16"/>
                      <w:szCs w:val="16"/>
                    </w:rPr>
                    <w:t>$ 6.843.452,00</w:t>
                  </w:r>
                </w:p>
              </w:tc>
              <w:tc>
                <w:tcPr>
                  <w:tcW w:w="1157" w:type="dxa"/>
                  <w:tcBorders>
                    <w:top w:val="nil"/>
                    <w:left w:val="nil"/>
                    <w:bottom w:val="single" w:sz="8" w:space="0" w:color="auto"/>
                    <w:right w:val="single" w:sz="8" w:space="0" w:color="auto"/>
                  </w:tcBorders>
                  <w:shd w:val="clear" w:color="auto" w:fill="auto"/>
                  <w:noWrap/>
                  <w:vAlign w:val="bottom"/>
                  <w:hideMark/>
                </w:tcPr>
                <w:p w14:paraId="01DE3EAC" w14:textId="77777777" w:rsidR="002A4576" w:rsidRPr="002A4576" w:rsidRDefault="002A4576" w:rsidP="002A4576">
                  <w:pPr>
                    <w:jc w:val="right"/>
                    <w:rPr>
                      <w:rFonts w:ascii="Calibri" w:hAnsi="Calibri" w:cs="Calibri"/>
                      <w:color w:val="000000"/>
                      <w:sz w:val="16"/>
                      <w:szCs w:val="16"/>
                    </w:rPr>
                  </w:pPr>
                  <w:r w:rsidRPr="002A4576">
                    <w:rPr>
                      <w:rFonts w:ascii="Calibri" w:hAnsi="Calibri" w:cs="Calibri"/>
                      <w:color w:val="000000"/>
                      <w:sz w:val="16"/>
                      <w:szCs w:val="16"/>
                    </w:rPr>
                    <w:t>$ 6.150.000,00</w:t>
                  </w:r>
                </w:p>
              </w:tc>
              <w:tc>
                <w:tcPr>
                  <w:tcW w:w="1139" w:type="dxa"/>
                  <w:tcBorders>
                    <w:top w:val="nil"/>
                    <w:left w:val="nil"/>
                    <w:bottom w:val="single" w:sz="8" w:space="0" w:color="auto"/>
                    <w:right w:val="single" w:sz="8" w:space="0" w:color="auto"/>
                  </w:tcBorders>
                  <w:shd w:val="clear" w:color="auto" w:fill="auto"/>
                  <w:noWrap/>
                  <w:vAlign w:val="bottom"/>
                  <w:hideMark/>
                </w:tcPr>
                <w:p w14:paraId="4616FE76" w14:textId="77777777" w:rsidR="002A4576" w:rsidRPr="002A4576" w:rsidRDefault="002A4576" w:rsidP="002A4576">
                  <w:pPr>
                    <w:jc w:val="right"/>
                    <w:rPr>
                      <w:rFonts w:ascii="Calibri" w:hAnsi="Calibri" w:cs="Calibri"/>
                      <w:color w:val="000000"/>
                      <w:sz w:val="16"/>
                      <w:szCs w:val="16"/>
                    </w:rPr>
                  </w:pPr>
                  <w:r w:rsidRPr="002A4576">
                    <w:rPr>
                      <w:rFonts w:ascii="Calibri" w:hAnsi="Calibri" w:cs="Calibri"/>
                      <w:color w:val="000000"/>
                      <w:sz w:val="16"/>
                      <w:szCs w:val="16"/>
                    </w:rPr>
                    <w:t>$ 9.990.000,00</w:t>
                  </w:r>
                </w:p>
              </w:tc>
              <w:tc>
                <w:tcPr>
                  <w:tcW w:w="1505" w:type="dxa"/>
                  <w:tcBorders>
                    <w:top w:val="nil"/>
                    <w:left w:val="nil"/>
                    <w:bottom w:val="single" w:sz="8" w:space="0" w:color="auto"/>
                    <w:right w:val="single" w:sz="8" w:space="0" w:color="auto"/>
                  </w:tcBorders>
                  <w:shd w:val="clear" w:color="auto" w:fill="auto"/>
                  <w:noWrap/>
                  <w:vAlign w:val="bottom"/>
                  <w:hideMark/>
                </w:tcPr>
                <w:p w14:paraId="7B2CD4A0" w14:textId="77777777" w:rsidR="002A4576" w:rsidRPr="002A4576" w:rsidRDefault="002A4576" w:rsidP="002A4576">
                  <w:pPr>
                    <w:jc w:val="right"/>
                    <w:rPr>
                      <w:rFonts w:ascii="Calibri" w:hAnsi="Calibri" w:cs="Calibri"/>
                      <w:color w:val="000000"/>
                      <w:sz w:val="16"/>
                      <w:szCs w:val="16"/>
                    </w:rPr>
                  </w:pPr>
                  <w:r w:rsidRPr="002A4576">
                    <w:rPr>
                      <w:rFonts w:ascii="Calibri" w:hAnsi="Calibri" w:cs="Calibri"/>
                      <w:color w:val="000000"/>
                      <w:sz w:val="16"/>
                      <w:szCs w:val="16"/>
                    </w:rPr>
                    <w:t>$ 12.300.000,00</w:t>
                  </w:r>
                </w:p>
              </w:tc>
            </w:tr>
          </w:tbl>
          <w:p w14:paraId="4AE2DE01" w14:textId="77777777" w:rsidR="00EE7BF1" w:rsidRDefault="00EE7BF1" w:rsidP="00000010">
            <w:pPr>
              <w:suppressAutoHyphens/>
              <w:jc w:val="both"/>
              <w:rPr>
                <w:rFonts w:ascii="Arial" w:hAnsi="Arial" w:cs="Arial"/>
                <w:sz w:val="20"/>
                <w:szCs w:val="20"/>
              </w:rPr>
            </w:pPr>
          </w:p>
          <w:p w14:paraId="359CBD52" w14:textId="5917CB6E" w:rsidR="00F952FD" w:rsidRDefault="00F952FD" w:rsidP="00000010">
            <w:pPr>
              <w:suppressAutoHyphens/>
              <w:jc w:val="both"/>
              <w:rPr>
                <w:rFonts w:ascii="Arial" w:hAnsi="Arial" w:cs="Arial"/>
                <w:sz w:val="20"/>
                <w:szCs w:val="20"/>
              </w:rPr>
            </w:pPr>
          </w:p>
          <w:p w14:paraId="57F993E2" w14:textId="30A4DA6E" w:rsidR="006D5FCE" w:rsidRPr="006D5FCE" w:rsidRDefault="0075526C" w:rsidP="00A60800">
            <w:pPr>
              <w:autoSpaceDE w:val="0"/>
              <w:autoSpaceDN w:val="0"/>
              <w:adjustRightInd w:val="0"/>
              <w:jc w:val="both"/>
              <w:rPr>
                <w:rFonts w:ascii="Arial" w:hAnsi="Arial" w:cs="Arial"/>
                <w:sz w:val="20"/>
                <w:szCs w:val="20"/>
              </w:rPr>
            </w:pPr>
            <w:r>
              <w:rPr>
                <w:rFonts w:ascii="Arial" w:hAnsi="Arial" w:cs="Arial"/>
                <w:sz w:val="20"/>
                <w:szCs w:val="20"/>
              </w:rPr>
              <w:t>D</w:t>
            </w:r>
            <w:r w:rsidR="006D5FCE">
              <w:rPr>
                <w:rFonts w:ascii="Arial" w:hAnsi="Arial" w:cs="Arial"/>
                <w:sz w:val="20"/>
                <w:szCs w:val="20"/>
              </w:rPr>
              <w:t>e la consulta a la TVEC</w:t>
            </w:r>
            <w:r w:rsidR="008F0B20">
              <w:rPr>
                <w:rFonts w:ascii="Arial" w:hAnsi="Arial" w:cs="Arial"/>
                <w:sz w:val="20"/>
                <w:szCs w:val="20"/>
              </w:rPr>
              <w:t xml:space="preserve"> – Grandes </w:t>
            </w:r>
            <w:r w:rsidR="00920588">
              <w:rPr>
                <w:rFonts w:ascii="Arial" w:hAnsi="Arial" w:cs="Arial"/>
                <w:sz w:val="20"/>
                <w:szCs w:val="20"/>
              </w:rPr>
              <w:t>A</w:t>
            </w:r>
            <w:r w:rsidR="009617C7">
              <w:rPr>
                <w:rFonts w:ascii="Arial" w:hAnsi="Arial" w:cs="Arial"/>
                <w:sz w:val="20"/>
                <w:szCs w:val="20"/>
              </w:rPr>
              <w:t>lmacenes</w:t>
            </w:r>
            <w:r w:rsidR="006D5FCE">
              <w:rPr>
                <w:rFonts w:ascii="Arial" w:hAnsi="Arial" w:cs="Arial"/>
                <w:sz w:val="20"/>
                <w:szCs w:val="20"/>
              </w:rPr>
              <w:t>, se concluye lo siguiente:</w:t>
            </w:r>
          </w:p>
          <w:p w14:paraId="073BC886" w14:textId="76098AB3" w:rsidR="00D86288" w:rsidRPr="0075526C" w:rsidRDefault="006D5FCE" w:rsidP="0075526C">
            <w:pPr>
              <w:pStyle w:val="Prrafodelista"/>
              <w:numPr>
                <w:ilvl w:val="0"/>
                <w:numId w:val="44"/>
              </w:numPr>
              <w:autoSpaceDE w:val="0"/>
              <w:autoSpaceDN w:val="0"/>
              <w:adjustRightInd w:val="0"/>
              <w:jc w:val="both"/>
              <w:rPr>
                <w:rFonts w:ascii="Arial" w:hAnsi="Arial" w:cs="Arial"/>
                <w:sz w:val="20"/>
                <w:szCs w:val="20"/>
                <w:lang w:val="es-ES"/>
              </w:rPr>
            </w:pPr>
            <w:r w:rsidRPr="00C15840">
              <w:rPr>
                <w:rFonts w:ascii="Arial" w:hAnsi="Arial" w:cs="Arial"/>
                <w:sz w:val="20"/>
                <w:szCs w:val="20"/>
                <w:lang w:val="es-ES"/>
              </w:rPr>
              <w:t xml:space="preserve">De los Grandes Almacenes inscritos, sólo </w:t>
            </w:r>
            <w:r w:rsidR="0075526C" w:rsidRPr="0075526C">
              <w:rPr>
                <w:rFonts w:ascii="Arial" w:hAnsi="Arial" w:cs="Arial"/>
                <w:sz w:val="20"/>
                <w:szCs w:val="20"/>
                <w:lang w:val="es-ES"/>
              </w:rPr>
              <w:t>PROVEER INTERNACIONAL SAS</w:t>
            </w:r>
            <w:r w:rsidR="0075526C">
              <w:rPr>
                <w:rFonts w:ascii="Arial" w:hAnsi="Arial" w:cs="Arial"/>
                <w:sz w:val="20"/>
                <w:szCs w:val="20"/>
                <w:lang w:val="es-ES"/>
              </w:rPr>
              <w:t xml:space="preserve">, </w:t>
            </w:r>
            <w:r w:rsidR="0075526C" w:rsidRPr="0075526C">
              <w:rPr>
                <w:rFonts w:ascii="Arial" w:hAnsi="Arial" w:cs="Arial"/>
                <w:sz w:val="20"/>
                <w:szCs w:val="20"/>
                <w:lang w:val="es-ES"/>
              </w:rPr>
              <w:t>PANAMERICANA</w:t>
            </w:r>
            <w:r w:rsidR="0075526C">
              <w:rPr>
                <w:rFonts w:ascii="Arial" w:hAnsi="Arial" w:cs="Arial"/>
                <w:sz w:val="20"/>
                <w:szCs w:val="20"/>
                <w:lang w:val="es-ES"/>
              </w:rPr>
              <w:t xml:space="preserve">, </w:t>
            </w:r>
            <w:r w:rsidR="0075526C" w:rsidRPr="0075526C">
              <w:rPr>
                <w:rFonts w:ascii="Arial" w:hAnsi="Arial" w:cs="Arial"/>
                <w:sz w:val="20"/>
                <w:szCs w:val="20"/>
                <w:lang w:val="es-ES"/>
              </w:rPr>
              <w:t>VENEPLAST</w:t>
            </w:r>
            <w:r w:rsidR="0075526C">
              <w:rPr>
                <w:rFonts w:ascii="Arial" w:hAnsi="Arial" w:cs="Arial"/>
                <w:sz w:val="20"/>
                <w:szCs w:val="20"/>
                <w:lang w:val="es-ES"/>
              </w:rPr>
              <w:t xml:space="preserve">, </w:t>
            </w:r>
            <w:r w:rsidR="0075526C" w:rsidRPr="0075526C">
              <w:rPr>
                <w:rFonts w:ascii="Arial" w:hAnsi="Arial" w:cs="Arial"/>
                <w:sz w:val="20"/>
                <w:szCs w:val="20"/>
                <w:lang w:val="es-ES"/>
              </w:rPr>
              <w:t xml:space="preserve">HAS LTDA </w:t>
            </w:r>
            <w:r w:rsidRPr="00C15840">
              <w:rPr>
                <w:rFonts w:ascii="Arial" w:hAnsi="Arial" w:cs="Arial"/>
                <w:sz w:val="20"/>
                <w:szCs w:val="20"/>
                <w:lang w:val="es-ES"/>
              </w:rPr>
              <w:t xml:space="preserve">presentan oferta, </w:t>
            </w:r>
            <w:r w:rsidR="009076B4" w:rsidRPr="00C15840">
              <w:rPr>
                <w:rFonts w:ascii="Arial" w:hAnsi="Arial" w:cs="Arial"/>
                <w:sz w:val="20"/>
                <w:szCs w:val="20"/>
                <w:lang w:val="es-ES"/>
              </w:rPr>
              <w:t xml:space="preserve">los </w:t>
            </w:r>
            <w:r w:rsidR="00652863" w:rsidRPr="00761A88">
              <w:rPr>
                <w:rFonts w:ascii="Arial" w:hAnsi="Arial" w:cs="Arial"/>
                <w:sz w:val="20"/>
                <w:szCs w:val="20"/>
                <w:lang w:val="es-ES"/>
              </w:rPr>
              <w:t>r</w:t>
            </w:r>
            <w:r w:rsidR="009076B4" w:rsidRPr="00761A88">
              <w:rPr>
                <w:rFonts w:ascii="Arial" w:hAnsi="Arial" w:cs="Arial"/>
                <w:sz w:val="20"/>
                <w:szCs w:val="20"/>
                <w:lang w:val="es-ES"/>
              </w:rPr>
              <w:t>estantes</w:t>
            </w:r>
            <w:r w:rsidR="00504D46" w:rsidRPr="00761A88">
              <w:rPr>
                <w:rFonts w:ascii="Arial" w:hAnsi="Arial" w:cs="Arial"/>
                <w:sz w:val="20"/>
                <w:szCs w:val="20"/>
                <w:lang w:val="es-ES"/>
              </w:rPr>
              <w:t xml:space="preserve"> </w:t>
            </w:r>
            <w:r w:rsidR="008F0B20" w:rsidRPr="00761A88">
              <w:rPr>
                <w:rFonts w:ascii="Arial" w:hAnsi="Arial" w:cs="Arial"/>
                <w:sz w:val="20"/>
                <w:szCs w:val="20"/>
                <w:lang w:val="es-ES"/>
              </w:rPr>
              <w:t>no</w:t>
            </w:r>
            <w:r w:rsidRPr="00761A88">
              <w:rPr>
                <w:rFonts w:ascii="Arial" w:hAnsi="Arial" w:cs="Arial"/>
                <w:sz w:val="20"/>
                <w:szCs w:val="20"/>
                <w:lang w:val="es-ES"/>
              </w:rPr>
              <w:t xml:space="preserve"> ofertan </w:t>
            </w:r>
            <w:r w:rsidR="008F0B20" w:rsidRPr="00761A88">
              <w:rPr>
                <w:rFonts w:ascii="Arial" w:hAnsi="Arial" w:cs="Arial"/>
                <w:sz w:val="20"/>
                <w:szCs w:val="20"/>
                <w:lang w:val="es-ES"/>
              </w:rPr>
              <w:t>los elementos requeridos</w:t>
            </w:r>
            <w:r w:rsidRPr="00761A88">
              <w:rPr>
                <w:rFonts w:ascii="Arial" w:hAnsi="Arial" w:cs="Arial"/>
                <w:sz w:val="20"/>
                <w:szCs w:val="20"/>
                <w:lang w:val="es-ES"/>
              </w:rPr>
              <w:t>.</w:t>
            </w:r>
          </w:p>
          <w:p w14:paraId="6BB964A0" w14:textId="634D68DB" w:rsidR="00E57446" w:rsidRPr="00761A88" w:rsidRDefault="00E57446" w:rsidP="0072211E">
            <w:pPr>
              <w:pStyle w:val="Prrafodelista"/>
              <w:numPr>
                <w:ilvl w:val="0"/>
                <w:numId w:val="44"/>
              </w:numPr>
              <w:autoSpaceDE w:val="0"/>
              <w:autoSpaceDN w:val="0"/>
              <w:adjustRightInd w:val="0"/>
              <w:jc w:val="both"/>
              <w:rPr>
                <w:rFonts w:ascii="Arial" w:hAnsi="Arial" w:cs="Arial"/>
                <w:sz w:val="20"/>
                <w:szCs w:val="20"/>
              </w:rPr>
            </w:pPr>
            <w:r w:rsidRPr="00761A88">
              <w:rPr>
                <w:rFonts w:ascii="Arial" w:hAnsi="Arial" w:cs="Arial"/>
                <w:sz w:val="20"/>
                <w:szCs w:val="20"/>
              </w:rPr>
              <w:t xml:space="preserve">Revisados los costos de las empresas ofertantes, la oferta presentada por la empresa </w:t>
            </w:r>
            <w:r w:rsidR="0075526C">
              <w:rPr>
                <w:rFonts w:ascii="Arial" w:hAnsi="Arial" w:cs="Arial"/>
                <w:sz w:val="20"/>
                <w:szCs w:val="20"/>
              </w:rPr>
              <w:t xml:space="preserve">VENEPLAST LTDA </w:t>
            </w:r>
            <w:r w:rsidRPr="00761A88">
              <w:rPr>
                <w:rFonts w:ascii="Arial" w:hAnsi="Arial" w:cs="Arial"/>
                <w:sz w:val="20"/>
                <w:szCs w:val="20"/>
              </w:rPr>
              <w:t xml:space="preserve">resulta ser la </w:t>
            </w:r>
            <w:r w:rsidR="004D38B8" w:rsidRPr="00761A88">
              <w:rPr>
                <w:rFonts w:ascii="Arial" w:hAnsi="Arial" w:cs="Arial"/>
                <w:sz w:val="20"/>
                <w:szCs w:val="20"/>
              </w:rPr>
              <w:t>más</w:t>
            </w:r>
            <w:r w:rsidRPr="00761A88">
              <w:rPr>
                <w:rFonts w:ascii="Arial" w:hAnsi="Arial" w:cs="Arial"/>
                <w:sz w:val="20"/>
                <w:szCs w:val="20"/>
              </w:rPr>
              <w:t xml:space="preserve"> favorable por ser la que tiene menores precios.</w:t>
            </w:r>
          </w:p>
          <w:p w14:paraId="03163A72" w14:textId="77777777" w:rsidR="0075526C" w:rsidRDefault="0075526C" w:rsidP="002805C4">
            <w:pPr>
              <w:autoSpaceDE w:val="0"/>
              <w:autoSpaceDN w:val="0"/>
              <w:adjustRightInd w:val="0"/>
              <w:jc w:val="both"/>
              <w:rPr>
                <w:rFonts w:ascii="Arial" w:hAnsi="Arial" w:cs="Arial"/>
                <w:sz w:val="20"/>
                <w:szCs w:val="20"/>
                <w:lang w:val="es-ES"/>
              </w:rPr>
            </w:pPr>
          </w:p>
          <w:p w14:paraId="55041CCA" w14:textId="30F2738D" w:rsidR="007F134D" w:rsidRDefault="00F162CD" w:rsidP="002805C4">
            <w:pPr>
              <w:autoSpaceDE w:val="0"/>
              <w:autoSpaceDN w:val="0"/>
              <w:adjustRightInd w:val="0"/>
              <w:jc w:val="both"/>
              <w:rPr>
                <w:rFonts w:ascii="Arial" w:hAnsi="Arial" w:cs="Arial"/>
                <w:sz w:val="20"/>
                <w:szCs w:val="20"/>
              </w:rPr>
            </w:pPr>
            <w:r w:rsidRPr="002805C4">
              <w:rPr>
                <w:rFonts w:ascii="Arial" w:hAnsi="Arial" w:cs="Arial"/>
                <w:sz w:val="20"/>
                <w:szCs w:val="20"/>
                <w:lang w:val="es-ES"/>
              </w:rPr>
              <w:t>Por lo anterior, s</w:t>
            </w:r>
            <w:proofErr w:type="spellStart"/>
            <w:r w:rsidR="00793C8A" w:rsidRPr="002805C4">
              <w:rPr>
                <w:rFonts w:ascii="Arial" w:hAnsi="Arial" w:cs="Arial"/>
                <w:sz w:val="20"/>
                <w:szCs w:val="20"/>
              </w:rPr>
              <w:t>e</w:t>
            </w:r>
            <w:proofErr w:type="spellEnd"/>
            <w:r w:rsidR="00793C8A" w:rsidRPr="002805C4">
              <w:rPr>
                <w:rFonts w:ascii="Arial" w:hAnsi="Arial" w:cs="Arial"/>
                <w:sz w:val="20"/>
                <w:szCs w:val="20"/>
              </w:rPr>
              <w:t xml:space="preserve"> decide comprar a través de</w:t>
            </w:r>
            <w:r w:rsidR="00A9341F" w:rsidRPr="002805C4">
              <w:rPr>
                <w:rFonts w:ascii="Arial" w:hAnsi="Arial" w:cs="Arial"/>
                <w:sz w:val="20"/>
                <w:szCs w:val="20"/>
              </w:rPr>
              <w:t xml:space="preserve">l Portal de Contratación Estatal C.C.E. </w:t>
            </w:r>
            <w:r w:rsidR="00793C8A" w:rsidRPr="002805C4">
              <w:rPr>
                <w:rFonts w:ascii="Arial" w:hAnsi="Arial" w:cs="Arial"/>
                <w:sz w:val="20"/>
                <w:szCs w:val="20"/>
              </w:rPr>
              <w:t xml:space="preserve">debido a las garantías que nos brinda realizar el proceso de adquisición por </w:t>
            </w:r>
            <w:r w:rsidR="00A9341F" w:rsidRPr="002805C4">
              <w:rPr>
                <w:rFonts w:ascii="Arial" w:hAnsi="Arial" w:cs="Arial"/>
                <w:sz w:val="20"/>
                <w:szCs w:val="20"/>
              </w:rPr>
              <w:t xml:space="preserve">la </w:t>
            </w:r>
            <w:r w:rsidR="00B50995" w:rsidRPr="002805C4">
              <w:rPr>
                <w:rFonts w:ascii="Arial" w:hAnsi="Arial" w:cs="Arial"/>
                <w:sz w:val="20"/>
                <w:szCs w:val="20"/>
              </w:rPr>
              <w:t xml:space="preserve">TVEC </w:t>
            </w:r>
            <w:r w:rsidR="00A9341F" w:rsidRPr="002805C4">
              <w:rPr>
                <w:rFonts w:ascii="Arial" w:hAnsi="Arial" w:cs="Arial"/>
                <w:sz w:val="20"/>
                <w:szCs w:val="20"/>
              </w:rPr>
              <w:t xml:space="preserve">GRANDES </w:t>
            </w:r>
            <w:r w:rsidR="00504D46">
              <w:rPr>
                <w:rFonts w:ascii="Arial" w:hAnsi="Arial" w:cs="Arial"/>
                <w:sz w:val="20"/>
                <w:szCs w:val="20"/>
              </w:rPr>
              <w:t>ALMACENES</w:t>
            </w:r>
            <w:r w:rsidR="00793C8A" w:rsidRPr="002805C4">
              <w:rPr>
                <w:rFonts w:ascii="Arial" w:hAnsi="Arial" w:cs="Arial"/>
                <w:sz w:val="20"/>
                <w:szCs w:val="20"/>
              </w:rPr>
              <w:t>, de no hacerlo nos veríamos obligados a adelantar un proceso de Compra por fuera del mismo, arriesgándonos al incumplimiento y malas prácticas de proveedores externos</w:t>
            </w:r>
            <w:r w:rsidR="003C23A9">
              <w:rPr>
                <w:rFonts w:ascii="Arial" w:hAnsi="Arial" w:cs="Arial"/>
                <w:sz w:val="20"/>
                <w:szCs w:val="20"/>
              </w:rPr>
              <w:t>, aunado al hecho de que de conformidad con lo dispuesto por el manual de contratación, se debe realizar la compra a través de esta herramienta</w:t>
            </w:r>
            <w:r w:rsidR="00A9341F" w:rsidRPr="002805C4">
              <w:rPr>
                <w:rFonts w:ascii="Arial" w:hAnsi="Arial" w:cs="Arial"/>
                <w:sz w:val="20"/>
                <w:szCs w:val="20"/>
              </w:rPr>
              <w:t xml:space="preserve">. </w:t>
            </w:r>
            <w:r w:rsidR="00A61D08" w:rsidRPr="002805C4">
              <w:rPr>
                <w:rFonts w:ascii="Arial" w:hAnsi="Arial" w:cs="Arial"/>
                <w:bCs/>
                <w:sz w:val="20"/>
                <w:szCs w:val="20"/>
                <w:lang w:val="es-ES"/>
              </w:rPr>
              <w:t xml:space="preserve">En consecuencia, </w:t>
            </w:r>
            <w:r w:rsidR="006D5FCE" w:rsidRPr="002805C4">
              <w:rPr>
                <w:rFonts w:ascii="Arial" w:hAnsi="Arial" w:cs="Arial"/>
                <w:bCs/>
                <w:sz w:val="20"/>
                <w:szCs w:val="20"/>
              </w:rPr>
              <w:t>procederemos a realizar la compra a través de la TVEC – Gran</w:t>
            </w:r>
            <w:r w:rsidR="00EA3BE7" w:rsidRPr="002805C4">
              <w:rPr>
                <w:rFonts w:ascii="Arial" w:hAnsi="Arial" w:cs="Arial"/>
                <w:bCs/>
                <w:sz w:val="20"/>
                <w:szCs w:val="20"/>
              </w:rPr>
              <w:t xml:space="preserve">des </w:t>
            </w:r>
            <w:r w:rsidR="00504D46">
              <w:rPr>
                <w:rFonts w:ascii="Arial" w:hAnsi="Arial" w:cs="Arial"/>
                <w:bCs/>
                <w:sz w:val="20"/>
                <w:szCs w:val="20"/>
              </w:rPr>
              <w:t>Almacenes</w:t>
            </w:r>
            <w:r w:rsidR="006D5FCE" w:rsidRPr="002805C4">
              <w:rPr>
                <w:rFonts w:ascii="Arial" w:hAnsi="Arial" w:cs="Arial"/>
                <w:bCs/>
                <w:sz w:val="20"/>
                <w:szCs w:val="20"/>
              </w:rPr>
              <w:t xml:space="preserve">, modalidad mínima cuantía, </w:t>
            </w:r>
            <w:r w:rsidR="006D5FCE" w:rsidRPr="002805C4">
              <w:rPr>
                <w:rFonts w:ascii="Arial" w:hAnsi="Arial" w:cs="Arial"/>
                <w:sz w:val="20"/>
                <w:szCs w:val="20"/>
              </w:rPr>
              <w:t xml:space="preserve">contratando con la oferta más </w:t>
            </w:r>
            <w:r w:rsidR="00CB1854">
              <w:rPr>
                <w:rFonts w:ascii="Arial" w:hAnsi="Arial" w:cs="Arial"/>
                <w:sz w:val="20"/>
                <w:szCs w:val="20"/>
              </w:rPr>
              <w:t xml:space="preserve">favorable </w:t>
            </w:r>
            <w:r w:rsidR="007C1E45">
              <w:rPr>
                <w:rFonts w:ascii="Arial" w:hAnsi="Arial" w:cs="Arial"/>
                <w:sz w:val="20"/>
                <w:szCs w:val="20"/>
              </w:rPr>
              <w:t xml:space="preserve">a </w:t>
            </w:r>
            <w:r w:rsidR="00A51331">
              <w:rPr>
                <w:rFonts w:ascii="Arial" w:hAnsi="Arial" w:cs="Arial"/>
                <w:sz w:val="20"/>
                <w:szCs w:val="20"/>
              </w:rPr>
              <w:t xml:space="preserve">VENEPLAST LTDA </w:t>
            </w:r>
            <w:r w:rsidR="002C08DC" w:rsidRPr="002805C4">
              <w:rPr>
                <w:rFonts w:ascii="Arial" w:hAnsi="Arial" w:cs="Arial"/>
                <w:sz w:val="20"/>
                <w:szCs w:val="20"/>
              </w:rPr>
              <w:t>así</w:t>
            </w:r>
            <w:r w:rsidR="00B50B1E" w:rsidRPr="002805C4">
              <w:rPr>
                <w:rFonts w:ascii="Arial" w:hAnsi="Arial" w:cs="Arial"/>
                <w:sz w:val="20"/>
                <w:szCs w:val="20"/>
              </w:rPr>
              <w:t>:</w:t>
            </w:r>
          </w:p>
          <w:p w14:paraId="1713E688" w14:textId="37ED5F86" w:rsidR="002B0A87" w:rsidRDefault="002B0A87" w:rsidP="002805C4">
            <w:pPr>
              <w:autoSpaceDE w:val="0"/>
              <w:autoSpaceDN w:val="0"/>
              <w:adjustRightInd w:val="0"/>
              <w:jc w:val="both"/>
              <w:rPr>
                <w:rFonts w:ascii="Arial" w:hAnsi="Arial" w:cs="Arial"/>
                <w:sz w:val="20"/>
                <w:szCs w:val="20"/>
              </w:rPr>
            </w:pPr>
          </w:p>
          <w:tbl>
            <w:tblPr>
              <w:tblW w:w="9300" w:type="dxa"/>
              <w:jc w:val="center"/>
              <w:tblCellMar>
                <w:left w:w="70" w:type="dxa"/>
                <w:right w:w="70" w:type="dxa"/>
              </w:tblCellMar>
              <w:tblLook w:val="04A0" w:firstRow="1" w:lastRow="0" w:firstColumn="1" w:lastColumn="0" w:noHBand="0" w:noVBand="1"/>
            </w:tblPr>
            <w:tblGrid>
              <w:gridCol w:w="500"/>
              <w:gridCol w:w="3640"/>
              <w:gridCol w:w="700"/>
              <w:gridCol w:w="860"/>
              <w:gridCol w:w="2400"/>
              <w:gridCol w:w="1200"/>
            </w:tblGrid>
            <w:tr w:rsidR="00A51331" w:rsidRPr="00A51331" w14:paraId="4EF524B8" w14:textId="77777777" w:rsidTr="00A51331">
              <w:trPr>
                <w:trHeight w:val="216"/>
                <w:jc w:val="center"/>
              </w:trPr>
              <w:tc>
                <w:tcPr>
                  <w:tcW w:w="500" w:type="dxa"/>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6DFEEED"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ITEM</w:t>
                  </w:r>
                </w:p>
              </w:tc>
              <w:tc>
                <w:tcPr>
                  <w:tcW w:w="3640" w:type="dxa"/>
                  <w:vMerge w:val="restart"/>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7DDAEFF"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ELEMENTO</w:t>
                  </w:r>
                </w:p>
              </w:tc>
              <w:tc>
                <w:tcPr>
                  <w:tcW w:w="700" w:type="dxa"/>
                  <w:vMerge w:val="restart"/>
                  <w:tcBorders>
                    <w:top w:val="single" w:sz="8" w:space="0" w:color="auto"/>
                    <w:left w:val="single" w:sz="8" w:space="0" w:color="auto"/>
                    <w:bottom w:val="single" w:sz="8" w:space="0" w:color="auto"/>
                    <w:right w:val="single" w:sz="8" w:space="0" w:color="auto"/>
                  </w:tcBorders>
                  <w:shd w:val="clear" w:color="000000" w:fill="F2F2F2"/>
                  <w:vAlign w:val="center"/>
                  <w:hideMark/>
                </w:tcPr>
                <w:p w14:paraId="6E8F4F9D"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UNIDAD</w:t>
                  </w:r>
                </w:p>
              </w:tc>
              <w:tc>
                <w:tcPr>
                  <w:tcW w:w="8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AEE3838"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CANTIDAD</w:t>
                  </w:r>
                </w:p>
              </w:tc>
              <w:tc>
                <w:tcPr>
                  <w:tcW w:w="3600" w:type="dxa"/>
                  <w:gridSpan w:val="2"/>
                  <w:tcBorders>
                    <w:top w:val="single" w:sz="8" w:space="0" w:color="auto"/>
                    <w:left w:val="nil"/>
                    <w:bottom w:val="single" w:sz="8" w:space="0" w:color="auto"/>
                    <w:right w:val="single" w:sz="8" w:space="0" w:color="000000"/>
                  </w:tcBorders>
                  <w:shd w:val="clear" w:color="000000" w:fill="F2F2F2"/>
                  <w:vAlign w:val="center"/>
                  <w:hideMark/>
                </w:tcPr>
                <w:p w14:paraId="6FEF6B52"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TVEC C.C.E. GRANDES SUPERFICIES</w:t>
                  </w:r>
                </w:p>
              </w:tc>
            </w:tr>
            <w:tr w:rsidR="00A51331" w:rsidRPr="00A51331" w14:paraId="685EEBEF" w14:textId="77777777" w:rsidTr="00A51331">
              <w:trPr>
                <w:trHeight w:val="216"/>
                <w:jc w:val="center"/>
              </w:trPr>
              <w:tc>
                <w:tcPr>
                  <w:tcW w:w="500" w:type="dxa"/>
                  <w:vMerge/>
                  <w:tcBorders>
                    <w:top w:val="single" w:sz="8" w:space="0" w:color="auto"/>
                    <w:left w:val="single" w:sz="8" w:space="0" w:color="auto"/>
                    <w:bottom w:val="single" w:sz="8" w:space="0" w:color="auto"/>
                    <w:right w:val="single" w:sz="8" w:space="0" w:color="auto"/>
                  </w:tcBorders>
                  <w:vAlign w:val="center"/>
                  <w:hideMark/>
                </w:tcPr>
                <w:p w14:paraId="2D8E9178" w14:textId="77777777" w:rsidR="00A51331" w:rsidRPr="00A51331" w:rsidRDefault="00A51331" w:rsidP="00A51331">
                  <w:pPr>
                    <w:rPr>
                      <w:rFonts w:ascii="Calibri" w:hAnsi="Calibri" w:cs="Calibri"/>
                      <w:b/>
                      <w:bCs/>
                      <w:color w:val="000000"/>
                      <w:sz w:val="16"/>
                      <w:szCs w:val="16"/>
                    </w:rPr>
                  </w:pPr>
                </w:p>
              </w:tc>
              <w:tc>
                <w:tcPr>
                  <w:tcW w:w="3640" w:type="dxa"/>
                  <w:vMerge/>
                  <w:tcBorders>
                    <w:top w:val="single" w:sz="8" w:space="0" w:color="auto"/>
                    <w:left w:val="single" w:sz="8" w:space="0" w:color="auto"/>
                    <w:bottom w:val="single" w:sz="8" w:space="0" w:color="auto"/>
                    <w:right w:val="single" w:sz="8" w:space="0" w:color="auto"/>
                  </w:tcBorders>
                  <w:vAlign w:val="center"/>
                  <w:hideMark/>
                </w:tcPr>
                <w:p w14:paraId="516F6E47" w14:textId="77777777" w:rsidR="00A51331" w:rsidRPr="00A51331" w:rsidRDefault="00A51331" w:rsidP="00A51331">
                  <w:pPr>
                    <w:rPr>
                      <w:rFonts w:ascii="Calibri" w:hAnsi="Calibri" w:cs="Calibri"/>
                      <w:b/>
                      <w:bCs/>
                      <w:color w:val="000000"/>
                      <w:sz w:val="16"/>
                      <w:szCs w:val="16"/>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14:paraId="3AE670C9" w14:textId="77777777" w:rsidR="00A51331" w:rsidRPr="00A51331" w:rsidRDefault="00A51331" w:rsidP="00A51331">
                  <w:pPr>
                    <w:rPr>
                      <w:rFonts w:ascii="Calibri" w:hAnsi="Calibri" w:cs="Calibri"/>
                      <w:b/>
                      <w:bCs/>
                      <w:color w:val="000000"/>
                      <w:sz w:val="16"/>
                      <w:szCs w:val="16"/>
                    </w:rPr>
                  </w:pPr>
                </w:p>
              </w:tc>
              <w:tc>
                <w:tcPr>
                  <w:tcW w:w="860" w:type="dxa"/>
                  <w:vMerge/>
                  <w:tcBorders>
                    <w:top w:val="single" w:sz="8" w:space="0" w:color="auto"/>
                    <w:left w:val="single" w:sz="8" w:space="0" w:color="auto"/>
                    <w:bottom w:val="single" w:sz="8" w:space="0" w:color="000000"/>
                    <w:right w:val="single" w:sz="8" w:space="0" w:color="auto"/>
                  </w:tcBorders>
                  <w:vAlign w:val="center"/>
                  <w:hideMark/>
                </w:tcPr>
                <w:p w14:paraId="3581A470" w14:textId="77777777" w:rsidR="00A51331" w:rsidRPr="00A51331" w:rsidRDefault="00A51331" w:rsidP="00A51331">
                  <w:pPr>
                    <w:rPr>
                      <w:rFonts w:ascii="Calibri" w:hAnsi="Calibri" w:cs="Calibri"/>
                      <w:b/>
                      <w:bCs/>
                      <w:color w:val="000000"/>
                      <w:sz w:val="16"/>
                      <w:szCs w:val="16"/>
                    </w:rPr>
                  </w:pPr>
                </w:p>
              </w:tc>
              <w:tc>
                <w:tcPr>
                  <w:tcW w:w="2400" w:type="dxa"/>
                  <w:tcBorders>
                    <w:top w:val="nil"/>
                    <w:left w:val="nil"/>
                    <w:bottom w:val="single" w:sz="8" w:space="0" w:color="auto"/>
                    <w:right w:val="single" w:sz="8" w:space="0" w:color="auto"/>
                  </w:tcBorders>
                  <w:shd w:val="clear" w:color="000000" w:fill="F2F2F2"/>
                  <w:vAlign w:val="center"/>
                  <w:hideMark/>
                </w:tcPr>
                <w:p w14:paraId="498E3939"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 xml:space="preserve">VENEPLAST </w:t>
                  </w:r>
                </w:p>
              </w:tc>
              <w:tc>
                <w:tcPr>
                  <w:tcW w:w="1200" w:type="dxa"/>
                  <w:tcBorders>
                    <w:top w:val="nil"/>
                    <w:left w:val="nil"/>
                    <w:bottom w:val="single" w:sz="8" w:space="0" w:color="auto"/>
                    <w:right w:val="single" w:sz="8" w:space="0" w:color="auto"/>
                  </w:tcBorders>
                  <w:shd w:val="clear" w:color="000000" w:fill="F2F2F2"/>
                  <w:vAlign w:val="center"/>
                  <w:hideMark/>
                </w:tcPr>
                <w:p w14:paraId="7036260E" w14:textId="77777777" w:rsidR="00A51331" w:rsidRPr="00A51331" w:rsidRDefault="00A51331" w:rsidP="00A51331">
                  <w:pPr>
                    <w:jc w:val="center"/>
                    <w:rPr>
                      <w:rFonts w:ascii="Calibri" w:hAnsi="Calibri" w:cs="Calibri"/>
                      <w:b/>
                      <w:bCs/>
                      <w:color w:val="000000"/>
                      <w:sz w:val="16"/>
                      <w:szCs w:val="16"/>
                    </w:rPr>
                  </w:pPr>
                  <w:r w:rsidRPr="00A51331">
                    <w:rPr>
                      <w:rFonts w:ascii="Calibri" w:hAnsi="Calibri" w:cs="Calibri"/>
                      <w:b/>
                      <w:bCs/>
                      <w:color w:val="000000"/>
                      <w:sz w:val="16"/>
                      <w:szCs w:val="16"/>
                    </w:rPr>
                    <w:t>TOTAL</w:t>
                  </w:r>
                </w:p>
              </w:tc>
            </w:tr>
            <w:tr w:rsidR="00A51331" w:rsidRPr="00A51331" w14:paraId="5AF99DDD" w14:textId="77777777" w:rsidTr="00A51331">
              <w:trPr>
                <w:trHeight w:val="216"/>
                <w:jc w:val="center"/>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1C8E0B9D" w14:textId="77777777" w:rsidR="00A51331" w:rsidRPr="00A51331" w:rsidRDefault="00A51331" w:rsidP="00A51331">
                  <w:pPr>
                    <w:jc w:val="center"/>
                    <w:rPr>
                      <w:rFonts w:ascii="Calibri" w:hAnsi="Calibri" w:cs="Calibri"/>
                      <w:color w:val="000000"/>
                      <w:sz w:val="16"/>
                      <w:szCs w:val="16"/>
                    </w:rPr>
                  </w:pPr>
                  <w:r w:rsidRPr="00A51331">
                    <w:rPr>
                      <w:rFonts w:ascii="Calibri" w:hAnsi="Calibri" w:cs="Calibri"/>
                      <w:color w:val="000000"/>
                      <w:sz w:val="16"/>
                      <w:szCs w:val="16"/>
                    </w:rPr>
                    <w:t>1</w:t>
                  </w:r>
                </w:p>
              </w:tc>
              <w:tc>
                <w:tcPr>
                  <w:tcW w:w="3640" w:type="dxa"/>
                  <w:tcBorders>
                    <w:top w:val="nil"/>
                    <w:left w:val="nil"/>
                    <w:bottom w:val="single" w:sz="8" w:space="0" w:color="auto"/>
                    <w:right w:val="single" w:sz="8" w:space="0" w:color="auto"/>
                  </w:tcBorders>
                  <w:shd w:val="clear" w:color="auto" w:fill="auto"/>
                  <w:noWrap/>
                  <w:vAlign w:val="bottom"/>
                  <w:hideMark/>
                </w:tcPr>
                <w:p w14:paraId="10604D12" w14:textId="77777777" w:rsidR="00A51331" w:rsidRPr="00A51331" w:rsidRDefault="00A51331" w:rsidP="00A51331">
                  <w:pPr>
                    <w:rPr>
                      <w:rFonts w:ascii="Calibri" w:hAnsi="Calibri" w:cs="Calibri"/>
                      <w:color w:val="000000"/>
                      <w:sz w:val="16"/>
                      <w:szCs w:val="16"/>
                    </w:rPr>
                  </w:pPr>
                  <w:r w:rsidRPr="00A51331">
                    <w:rPr>
                      <w:rFonts w:ascii="Calibri" w:hAnsi="Calibri" w:cs="Calibri"/>
                      <w:color w:val="000000"/>
                      <w:sz w:val="16"/>
                      <w:szCs w:val="16"/>
                    </w:rPr>
                    <w:t>COMPUTADOR PORTATIL</w:t>
                  </w:r>
                </w:p>
              </w:tc>
              <w:tc>
                <w:tcPr>
                  <w:tcW w:w="700" w:type="dxa"/>
                  <w:tcBorders>
                    <w:top w:val="nil"/>
                    <w:left w:val="nil"/>
                    <w:bottom w:val="single" w:sz="8" w:space="0" w:color="auto"/>
                    <w:right w:val="single" w:sz="8" w:space="0" w:color="auto"/>
                  </w:tcBorders>
                  <w:shd w:val="clear" w:color="auto" w:fill="auto"/>
                  <w:noWrap/>
                  <w:vAlign w:val="bottom"/>
                  <w:hideMark/>
                </w:tcPr>
                <w:p w14:paraId="59796682" w14:textId="77777777" w:rsidR="00A51331" w:rsidRPr="00A51331" w:rsidRDefault="00A51331" w:rsidP="00A51331">
                  <w:pPr>
                    <w:jc w:val="center"/>
                    <w:rPr>
                      <w:rFonts w:ascii="Calibri" w:hAnsi="Calibri" w:cs="Calibri"/>
                      <w:color w:val="000000"/>
                      <w:sz w:val="16"/>
                      <w:szCs w:val="16"/>
                    </w:rPr>
                  </w:pPr>
                  <w:r w:rsidRPr="00A51331">
                    <w:rPr>
                      <w:rFonts w:ascii="Calibri" w:hAnsi="Calibri" w:cs="Calibri"/>
                      <w:color w:val="000000"/>
                      <w:sz w:val="16"/>
                      <w:szCs w:val="16"/>
                    </w:rPr>
                    <w:t>UNIDAD</w:t>
                  </w:r>
                </w:p>
              </w:tc>
              <w:tc>
                <w:tcPr>
                  <w:tcW w:w="860" w:type="dxa"/>
                  <w:tcBorders>
                    <w:top w:val="nil"/>
                    <w:left w:val="nil"/>
                    <w:bottom w:val="single" w:sz="8" w:space="0" w:color="auto"/>
                    <w:right w:val="single" w:sz="8" w:space="0" w:color="auto"/>
                  </w:tcBorders>
                  <w:shd w:val="clear" w:color="auto" w:fill="auto"/>
                  <w:noWrap/>
                  <w:vAlign w:val="bottom"/>
                  <w:hideMark/>
                </w:tcPr>
                <w:p w14:paraId="215E6132" w14:textId="77777777" w:rsidR="00A51331" w:rsidRPr="00A51331" w:rsidRDefault="00A51331" w:rsidP="00A51331">
                  <w:pPr>
                    <w:jc w:val="center"/>
                    <w:rPr>
                      <w:rFonts w:ascii="Calibri" w:hAnsi="Calibri" w:cs="Calibri"/>
                      <w:color w:val="000000"/>
                      <w:sz w:val="16"/>
                      <w:szCs w:val="16"/>
                    </w:rPr>
                  </w:pPr>
                  <w:r w:rsidRPr="00A51331">
                    <w:rPr>
                      <w:rFonts w:ascii="Calibri" w:hAnsi="Calibri" w:cs="Calibri"/>
                      <w:color w:val="000000"/>
                      <w:sz w:val="16"/>
                      <w:szCs w:val="16"/>
                    </w:rPr>
                    <w:t>2</w:t>
                  </w:r>
                </w:p>
              </w:tc>
              <w:tc>
                <w:tcPr>
                  <w:tcW w:w="2400" w:type="dxa"/>
                  <w:tcBorders>
                    <w:top w:val="nil"/>
                    <w:left w:val="nil"/>
                    <w:bottom w:val="single" w:sz="8" w:space="0" w:color="auto"/>
                    <w:right w:val="single" w:sz="8" w:space="0" w:color="auto"/>
                  </w:tcBorders>
                  <w:shd w:val="clear" w:color="auto" w:fill="auto"/>
                  <w:noWrap/>
                  <w:vAlign w:val="bottom"/>
                  <w:hideMark/>
                </w:tcPr>
                <w:p w14:paraId="3CC37815" w14:textId="77777777" w:rsidR="00A51331" w:rsidRPr="00A51331" w:rsidRDefault="00A51331" w:rsidP="00A51331">
                  <w:pPr>
                    <w:jc w:val="right"/>
                    <w:rPr>
                      <w:rFonts w:ascii="Calibri" w:hAnsi="Calibri" w:cs="Calibri"/>
                      <w:color w:val="000000"/>
                      <w:sz w:val="16"/>
                      <w:szCs w:val="16"/>
                    </w:rPr>
                  </w:pPr>
                  <w:r w:rsidRPr="00A51331">
                    <w:rPr>
                      <w:rFonts w:ascii="Calibri" w:hAnsi="Calibri" w:cs="Calibri"/>
                      <w:color w:val="000000"/>
                      <w:sz w:val="16"/>
                      <w:szCs w:val="16"/>
                    </w:rPr>
                    <w:t>$ 6.150.000,00</w:t>
                  </w:r>
                </w:p>
              </w:tc>
              <w:tc>
                <w:tcPr>
                  <w:tcW w:w="1200" w:type="dxa"/>
                  <w:tcBorders>
                    <w:top w:val="nil"/>
                    <w:left w:val="nil"/>
                    <w:bottom w:val="single" w:sz="8" w:space="0" w:color="auto"/>
                    <w:right w:val="single" w:sz="8" w:space="0" w:color="auto"/>
                  </w:tcBorders>
                  <w:shd w:val="clear" w:color="auto" w:fill="auto"/>
                  <w:noWrap/>
                  <w:vAlign w:val="bottom"/>
                  <w:hideMark/>
                </w:tcPr>
                <w:p w14:paraId="31E28AF5" w14:textId="77777777" w:rsidR="00A51331" w:rsidRPr="00A51331" w:rsidRDefault="00A51331" w:rsidP="00A51331">
                  <w:pPr>
                    <w:jc w:val="right"/>
                    <w:rPr>
                      <w:rFonts w:ascii="Calibri" w:hAnsi="Calibri" w:cs="Calibri"/>
                      <w:color w:val="000000"/>
                      <w:sz w:val="16"/>
                      <w:szCs w:val="16"/>
                    </w:rPr>
                  </w:pPr>
                  <w:r w:rsidRPr="00A51331">
                    <w:rPr>
                      <w:rFonts w:ascii="Calibri" w:hAnsi="Calibri" w:cs="Calibri"/>
                      <w:color w:val="000000"/>
                      <w:sz w:val="16"/>
                      <w:szCs w:val="16"/>
                    </w:rPr>
                    <w:t>$ 12.300.000,00</w:t>
                  </w:r>
                </w:p>
              </w:tc>
            </w:tr>
            <w:tr w:rsidR="00A51331" w:rsidRPr="00A51331" w14:paraId="49775EA8" w14:textId="77777777" w:rsidTr="00A51331">
              <w:trPr>
                <w:trHeight w:val="216"/>
                <w:jc w:val="center"/>
              </w:trPr>
              <w:tc>
                <w:tcPr>
                  <w:tcW w:w="500" w:type="dxa"/>
                  <w:tcBorders>
                    <w:top w:val="nil"/>
                    <w:left w:val="nil"/>
                    <w:bottom w:val="nil"/>
                    <w:right w:val="nil"/>
                  </w:tcBorders>
                  <w:shd w:val="clear" w:color="auto" w:fill="auto"/>
                  <w:noWrap/>
                  <w:vAlign w:val="bottom"/>
                  <w:hideMark/>
                </w:tcPr>
                <w:p w14:paraId="3529FE5A" w14:textId="77777777" w:rsidR="00A51331" w:rsidRPr="00A51331" w:rsidRDefault="00A51331" w:rsidP="00A51331">
                  <w:pPr>
                    <w:jc w:val="right"/>
                    <w:rPr>
                      <w:rFonts w:ascii="Calibri" w:hAnsi="Calibri" w:cs="Calibri"/>
                      <w:color w:val="000000"/>
                      <w:sz w:val="16"/>
                      <w:szCs w:val="16"/>
                    </w:rPr>
                  </w:pPr>
                </w:p>
              </w:tc>
              <w:tc>
                <w:tcPr>
                  <w:tcW w:w="3640" w:type="dxa"/>
                  <w:tcBorders>
                    <w:top w:val="nil"/>
                    <w:left w:val="nil"/>
                    <w:bottom w:val="nil"/>
                    <w:right w:val="nil"/>
                  </w:tcBorders>
                  <w:shd w:val="clear" w:color="auto" w:fill="auto"/>
                  <w:noWrap/>
                  <w:vAlign w:val="bottom"/>
                  <w:hideMark/>
                </w:tcPr>
                <w:p w14:paraId="270F9F15" w14:textId="77777777" w:rsidR="00A51331" w:rsidRPr="00A51331" w:rsidRDefault="00A51331" w:rsidP="00A51331">
                  <w:pPr>
                    <w:rPr>
                      <w:sz w:val="20"/>
                      <w:szCs w:val="20"/>
                    </w:rPr>
                  </w:pPr>
                </w:p>
              </w:tc>
              <w:tc>
                <w:tcPr>
                  <w:tcW w:w="700" w:type="dxa"/>
                  <w:tcBorders>
                    <w:top w:val="nil"/>
                    <w:left w:val="nil"/>
                    <w:bottom w:val="nil"/>
                    <w:right w:val="nil"/>
                  </w:tcBorders>
                  <w:shd w:val="clear" w:color="auto" w:fill="auto"/>
                  <w:noWrap/>
                  <w:vAlign w:val="bottom"/>
                  <w:hideMark/>
                </w:tcPr>
                <w:p w14:paraId="1D56C10C" w14:textId="77777777" w:rsidR="00A51331" w:rsidRPr="00A51331" w:rsidRDefault="00A51331" w:rsidP="00A51331">
                  <w:pPr>
                    <w:rPr>
                      <w:sz w:val="20"/>
                      <w:szCs w:val="20"/>
                    </w:rPr>
                  </w:pPr>
                </w:p>
              </w:tc>
              <w:tc>
                <w:tcPr>
                  <w:tcW w:w="860" w:type="dxa"/>
                  <w:tcBorders>
                    <w:top w:val="nil"/>
                    <w:left w:val="nil"/>
                    <w:bottom w:val="nil"/>
                    <w:right w:val="nil"/>
                  </w:tcBorders>
                  <w:shd w:val="clear" w:color="auto" w:fill="auto"/>
                  <w:noWrap/>
                  <w:vAlign w:val="bottom"/>
                  <w:hideMark/>
                </w:tcPr>
                <w:p w14:paraId="2438A9BA" w14:textId="77777777" w:rsidR="00A51331" w:rsidRPr="00A51331" w:rsidRDefault="00A51331" w:rsidP="00A51331">
                  <w:pPr>
                    <w:rPr>
                      <w:sz w:val="20"/>
                      <w:szCs w:val="20"/>
                    </w:rPr>
                  </w:pPr>
                </w:p>
              </w:tc>
              <w:tc>
                <w:tcPr>
                  <w:tcW w:w="2400" w:type="dxa"/>
                  <w:tcBorders>
                    <w:top w:val="nil"/>
                    <w:left w:val="nil"/>
                    <w:bottom w:val="nil"/>
                    <w:right w:val="nil"/>
                  </w:tcBorders>
                  <w:shd w:val="clear" w:color="auto" w:fill="auto"/>
                  <w:noWrap/>
                  <w:vAlign w:val="bottom"/>
                  <w:hideMark/>
                </w:tcPr>
                <w:p w14:paraId="2CD3F92C" w14:textId="77777777" w:rsidR="00A51331" w:rsidRPr="00A51331" w:rsidRDefault="00A51331" w:rsidP="00A51331">
                  <w:pPr>
                    <w:rPr>
                      <w:sz w:val="20"/>
                      <w:szCs w:val="20"/>
                    </w:rPr>
                  </w:pP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B0AD417" w14:textId="77777777" w:rsidR="00A51331" w:rsidRPr="00A51331" w:rsidRDefault="00A51331" w:rsidP="00A51331">
                  <w:pPr>
                    <w:jc w:val="right"/>
                    <w:rPr>
                      <w:rFonts w:ascii="Calibri" w:hAnsi="Calibri" w:cs="Calibri"/>
                      <w:b/>
                      <w:bCs/>
                      <w:color w:val="000000"/>
                      <w:sz w:val="16"/>
                      <w:szCs w:val="16"/>
                    </w:rPr>
                  </w:pPr>
                  <w:r w:rsidRPr="00A51331">
                    <w:rPr>
                      <w:rFonts w:ascii="Calibri" w:hAnsi="Calibri" w:cs="Calibri"/>
                      <w:b/>
                      <w:bCs/>
                      <w:color w:val="000000"/>
                      <w:sz w:val="16"/>
                      <w:szCs w:val="16"/>
                    </w:rPr>
                    <w:t>$ 12.300.000,00</w:t>
                  </w:r>
                </w:p>
              </w:tc>
            </w:tr>
          </w:tbl>
          <w:p w14:paraId="4D9F9B57" w14:textId="7B203DB8" w:rsidR="00133569" w:rsidRPr="000F083E" w:rsidRDefault="00133569" w:rsidP="002A4576">
            <w:pPr>
              <w:autoSpaceDE w:val="0"/>
              <w:autoSpaceDN w:val="0"/>
              <w:adjustRightInd w:val="0"/>
              <w:jc w:val="both"/>
              <w:rPr>
                <w:rFonts w:ascii="Arial" w:hAnsi="Arial" w:cs="Arial"/>
                <w:sz w:val="20"/>
                <w:szCs w:val="20"/>
              </w:rPr>
            </w:pPr>
          </w:p>
        </w:tc>
      </w:tr>
      <w:tr w:rsidR="00DE713C" w:rsidRPr="000F083E" w14:paraId="31A0767B" w14:textId="77777777" w:rsidTr="00894086">
        <w:trPr>
          <w:trHeight w:val="380"/>
        </w:trPr>
        <w:tc>
          <w:tcPr>
            <w:tcW w:w="5000" w:type="pct"/>
            <w:gridSpan w:val="4"/>
          </w:tcPr>
          <w:p w14:paraId="3A38D718" w14:textId="77777777" w:rsidR="00DE713C" w:rsidRPr="000F083E" w:rsidRDefault="00DE713C" w:rsidP="00FF071E">
            <w:pPr>
              <w:suppressAutoHyphens/>
              <w:jc w:val="both"/>
              <w:rPr>
                <w:rFonts w:ascii="Arial" w:hAnsi="Arial" w:cs="Arial"/>
                <w:sz w:val="20"/>
                <w:szCs w:val="20"/>
              </w:rPr>
            </w:pPr>
            <w:r w:rsidRPr="000F083E">
              <w:rPr>
                <w:rFonts w:ascii="Arial" w:hAnsi="Arial" w:cs="Arial"/>
                <w:b/>
                <w:sz w:val="20"/>
                <w:szCs w:val="20"/>
              </w:rPr>
              <w:lastRenderedPageBreak/>
              <w:t>3.2. CLASIFICACIÓN UNSPSC</w:t>
            </w:r>
          </w:p>
        </w:tc>
      </w:tr>
      <w:tr w:rsidR="00DE713C" w:rsidRPr="000F083E" w14:paraId="49E6D2D0" w14:textId="77777777" w:rsidTr="00894086">
        <w:trPr>
          <w:trHeight w:val="848"/>
        </w:trPr>
        <w:tc>
          <w:tcPr>
            <w:tcW w:w="5000" w:type="pct"/>
            <w:gridSpan w:val="4"/>
          </w:tcPr>
          <w:p w14:paraId="73EE2073" w14:textId="77777777" w:rsidR="00DE713C" w:rsidRPr="000F083E" w:rsidRDefault="00DE713C" w:rsidP="00EA1A9F">
            <w:pPr>
              <w:spacing w:before="60" w:after="120"/>
              <w:ind w:left="140" w:right="284"/>
              <w:jc w:val="both"/>
              <w:rPr>
                <w:rFonts w:ascii="Arial" w:hAnsi="Arial" w:cs="Arial"/>
                <w:sz w:val="20"/>
                <w:szCs w:val="20"/>
              </w:rPr>
            </w:pPr>
            <w:r w:rsidRPr="000F083E">
              <w:rPr>
                <w:rFonts w:ascii="Arial" w:hAnsi="Arial" w:cs="Arial"/>
                <w:sz w:val="20"/>
                <w:szCs w:val="20"/>
              </w:rPr>
              <w:t>Dentro del Plan Anual de Adquisiciones de la presente vigencia se encuentra registrado el servicio que se requiere contratar con el código de la UNSPSC:</w:t>
            </w:r>
          </w:p>
          <w:p w14:paraId="21569DF7" w14:textId="67977735" w:rsidR="006D7FF8" w:rsidRDefault="00DE713C" w:rsidP="002A0A13">
            <w:pPr>
              <w:spacing w:before="60" w:after="120"/>
              <w:ind w:left="140" w:right="284"/>
              <w:jc w:val="both"/>
              <w:rPr>
                <w:rFonts w:ascii="Arial" w:hAnsi="Arial" w:cs="Arial"/>
                <w:sz w:val="20"/>
                <w:szCs w:val="20"/>
              </w:rPr>
            </w:pPr>
            <w:r w:rsidRPr="000F083E">
              <w:rPr>
                <w:rFonts w:ascii="Arial" w:hAnsi="Arial" w:cs="Arial"/>
                <w:sz w:val="20"/>
                <w:szCs w:val="20"/>
              </w:rPr>
              <w:t>Clasificador UNSPSC. - Los bienes objeto del presente proceso de selección están codificados en el clasificador de bienes y servicios UNSPSC como se indica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1"/>
              <w:gridCol w:w="1275"/>
              <w:gridCol w:w="3969"/>
            </w:tblGrid>
            <w:tr w:rsidR="00111C8D" w:rsidRPr="00111C8D" w14:paraId="7B53373A" w14:textId="77777777" w:rsidTr="005109BB">
              <w:trPr>
                <w:trHeight w:val="484"/>
                <w:jc w:val="center"/>
              </w:trPr>
              <w:tc>
                <w:tcPr>
                  <w:tcW w:w="931" w:type="dxa"/>
                  <w:shd w:val="clear" w:color="auto" w:fill="D9D9D9" w:themeFill="background1" w:themeFillShade="D9"/>
                  <w:vAlign w:val="center"/>
                </w:tcPr>
                <w:p w14:paraId="3E6DF5D9" w14:textId="77777777" w:rsidR="00111C8D" w:rsidRPr="00111C8D" w:rsidRDefault="00111C8D" w:rsidP="00111C8D">
                  <w:pPr>
                    <w:jc w:val="center"/>
                    <w:rPr>
                      <w:rFonts w:ascii="Arial" w:hAnsi="Arial" w:cs="Arial"/>
                      <w:bCs/>
                      <w:i/>
                      <w:color w:val="000000" w:themeColor="text1"/>
                      <w:sz w:val="16"/>
                      <w:lang w:val="es-ES"/>
                    </w:rPr>
                  </w:pPr>
                  <w:r w:rsidRPr="00111C8D">
                    <w:rPr>
                      <w:rFonts w:ascii="Arial" w:hAnsi="Arial" w:cs="Arial"/>
                      <w:bCs/>
                      <w:i/>
                      <w:color w:val="000000" w:themeColor="text1"/>
                      <w:sz w:val="16"/>
                      <w:lang w:val="es-ES"/>
                    </w:rPr>
                    <w:lastRenderedPageBreak/>
                    <w:t>ITEM</w:t>
                  </w:r>
                </w:p>
              </w:tc>
              <w:tc>
                <w:tcPr>
                  <w:tcW w:w="1275" w:type="dxa"/>
                  <w:shd w:val="clear" w:color="auto" w:fill="D9D9D9" w:themeFill="background1" w:themeFillShade="D9"/>
                  <w:vAlign w:val="center"/>
                </w:tcPr>
                <w:p w14:paraId="1B7D59FB" w14:textId="77777777" w:rsidR="00111C8D" w:rsidRPr="00111C8D" w:rsidRDefault="00111C8D" w:rsidP="00111C8D">
                  <w:pPr>
                    <w:jc w:val="center"/>
                    <w:rPr>
                      <w:rFonts w:ascii="Arial" w:hAnsi="Arial" w:cs="Arial"/>
                      <w:bCs/>
                      <w:i/>
                      <w:color w:val="000000" w:themeColor="text1"/>
                      <w:sz w:val="16"/>
                      <w:lang w:val="es-ES"/>
                    </w:rPr>
                  </w:pPr>
                  <w:r w:rsidRPr="00111C8D">
                    <w:rPr>
                      <w:rFonts w:ascii="Arial" w:hAnsi="Arial" w:cs="Arial"/>
                      <w:bCs/>
                      <w:i/>
                      <w:color w:val="000000" w:themeColor="text1"/>
                      <w:sz w:val="16"/>
                      <w:lang w:val="es-ES"/>
                    </w:rPr>
                    <w:t>Código UNSPSC</w:t>
                  </w:r>
                </w:p>
              </w:tc>
              <w:tc>
                <w:tcPr>
                  <w:tcW w:w="3969" w:type="dxa"/>
                  <w:shd w:val="clear" w:color="auto" w:fill="D9D9D9" w:themeFill="background1" w:themeFillShade="D9"/>
                  <w:vAlign w:val="center"/>
                </w:tcPr>
                <w:p w14:paraId="32F1A4FC" w14:textId="77777777" w:rsidR="00111C8D" w:rsidRPr="00111C8D" w:rsidRDefault="00111C8D" w:rsidP="00111C8D">
                  <w:pPr>
                    <w:jc w:val="center"/>
                    <w:rPr>
                      <w:rFonts w:ascii="Arial" w:hAnsi="Arial" w:cs="Arial"/>
                      <w:bCs/>
                      <w:i/>
                      <w:color w:val="000000" w:themeColor="text1"/>
                      <w:sz w:val="16"/>
                      <w:lang w:val="es-ES"/>
                    </w:rPr>
                  </w:pPr>
                  <w:r w:rsidRPr="00111C8D">
                    <w:rPr>
                      <w:rFonts w:ascii="Arial" w:hAnsi="Arial" w:cs="Arial"/>
                      <w:bCs/>
                      <w:i/>
                      <w:color w:val="000000" w:themeColor="text1"/>
                      <w:sz w:val="16"/>
                      <w:lang w:val="es-ES"/>
                    </w:rPr>
                    <w:t>Producto</w:t>
                  </w:r>
                </w:p>
              </w:tc>
            </w:tr>
            <w:tr w:rsidR="00111C8D" w:rsidRPr="00111C8D" w14:paraId="73001473" w14:textId="77777777" w:rsidTr="005109BB">
              <w:trPr>
                <w:trHeight w:val="57"/>
                <w:jc w:val="center"/>
              </w:trPr>
              <w:tc>
                <w:tcPr>
                  <w:tcW w:w="931" w:type="dxa"/>
                  <w:vAlign w:val="center"/>
                </w:tcPr>
                <w:p w14:paraId="427AAA8D" w14:textId="77777777" w:rsidR="00111C8D" w:rsidRPr="00111C8D" w:rsidRDefault="00111C8D" w:rsidP="00111C8D">
                  <w:pPr>
                    <w:numPr>
                      <w:ilvl w:val="0"/>
                      <w:numId w:val="45"/>
                    </w:numPr>
                    <w:ind w:left="0" w:firstLine="0"/>
                    <w:jc w:val="center"/>
                    <w:rPr>
                      <w:rFonts w:ascii="Arial" w:hAnsi="Arial" w:cs="Arial"/>
                      <w:i/>
                      <w:color w:val="000000" w:themeColor="text1"/>
                      <w:sz w:val="16"/>
                    </w:rPr>
                  </w:pPr>
                </w:p>
              </w:tc>
              <w:tc>
                <w:tcPr>
                  <w:tcW w:w="1275" w:type="dxa"/>
                  <w:vAlign w:val="center"/>
                </w:tcPr>
                <w:p w14:paraId="76EDAE13" w14:textId="77777777" w:rsidR="00111C8D" w:rsidRPr="00111C8D" w:rsidRDefault="00111C8D" w:rsidP="00111C8D">
                  <w:pPr>
                    <w:jc w:val="center"/>
                    <w:rPr>
                      <w:rFonts w:ascii="Arial" w:hAnsi="Arial" w:cs="Arial"/>
                      <w:i/>
                      <w:color w:val="000000" w:themeColor="text1"/>
                      <w:sz w:val="16"/>
                      <w:lang w:val="es-ES"/>
                    </w:rPr>
                  </w:pPr>
                  <w:r w:rsidRPr="00111C8D">
                    <w:rPr>
                      <w:rFonts w:ascii="Arial" w:hAnsi="Arial" w:cs="Arial"/>
                      <w:i/>
                      <w:color w:val="000000" w:themeColor="text1"/>
                      <w:sz w:val="16"/>
                      <w:lang w:val="es-ES"/>
                    </w:rPr>
                    <w:t>43211500</w:t>
                  </w:r>
                </w:p>
              </w:tc>
              <w:tc>
                <w:tcPr>
                  <w:tcW w:w="3969" w:type="dxa"/>
                  <w:vAlign w:val="center"/>
                </w:tcPr>
                <w:p w14:paraId="173BFA5A" w14:textId="77777777" w:rsidR="00111C8D" w:rsidRPr="00111C8D" w:rsidRDefault="00111C8D" w:rsidP="00111C8D">
                  <w:pPr>
                    <w:jc w:val="center"/>
                    <w:rPr>
                      <w:rFonts w:ascii="Arial" w:hAnsi="Arial" w:cs="Arial"/>
                      <w:i/>
                      <w:color w:val="000000" w:themeColor="text1"/>
                      <w:sz w:val="16"/>
                      <w:lang w:val="es-ES"/>
                    </w:rPr>
                  </w:pPr>
                  <w:r w:rsidRPr="00111C8D">
                    <w:rPr>
                      <w:rFonts w:ascii="Arial" w:hAnsi="Arial" w:cs="Arial"/>
                      <w:i/>
                      <w:color w:val="000000" w:themeColor="text1"/>
                      <w:sz w:val="16"/>
                      <w:lang w:val="es-ES"/>
                    </w:rPr>
                    <w:t>Computadores</w:t>
                  </w:r>
                </w:p>
              </w:tc>
            </w:tr>
          </w:tbl>
          <w:p w14:paraId="38C52D22" w14:textId="77777777" w:rsidR="00B47E51" w:rsidRDefault="00B47E51" w:rsidP="002A0A13">
            <w:pPr>
              <w:spacing w:before="60" w:after="120"/>
              <w:ind w:left="140" w:right="284"/>
              <w:jc w:val="both"/>
              <w:rPr>
                <w:rFonts w:ascii="Arial" w:hAnsi="Arial" w:cs="Arial"/>
                <w:sz w:val="20"/>
                <w:szCs w:val="20"/>
              </w:rPr>
            </w:pPr>
          </w:p>
          <w:p w14:paraId="052DD23B" w14:textId="205301F0" w:rsidR="0001482C" w:rsidRPr="000F083E" w:rsidRDefault="00DE713C" w:rsidP="00461BB5">
            <w:pPr>
              <w:spacing w:before="60" w:after="120"/>
              <w:ind w:left="140" w:right="284"/>
              <w:jc w:val="both"/>
              <w:rPr>
                <w:rFonts w:ascii="Arial" w:hAnsi="Arial" w:cs="Arial"/>
                <w:sz w:val="20"/>
                <w:szCs w:val="20"/>
              </w:rPr>
            </w:pPr>
            <w:r w:rsidRPr="00461BB5">
              <w:rPr>
                <w:rFonts w:ascii="Arial" w:hAnsi="Arial" w:cs="Arial"/>
                <w:b/>
                <w:bCs/>
                <w:sz w:val="20"/>
                <w:szCs w:val="20"/>
              </w:rPr>
              <w:t>Nota</w:t>
            </w:r>
            <w:r w:rsidRPr="000F083E">
              <w:rPr>
                <w:rFonts w:ascii="Arial" w:hAnsi="Arial" w:cs="Arial"/>
                <w:sz w:val="20"/>
                <w:szCs w:val="20"/>
              </w:rPr>
              <w:t>: los códigos propuestos son a manera de referencia y de carácter informativo, mas no serán verificados por La – Nación Consejo Superior de la Judicatura en el RUP, ni se constituirán como factor habilitante para la selección del contratista.</w:t>
            </w:r>
          </w:p>
        </w:tc>
      </w:tr>
      <w:tr w:rsidR="00AF19A3" w:rsidRPr="000F083E" w14:paraId="1E6527E1" w14:textId="77777777" w:rsidTr="00894086">
        <w:trPr>
          <w:trHeight w:val="423"/>
        </w:trPr>
        <w:tc>
          <w:tcPr>
            <w:tcW w:w="5000" w:type="pct"/>
            <w:gridSpan w:val="4"/>
          </w:tcPr>
          <w:p w14:paraId="373243F0" w14:textId="77777777" w:rsidR="00AF19A3" w:rsidRPr="000F083E" w:rsidRDefault="00AF19A3" w:rsidP="00EA1A9F">
            <w:pPr>
              <w:spacing w:before="60" w:after="120"/>
              <w:ind w:left="140" w:right="284"/>
              <w:jc w:val="both"/>
              <w:rPr>
                <w:rFonts w:ascii="Arial" w:hAnsi="Arial" w:cs="Arial"/>
                <w:sz w:val="20"/>
                <w:szCs w:val="20"/>
              </w:rPr>
            </w:pPr>
            <w:r w:rsidRPr="000F083E">
              <w:rPr>
                <w:rFonts w:ascii="Arial" w:hAnsi="Arial" w:cs="Arial"/>
                <w:b/>
                <w:bCs/>
                <w:sz w:val="20"/>
                <w:szCs w:val="20"/>
              </w:rPr>
              <w:lastRenderedPageBreak/>
              <w:t>3.3. ESPECIFICACIONES GENERALES Y TÉCNICAS DEL OBJETO CONTRACTUAL</w:t>
            </w:r>
          </w:p>
        </w:tc>
      </w:tr>
      <w:tr w:rsidR="00DE713C" w:rsidRPr="000F083E" w14:paraId="78240D3A" w14:textId="77777777" w:rsidTr="007B0714">
        <w:trPr>
          <w:trHeight w:val="416"/>
        </w:trPr>
        <w:tc>
          <w:tcPr>
            <w:tcW w:w="5000" w:type="pct"/>
            <w:gridSpan w:val="4"/>
          </w:tcPr>
          <w:p w14:paraId="29B7A67A" w14:textId="1C0F711A" w:rsidR="00DE713C" w:rsidRDefault="00DE713C" w:rsidP="00BF326C">
            <w:pPr>
              <w:jc w:val="both"/>
              <w:rPr>
                <w:rFonts w:ascii="Arial" w:hAnsi="Arial" w:cs="Arial"/>
                <w:sz w:val="20"/>
                <w:szCs w:val="20"/>
              </w:rPr>
            </w:pPr>
            <w:r w:rsidRPr="000F083E">
              <w:rPr>
                <w:rFonts w:ascii="Arial" w:hAnsi="Arial" w:cs="Arial"/>
                <w:sz w:val="20"/>
                <w:szCs w:val="20"/>
              </w:rPr>
              <w:t xml:space="preserve">Las especificaciones técnicas de la orden de compra que se produzca como resultado de este proceso contractual, serán las contenidas en </w:t>
            </w:r>
            <w:r>
              <w:rPr>
                <w:rFonts w:ascii="Arial" w:hAnsi="Arial" w:cs="Arial"/>
                <w:sz w:val="20"/>
                <w:szCs w:val="20"/>
              </w:rPr>
              <w:t>los documentos: Términos y Condiciones de Uso de la Tienda Virtual del Estado Colombiano y el Manual de la Modalidad de Selección de Mínima Cuantía M-MSMC-02, las específicas detalladas en la ficha técnica adjunta y las siguientes:</w:t>
            </w:r>
          </w:p>
          <w:p w14:paraId="1772BB81" w14:textId="278FFB2A" w:rsidR="00A51331" w:rsidRDefault="00A51331" w:rsidP="00BF326C">
            <w:pPr>
              <w:jc w:val="both"/>
              <w:rPr>
                <w:rFonts w:ascii="Arial" w:hAnsi="Arial" w:cs="Arial"/>
                <w:sz w:val="20"/>
                <w:szCs w:val="20"/>
              </w:rPr>
            </w:pPr>
          </w:p>
          <w:tbl>
            <w:tblPr>
              <w:tblW w:w="6820" w:type="dxa"/>
              <w:jc w:val="center"/>
              <w:tblCellMar>
                <w:left w:w="70" w:type="dxa"/>
                <w:right w:w="70" w:type="dxa"/>
              </w:tblCellMar>
              <w:tblLook w:val="04A0" w:firstRow="1" w:lastRow="0" w:firstColumn="1" w:lastColumn="0" w:noHBand="0" w:noVBand="1"/>
            </w:tblPr>
            <w:tblGrid>
              <w:gridCol w:w="2480"/>
              <w:gridCol w:w="4340"/>
            </w:tblGrid>
            <w:tr w:rsidR="00A51331" w:rsidRPr="00111C8D" w14:paraId="69CC258B" w14:textId="77777777" w:rsidTr="005109BB">
              <w:trPr>
                <w:trHeight w:val="510"/>
                <w:jc w:val="center"/>
              </w:trPr>
              <w:tc>
                <w:tcPr>
                  <w:tcW w:w="2480"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6469139B" w14:textId="77777777" w:rsidR="00A51331" w:rsidRPr="00111C8D" w:rsidRDefault="00A51331" w:rsidP="00A51331">
                  <w:pPr>
                    <w:suppressAutoHyphens/>
                    <w:jc w:val="center"/>
                    <w:rPr>
                      <w:rFonts w:ascii="Arial" w:hAnsi="Arial" w:cs="Arial"/>
                      <w:b/>
                      <w:bCs/>
                      <w:i/>
                      <w:iCs/>
                      <w:color w:val="000000"/>
                      <w:sz w:val="18"/>
                      <w:szCs w:val="18"/>
                    </w:rPr>
                  </w:pPr>
                  <w:r w:rsidRPr="00111C8D">
                    <w:rPr>
                      <w:rFonts w:ascii="Arial" w:hAnsi="Arial" w:cs="Arial"/>
                      <w:b/>
                      <w:bCs/>
                      <w:i/>
                      <w:iCs/>
                      <w:color w:val="000000"/>
                      <w:sz w:val="18"/>
                      <w:szCs w:val="18"/>
                      <w:lang w:val="es-ES" w:eastAsia="ar-SA"/>
                    </w:rPr>
                    <w:t>Especificación esencial</w:t>
                  </w:r>
                </w:p>
              </w:tc>
              <w:tc>
                <w:tcPr>
                  <w:tcW w:w="4340" w:type="dxa"/>
                  <w:tcBorders>
                    <w:top w:val="single" w:sz="8" w:space="0" w:color="auto"/>
                    <w:left w:val="nil"/>
                    <w:bottom w:val="single" w:sz="8" w:space="0" w:color="auto"/>
                    <w:right w:val="single" w:sz="8" w:space="0" w:color="auto"/>
                  </w:tcBorders>
                  <w:shd w:val="clear" w:color="000000" w:fill="BDD6EE"/>
                  <w:vAlign w:val="center"/>
                  <w:hideMark/>
                </w:tcPr>
                <w:p w14:paraId="2E2202A4" w14:textId="77777777" w:rsidR="00A51331" w:rsidRPr="00111C8D" w:rsidRDefault="00A51331" w:rsidP="00A51331">
                  <w:pPr>
                    <w:suppressAutoHyphens/>
                    <w:jc w:val="center"/>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w:t>
                  </w:r>
                </w:p>
              </w:tc>
            </w:tr>
            <w:tr w:rsidR="00A51331" w:rsidRPr="00111C8D" w14:paraId="14B2C3A0" w14:textId="77777777" w:rsidTr="005109BB">
              <w:trPr>
                <w:trHeight w:val="300"/>
                <w:jc w:val="center"/>
              </w:trPr>
              <w:tc>
                <w:tcPr>
                  <w:tcW w:w="2480" w:type="dxa"/>
                  <w:tcBorders>
                    <w:top w:val="single" w:sz="4" w:space="0" w:color="auto"/>
                    <w:left w:val="single" w:sz="8" w:space="0" w:color="auto"/>
                    <w:bottom w:val="single" w:sz="4" w:space="0" w:color="auto"/>
                    <w:right w:val="single" w:sz="8" w:space="0" w:color="auto"/>
                  </w:tcBorders>
                  <w:noWrap/>
                  <w:vAlign w:val="center"/>
                  <w:hideMark/>
                </w:tcPr>
                <w:p w14:paraId="57C928C6"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Línea</w:t>
                  </w:r>
                </w:p>
              </w:tc>
              <w:tc>
                <w:tcPr>
                  <w:tcW w:w="4340" w:type="dxa"/>
                  <w:tcBorders>
                    <w:top w:val="single" w:sz="4" w:space="0" w:color="auto"/>
                    <w:left w:val="nil"/>
                    <w:bottom w:val="single" w:sz="4" w:space="0" w:color="auto"/>
                    <w:right w:val="single" w:sz="8" w:space="0" w:color="auto"/>
                  </w:tcBorders>
                  <w:shd w:val="clear" w:color="000000" w:fill="FFFFFF"/>
                  <w:vAlign w:val="center"/>
                  <w:hideMark/>
                </w:tcPr>
                <w:p w14:paraId="5B2E279E"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Corporativa</w:t>
                  </w:r>
                </w:p>
              </w:tc>
            </w:tr>
            <w:tr w:rsidR="00A51331" w:rsidRPr="00111C8D" w14:paraId="1A5A0DD6"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290781D5"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Pantalla</w:t>
                  </w:r>
                </w:p>
              </w:tc>
              <w:tc>
                <w:tcPr>
                  <w:tcW w:w="4340" w:type="dxa"/>
                  <w:tcBorders>
                    <w:top w:val="nil"/>
                    <w:left w:val="nil"/>
                    <w:bottom w:val="single" w:sz="4" w:space="0" w:color="auto"/>
                    <w:right w:val="single" w:sz="8" w:space="0" w:color="auto"/>
                  </w:tcBorders>
                  <w:shd w:val="clear" w:color="000000" w:fill="FFFFFF"/>
                  <w:vAlign w:val="center"/>
                  <w:hideMark/>
                </w:tcPr>
                <w:p w14:paraId="200C7E68"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15“full HD, retroiluminada y antirreflejo</w:t>
                  </w:r>
                </w:p>
              </w:tc>
            </w:tr>
            <w:tr w:rsidR="00A51331" w:rsidRPr="00111C8D" w14:paraId="2297240A" w14:textId="77777777" w:rsidTr="005109BB">
              <w:trPr>
                <w:trHeight w:val="1177"/>
                <w:jc w:val="center"/>
              </w:trPr>
              <w:tc>
                <w:tcPr>
                  <w:tcW w:w="2480" w:type="dxa"/>
                  <w:tcBorders>
                    <w:top w:val="nil"/>
                    <w:left w:val="single" w:sz="8" w:space="0" w:color="auto"/>
                    <w:bottom w:val="single" w:sz="4" w:space="0" w:color="auto"/>
                    <w:right w:val="single" w:sz="8" w:space="0" w:color="auto"/>
                  </w:tcBorders>
                  <w:noWrap/>
                  <w:vAlign w:val="center"/>
                  <w:hideMark/>
                </w:tcPr>
                <w:p w14:paraId="0BD18B1C"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Tipo de computadores:</w:t>
                  </w:r>
                </w:p>
              </w:tc>
              <w:tc>
                <w:tcPr>
                  <w:tcW w:w="4340" w:type="dxa"/>
                  <w:tcBorders>
                    <w:top w:val="nil"/>
                    <w:left w:val="nil"/>
                    <w:bottom w:val="single" w:sz="4" w:space="0" w:color="auto"/>
                    <w:right w:val="single" w:sz="8" w:space="0" w:color="auto"/>
                  </w:tcBorders>
                  <w:shd w:val="clear" w:color="000000" w:fill="FFFFFF"/>
                  <w:vAlign w:val="center"/>
                  <w:hideMark/>
                </w:tcPr>
                <w:p w14:paraId="00D265C7" w14:textId="77777777" w:rsidR="00A51331" w:rsidRPr="00111C8D" w:rsidRDefault="00A51331" w:rsidP="00A51331">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Computadores portátiles 15’’ con SSD </w:t>
                  </w:r>
                  <w:r>
                    <w:rPr>
                      <w:rFonts w:ascii="Arial" w:hAnsi="Arial" w:cs="Arial"/>
                      <w:i/>
                      <w:iCs/>
                      <w:sz w:val="18"/>
                      <w:szCs w:val="18"/>
                      <w:lang w:val="es-ES" w:eastAsia="ar-SA"/>
                    </w:rPr>
                    <w:t>512 GB</w:t>
                  </w:r>
                  <w:r w:rsidRPr="00111C8D">
                    <w:rPr>
                      <w:rFonts w:ascii="Arial" w:hAnsi="Arial" w:cs="Arial"/>
                      <w:i/>
                      <w:iCs/>
                      <w:sz w:val="18"/>
                      <w:szCs w:val="18"/>
                      <w:lang w:val="es-ES" w:eastAsia="ar-SA"/>
                    </w:rPr>
                    <w:t xml:space="preserve">. 16GB RAM DDR4 3200Mhz productividad avanzada 5000 </w:t>
                  </w:r>
                  <w:proofErr w:type="spellStart"/>
                  <w:r w:rsidRPr="00111C8D">
                    <w:rPr>
                      <w:rFonts w:ascii="Arial" w:hAnsi="Arial" w:cs="Arial"/>
                      <w:i/>
                      <w:iCs/>
                      <w:sz w:val="18"/>
                      <w:szCs w:val="18"/>
                      <w:lang w:val="es-ES" w:eastAsia="ar-SA"/>
                    </w:rPr>
                    <w:t>PCMark</w:t>
                  </w:r>
                  <w:proofErr w:type="spellEnd"/>
                  <w:r w:rsidRPr="00111C8D">
                    <w:rPr>
                      <w:rFonts w:ascii="Arial" w:hAnsi="Arial" w:cs="Arial"/>
                      <w:i/>
                      <w:iCs/>
                      <w:sz w:val="18"/>
                      <w:szCs w:val="18"/>
                      <w:lang w:val="es-ES" w:eastAsia="ar-SA"/>
                    </w:rPr>
                    <w:t xml:space="preserve"> 10 full HD, retroiluminada y </w:t>
                  </w:r>
                  <w:proofErr w:type="spellStart"/>
                  <w:r w:rsidRPr="00111C8D">
                    <w:rPr>
                      <w:rFonts w:ascii="Arial" w:hAnsi="Arial" w:cs="Arial"/>
                      <w:i/>
                      <w:iCs/>
                      <w:sz w:val="18"/>
                      <w:szCs w:val="18"/>
                      <w:lang w:val="es-ES" w:eastAsia="ar-SA"/>
                    </w:rPr>
                    <w:t>antireflejo</w:t>
                  </w:r>
                  <w:proofErr w:type="spellEnd"/>
                  <w:r w:rsidRPr="00111C8D">
                    <w:rPr>
                      <w:rFonts w:ascii="Arial" w:hAnsi="Arial" w:cs="Arial"/>
                      <w:i/>
                      <w:iCs/>
                      <w:sz w:val="18"/>
                      <w:szCs w:val="18"/>
                      <w:lang w:val="es-ES" w:eastAsia="ar-SA"/>
                    </w:rPr>
                    <w:t xml:space="preserve">, con administración y gestión remota. </w:t>
                  </w:r>
                </w:p>
              </w:tc>
            </w:tr>
            <w:tr w:rsidR="00A51331" w:rsidRPr="00111C8D" w14:paraId="4F7D1EE7" w14:textId="77777777" w:rsidTr="005109BB">
              <w:trPr>
                <w:trHeight w:val="843"/>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1B4E5593"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Tipo de almacenamiento interno</w:t>
                  </w:r>
                </w:p>
              </w:tc>
              <w:tc>
                <w:tcPr>
                  <w:tcW w:w="4340" w:type="dxa"/>
                  <w:tcBorders>
                    <w:top w:val="nil"/>
                    <w:left w:val="nil"/>
                    <w:bottom w:val="single" w:sz="4" w:space="0" w:color="auto"/>
                    <w:right w:val="single" w:sz="8" w:space="0" w:color="auto"/>
                  </w:tcBorders>
                  <w:shd w:val="clear" w:color="000000" w:fill="FFFFFF"/>
                  <w:vAlign w:val="center"/>
                  <w:hideMark/>
                </w:tcPr>
                <w:p w14:paraId="2735A163" w14:textId="77777777" w:rsidR="00A51331" w:rsidRPr="00111C8D" w:rsidRDefault="00A51331" w:rsidP="00A51331">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SDD M.2 </w:t>
                  </w:r>
                  <w:proofErr w:type="spellStart"/>
                  <w:r w:rsidRPr="00111C8D">
                    <w:rPr>
                      <w:rFonts w:ascii="Arial" w:hAnsi="Arial" w:cs="Arial"/>
                      <w:i/>
                      <w:iCs/>
                      <w:sz w:val="18"/>
                      <w:szCs w:val="18"/>
                      <w:lang w:val="es-ES" w:eastAsia="ar-SA"/>
                    </w:rPr>
                    <w:t>NVMe</w:t>
                  </w:r>
                  <w:proofErr w:type="spellEnd"/>
                  <w:r w:rsidRPr="00111C8D">
                    <w:rPr>
                      <w:rFonts w:ascii="Arial" w:hAnsi="Arial" w:cs="Arial"/>
                      <w:i/>
                      <w:iCs/>
                      <w:sz w:val="18"/>
                      <w:szCs w:val="18"/>
                      <w:lang w:val="es-ES" w:eastAsia="ar-SA"/>
                    </w:rPr>
                    <w:t xml:space="preserve"> PCIe GEN4X4</w:t>
                  </w:r>
                </w:p>
              </w:tc>
            </w:tr>
            <w:tr w:rsidR="00A51331" w:rsidRPr="00111C8D" w14:paraId="209F5DF3" w14:textId="77777777" w:rsidTr="005109BB">
              <w:trPr>
                <w:trHeight w:val="54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0E177480"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Capacidad de Almacenamiento</w:t>
                  </w:r>
                </w:p>
              </w:tc>
              <w:tc>
                <w:tcPr>
                  <w:tcW w:w="4340" w:type="dxa"/>
                  <w:tcBorders>
                    <w:top w:val="nil"/>
                    <w:left w:val="nil"/>
                    <w:bottom w:val="single" w:sz="4" w:space="0" w:color="auto"/>
                    <w:right w:val="single" w:sz="8" w:space="0" w:color="auto"/>
                  </w:tcBorders>
                  <w:shd w:val="clear" w:color="000000" w:fill="FFFFFF"/>
                  <w:vAlign w:val="center"/>
                  <w:hideMark/>
                </w:tcPr>
                <w:p w14:paraId="34DD15F0"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Mínimo: Disco de Estado Sólido </w:t>
                  </w:r>
                  <w:r>
                    <w:rPr>
                      <w:rFonts w:ascii="Arial" w:hAnsi="Arial" w:cs="Arial"/>
                      <w:i/>
                      <w:iCs/>
                      <w:color w:val="000000"/>
                      <w:sz w:val="18"/>
                      <w:szCs w:val="18"/>
                      <w:lang w:val="es-ES" w:eastAsia="ar-SA"/>
                    </w:rPr>
                    <w:t>512 GB</w:t>
                  </w:r>
                  <w:r w:rsidRPr="00111C8D">
                    <w:rPr>
                      <w:rFonts w:ascii="Arial" w:hAnsi="Arial" w:cs="Arial"/>
                      <w:i/>
                      <w:iCs/>
                      <w:color w:val="000000"/>
                      <w:sz w:val="18"/>
                      <w:szCs w:val="18"/>
                      <w:lang w:val="es-ES" w:eastAsia="ar-SA"/>
                    </w:rPr>
                    <w:t xml:space="preserve"> PCIe, Instalado de Fábrica. Que sea Cubierto por la Garantía que ofrece el Fabricante.</w:t>
                  </w:r>
                </w:p>
              </w:tc>
            </w:tr>
            <w:tr w:rsidR="00A51331" w:rsidRPr="00111C8D" w14:paraId="6640F765"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1CE3EAE0"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Memoria RAM</w:t>
                  </w:r>
                </w:p>
              </w:tc>
              <w:tc>
                <w:tcPr>
                  <w:tcW w:w="4340" w:type="dxa"/>
                  <w:tcBorders>
                    <w:top w:val="nil"/>
                    <w:left w:val="nil"/>
                    <w:bottom w:val="single" w:sz="4" w:space="0" w:color="auto"/>
                    <w:right w:val="single" w:sz="8" w:space="0" w:color="auto"/>
                  </w:tcBorders>
                  <w:shd w:val="clear" w:color="000000" w:fill="FFFFFF"/>
                  <w:vAlign w:val="center"/>
                  <w:hideMark/>
                </w:tcPr>
                <w:p w14:paraId="6EB664AB"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Mínima instalada 16 GB DDR4 3200 MHz con capacidad para ampliación a 32 GB, Memorias Instaladas De Fábrica. Que sean Cubiertas por la Garantía del Fabricante.</w:t>
                  </w:r>
                </w:p>
              </w:tc>
            </w:tr>
            <w:tr w:rsidR="00A51331" w:rsidRPr="00111C8D" w14:paraId="5FF4B188"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655FC085"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Procesador</w:t>
                  </w:r>
                </w:p>
              </w:tc>
              <w:tc>
                <w:tcPr>
                  <w:tcW w:w="4340" w:type="dxa"/>
                  <w:tcBorders>
                    <w:top w:val="nil"/>
                    <w:left w:val="nil"/>
                    <w:bottom w:val="single" w:sz="4" w:space="0" w:color="auto"/>
                    <w:right w:val="single" w:sz="8" w:space="0" w:color="auto"/>
                  </w:tcBorders>
                  <w:shd w:val="clear" w:color="000000" w:fill="FFFFFF"/>
                  <w:vAlign w:val="center"/>
                  <w:hideMark/>
                </w:tcPr>
                <w:p w14:paraId="25699E90" w14:textId="77777777" w:rsidR="00A51331" w:rsidRPr="00111C8D" w:rsidRDefault="00A51331" w:rsidP="00A51331">
                  <w:pPr>
                    <w:suppressAutoHyphens/>
                    <w:rPr>
                      <w:rFonts w:ascii="Arial" w:hAnsi="Arial" w:cs="Arial"/>
                      <w:i/>
                      <w:iCs/>
                      <w:color w:val="000000"/>
                      <w:sz w:val="18"/>
                      <w:szCs w:val="18"/>
                      <w:lang w:val="es-ES" w:eastAsia="ar-SA"/>
                    </w:rPr>
                  </w:pPr>
                  <w:r w:rsidRPr="0075526C">
                    <w:rPr>
                      <w:rFonts w:ascii="Arial" w:hAnsi="Arial" w:cs="Arial"/>
                      <w:i/>
                      <w:iCs/>
                      <w:color w:val="000000"/>
                      <w:sz w:val="18"/>
                      <w:szCs w:val="18"/>
                      <w:lang w:val="es-ES" w:eastAsia="ar-SA"/>
                    </w:rPr>
                    <w:t>frecuencia base de 1,7 GHz, hasta 4,7 GHz con tecnología, 12 MB de caché L3, 10 núcleos, 12 subprocesos</w:t>
                  </w:r>
                </w:p>
              </w:tc>
            </w:tr>
            <w:tr w:rsidR="00A51331" w:rsidRPr="00111C8D" w14:paraId="38201AAF" w14:textId="77777777" w:rsidTr="005109BB">
              <w:trPr>
                <w:trHeight w:val="810"/>
                <w:jc w:val="center"/>
              </w:trPr>
              <w:tc>
                <w:tcPr>
                  <w:tcW w:w="2480" w:type="dxa"/>
                  <w:tcBorders>
                    <w:top w:val="nil"/>
                    <w:left w:val="single" w:sz="8" w:space="0" w:color="auto"/>
                    <w:bottom w:val="single" w:sz="4" w:space="0" w:color="auto"/>
                    <w:right w:val="single" w:sz="8" w:space="0" w:color="auto"/>
                  </w:tcBorders>
                  <w:noWrap/>
                  <w:vAlign w:val="center"/>
                  <w:hideMark/>
                </w:tcPr>
                <w:p w14:paraId="494BA997"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Sistema Operativo</w:t>
                  </w:r>
                </w:p>
              </w:tc>
              <w:tc>
                <w:tcPr>
                  <w:tcW w:w="4340" w:type="dxa"/>
                  <w:tcBorders>
                    <w:top w:val="nil"/>
                    <w:left w:val="nil"/>
                    <w:bottom w:val="single" w:sz="4" w:space="0" w:color="auto"/>
                    <w:right w:val="single" w:sz="8" w:space="0" w:color="auto"/>
                  </w:tcBorders>
                  <w:shd w:val="clear" w:color="000000" w:fill="FFFFFF"/>
                  <w:vAlign w:val="center"/>
                  <w:hideMark/>
                </w:tcPr>
                <w:p w14:paraId="76B5D101"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Windows 10 Pro 64 bits - OEM preinstalado + Windows 11 Pro licenciado O Windows 11 Pro OEM preinstalado y licenciado</w:t>
                  </w:r>
                </w:p>
              </w:tc>
            </w:tr>
            <w:tr w:rsidR="00A51331" w:rsidRPr="00111C8D" w14:paraId="27773637" w14:textId="77777777" w:rsidTr="005109BB">
              <w:trPr>
                <w:trHeight w:val="810"/>
                <w:jc w:val="center"/>
              </w:trPr>
              <w:tc>
                <w:tcPr>
                  <w:tcW w:w="2480" w:type="dxa"/>
                  <w:tcBorders>
                    <w:top w:val="nil"/>
                    <w:left w:val="single" w:sz="8" w:space="0" w:color="auto"/>
                    <w:bottom w:val="single" w:sz="4" w:space="0" w:color="auto"/>
                    <w:right w:val="single" w:sz="8" w:space="0" w:color="auto"/>
                  </w:tcBorders>
                  <w:noWrap/>
                  <w:vAlign w:val="center"/>
                  <w:hideMark/>
                </w:tcPr>
                <w:p w14:paraId="321BBFB2"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Conectividad LAN</w:t>
                  </w:r>
                </w:p>
              </w:tc>
              <w:tc>
                <w:tcPr>
                  <w:tcW w:w="4340" w:type="dxa"/>
                  <w:tcBorders>
                    <w:top w:val="nil"/>
                    <w:left w:val="nil"/>
                    <w:bottom w:val="single" w:sz="4" w:space="0" w:color="auto"/>
                    <w:right w:val="single" w:sz="8" w:space="0" w:color="auto"/>
                  </w:tcBorders>
                  <w:shd w:val="clear" w:color="000000" w:fill="FFFFFF"/>
                  <w:vAlign w:val="center"/>
                  <w:hideMark/>
                </w:tcPr>
                <w:p w14:paraId="6D95D0C6"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Puerto de red Ethernet RJ45 (estándar o mini o con adaptador USB + puerto USB adicional) 10/100/1000</w:t>
                  </w:r>
                </w:p>
              </w:tc>
            </w:tr>
            <w:tr w:rsidR="00A51331" w:rsidRPr="00111C8D" w14:paraId="65F5383E"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2367A03E"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Conectividad inalámbrica</w:t>
                  </w:r>
                </w:p>
              </w:tc>
              <w:tc>
                <w:tcPr>
                  <w:tcW w:w="4340" w:type="dxa"/>
                  <w:tcBorders>
                    <w:top w:val="nil"/>
                    <w:left w:val="nil"/>
                    <w:bottom w:val="single" w:sz="4" w:space="0" w:color="auto"/>
                    <w:right w:val="single" w:sz="8" w:space="0" w:color="auto"/>
                  </w:tcBorders>
                  <w:shd w:val="clear" w:color="000000" w:fill="FFFFFF"/>
                  <w:vAlign w:val="center"/>
                  <w:hideMark/>
                </w:tcPr>
                <w:p w14:paraId="597B3035" w14:textId="77777777" w:rsidR="00A51331" w:rsidRPr="00111C8D" w:rsidRDefault="00A51331" w:rsidP="00A51331">
                  <w:pPr>
                    <w:suppressAutoHyphens/>
                    <w:rPr>
                      <w:rFonts w:ascii="Arial" w:hAnsi="Arial" w:cs="Arial"/>
                      <w:i/>
                      <w:iCs/>
                      <w:color w:val="000000"/>
                      <w:sz w:val="18"/>
                      <w:szCs w:val="18"/>
                      <w:lang w:val="en-US" w:eastAsia="ar-SA"/>
                    </w:rPr>
                  </w:pPr>
                  <w:proofErr w:type="spellStart"/>
                  <w:r w:rsidRPr="00111C8D">
                    <w:rPr>
                      <w:rFonts w:ascii="Arial" w:hAnsi="Arial" w:cs="Arial"/>
                      <w:i/>
                      <w:iCs/>
                      <w:color w:val="000000"/>
                      <w:sz w:val="18"/>
                      <w:szCs w:val="18"/>
                      <w:lang w:val="en-US" w:eastAsia="ar-SA"/>
                    </w:rPr>
                    <w:t>WiFi</w:t>
                  </w:r>
                  <w:proofErr w:type="spellEnd"/>
                  <w:r w:rsidRPr="00111C8D">
                    <w:rPr>
                      <w:rFonts w:ascii="Arial" w:hAnsi="Arial" w:cs="Arial"/>
                      <w:i/>
                      <w:iCs/>
                      <w:color w:val="000000"/>
                      <w:sz w:val="18"/>
                      <w:szCs w:val="18"/>
                      <w:lang w:val="en-US" w:eastAsia="ar-SA"/>
                    </w:rPr>
                    <w:t xml:space="preserve"> 802.11 ax 2x2 </w:t>
                  </w:r>
                  <w:r w:rsidRPr="00111C8D">
                    <w:rPr>
                      <w:rFonts w:ascii="Arial" w:hAnsi="Arial" w:cs="Arial"/>
                      <w:i/>
                      <w:iCs/>
                      <w:color w:val="000000"/>
                      <w:sz w:val="18"/>
                      <w:szCs w:val="18"/>
                      <w:lang w:val="en-US" w:eastAsia="ar-SA"/>
                    </w:rPr>
                    <w:br/>
                    <w:t>Bluetooth 5.x</w:t>
                  </w:r>
                </w:p>
              </w:tc>
            </w:tr>
            <w:tr w:rsidR="00A51331" w:rsidRPr="00111C8D" w14:paraId="41963B5D" w14:textId="77777777" w:rsidTr="005109BB">
              <w:trPr>
                <w:trHeight w:val="510"/>
                <w:jc w:val="center"/>
              </w:trPr>
              <w:tc>
                <w:tcPr>
                  <w:tcW w:w="2480" w:type="dxa"/>
                  <w:tcBorders>
                    <w:top w:val="nil"/>
                    <w:left w:val="single" w:sz="8" w:space="0" w:color="auto"/>
                    <w:bottom w:val="single" w:sz="4" w:space="0" w:color="auto"/>
                    <w:right w:val="single" w:sz="8" w:space="0" w:color="auto"/>
                  </w:tcBorders>
                  <w:noWrap/>
                  <w:vAlign w:val="center"/>
                  <w:hideMark/>
                </w:tcPr>
                <w:p w14:paraId="0B7B9E4F"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USB</w:t>
                  </w:r>
                </w:p>
              </w:tc>
              <w:tc>
                <w:tcPr>
                  <w:tcW w:w="4340" w:type="dxa"/>
                  <w:tcBorders>
                    <w:top w:val="nil"/>
                    <w:left w:val="nil"/>
                    <w:bottom w:val="single" w:sz="4" w:space="0" w:color="auto"/>
                    <w:right w:val="single" w:sz="8" w:space="0" w:color="auto"/>
                  </w:tcBorders>
                  <w:shd w:val="clear" w:color="000000" w:fill="FFFFFF"/>
                  <w:vAlign w:val="center"/>
                  <w:hideMark/>
                </w:tcPr>
                <w:p w14:paraId="2074F2E0"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3 puertos USB 3.0, al menos 2 de ellos SS (</w:t>
                  </w:r>
                  <w:proofErr w:type="spellStart"/>
                  <w:r w:rsidRPr="00111C8D">
                    <w:rPr>
                      <w:rFonts w:ascii="Arial" w:hAnsi="Arial" w:cs="Arial"/>
                      <w:i/>
                      <w:iCs/>
                      <w:color w:val="000000"/>
                      <w:sz w:val="18"/>
                      <w:szCs w:val="18"/>
                      <w:lang w:val="es-ES" w:eastAsia="ar-SA"/>
                    </w:rPr>
                    <w:t>Superspeed</w:t>
                  </w:r>
                  <w:proofErr w:type="spellEnd"/>
                  <w:r w:rsidRPr="00111C8D">
                    <w:rPr>
                      <w:rFonts w:ascii="Arial" w:hAnsi="Arial" w:cs="Arial"/>
                      <w:i/>
                      <w:iCs/>
                      <w:color w:val="000000"/>
                      <w:sz w:val="18"/>
                      <w:szCs w:val="18"/>
                      <w:lang w:val="es-ES" w:eastAsia="ar-SA"/>
                    </w:rPr>
                    <w:t>)</w:t>
                  </w:r>
                </w:p>
              </w:tc>
            </w:tr>
            <w:tr w:rsidR="00A51331" w:rsidRPr="00111C8D" w14:paraId="6F2CC7B8"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3B703D45"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de video</w:t>
                  </w:r>
                </w:p>
              </w:tc>
              <w:tc>
                <w:tcPr>
                  <w:tcW w:w="4340" w:type="dxa"/>
                  <w:tcBorders>
                    <w:top w:val="nil"/>
                    <w:left w:val="nil"/>
                    <w:bottom w:val="single" w:sz="4" w:space="0" w:color="auto"/>
                    <w:right w:val="single" w:sz="8" w:space="0" w:color="auto"/>
                  </w:tcBorders>
                  <w:shd w:val="clear" w:color="000000" w:fill="FFFFFF"/>
                  <w:vAlign w:val="center"/>
                  <w:hideMark/>
                </w:tcPr>
                <w:p w14:paraId="5BEB5BC7"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1 puerto de video HDMI </w:t>
                  </w:r>
                </w:p>
              </w:tc>
            </w:tr>
            <w:tr w:rsidR="00A51331" w:rsidRPr="00111C8D" w14:paraId="735FD511" w14:textId="77777777" w:rsidTr="005109BB">
              <w:trPr>
                <w:trHeight w:val="300"/>
                <w:jc w:val="center"/>
              </w:trPr>
              <w:tc>
                <w:tcPr>
                  <w:tcW w:w="2480" w:type="dxa"/>
                  <w:tcBorders>
                    <w:top w:val="nil"/>
                    <w:left w:val="single" w:sz="8" w:space="0" w:color="auto"/>
                    <w:bottom w:val="single" w:sz="4" w:space="0" w:color="auto"/>
                    <w:right w:val="single" w:sz="8" w:space="0" w:color="auto"/>
                  </w:tcBorders>
                  <w:noWrap/>
                  <w:vAlign w:val="center"/>
                  <w:hideMark/>
                </w:tcPr>
                <w:p w14:paraId="23F6C34C"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Características IPv6</w:t>
                  </w:r>
                </w:p>
              </w:tc>
              <w:tc>
                <w:tcPr>
                  <w:tcW w:w="4340" w:type="dxa"/>
                  <w:tcBorders>
                    <w:top w:val="nil"/>
                    <w:left w:val="nil"/>
                    <w:bottom w:val="single" w:sz="4" w:space="0" w:color="auto"/>
                    <w:right w:val="single" w:sz="8" w:space="0" w:color="auto"/>
                  </w:tcBorders>
                  <w:shd w:val="clear" w:color="000000" w:fill="FFFFFF"/>
                  <w:vAlign w:val="center"/>
                  <w:hideMark/>
                </w:tcPr>
                <w:p w14:paraId="4CAF125A"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Compatibilidad dual IPv6 / IPv4</w:t>
                  </w:r>
                </w:p>
              </w:tc>
            </w:tr>
            <w:tr w:rsidR="00A51331" w:rsidRPr="00111C8D" w14:paraId="02C99721" w14:textId="77777777" w:rsidTr="005109BB">
              <w:trPr>
                <w:trHeight w:val="81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3E7DED3B"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Características para videoconferencia</w:t>
                  </w:r>
                </w:p>
              </w:tc>
              <w:tc>
                <w:tcPr>
                  <w:tcW w:w="4340" w:type="dxa"/>
                  <w:tcBorders>
                    <w:top w:val="nil"/>
                    <w:left w:val="nil"/>
                    <w:bottom w:val="single" w:sz="4" w:space="0" w:color="auto"/>
                    <w:right w:val="single" w:sz="8" w:space="0" w:color="auto"/>
                  </w:tcBorders>
                  <w:shd w:val="clear" w:color="000000" w:fill="FFFFFF"/>
                  <w:vAlign w:val="center"/>
                  <w:hideMark/>
                </w:tcPr>
                <w:p w14:paraId="0002B43F"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 xml:space="preserve">Cámara web Integrada HD + Micrófono Integrado + tarjeta de sonido y parlante(s) interno(s) activos. Sonido estéreo. </w:t>
                  </w:r>
                </w:p>
              </w:tc>
            </w:tr>
            <w:tr w:rsidR="00A51331" w:rsidRPr="00111C8D" w14:paraId="2319107B"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0AB76FFC"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Puertos para audio</w:t>
                  </w:r>
                </w:p>
              </w:tc>
              <w:tc>
                <w:tcPr>
                  <w:tcW w:w="4340" w:type="dxa"/>
                  <w:tcBorders>
                    <w:top w:val="nil"/>
                    <w:left w:val="nil"/>
                    <w:bottom w:val="single" w:sz="4" w:space="0" w:color="auto"/>
                    <w:right w:val="single" w:sz="8" w:space="0" w:color="auto"/>
                  </w:tcBorders>
                  <w:shd w:val="clear" w:color="000000" w:fill="FFFFFF"/>
                  <w:vAlign w:val="center"/>
                  <w:hideMark/>
                </w:tcPr>
                <w:p w14:paraId="3A4FD131"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Puerto de auriculares y de micrófono de 3.5 mm en combo</w:t>
                  </w:r>
                </w:p>
              </w:tc>
            </w:tr>
            <w:tr w:rsidR="00A51331" w:rsidRPr="00111C8D" w14:paraId="276FBE7B" w14:textId="77777777" w:rsidTr="005109BB">
              <w:trPr>
                <w:trHeight w:val="540"/>
                <w:jc w:val="center"/>
              </w:trPr>
              <w:tc>
                <w:tcPr>
                  <w:tcW w:w="2480" w:type="dxa"/>
                  <w:tcBorders>
                    <w:top w:val="nil"/>
                    <w:left w:val="single" w:sz="8" w:space="0" w:color="auto"/>
                    <w:bottom w:val="single" w:sz="4" w:space="0" w:color="auto"/>
                    <w:right w:val="single" w:sz="8" w:space="0" w:color="auto"/>
                  </w:tcBorders>
                  <w:noWrap/>
                  <w:vAlign w:val="center"/>
                  <w:hideMark/>
                </w:tcPr>
                <w:p w14:paraId="139A03B2" w14:textId="77777777" w:rsidR="00A51331" w:rsidRPr="00111C8D" w:rsidRDefault="00A51331" w:rsidP="00A51331">
                  <w:pPr>
                    <w:suppressAutoHyphens/>
                    <w:rPr>
                      <w:rFonts w:ascii="Arial" w:hAnsi="Arial" w:cs="Arial"/>
                      <w:b/>
                      <w:bCs/>
                      <w:i/>
                      <w:iCs/>
                      <w:color w:val="000000"/>
                      <w:sz w:val="18"/>
                      <w:szCs w:val="18"/>
                      <w:lang w:val="es-ES" w:eastAsia="ar-SA"/>
                    </w:rPr>
                  </w:pPr>
                  <w:r w:rsidRPr="00111C8D">
                    <w:rPr>
                      <w:rFonts w:ascii="Arial" w:hAnsi="Arial" w:cs="Arial"/>
                      <w:b/>
                      <w:bCs/>
                      <w:i/>
                      <w:iCs/>
                      <w:color w:val="000000"/>
                      <w:sz w:val="18"/>
                      <w:szCs w:val="18"/>
                      <w:lang w:val="es-ES" w:eastAsia="ar-SA"/>
                    </w:rPr>
                    <w:t>Dispositivos de entrada</w:t>
                  </w:r>
                </w:p>
              </w:tc>
              <w:tc>
                <w:tcPr>
                  <w:tcW w:w="4340" w:type="dxa"/>
                  <w:tcBorders>
                    <w:top w:val="nil"/>
                    <w:left w:val="nil"/>
                    <w:bottom w:val="single" w:sz="4" w:space="0" w:color="auto"/>
                    <w:right w:val="single" w:sz="8" w:space="0" w:color="auto"/>
                  </w:tcBorders>
                  <w:shd w:val="clear" w:color="000000" w:fill="FFFFFF"/>
                  <w:vAlign w:val="center"/>
                  <w:hideMark/>
                </w:tcPr>
                <w:p w14:paraId="168C824F" w14:textId="77777777" w:rsidR="00A51331" w:rsidRPr="00111C8D" w:rsidRDefault="00A51331" w:rsidP="00A51331">
                  <w:pPr>
                    <w:suppressAutoHyphens/>
                    <w:rPr>
                      <w:rFonts w:ascii="Arial" w:hAnsi="Arial" w:cs="Arial"/>
                      <w:i/>
                      <w:iCs/>
                      <w:color w:val="000000"/>
                      <w:sz w:val="18"/>
                      <w:szCs w:val="18"/>
                      <w:lang w:val="es-ES" w:eastAsia="ar-SA"/>
                    </w:rPr>
                  </w:pPr>
                  <w:r w:rsidRPr="00111C8D">
                    <w:rPr>
                      <w:rFonts w:ascii="Arial" w:hAnsi="Arial" w:cs="Arial"/>
                      <w:i/>
                      <w:iCs/>
                      <w:color w:val="000000"/>
                      <w:sz w:val="18"/>
                      <w:szCs w:val="18"/>
                      <w:lang w:val="es-ES" w:eastAsia="ar-SA"/>
                    </w:rPr>
                    <w:t>Teclado en español y dispositivo señalador de dos clics incorporados.</w:t>
                  </w:r>
                </w:p>
              </w:tc>
            </w:tr>
            <w:tr w:rsidR="00A51331" w:rsidRPr="00111C8D" w14:paraId="3F0E6912" w14:textId="77777777" w:rsidTr="005109BB">
              <w:trPr>
                <w:trHeight w:val="108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04EB4DDA" w14:textId="77777777" w:rsidR="00A51331" w:rsidRPr="00111C8D" w:rsidRDefault="00A51331" w:rsidP="00A51331">
                  <w:pPr>
                    <w:suppressAutoHyphens/>
                    <w:rPr>
                      <w:rFonts w:ascii="Arial" w:hAnsi="Arial" w:cs="Arial"/>
                      <w:b/>
                      <w:bCs/>
                      <w:i/>
                      <w:iCs/>
                      <w:sz w:val="18"/>
                      <w:szCs w:val="18"/>
                      <w:lang w:val="es-ES" w:eastAsia="ar-SA"/>
                    </w:rPr>
                  </w:pPr>
                  <w:r w:rsidRPr="00111C8D">
                    <w:rPr>
                      <w:rFonts w:ascii="Arial" w:hAnsi="Arial" w:cs="Arial"/>
                      <w:b/>
                      <w:bCs/>
                      <w:i/>
                      <w:iCs/>
                      <w:sz w:val="18"/>
                      <w:szCs w:val="18"/>
                      <w:lang w:val="es-ES" w:eastAsia="ar-SA"/>
                    </w:rPr>
                    <w:t>Certificación energética</w:t>
                  </w:r>
                </w:p>
              </w:tc>
              <w:tc>
                <w:tcPr>
                  <w:tcW w:w="4340" w:type="dxa"/>
                  <w:tcBorders>
                    <w:top w:val="nil"/>
                    <w:left w:val="nil"/>
                    <w:bottom w:val="single" w:sz="4" w:space="0" w:color="auto"/>
                    <w:right w:val="single" w:sz="8" w:space="0" w:color="auto"/>
                  </w:tcBorders>
                  <w:shd w:val="clear" w:color="000000" w:fill="FFFFFF"/>
                  <w:vAlign w:val="center"/>
                  <w:hideMark/>
                </w:tcPr>
                <w:p w14:paraId="52165D84" w14:textId="77777777" w:rsidR="00A51331" w:rsidRPr="00111C8D" w:rsidRDefault="00A51331" w:rsidP="00A51331">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COMPONENTE-AIO-169 Energy </w:t>
                  </w:r>
                  <w:proofErr w:type="spellStart"/>
                  <w:r w:rsidRPr="00111C8D">
                    <w:rPr>
                      <w:rFonts w:ascii="Arial" w:hAnsi="Arial" w:cs="Arial"/>
                      <w:i/>
                      <w:iCs/>
                      <w:sz w:val="18"/>
                      <w:szCs w:val="18"/>
                      <w:lang w:val="es-ES" w:eastAsia="ar-SA"/>
                    </w:rPr>
                    <w:t>Star</w:t>
                  </w:r>
                  <w:proofErr w:type="spellEnd"/>
                  <w:r w:rsidRPr="00111C8D">
                    <w:rPr>
                      <w:rFonts w:ascii="Arial" w:hAnsi="Arial" w:cs="Arial"/>
                      <w:i/>
                      <w:iCs/>
                      <w:sz w:val="18"/>
                      <w:szCs w:val="18"/>
                      <w:lang w:val="es-ES" w:eastAsia="ar-SA"/>
                    </w:rPr>
                    <w:t xml:space="preserve"> 8.x o superior o China </w:t>
                  </w:r>
                  <w:proofErr w:type="spellStart"/>
                  <w:r w:rsidRPr="00111C8D">
                    <w:rPr>
                      <w:rFonts w:ascii="Arial" w:hAnsi="Arial" w:cs="Arial"/>
                      <w:i/>
                      <w:iCs/>
                      <w:sz w:val="18"/>
                      <w:szCs w:val="18"/>
                      <w:lang w:val="es-ES" w:eastAsia="ar-SA"/>
                    </w:rPr>
                    <w:t>Certificate</w:t>
                  </w:r>
                  <w:proofErr w:type="spellEnd"/>
                  <w:r w:rsidRPr="00111C8D">
                    <w:rPr>
                      <w:rFonts w:ascii="Arial" w:hAnsi="Arial" w:cs="Arial"/>
                      <w:i/>
                      <w:iCs/>
                      <w:sz w:val="18"/>
                      <w:szCs w:val="18"/>
                      <w:lang w:val="es-ES" w:eastAsia="ar-SA"/>
                    </w:rPr>
                    <w:t xml:space="preserve"> </w:t>
                  </w:r>
                  <w:proofErr w:type="spellStart"/>
                  <w:r w:rsidRPr="00111C8D">
                    <w:rPr>
                      <w:rFonts w:ascii="Arial" w:hAnsi="Arial" w:cs="Arial"/>
                      <w:i/>
                      <w:iCs/>
                      <w:sz w:val="18"/>
                      <w:szCs w:val="18"/>
                      <w:lang w:val="es-ES" w:eastAsia="ar-SA"/>
                    </w:rPr>
                    <w:t>for</w:t>
                  </w:r>
                  <w:proofErr w:type="spellEnd"/>
                  <w:r w:rsidRPr="00111C8D">
                    <w:rPr>
                      <w:rFonts w:ascii="Arial" w:hAnsi="Arial" w:cs="Arial"/>
                      <w:i/>
                      <w:iCs/>
                      <w:sz w:val="18"/>
                      <w:szCs w:val="18"/>
                      <w:lang w:val="es-ES" w:eastAsia="ar-SA"/>
                    </w:rPr>
                    <w:t xml:space="preserve"> Energy </w:t>
                  </w:r>
                  <w:proofErr w:type="spellStart"/>
                  <w:r w:rsidRPr="00111C8D">
                    <w:rPr>
                      <w:rFonts w:ascii="Arial" w:hAnsi="Arial" w:cs="Arial"/>
                      <w:i/>
                      <w:iCs/>
                      <w:sz w:val="18"/>
                      <w:szCs w:val="18"/>
                      <w:lang w:val="es-ES" w:eastAsia="ar-SA"/>
                    </w:rPr>
                    <w:t>Conservation</w:t>
                  </w:r>
                  <w:proofErr w:type="spellEnd"/>
                  <w:r w:rsidRPr="00111C8D">
                    <w:rPr>
                      <w:rFonts w:ascii="Arial" w:hAnsi="Arial" w:cs="Arial"/>
                      <w:i/>
                      <w:iCs/>
                      <w:sz w:val="18"/>
                      <w:szCs w:val="18"/>
                      <w:lang w:val="es-ES" w:eastAsia="ar-SA"/>
                    </w:rPr>
                    <w:t xml:space="preserve"> </w:t>
                  </w:r>
                  <w:proofErr w:type="spellStart"/>
                  <w:r w:rsidRPr="00111C8D">
                    <w:rPr>
                      <w:rFonts w:ascii="Arial" w:hAnsi="Arial" w:cs="Arial"/>
                      <w:i/>
                      <w:iCs/>
                      <w:sz w:val="18"/>
                      <w:szCs w:val="18"/>
                      <w:lang w:val="es-ES" w:eastAsia="ar-SA"/>
                    </w:rPr>
                    <w:t>Product</w:t>
                  </w:r>
                  <w:proofErr w:type="spellEnd"/>
                  <w:r w:rsidRPr="00111C8D">
                    <w:rPr>
                      <w:rFonts w:ascii="Arial" w:hAnsi="Arial" w:cs="Arial"/>
                      <w:i/>
                      <w:iCs/>
                      <w:sz w:val="18"/>
                      <w:szCs w:val="18"/>
                      <w:lang w:val="es-ES" w:eastAsia="ar-SA"/>
                    </w:rPr>
                    <w:t xml:space="preserve"> o </w:t>
                  </w:r>
                  <w:proofErr w:type="spellStart"/>
                  <w:r w:rsidRPr="00111C8D">
                    <w:rPr>
                      <w:rFonts w:ascii="Arial" w:hAnsi="Arial" w:cs="Arial"/>
                      <w:i/>
                      <w:iCs/>
                      <w:sz w:val="18"/>
                      <w:szCs w:val="18"/>
                      <w:lang w:val="es-ES" w:eastAsia="ar-SA"/>
                    </w:rPr>
                    <w:t>Ecodesign</w:t>
                  </w:r>
                  <w:proofErr w:type="spellEnd"/>
                  <w:r w:rsidRPr="00111C8D">
                    <w:rPr>
                      <w:rFonts w:ascii="Arial" w:hAnsi="Arial" w:cs="Arial"/>
                      <w:i/>
                      <w:iCs/>
                      <w:sz w:val="18"/>
                      <w:szCs w:val="18"/>
                      <w:lang w:val="es-ES" w:eastAsia="ar-SA"/>
                    </w:rPr>
                    <w:t xml:space="preserve"> and Energy </w:t>
                  </w:r>
                  <w:proofErr w:type="spellStart"/>
                  <w:r w:rsidRPr="00111C8D">
                    <w:rPr>
                      <w:rFonts w:ascii="Arial" w:hAnsi="Arial" w:cs="Arial"/>
                      <w:i/>
                      <w:iCs/>
                      <w:sz w:val="18"/>
                      <w:szCs w:val="18"/>
                      <w:lang w:val="es-ES" w:eastAsia="ar-SA"/>
                    </w:rPr>
                    <w:t>Labelling</w:t>
                  </w:r>
                  <w:proofErr w:type="spellEnd"/>
                  <w:r w:rsidRPr="00111C8D">
                    <w:rPr>
                      <w:rFonts w:ascii="Arial" w:hAnsi="Arial" w:cs="Arial"/>
                      <w:i/>
                      <w:iCs/>
                      <w:sz w:val="18"/>
                      <w:szCs w:val="18"/>
                      <w:lang w:val="es-ES" w:eastAsia="ar-SA"/>
                    </w:rPr>
                    <w:t xml:space="preserve"> - Todas las zonas</w:t>
                  </w:r>
                </w:p>
              </w:tc>
            </w:tr>
            <w:tr w:rsidR="00A51331" w:rsidRPr="00111C8D" w14:paraId="1259B4E8" w14:textId="77777777" w:rsidTr="005109BB">
              <w:trPr>
                <w:trHeight w:val="540"/>
                <w:jc w:val="center"/>
              </w:trPr>
              <w:tc>
                <w:tcPr>
                  <w:tcW w:w="2480" w:type="dxa"/>
                  <w:tcBorders>
                    <w:top w:val="nil"/>
                    <w:left w:val="single" w:sz="8" w:space="0" w:color="auto"/>
                    <w:bottom w:val="single" w:sz="4" w:space="0" w:color="auto"/>
                    <w:right w:val="single" w:sz="8" w:space="0" w:color="auto"/>
                  </w:tcBorders>
                  <w:shd w:val="clear" w:color="000000" w:fill="FFFFFF"/>
                  <w:vAlign w:val="center"/>
                  <w:hideMark/>
                </w:tcPr>
                <w:p w14:paraId="26E1A265" w14:textId="77777777" w:rsidR="00A51331" w:rsidRPr="00111C8D" w:rsidRDefault="00A51331" w:rsidP="00A51331">
                  <w:pPr>
                    <w:suppressAutoHyphens/>
                    <w:rPr>
                      <w:rFonts w:ascii="Arial" w:hAnsi="Arial" w:cs="Arial"/>
                      <w:b/>
                      <w:bCs/>
                      <w:i/>
                      <w:iCs/>
                      <w:sz w:val="18"/>
                      <w:szCs w:val="18"/>
                      <w:lang w:val="es-ES" w:eastAsia="ar-SA"/>
                    </w:rPr>
                  </w:pPr>
                  <w:r w:rsidRPr="00111C8D">
                    <w:rPr>
                      <w:rFonts w:ascii="Arial" w:hAnsi="Arial" w:cs="Arial"/>
                      <w:b/>
                      <w:bCs/>
                      <w:i/>
                      <w:iCs/>
                      <w:sz w:val="18"/>
                      <w:szCs w:val="18"/>
                      <w:lang w:val="es-ES" w:eastAsia="ar-SA"/>
                    </w:rPr>
                    <w:t>Certificación ambiental</w:t>
                  </w:r>
                </w:p>
              </w:tc>
              <w:tc>
                <w:tcPr>
                  <w:tcW w:w="4340" w:type="dxa"/>
                  <w:tcBorders>
                    <w:top w:val="nil"/>
                    <w:left w:val="nil"/>
                    <w:bottom w:val="single" w:sz="4" w:space="0" w:color="auto"/>
                    <w:right w:val="single" w:sz="8" w:space="0" w:color="auto"/>
                  </w:tcBorders>
                  <w:shd w:val="clear" w:color="000000" w:fill="FFFFFF"/>
                  <w:vAlign w:val="center"/>
                  <w:hideMark/>
                </w:tcPr>
                <w:p w14:paraId="391FC1C7" w14:textId="77777777" w:rsidR="00A51331" w:rsidRPr="00111C8D" w:rsidRDefault="00A51331" w:rsidP="00A51331">
                  <w:pPr>
                    <w:suppressAutoHyphens/>
                    <w:rPr>
                      <w:rFonts w:ascii="Arial" w:hAnsi="Arial" w:cs="Arial"/>
                      <w:i/>
                      <w:iCs/>
                      <w:sz w:val="18"/>
                      <w:szCs w:val="18"/>
                      <w:lang w:val="es-ES" w:eastAsia="ar-SA"/>
                    </w:rPr>
                  </w:pPr>
                  <w:r w:rsidRPr="00111C8D">
                    <w:rPr>
                      <w:rFonts w:ascii="Arial" w:hAnsi="Arial" w:cs="Arial"/>
                      <w:i/>
                      <w:iCs/>
                      <w:sz w:val="18"/>
                      <w:szCs w:val="18"/>
                      <w:lang w:val="es-ES" w:eastAsia="ar-SA"/>
                    </w:rPr>
                    <w:t xml:space="preserve">COMPONENTE-AIO-166 Certificación </w:t>
                  </w:r>
                  <w:proofErr w:type="spellStart"/>
                  <w:r w:rsidRPr="00111C8D">
                    <w:rPr>
                      <w:rFonts w:ascii="Arial" w:hAnsi="Arial" w:cs="Arial"/>
                      <w:i/>
                      <w:iCs/>
                      <w:sz w:val="18"/>
                      <w:szCs w:val="18"/>
                      <w:lang w:val="es-ES" w:eastAsia="ar-SA"/>
                    </w:rPr>
                    <w:t>Epeat</w:t>
                  </w:r>
                  <w:proofErr w:type="spellEnd"/>
                  <w:r w:rsidRPr="00111C8D">
                    <w:rPr>
                      <w:rFonts w:ascii="Arial" w:hAnsi="Arial" w:cs="Arial"/>
                      <w:i/>
                      <w:iCs/>
                      <w:sz w:val="18"/>
                      <w:szCs w:val="18"/>
                      <w:lang w:val="es-ES" w:eastAsia="ar-SA"/>
                    </w:rPr>
                    <w:t xml:space="preserve"> Gold - Todas las zonas</w:t>
                  </w:r>
                </w:p>
              </w:tc>
            </w:tr>
          </w:tbl>
          <w:p w14:paraId="59A32FAE" w14:textId="77777777" w:rsidR="00A51331" w:rsidRDefault="00A51331" w:rsidP="00BF326C">
            <w:pPr>
              <w:jc w:val="both"/>
              <w:rPr>
                <w:rFonts w:ascii="Arial" w:hAnsi="Arial" w:cs="Arial"/>
                <w:sz w:val="20"/>
                <w:szCs w:val="20"/>
              </w:rPr>
            </w:pPr>
          </w:p>
          <w:p w14:paraId="057A5198" w14:textId="77777777" w:rsidR="00DE713C" w:rsidRPr="00BF326C" w:rsidRDefault="00DE713C" w:rsidP="00BF326C">
            <w:pPr>
              <w:pStyle w:val="Prrafodelista"/>
              <w:numPr>
                <w:ilvl w:val="0"/>
                <w:numId w:val="42"/>
              </w:numPr>
              <w:jc w:val="both"/>
              <w:rPr>
                <w:rFonts w:ascii="Arial" w:hAnsi="Arial" w:cs="Arial"/>
                <w:iCs/>
                <w:sz w:val="20"/>
                <w:szCs w:val="20"/>
                <w:lang w:val="es-ES_tradnl"/>
              </w:rPr>
            </w:pPr>
            <w:r w:rsidRPr="00BF326C">
              <w:rPr>
                <w:rFonts w:ascii="Arial" w:hAnsi="Arial" w:cs="Arial"/>
                <w:iCs/>
                <w:sz w:val="20"/>
                <w:szCs w:val="20"/>
                <w:lang w:val="es-ES_tradnl"/>
              </w:rPr>
              <w:t>Los interesados en participar en el presente proceso de selección deben anexar con su oferta, catálogo de fábrica de los elementos ofrecidos.</w:t>
            </w:r>
          </w:p>
          <w:p w14:paraId="4098DB55" w14:textId="77777777" w:rsidR="00DE713C" w:rsidRPr="00685A18" w:rsidRDefault="00DE713C" w:rsidP="00521539">
            <w:pPr>
              <w:pStyle w:val="Prrafodelista"/>
              <w:numPr>
                <w:ilvl w:val="0"/>
                <w:numId w:val="42"/>
              </w:numPr>
              <w:tabs>
                <w:tab w:val="center" w:pos="4419"/>
                <w:tab w:val="right" w:pos="8838"/>
              </w:tabs>
              <w:suppressAutoHyphens/>
              <w:ind w:right="539"/>
              <w:jc w:val="both"/>
              <w:rPr>
                <w:rFonts w:ascii="Arial" w:hAnsi="Arial" w:cs="Arial"/>
                <w:sz w:val="20"/>
                <w:szCs w:val="20"/>
              </w:rPr>
            </w:pPr>
            <w:r w:rsidRPr="00685A18">
              <w:rPr>
                <w:rFonts w:ascii="Arial" w:hAnsi="Arial" w:cs="Arial"/>
                <w:iCs/>
                <w:sz w:val="20"/>
                <w:szCs w:val="20"/>
                <w:lang w:val="es-ES_tradnl"/>
              </w:rPr>
              <w:t>Entiéndase por catálogo el documento físico o magnético que contiene las características de los elementos ofertados PROCEDENTE DEL FABRICANTE.</w:t>
            </w:r>
          </w:p>
          <w:p w14:paraId="43231EAD" w14:textId="77777777"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ind w:right="539"/>
              <w:jc w:val="both"/>
              <w:rPr>
                <w:rFonts w:ascii="Arial" w:eastAsia="Calibri" w:hAnsi="Arial" w:cs="Arial"/>
                <w:sz w:val="20"/>
                <w:szCs w:val="20"/>
              </w:rPr>
            </w:pPr>
            <w:r w:rsidRPr="00685A18">
              <w:rPr>
                <w:rFonts w:ascii="Arial" w:hAnsi="Arial" w:cs="Arial"/>
                <w:sz w:val="20"/>
                <w:szCs w:val="20"/>
              </w:rPr>
              <w:t>Los interesados en participar en el proceso DEBEN OFRECER MARCAS RECONOCIDAS EN EL MERCADO, elementos nuevos</w:t>
            </w:r>
            <w:r w:rsidRPr="00685A18">
              <w:rPr>
                <w:rFonts w:ascii="Arial" w:hAnsi="Arial" w:cs="Arial"/>
                <w:b/>
                <w:sz w:val="20"/>
                <w:szCs w:val="20"/>
              </w:rPr>
              <w:t xml:space="preserve"> </w:t>
            </w:r>
            <w:r w:rsidRPr="00685A18">
              <w:rPr>
                <w:rFonts w:ascii="Arial" w:hAnsi="Arial" w:cs="Arial"/>
                <w:sz w:val="20"/>
                <w:szCs w:val="20"/>
              </w:rPr>
              <w:t>y ceñirse al anexo de especificaciones esenciales.</w:t>
            </w:r>
          </w:p>
          <w:p w14:paraId="355CA1AC" w14:textId="221BFF46"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ind w:right="539"/>
              <w:jc w:val="both"/>
              <w:rPr>
                <w:rFonts w:ascii="Arial" w:eastAsia="Calibri" w:hAnsi="Arial" w:cs="Arial"/>
                <w:sz w:val="20"/>
                <w:szCs w:val="20"/>
              </w:rPr>
            </w:pPr>
            <w:r w:rsidRPr="00685A18">
              <w:rPr>
                <w:rFonts w:ascii="Arial" w:eastAsia="Calibri" w:hAnsi="Arial" w:cs="Arial"/>
                <w:sz w:val="20"/>
                <w:szCs w:val="20"/>
              </w:rPr>
              <w:lastRenderedPageBreak/>
              <w:t xml:space="preserve">Presentar autorización del fabricante como distribuidor autorizado y/o certificado de originalidad de los productos, no se </w:t>
            </w:r>
            <w:r w:rsidR="00E93B08" w:rsidRPr="00685A18">
              <w:rPr>
                <w:rFonts w:ascii="Arial" w:eastAsia="Calibri" w:hAnsi="Arial" w:cs="Arial"/>
                <w:sz w:val="20"/>
                <w:szCs w:val="20"/>
              </w:rPr>
              <w:t>aceptarán</w:t>
            </w:r>
            <w:r w:rsidRPr="00685A18">
              <w:rPr>
                <w:rFonts w:ascii="Arial" w:eastAsia="Calibri" w:hAnsi="Arial" w:cs="Arial"/>
                <w:sz w:val="20"/>
                <w:szCs w:val="20"/>
              </w:rPr>
              <w:t xml:space="preserve"> unidades remanufacturadas teniendo en cuenta que esto no permitirá que los productos a contratar cumplan con garantías de calidad.</w:t>
            </w:r>
          </w:p>
          <w:p w14:paraId="3DB3209F" w14:textId="77777777" w:rsidR="00DE713C" w:rsidRPr="00685A18" w:rsidRDefault="00DE713C" w:rsidP="00521539">
            <w:pPr>
              <w:pStyle w:val="Prrafodelista"/>
              <w:numPr>
                <w:ilvl w:val="0"/>
                <w:numId w:val="42"/>
              </w:numPr>
              <w:tabs>
                <w:tab w:val="center" w:pos="4419"/>
                <w:tab w:val="right" w:pos="8838"/>
              </w:tabs>
              <w:suppressAutoHyphens/>
              <w:autoSpaceDE w:val="0"/>
              <w:autoSpaceDN w:val="0"/>
              <w:adjustRightInd w:val="0"/>
              <w:ind w:right="539"/>
              <w:jc w:val="both"/>
              <w:rPr>
                <w:rFonts w:ascii="Arial" w:hAnsi="Arial" w:cs="Arial"/>
                <w:sz w:val="20"/>
                <w:szCs w:val="20"/>
              </w:rPr>
            </w:pPr>
            <w:r w:rsidRPr="00685A18">
              <w:rPr>
                <w:rFonts w:ascii="Arial" w:eastAsia="Calibri" w:hAnsi="Arial" w:cs="Arial"/>
                <w:sz w:val="20"/>
                <w:szCs w:val="20"/>
              </w:rPr>
              <w:t>La entidad podrá adquirir cantidades hasta agotar el presupuesto.</w:t>
            </w:r>
          </w:p>
          <w:p w14:paraId="1BF74523" w14:textId="3754EFF5" w:rsidR="00DE713C" w:rsidRPr="00266353" w:rsidRDefault="00DE713C" w:rsidP="00680560">
            <w:pPr>
              <w:pStyle w:val="Prrafodelista"/>
              <w:numPr>
                <w:ilvl w:val="0"/>
                <w:numId w:val="42"/>
              </w:numPr>
              <w:tabs>
                <w:tab w:val="center" w:pos="4419"/>
                <w:tab w:val="right" w:pos="8838"/>
              </w:tabs>
              <w:suppressAutoHyphens/>
              <w:autoSpaceDE w:val="0"/>
              <w:autoSpaceDN w:val="0"/>
              <w:adjustRightInd w:val="0"/>
              <w:ind w:right="539"/>
              <w:jc w:val="both"/>
              <w:rPr>
                <w:rFonts w:ascii="Arial" w:hAnsi="Arial" w:cs="Arial"/>
                <w:sz w:val="20"/>
                <w:szCs w:val="20"/>
              </w:rPr>
            </w:pPr>
            <w:r w:rsidRPr="00685A18">
              <w:rPr>
                <w:rFonts w:ascii="Arial" w:hAnsi="Arial" w:cs="Arial"/>
                <w:sz w:val="20"/>
                <w:szCs w:val="20"/>
              </w:rPr>
              <w:t>NO SE ACEPTAN OFERTAS PARCIALES</w:t>
            </w:r>
            <w:r w:rsidR="007B0714">
              <w:rPr>
                <w:rFonts w:ascii="Arial" w:hAnsi="Arial" w:cs="Arial"/>
                <w:sz w:val="20"/>
                <w:szCs w:val="20"/>
              </w:rPr>
              <w:t>.</w:t>
            </w:r>
          </w:p>
        </w:tc>
      </w:tr>
      <w:tr w:rsidR="007A72E4" w:rsidRPr="000F083E" w14:paraId="4FE0A8B2" w14:textId="77777777" w:rsidTr="00894086">
        <w:trPr>
          <w:trHeight w:val="245"/>
        </w:trPr>
        <w:tc>
          <w:tcPr>
            <w:tcW w:w="5000" w:type="pct"/>
            <w:gridSpan w:val="4"/>
            <w:shd w:val="clear" w:color="auto" w:fill="B8CCE4" w:themeFill="accent1" w:themeFillTint="66"/>
          </w:tcPr>
          <w:p w14:paraId="1A1C6F25" w14:textId="77777777" w:rsidR="007A72E4" w:rsidRPr="000F083E" w:rsidRDefault="00831705" w:rsidP="00EA1A9F">
            <w:pPr>
              <w:jc w:val="both"/>
              <w:rPr>
                <w:rFonts w:ascii="Arial" w:hAnsi="Arial" w:cs="Arial"/>
                <w:b/>
                <w:sz w:val="20"/>
                <w:szCs w:val="20"/>
              </w:rPr>
            </w:pPr>
            <w:r w:rsidRPr="000F083E">
              <w:rPr>
                <w:rFonts w:ascii="Arial" w:hAnsi="Arial" w:cs="Arial"/>
                <w:b/>
                <w:sz w:val="20"/>
                <w:szCs w:val="20"/>
              </w:rPr>
              <w:lastRenderedPageBreak/>
              <w:t>4</w:t>
            </w:r>
            <w:r w:rsidR="007A72E4" w:rsidRPr="000F083E">
              <w:rPr>
                <w:rFonts w:ascii="Arial" w:hAnsi="Arial" w:cs="Arial"/>
                <w:b/>
                <w:sz w:val="20"/>
                <w:szCs w:val="20"/>
              </w:rPr>
              <w:t>. OBLIGACIONES DEL CONTRATISTA Y DEL CONSEJO SUPERIOR DE LA JUDICATURA</w:t>
            </w:r>
          </w:p>
        </w:tc>
      </w:tr>
      <w:tr w:rsidR="00AF19A3" w:rsidRPr="000F083E" w14:paraId="41D45C26" w14:textId="77777777" w:rsidTr="00894086">
        <w:trPr>
          <w:trHeight w:val="245"/>
        </w:trPr>
        <w:tc>
          <w:tcPr>
            <w:tcW w:w="5000" w:type="pct"/>
            <w:gridSpan w:val="4"/>
            <w:shd w:val="clear" w:color="auto" w:fill="B8CCE4" w:themeFill="accent1" w:themeFillTint="66"/>
          </w:tcPr>
          <w:p w14:paraId="78B48EBA" w14:textId="77777777" w:rsidR="00AF19A3" w:rsidRPr="000F083E" w:rsidRDefault="00AF19A3" w:rsidP="00EA1A9F">
            <w:pPr>
              <w:jc w:val="both"/>
              <w:rPr>
                <w:rFonts w:ascii="Arial" w:hAnsi="Arial" w:cs="Arial"/>
                <w:b/>
                <w:sz w:val="20"/>
                <w:szCs w:val="20"/>
              </w:rPr>
            </w:pPr>
            <w:r w:rsidRPr="000F083E">
              <w:rPr>
                <w:rFonts w:ascii="Arial" w:hAnsi="Arial" w:cs="Arial"/>
                <w:b/>
                <w:sz w:val="20"/>
                <w:szCs w:val="20"/>
              </w:rPr>
              <w:t>4.1. OBLIGACIONES DEL CONTRATISTA</w:t>
            </w:r>
          </w:p>
        </w:tc>
      </w:tr>
      <w:tr w:rsidR="00AF19A3" w:rsidRPr="000F083E" w14:paraId="4B439C99" w14:textId="77777777" w:rsidTr="00894086">
        <w:trPr>
          <w:trHeight w:val="1137"/>
        </w:trPr>
        <w:tc>
          <w:tcPr>
            <w:tcW w:w="5000" w:type="pct"/>
            <w:gridSpan w:val="4"/>
          </w:tcPr>
          <w:p w14:paraId="0ADFEAE9" w14:textId="77777777" w:rsidR="00AF19A3" w:rsidRPr="000F083E" w:rsidRDefault="00AF19A3" w:rsidP="009E3E26">
            <w:pPr>
              <w:jc w:val="both"/>
              <w:rPr>
                <w:rFonts w:ascii="Arial" w:hAnsi="Arial" w:cs="Arial"/>
                <w:sz w:val="20"/>
                <w:szCs w:val="20"/>
              </w:rPr>
            </w:pPr>
            <w:r w:rsidRPr="000F083E">
              <w:rPr>
                <w:rFonts w:ascii="Arial" w:hAnsi="Arial" w:cs="Arial"/>
                <w:sz w:val="20"/>
                <w:szCs w:val="20"/>
              </w:rPr>
              <w:t xml:space="preserve">En lo que respecta a las obligaciones del contratista derivadas de las órdenes de compra realizadas con ocasión de este proceso contractual, para la adquisición </w:t>
            </w:r>
            <w:r w:rsidRPr="007B0714">
              <w:rPr>
                <w:rFonts w:ascii="Arial" w:hAnsi="Arial" w:cs="Arial"/>
                <w:sz w:val="20"/>
                <w:szCs w:val="20"/>
              </w:rPr>
              <w:t>de Útiles de Escritorio y Oficina</w:t>
            </w:r>
            <w:r w:rsidRPr="000F083E">
              <w:rPr>
                <w:rFonts w:ascii="Arial" w:hAnsi="Arial" w:cs="Arial"/>
                <w:sz w:val="20"/>
                <w:szCs w:val="20"/>
              </w:rPr>
              <w:t xml:space="preserve">; la Entidad dará aplicación a lo establecido en </w:t>
            </w:r>
            <w:r>
              <w:rPr>
                <w:rFonts w:ascii="Arial" w:hAnsi="Arial" w:cs="Arial"/>
                <w:sz w:val="20"/>
                <w:szCs w:val="20"/>
              </w:rPr>
              <w:t>los documentos: Términos y Condiciones de Uso de la Tienda Virtual del Estado Colombiano y el Manual de la Modalidad de Selección de Mínima Cuantía M-MSMC-02.</w:t>
            </w:r>
          </w:p>
        </w:tc>
      </w:tr>
      <w:tr w:rsidR="00AF19A3" w:rsidRPr="000F083E" w14:paraId="2E57B75B" w14:textId="77777777" w:rsidTr="00894086">
        <w:trPr>
          <w:trHeight w:val="202"/>
        </w:trPr>
        <w:tc>
          <w:tcPr>
            <w:tcW w:w="5000" w:type="pct"/>
            <w:gridSpan w:val="4"/>
          </w:tcPr>
          <w:p w14:paraId="7BDB7D02" w14:textId="77777777" w:rsidR="00AF19A3" w:rsidRPr="000F083E" w:rsidRDefault="00AF19A3" w:rsidP="009E3E26">
            <w:pPr>
              <w:jc w:val="both"/>
              <w:rPr>
                <w:rFonts w:ascii="Arial" w:hAnsi="Arial" w:cs="Arial"/>
                <w:sz w:val="20"/>
                <w:szCs w:val="20"/>
              </w:rPr>
            </w:pPr>
            <w:r w:rsidRPr="000F083E">
              <w:rPr>
                <w:rFonts w:ascii="Arial" w:hAnsi="Arial" w:cs="Arial"/>
                <w:b/>
                <w:sz w:val="20"/>
                <w:szCs w:val="20"/>
              </w:rPr>
              <w:t>4.2. OBLIGACIONES DEL SUPERVISOR</w:t>
            </w:r>
          </w:p>
        </w:tc>
      </w:tr>
      <w:tr w:rsidR="00AF19A3" w:rsidRPr="000F083E" w14:paraId="0BD4B669" w14:textId="77777777" w:rsidTr="00894086">
        <w:trPr>
          <w:trHeight w:val="1186"/>
        </w:trPr>
        <w:tc>
          <w:tcPr>
            <w:tcW w:w="5000" w:type="pct"/>
            <w:gridSpan w:val="4"/>
          </w:tcPr>
          <w:p w14:paraId="7621DAD3" w14:textId="1433A26A" w:rsidR="00AF19A3" w:rsidRPr="000F083E" w:rsidRDefault="00AF19A3" w:rsidP="00F26D96">
            <w:pPr>
              <w:jc w:val="both"/>
              <w:rPr>
                <w:rFonts w:ascii="Arial" w:hAnsi="Arial" w:cs="Arial"/>
                <w:sz w:val="20"/>
                <w:szCs w:val="20"/>
              </w:rPr>
            </w:pPr>
            <w:r w:rsidRPr="000F083E">
              <w:rPr>
                <w:rFonts w:ascii="Arial" w:hAnsi="Arial" w:cs="Arial"/>
                <w:sz w:val="20"/>
                <w:szCs w:val="20"/>
              </w:rPr>
              <w:t xml:space="preserve">La Supervisión del contrato a celebrar será ejercida por la Dirección Ejecutiva Seccional de Administración Judicial Barranquilla a través </w:t>
            </w:r>
            <w:r w:rsidR="00120E03" w:rsidRPr="000F083E">
              <w:rPr>
                <w:rFonts w:ascii="Arial" w:hAnsi="Arial" w:cs="Arial"/>
                <w:sz w:val="20"/>
                <w:szCs w:val="20"/>
              </w:rPr>
              <w:t>de</w:t>
            </w:r>
            <w:r w:rsidR="00120E03">
              <w:rPr>
                <w:rFonts w:ascii="Arial" w:hAnsi="Arial" w:cs="Arial"/>
                <w:sz w:val="20"/>
                <w:szCs w:val="20"/>
              </w:rPr>
              <w:t>l jefe</w:t>
            </w:r>
            <w:r w:rsidR="0025785E">
              <w:rPr>
                <w:rFonts w:ascii="Arial" w:hAnsi="Arial" w:cs="Arial"/>
                <w:sz w:val="20"/>
                <w:szCs w:val="20"/>
              </w:rPr>
              <w:t xml:space="preserve"> del Grupo de Servicios Administrativos y </w:t>
            </w:r>
            <w:r w:rsidRPr="000F083E">
              <w:rPr>
                <w:rFonts w:ascii="Arial" w:hAnsi="Arial" w:cs="Arial"/>
                <w:sz w:val="20"/>
                <w:szCs w:val="20"/>
              </w:rPr>
              <w:t xml:space="preserve">Almacén, al contar con personal experimentado e idóneo según lo preceptuado en el artículo del numeral II Artículo 48 del Decreto 763 de 2009.  Para ello actuará de conformidad con lo establecido en el capítulo IX de la Resolución </w:t>
            </w:r>
            <w:r w:rsidR="0072255E" w:rsidRPr="000F083E">
              <w:rPr>
                <w:rFonts w:ascii="Arial" w:hAnsi="Arial" w:cs="Arial"/>
                <w:sz w:val="20"/>
                <w:szCs w:val="20"/>
              </w:rPr>
              <w:t>N.º</w:t>
            </w:r>
            <w:r w:rsidRPr="000F083E">
              <w:rPr>
                <w:rFonts w:ascii="Arial" w:hAnsi="Arial" w:cs="Arial"/>
                <w:sz w:val="20"/>
                <w:szCs w:val="20"/>
              </w:rPr>
              <w:t xml:space="preserve"> </w:t>
            </w:r>
            <w:r w:rsidR="00F26D96">
              <w:rPr>
                <w:rFonts w:ascii="Arial" w:hAnsi="Arial" w:cs="Arial"/>
                <w:sz w:val="20"/>
                <w:szCs w:val="20"/>
              </w:rPr>
              <w:t>7025</w:t>
            </w:r>
            <w:r w:rsidRPr="000F083E">
              <w:rPr>
                <w:rFonts w:ascii="Arial" w:hAnsi="Arial" w:cs="Arial"/>
                <w:sz w:val="20"/>
                <w:szCs w:val="20"/>
              </w:rPr>
              <w:t xml:space="preserve"> </w:t>
            </w:r>
            <w:r w:rsidR="00F26D96">
              <w:rPr>
                <w:rFonts w:ascii="Arial" w:hAnsi="Arial" w:cs="Arial"/>
                <w:sz w:val="20"/>
                <w:szCs w:val="20"/>
              </w:rPr>
              <w:t>d</w:t>
            </w:r>
            <w:r w:rsidRPr="000F083E">
              <w:rPr>
                <w:rFonts w:ascii="Arial" w:hAnsi="Arial" w:cs="Arial"/>
                <w:sz w:val="20"/>
                <w:szCs w:val="20"/>
              </w:rPr>
              <w:t xml:space="preserve">el 31 </w:t>
            </w:r>
            <w:r w:rsidR="00F26D96">
              <w:rPr>
                <w:rFonts w:ascii="Arial" w:hAnsi="Arial" w:cs="Arial"/>
                <w:sz w:val="20"/>
                <w:szCs w:val="20"/>
              </w:rPr>
              <w:t>d</w:t>
            </w:r>
            <w:r w:rsidRPr="000F083E">
              <w:rPr>
                <w:rFonts w:ascii="Arial" w:hAnsi="Arial" w:cs="Arial"/>
                <w:sz w:val="20"/>
                <w:szCs w:val="20"/>
              </w:rPr>
              <w:t xml:space="preserve">e </w:t>
            </w:r>
            <w:r w:rsidR="00ED46B0">
              <w:rPr>
                <w:rFonts w:ascii="Arial" w:hAnsi="Arial" w:cs="Arial"/>
                <w:sz w:val="20"/>
                <w:szCs w:val="20"/>
              </w:rPr>
              <w:t>diciembre</w:t>
            </w:r>
            <w:r w:rsidRPr="000F083E">
              <w:rPr>
                <w:rFonts w:ascii="Arial" w:hAnsi="Arial" w:cs="Arial"/>
                <w:sz w:val="20"/>
                <w:szCs w:val="20"/>
              </w:rPr>
              <w:t xml:space="preserve"> </w:t>
            </w:r>
            <w:r w:rsidR="00F26D96">
              <w:rPr>
                <w:rFonts w:ascii="Arial" w:hAnsi="Arial" w:cs="Arial"/>
                <w:sz w:val="20"/>
                <w:szCs w:val="20"/>
              </w:rPr>
              <w:t>d</w:t>
            </w:r>
            <w:r w:rsidRPr="000F083E">
              <w:rPr>
                <w:rFonts w:ascii="Arial" w:hAnsi="Arial" w:cs="Arial"/>
                <w:sz w:val="20"/>
                <w:szCs w:val="20"/>
              </w:rPr>
              <w:t>e</w:t>
            </w:r>
            <w:r w:rsidR="00F26D96">
              <w:rPr>
                <w:rFonts w:ascii="Arial" w:hAnsi="Arial" w:cs="Arial"/>
                <w:sz w:val="20"/>
                <w:szCs w:val="20"/>
              </w:rPr>
              <w:t>l</w:t>
            </w:r>
            <w:r w:rsidRPr="000F083E">
              <w:rPr>
                <w:rFonts w:ascii="Arial" w:hAnsi="Arial" w:cs="Arial"/>
                <w:sz w:val="20"/>
                <w:szCs w:val="20"/>
              </w:rPr>
              <w:t xml:space="preserve"> 201</w:t>
            </w:r>
            <w:r w:rsidR="00F26D96">
              <w:rPr>
                <w:rFonts w:ascii="Arial" w:hAnsi="Arial" w:cs="Arial"/>
                <w:sz w:val="20"/>
                <w:szCs w:val="20"/>
              </w:rPr>
              <w:t>9 o “Manual De Contratación para la Rama Judicial.</w:t>
            </w:r>
          </w:p>
        </w:tc>
      </w:tr>
      <w:tr w:rsidR="00AF19A3" w:rsidRPr="000F083E" w14:paraId="4970F429" w14:textId="77777777" w:rsidTr="00894086">
        <w:trPr>
          <w:trHeight w:val="376"/>
        </w:trPr>
        <w:tc>
          <w:tcPr>
            <w:tcW w:w="5000" w:type="pct"/>
            <w:gridSpan w:val="4"/>
          </w:tcPr>
          <w:p w14:paraId="7A668107" w14:textId="77777777" w:rsidR="00AF19A3" w:rsidRPr="000F083E" w:rsidRDefault="00AF19A3" w:rsidP="002939B9">
            <w:pPr>
              <w:jc w:val="both"/>
              <w:rPr>
                <w:rFonts w:ascii="Arial" w:hAnsi="Arial" w:cs="Arial"/>
                <w:sz w:val="20"/>
                <w:szCs w:val="20"/>
              </w:rPr>
            </w:pPr>
            <w:r w:rsidRPr="000F083E">
              <w:rPr>
                <w:rFonts w:ascii="Arial" w:hAnsi="Arial" w:cs="Arial"/>
                <w:b/>
                <w:sz w:val="20"/>
                <w:szCs w:val="20"/>
              </w:rPr>
              <w:t>4.3. OBLIGACIONES DEL CONSEJO SUPERIOR DE LA JUDICATURA- DIRECCIÓN EJECUTIVA DE ADMINISTRACIÓN JUDICIAL</w:t>
            </w:r>
          </w:p>
        </w:tc>
      </w:tr>
      <w:tr w:rsidR="00AF19A3" w:rsidRPr="000F083E" w14:paraId="5CD05561" w14:textId="77777777" w:rsidTr="00894086">
        <w:trPr>
          <w:trHeight w:val="853"/>
        </w:trPr>
        <w:tc>
          <w:tcPr>
            <w:tcW w:w="5000" w:type="pct"/>
            <w:gridSpan w:val="4"/>
          </w:tcPr>
          <w:p w14:paraId="0D53A43C" w14:textId="3739C474" w:rsidR="00AF19A3" w:rsidRPr="000F083E" w:rsidRDefault="00AF19A3" w:rsidP="00B14CCC">
            <w:pPr>
              <w:jc w:val="both"/>
              <w:rPr>
                <w:rFonts w:ascii="Arial" w:hAnsi="Arial" w:cs="Arial"/>
                <w:sz w:val="20"/>
                <w:szCs w:val="20"/>
              </w:rPr>
            </w:pPr>
            <w:r w:rsidRPr="000F083E">
              <w:rPr>
                <w:rFonts w:ascii="Arial" w:hAnsi="Arial" w:cs="Arial"/>
                <w:sz w:val="20"/>
                <w:szCs w:val="20"/>
              </w:rPr>
              <w:t xml:space="preserve">Las obligaciones de La Dirección Seccional De Administración Judicial de Barranquilla como Entidad compradora </w:t>
            </w:r>
            <w:r w:rsidR="001E2C1F" w:rsidRPr="000F083E">
              <w:rPr>
                <w:rFonts w:ascii="Arial" w:hAnsi="Arial" w:cs="Arial"/>
                <w:sz w:val="20"/>
                <w:szCs w:val="20"/>
              </w:rPr>
              <w:t>darán</w:t>
            </w:r>
            <w:r w:rsidRPr="000F083E">
              <w:rPr>
                <w:rFonts w:ascii="Arial" w:hAnsi="Arial" w:cs="Arial"/>
                <w:sz w:val="20"/>
                <w:szCs w:val="20"/>
              </w:rPr>
              <w:t xml:space="preserve"> aplicación a lo establecido en </w:t>
            </w:r>
            <w:r>
              <w:rPr>
                <w:rFonts w:ascii="Arial" w:hAnsi="Arial" w:cs="Arial"/>
                <w:sz w:val="20"/>
                <w:szCs w:val="20"/>
              </w:rPr>
              <w:t>los documentos: Términos y Condiciones de Uso de la Tienda Virtual del Estado Colombiano y el Manual de la Modalidad de Selección de Mínima Cuantía M-MSMC-02</w:t>
            </w:r>
            <w:r w:rsidRPr="000F083E">
              <w:rPr>
                <w:rFonts w:ascii="Arial" w:hAnsi="Arial" w:cs="Arial"/>
                <w:sz w:val="20"/>
                <w:szCs w:val="20"/>
              </w:rPr>
              <w:t xml:space="preserve">, los cuales hacen parte del presente estudio previo. </w:t>
            </w:r>
          </w:p>
        </w:tc>
      </w:tr>
      <w:tr w:rsidR="00A517AC" w:rsidRPr="000F083E" w14:paraId="22DC8D54" w14:textId="77777777" w:rsidTr="000B474C">
        <w:trPr>
          <w:trHeight w:val="368"/>
        </w:trPr>
        <w:tc>
          <w:tcPr>
            <w:tcW w:w="5000" w:type="pct"/>
            <w:gridSpan w:val="4"/>
            <w:shd w:val="clear" w:color="auto" w:fill="B8CCE4" w:themeFill="accent1" w:themeFillTint="66"/>
          </w:tcPr>
          <w:p w14:paraId="3F68644C" w14:textId="77777777" w:rsidR="00A517AC" w:rsidRPr="000F083E" w:rsidRDefault="00831705" w:rsidP="00EA1A9F">
            <w:pPr>
              <w:jc w:val="both"/>
              <w:rPr>
                <w:rFonts w:ascii="Arial" w:hAnsi="Arial" w:cs="Arial"/>
                <w:b/>
                <w:sz w:val="20"/>
                <w:szCs w:val="20"/>
              </w:rPr>
            </w:pPr>
            <w:r w:rsidRPr="000F083E">
              <w:rPr>
                <w:rFonts w:ascii="Arial" w:hAnsi="Arial" w:cs="Arial"/>
                <w:b/>
                <w:sz w:val="20"/>
                <w:szCs w:val="20"/>
              </w:rPr>
              <w:t>5</w:t>
            </w:r>
            <w:r w:rsidR="00A517AC" w:rsidRPr="000F083E">
              <w:rPr>
                <w:rFonts w:ascii="Arial" w:hAnsi="Arial" w:cs="Arial"/>
                <w:b/>
                <w:sz w:val="20"/>
                <w:szCs w:val="20"/>
              </w:rPr>
              <w:t>. MODALIDAD DE SELECCIÓN, JUSTIFICACIÓN Y FUNDAMENTOS JURÍDICOS</w:t>
            </w:r>
          </w:p>
        </w:tc>
      </w:tr>
      <w:tr w:rsidR="00E22AA1" w:rsidRPr="000F083E" w14:paraId="1F10E72F" w14:textId="77777777" w:rsidTr="000B474C">
        <w:trPr>
          <w:trHeight w:val="361"/>
        </w:trPr>
        <w:tc>
          <w:tcPr>
            <w:tcW w:w="5000" w:type="pct"/>
            <w:gridSpan w:val="4"/>
            <w:shd w:val="clear" w:color="auto" w:fill="auto"/>
          </w:tcPr>
          <w:p w14:paraId="0226A191" w14:textId="77777777" w:rsidR="00E22AA1" w:rsidRPr="000F083E" w:rsidRDefault="00E22AA1" w:rsidP="00EA1A9F">
            <w:pPr>
              <w:jc w:val="both"/>
              <w:rPr>
                <w:rFonts w:ascii="Arial" w:hAnsi="Arial" w:cs="Arial"/>
                <w:b/>
                <w:sz w:val="20"/>
                <w:szCs w:val="20"/>
              </w:rPr>
            </w:pPr>
            <w:r w:rsidRPr="000F083E">
              <w:rPr>
                <w:rFonts w:ascii="Arial" w:hAnsi="Arial" w:cs="Arial"/>
                <w:b/>
                <w:sz w:val="20"/>
                <w:szCs w:val="20"/>
              </w:rPr>
              <w:t>5.1. MODALIDAD DE SELECCIÓN</w:t>
            </w:r>
          </w:p>
        </w:tc>
      </w:tr>
      <w:tr w:rsidR="00E22AA1" w:rsidRPr="000F083E" w14:paraId="4282B57B" w14:textId="77777777" w:rsidTr="00894086">
        <w:trPr>
          <w:trHeight w:val="690"/>
        </w:trPr>
        <w:tc>
          <w:tcPr>
            <w:tcW w:w="5000" w:type="pct"/>
            <w:gridSpan w:val="4"/>
          </w:tcPr>
          <w:p w14:paraId="6681AFB2" w14:textId="767D285A" w:rsidR="00E22AA1" w:rsidRDefault="00E22AA1" w:rsidP="00453CAA">
            <w:pPr>
              <w:autoSpaceDE w:val="0"/>
              <w:autoSpaceDN w:val="0"/>
              <w:adjustRightInd w:val="0"/>
              <w:jc w:val="both"/>
              <w:rPr>
                <w:rFonts w:ascii="Arial" w:hAnsi="Arial" w:cs="Arial"/>
                <w:sz w:val="20"/>
                <w:szCs w:val="20"/>
              </w:rPr>
            </w:pPr>
            <w:r>
              <w:rPr>
                <w:rFonts w:ascii="Arial" w:hAnsi="Arial" w:cs="Arial"/>
                <w:sz w:val="20"/>
                <w:szCs w:val="20"/>
              </w:rPr>
              <w:t xml:space="preserve">TIENDA VIRTUAL DEL ESTADO COLOMBIANO – GRANDES </w:t>
            </w:r>
            <w:r w:rsidR="00EC693B">
              <w:rPr>
                <w:rFonts w:ascii="Arial" w:hAnsi="Arial" w:cs="Arial"/>
                <w:sz w:val="20"/>
                <w:szCs w:val="20"/>
              </w:rPr>
              <w:t>ALMACEN</w:t>
            </w:r>
            <w:r>
              <w:rPr>
                <w:rFonts w:ascii="Arial" w:hAnsi="Arial" w:cs="Arial"/>
                <w:sz w:val="20"/>
                <w:szCs w:val="20"/>
              </w:rPr>
              <w:t>ES – MINIMA CUANTÍA</w:t>
            </w:r>
            <w:r w:rsidRPr="000F083E">
              <w:rPr>
                <w:rFonts w:ascii="Arial" w:hAnsi="Arial" w:cs="Arial"/>
                <w:sz w:val="20"/>
                <w:szCs w:val="20"/>
              </w:rPr>
              <w:t xml:space="preserve"> – PORTAL COLOMBIA COMPRA EFICIENTE. </w:t>
            </w:r>
          </w:p>
          <w:p w14:paraId="183E244C" w14:textId="58117472" w:rsidR="00E22AA1" w:rsidRPr="00F66A2A" w:rsidRDefault="00E22AA1" w:rsidP="00453CAA">
            <w:pPr>
              <w:autoSpaceDE w:val="0"/>
              <w:autoSpaceDN w:val="0"/>
              <w:adjustRightInd w:val="0"/>
              <w:jc w:val="both"/>
              <w:rPr>
                <w:rFonts w:ascii="Arial" w:hAnsi="Arial" w:cs="Arial"/>
                <w:sz w:val="20"/>
                <w:szCs w:val="20"/>
              </w:rPr>
            </w:pPr>
            <w:r w:rsidRPr="00F66A2A">
              <w:rPr>
                <w:rFonts w:ascii="Arial" w:hAnsi="Arial" w:cs="Arial"/>
                <w:sz w:val="20"/>
                <w:szCs w:val="20"/>
              </w:rPr>
              <w:t xml:space="preserve">A la modalidad de selección, le serán aplicables todas las normas concordantes y reglamentarias sobre la materia, que rijan o lleguen a regir aspectos del proceso de selección. De acuerdo con la Ley Colombiana, las normas actualmente vigentes se </w:t>
            </w:r>
            <w:r w:rsidR="00C115FA" w:rsidRPr="00F66A2A">
              <w:rPr>
                <w:rFonts w:ascii="Arial" w:hAnsi="Arial" w:cs="Arial"/>
                <w:sz w:val="20"/>
                <w:szCs w:val="20"/>
              </w:rPr>
              <w:t>entienden conocidas</w:t>
            </w:r>
            <w:r w:rsidRPr="00F66A2A">
              <w:rPr>
                <w:rFonts w:ascii="Arial" w:hAnsi="Arial" w:cs="Arial"/>
                <w:sz w:val="20"/>
                <w:szCs w:val="20"/>
              </w:rPr>
              <w:t xml:space="preserve"> por los INTERESADOS Y PROPONENTES que participen en el presente procedimiento de selección, de acuerdo con las siguientes normas:</w:t>
            </w:r>
          </w:p>
          <w:p w14:paraId="230328EA" w14:textId="77777777" w:rsidR="00E22AA1" w:rsidRPr="00F66A2A" w:rsidRDefault="00E22AA1" w:rsidP="00541990">
            <w:pPr>
              <w:autoSpaceDE w:val="0"/>
              <w:autoSpaceDN w:val="0"/>
              <w:adjustRightInd w:val="0"/>
              <w:jc w:val="both"/>
              <w:rPr>
                <w:rFonts w:ascii="Arial" w:hAnsi="Arial" w:cs="Arial"/>
                <w:b/>
                <w:sz w:val="20"/>
                <w:szCs w:val="20"/>
              </w:rPr>
            </w:pPr>
            <w:r w:rsidRPr="00F66A2A">
              <w:rPr>
                <w:rFonts w:ascii="Arial" w:hAnsi="Arial" w:cs="Arial"/>
                <w:b/>
                <w:sz w:val="20"/>
                <w:szCs w:val="20"/>
              </w:rPr>
              <w:t>NORMAS JURIDICAS APLICABLES</w:t>
            </w:r>
          </w:p>
          <w:p w14:paraId="4B45606A" w14:textId="77777777" w:rsidR="00E22AA1" w:rsidRPr="00F66A2A" w:rsidRDefault="00E22AA1" w:rsidP="00541990">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Constitución Política</w:t>
            </w:r>
          </w:p>
          <w:p w14:paraId="3F90A052"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Ley 80 de 1993</w:t>
            </w:r>
          </w:p>
          <w:p w14:paraId="2A632D27"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Ley 1150 de 2007</w:t>
            </w:r>
          </w:p>
          <w:p w14:paraId="39C7EFF5"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Decreto 1082 de 2015</w:t>
            </w:r>
          </w:p>
          <w:p w14:paraId="464D6C16" w14:textId="77777777" w:rsidR="00E22AA1"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Decreto Ley 019 de 2012</w:t>
            </w:r>
          </w:p>
          <w:p w14:paraId="233858EB"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Pr>
                <w:rFonts w:ascii="Arial" w:hAnsi="Arial" w:cs="Arial"/>
                <w:sz w:val="20"/>
                <w:szCs w:val="20"/>
              </w:rPr>
              <w:t>Decreto 1510 de 2013</w:t>
            </w:r>
          </w:p>
          <w:p w14:paraId="43B7E971"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Ley 1474 de 2011</w:t>
            </w:r>
          </w:p>
          <w:p w14:paraId="01836521"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Código Contenciosos Administrativo</w:t>
            </w:r>
          </w:p>
          <w:p w14:paraId="28CB44A2" w14:textId="77777777" w:rsidR="00E22AA1" w:rsidRPr="00F66A2A"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 xml:space="preserve">Código de Comercio </w:t>
            </w:r>
          </w:p>
          <w:p w14:paraId="1914C3B0" w14:textId="77777777" w:rsidR="00E22AA1" w:rsidRDefault="00E22AA1" w:rsidP="00453CAA">
            <w:pPr>
              <w:numPr>
                <w:ilvl w:val="0"/>
                <w:numId w:val="41"/>
              </w:numPr>
              <w:suppressAutoHyphens/>
              <w:autoSpaceDE w:val="0"/>
              <w:autoSpaceDN w:val="0"/>
              <w:adjustRightInd w:val="0"/>
              <w:jc w:val="both"/>
              <w:rPr>
                <w:rFonts w:ascii="Arial" w:hAnsi="Arial" w:cs="Arial"/>
                <w:sz w:val="20"/>
                <w:szCs w:val="20"/>
              </w:rPr>
            </w:pPr>
            <w:r w:rsidRPr="00F66A2A">
              <w:rPr>
                <w:rFonts w:ascii="Arial" w:hAnsi="Arial" w:cs="Arial"/>
                <w:sz w:val="20"/>
                <w:szCs w:val="20"/>
              </w:rPr>
              <w:t>Código Civil</w:t>
            </w:r>
          </w:p>
          <w:p w14:paraId="4CA3E4D5" w14:textId="2838A581" w:rsidR="00E22AA1" w:rsidRDefault="00E22AA1" w:rsidP="009C4265">
            <w:pPr>
              <w:numPr>
                <w:ilvl w:val="0"/>
                <w:numId w:val="41"/>
              </w:numPr>
              <w:suppressAutoHyphens/>
              <w:autoSpaceDE w:val="0"/>
              <w:autoSpaceDN w:val="0"/>
              <w:adjustRightInd w:val="0"/>
              <w:jc w:val="both"/>
              <w:rPr>
                <w:rFonts w:ascii="Arial" w:hAnsi="Arial" w:cs="Arial"/>
                <w:sz w:val="20"/>
                <w:szCs w:val="20"/>
              </w:rPr>
            </w:pPr>
            <w:r w:rsidRPr="009C4265">
              <w:rPr>
                <w:rFonts w:ascii="Arial" w:hAnsi="Arial" w:cs="Arial"/>
                <w:sz w:val="20"/>
                <w:szCs w:val="20"/>
              </w:rPr>
              <w:t>Decreto ley 2811 de 1974. Reglamentado por los Decretos Nacionales 1608 de 1978, 1715 de 1978, 704 de 1986, 305 de 1988, 4688 de 2005, 2372 de 2010. Código De Los Recursos Naturales</w:t>
            </w:r>
          </w:p>
          <w:p w14:paraId="468E8FD0" w14:textId="2031FB84" w:rsidR="00E22AA1" w:rsidRDefault="00E22AA1" w:rsidP="00824002">
            <w:pPr>
              <w:numPr>
                <w:ilvl w:val="0"/>
                <w:numId w:val="41"/>
              </w:numPr>
              <w:suppressAutoHyphens/>
              <w:autoSpaceDE w:val="0"/>
              <w:autoSpaceDN w:val="0"/>
              <w:adjustRightInd w:val="0"/>
              <w:jc w:val="both"/>
              <w:rPr>
                <w:rFonts w:ascii="Arial" w:hAnsi="Arial" w:cs="Arial"/>
                <w:sz w:val="20"/>
                <w:szCs w:val="20"/>
              </w:rPr>
            </w:pPr>
            <w:r w:rsidRPr="00824002">
              <w:rPr>
                <w:rFonts w:ascii="Arial" w:hAnsi="Arial" w:cs="Arial"/>
                <w:sz w:val="20"/>
                <w:szCs w:val="20"/>
              </w:rPr>
              <w:t>Ley 9 de 1979, Reglamentada Parcialmente por los Decretos Nacionales Nos. 704 de 1986, 305 de 1988, Resolución 1172 de 1989, 374 de 1994, 546 de 1998, 2493 de 2004, Modificada por el art. 36, Decreto Nacional 126 de 2010. Código Sanitario Nacional, en su compendio de normas sanitarias relacionadas con la afectación de la salud humana y el medio ambiente.</w:t>
            </w:r>
          </w:p>
          <w:p w14:paraId="66300B35" w14:textId="77777777" w:rsidR="00E22AA1" w:rsidRDefault="00E22AA1" w:rsidP="00824002">
            <w:pPr>
              <w:numPr>
                <w:ilvl w:val="0"/>
                <w:numId w:val="41"/>
              </w:numPr>
              <w:suppressAutoHyphens/>
              <w:autoSpaceDE w:val="0"/>
              <w:autoSpaceDN w:val="0"/>
              <w:adjustRightInd w:val="0"/>
              <w:jc w:val="both"/>
              <w:rPr>
                <w:rFonts w:ascii="Arial" w:hAnsi="Arial" w:cs="Arial"/>
                <w:sz w:val="20"/>
                <w:szCs w:val="20"/>
              </w:rPr>
            </w:pPr>
            <w:r w:rsidRPr="00824002">
              <w:rPr>
                <w:rFonts w:ascii="Arial" w:hAnsi="Arial" w:cs="Arial"/>
                <w:sz w:val="20"/>
                <w:szCs w:val="20"/>
              </w:rPr>
              <w:t>Resolución 1555 de 2005 (MAVDT). Se reglamenta el uso del Sello Ambiental Colombiano.</w:t>
            </w:r>
          </w:p>
          <w:p w14:paraId="5C2AD8A1" w14:textId="77777777" w:rsidR="00E22AA1" w:rsidRDefault="00E22AA1" w:rsidP="00824002">
            <w:pPr>
              <w:numPr>
                <w:ilvl w:val="0"/>
                <w:numId w:val="41"/>
              </w:numPr>
              <w:suppressAutoHyphens/>
              <w:autoSpaceDE w:val="0"/>
              <w:autoSpaceDN w:val="0"/>
              <w:adjustRightInd w:val="0"/>
              <w:jc w:val="both"/>
              <w:rPr>
                <w:rFonts w:ascii="Arial" w:hAnsi="Arial" w:cs="Arial"/>
                <w:sz w:val="20"/>
                <w:szCs w:val="20"/>
              </w:rPr>
            </w:pPr>
            <w:r w:rsidRPr="000067B1">
              <w:rPr>
                <w:rFonts w:ascii="Arial" w:hAnsi="Arial" w:cs="Arial"/>
                <w:sz w:val="20"/>
                <w:szCs w:val="20"/>
              </w:rPr>
              <w:t>Resolución 242 de 2014, Artículo 13</w:t>
            </w:r>
            <w:r w:rsidRPr="00397570">
              <w:rPr>
                <w:rFonts w:ascii="Arial" w:hAnsi="Arial" w:cs="Arial"/>
                <w:sz w:val="20"/>
                <w:szCs w:val="20"/>
              </w:rPr>
              <w:t>.- Programas de Gestión Ambiental, Programa de Consumo Sostenible. Este programa deberá definir acciones que promuevan el uso y consumo responsable de materiales; el fortalecimiento de la cadena de suministro que generen valor agregado en la entidad, con la adquisición de un bien, producto o servicio; que minimice los impactos ambientales más significativos desde la extracción de la materia prima, su fabricación, distribución, hasta su disposición final, considerando el ciclo de vida de los productos. Las entidades deberán verificar que los terceros con que se contrate la prestación de un bien o servicio cuenten con los permisos ambientales requeridos para el desarrollo de su actividad.</w:t>
            </w:r>
          </w:p>
          <w:p w14:paraId="72C5734C" w14:textId="77777777" w:rsidR="000067B1" w:rsidRPr="00397570" w:rsidRDefault="000067B1" w:rsidP="00824002">
            <w:pPr>
              <w:numPr>
                <w:ilvl w:val="0"/>
                <w:numId w:val="41"/>
              </w:numPr>
              <w:suppressAutoHyphens/>
              <w:autoSpaceDE w:val="0"/>
              <w:autoSpaceDN w:val="0"/>
              <w:adjustRightInd w:val="0"/>
              <w:jc w:val="both"/>
              <w:rPr>
                <w:rFonts w:ascii="Arial" w:hAnsi="Arial" w:cs="Arial"/>
                <w:sz w:val="20"/>
                <w:szCs w:val="20"/>
              </w:rPr>
            </w:pPr>
            <w:r>
              <w:rPr>
                <w:rFonts w:ascii="Arial" w:hAnsi="Arial" w:cs="Arial"/>
                <w:sz w:val="20"/>
                <w:szCs w:val="20"/>
              </w:rPr>
              <w:t>Acuerdo PSAA14-10160 de junio 12 del 2014, por el cual se adoptó el Plan de Gestión Ambiental de la Rama Judicial.</w:t>
            </w:r>
          </w:p>
          <w:p w14:paraId="1BE53082" w14:textId="77777777" w:rsidR="00E22AA1" w:rsidRPr="000F083E" w:rsidRDefault="00E22AA1" w:rsidP="000067B1">
            <w:pPr>
              <w:numPr>
                <w:ilvl w:val="0"/>
                <w:numId w:val="41"/>
              </w:numPr>
              <w:suppressAutoHyphens/>
              <w:autoSpaceDE w:val="0"/>
              <w:autoSpaceDN w:val="0"/>
              <w:adjustRightInd w:val="0"/>
              <w:jc w:val="both"/>
              <w:rPr>
                <w:rFonts w:ascii="Arial" w:hAnsi="Arial" w:cs="Arial"/>
                <w:sz w:val="20"/>
                <w:szCs w:val="20"/>
              </w:rPr>
            </w:pPr>
            <w:r>
              <w:rPr>
                <w:rFonts w:ascii="Arial" w:hAnsi="Arial" w:cs="Arial"/>
                <w:sz w:val="20"/>
                <w:szCs w:val="20"/>
              </w:rPr>
              <w:t>Y d</w:t>
            </w:r>
            <w:r w:rsidRPr="00453CAA">
              <w:rPr>
                <w:rFonts w:ascii="Arial" w:hAnsi="Arial" w:cs="Arial"/>
                <w:sz w:val="20"/>
                <w:szCs w:val="20"/>
              </w:rPr>
              <w:t xml:space="preserve">emás normas concordantes </w:t>
            </w:r>
            <w:r w:rsidR="000067B1">
              <w:rPr>
                <w:rFonts w:ascii="Arial" w:hAnsi="Arial" w:cs="Arial"/>
                <w:sz w:val="20"/>
                <w:szCs w:val="20"/>
              </w:rPr>
              <w:t>con</w:t>
            </w:r>
            <w:r w:rsidRPr="00453CAA">
              <w:rPr>
                <w:rFonts w:ascii="Arial" w:hAnsi="Arial" w:cs="Arial"/>
                <w:sz w:val="20"/>
                <w:szCs w:val="20"/>
              </w:rPr>
              <w:t xml:space="preserve"> la materia</w:t>
            </w:r>
            <w:r>
              <w:rPr>
                <w:rFonts w:ascii="Arial" w:hAnsi="Arial" w:cs="Arial"/>
                <w:sz w:val="20"/>
                <w:szCs w:val="20"/>
              </w:rPr>
              <w:t>.</w:t>
            </w:r>
          </w:p>
        </w:tc>
      </w:tr>
      <w:tr w:rsidR="00890BCF" w:rsidRPr="000F083E" w14:paraId="5D77CAF6" w14:textId="77777777" w:rsidTr="000B474C">
        <w:trPr>
          <w:trHeight w:val="352"/>
        </w:trPr>
        <w:tc>
          <w:tcPr>
            <w:tcW w:w="5000" w:type="pct"/>
            <w:gridSpan w:val="4"/>
            <w:tcBorders>
              <w:bottom w:val="single" w:sz="4" w:space="0" w:color="auto"/>
            </w:tcBorders>
            <w:shd w:val="clear" w:color="auto" w:fill="B8CCE4" w:themeFill="accent1" w:themeFillTint="66"/>
          </w:tcPr>
          <w:p w14:paraId="2B7909C0" w14:textId="01A0D1CD" w:rsidR="00890BCF" w:rsidRPr="000F083E" w:rsidRDefault="00831705" w:rsidP="00EA1A9F">
            <w:pPr>
              <w:jc w:val="both"/>
              <w:rPr>
                <w:rFonts w:ascii="Arial" w:hAnsi="Arial" w:cs="Arial"/>
                <w:sz w:val="20"/>
                <w:szCs w:val="20"/>
              </w:rPr>
            </w:pPr>
            <w:r w:rsidRPr="000F083E">
              <w:rPr>
                <w:rFonts w:ascii="Arial" w:hAnsi="Arial" w:cs="Arial"/>
                <w:b/>
                <w:sz w:val="20"/>
                <w:szCs w:val="20"/>
                <w:lang w:eastAsia="ar-SA"/>
              </w:rPr>
              <w:t>6</w:t>
            </w:r>
            <w:r w:rsidR="00890BCF" w:rsidRPr="000F083E">
              <w:rPr>
                <w:rFonts w:ascii="Arial" w:hAnsi="Arial" w:cs="Arial"/>
                <w:b/>
                <w:sz w:val="20"/>
                <w:szCs w:val="20"/>
                <w:lang w:eastAsia="ar-SA"/>
              </w:rPr>
              <w:t xml:space="preserve">. VALOR ESTIMADO DEL CONTRATO Y JUSTIFICACIÓN </w:t>
            </w:r>
            <w:r w:rsidR="00F04137" w:rsidRPr="000F083E">
              <w:rPr>
                <w:rFonts w:ascii="Arial" w:hAnsi="Arial" w:cs="Arial"/>
                <w:b/>
                <w:sz w:val="20"/>
                <w:szCs w:val="20"/>
                <w:lang w:eastAsia="ar-SA"/>
              </w:rPr>
              <w:t>DE ESTE</w:t>
            </w:r>
          </w:p>
        </w:tc>
      </w:tr>
      <w:tr w:rsidR="00E22AA1" w:rsidRPr="000F083E" w14:paraId="6A520BD3" w14:textId="77777777" w:rsidTr="000B474C">
        <w:trPr>
          <w:trHeight w:val="360"/>
        </w:trPr>
        <w:tc>
          <w:tcPr>
            <w:tcW w:w="5000" w:type="pct"/>
            <w:gridSpan w:val="4"/>
            <w:tcBorders>
              <w:bottom w:val="single" w:sz="4" w:space="0" w:color="auto"/>
            </w:tcBorders>
            <w:shd w:val="clear" w:color="auto" w:fill="auto"/>
          </w:tcPr>
          <w:p w14:paraId="57B232C1" w14:textId="77777777" w:rsidR="00E22AA1" w:rsidRPr="000F083E" w:rsidRDefault="00E22AA1" w:rsidP="00EA1A9F">
            <w:pPr>
              <w:jc w:val="both"/>
              <w:rPr>
                <w:rFonts w:ascii="Arial" w:hAnsi="Arial" w:cs="Arial"/>
                <w:b/>
                <w:sz w:val="20"/>
                <w:szCs w:val="20"/>
                <w:lang w:eastAsia="ar-SA"/>
              </w:rPr>
            </w:pPr>
            <w:r w:rsidRPr="000F083E">
              <w:rPr>
                <w:rFonts w:ascii="Arial" w:hAnsi="Arial" w:cs="Arial"/>
                <w:b/>
                <w:sz w:val="20"/>
                <w:szCs w:val="20"/>
              </w:rPr>
              <w:t>6.1.  PRESUPUESTO OFICIAL ESTABLECIDO</w:t>
            </w:r>
          </w:p>
        </w:tc>
      </w:tr>
      <w:tr w:rsidR="00E22AA1" w:rsidRPr="000F083E" w14:paraId="6A92E049" w14:textId="77777777" w:rsidTr="00ED46B0">
        <w:trPr>
          <w:trHeight w:val="1150"/>
        </w:trPr>
        <w:tc>
          <w:tcPr>
            <w:tcW w:w="5000" w:type="pct"/>
            <w:gridSpan w:val="4"/>
          </w:tcPr>
          <w:p w14:paraId="4FD647F2" w14:textId="5C3F9142" w:rsidR="004F5AE7" w:rsidRPr="000F083E" w:rsidRDefault="008A012F" w:rsidP="00B577CF">
            <w:pPr>
              <w:jc w:val="both"/>
              <w:rPr>
                <w:rFonts w:ascii="Arial" w:hAnsi="Arial" w:cs="Arial"/>
                <w:sz w:val="20"/>
                <w:szCs w:val="20"/>
              </w:rPr>
            </w:pPr>
            <w:r w:rsidRPr="007620B3">
              <w:rPr>
                <w:rFonts w:ascii="Arial" w:hAnsi="Arial" w:cs="Arial"/>
                <w:sz w:val="20"/>
                <w:szCs w:val="20"/>
              </w:rPr>
              <w:t xml:space="preserve">El presupuesto oficial estimado para la </w:t>
            </w:r>
            <w:r w:rsidR="000130C6" w:rsidRPr="007620B3">
              <w:rPr>
                <w:rFonts w:ascii="Arial" w:hAnsi="Arial" w:cs="Arial"/>
                <w:sz w:val="20"/>
                <w:szCs w:val="20"/>
              </w:rPr>
              <w:t>ejecución del contrato derivado del presente proceso de selección de mínima cuantía,</w:t>
            </w:r>
            <w:r w:rsidRPr="007620B3">
              <w:rPr>
                <w:rFonts w:ascii="Arial" w:hAnsi="Arial" w:cs="Arial"/>
                <w:sz w:val="20"/>
                <w:szCs w:val="20"/>
              </w:rPr>
              <w:t xml:space="preserve"> es de</w:t>
            </w:r>
            <w:r w:rsidR="002357D4">
              <w:rPr>
                <w:rFonts w:ascii="Arial" w:hAnsi="Arial" w:cs="Arial"/>
                <w:sz w:val="20"/>
                <w:szCs w:val="20"/>
              </w:rPr>
              <w:t xml:space="preserve"> </w:t>
            </w:r>
            <w:r w:rsidR="00636D8E">
              <w:rPr>
                <w:rFonts w:ascii="Arial" w:hAnsi="Arial" w:cs="Arial"/>
                <w:sz w:val="20"/>
                <w:szCs w:val="20"/>
              </w:rPr>
              <w:t>$ 12.300.000</w:t>
            </w:r>
            <w:r w:rsidR="007D6504" w:rsidRPr="007620B3">
              <w:rPr>
                <w:rFonts w:ascii="Arial" w:hAnsi="Arial" w:cs="Arial"/>
                <w:b/>
                <w:sz w:val="20"/>
                <w:szCs w:val="20"/>
              </w:rPr>
              <w:t xml:space="preserve"> </w:t>
            </w:r>
            <w:r w:rsidR="007D6504" w:rsidRPr="004F5AE7">
              <w:rPr>
                <w:rFonts w:ascii="Arial" w:hAnsi="Arial" w:cs="Arial"/>
                <w:sz w:val="20"/>
                <w:szCs w:val="20"/>
              </w:rPr>
              <w:t>i</w:t>
            </w:r>
            <w:r w:rsidR="00E214C8" w:rsidRPr="004F5AE7">
              <w:rPr>
                <w:rFonts w:ascii="Arial" w:hAnsi="Arial" w:cs="Arial"/>
                <w:sz w:val="20"/>
                <w:szCs w:val="20"/>
              </w:rPr>
              <w:t>nc</w:t>
            </w:r>
            <w:r w:rsidR="00E214C8" w:rsidRPr="007620B3">
              <w:rPr>
                <w:rFonts w:ascii="Arial" w:hAnsi="Arial" w:cs="Arial"/>
                <w:sz w:val="20"/>
                <w:szCs w:val="20"/>
              </w:rPr>
              <w:t xml:space="preserve">luidos los impuestos de ley, </w:t>
            </w:r>
            <w:r w:rsidR="000130C6" w:rsidRPr="007620B3">
              <w:rPr>
                <w:rFonts w:ascii="Arial" w:hAnsi="Arial" w:cs="Arial"/>
                <w:sz w:val="20"/>
                <w:szCs w:val="20"/>
              </w:rPr>
              <w:t xml:space="preserve">para lo cual existe disponibilidad en el presupuesto de la actual vigencia, </w:t>
            </w:r>
            <w:r w:rsidR="00E214C8" w:rsidRPr="007620B3">
              <w:rPr>
                <w:rFonts w:ascii="Arial" w:hAnsi="Arial" w:cs="Arial"/>
                <w:sz w:val="20"/>
                <w:szCs w:val="20"/>
              </w:rPr>
              <w:t xml:space="preserve">basado en </w:t>
            </w:r>
            <w:r w:rsidR="00E9760C" w:rsidRPr="007620B3">
              <w:rPr>
                <w:rFonts w:ascii="Arial" w:hAnsi="Arial" w:cs="Arial"/>
                <w:sz w:val="20"/>
                <w:szCs w:val="20"/>
              </w:rPr>
              <w:t xml:space="preserve">la cotización realizada en la TVEC-GRANDES </w:t>
            </w:r>
            <w:r w:rsidR="000130C6" w:rsidRPr="007620B3">
              <w:rPr>
                <w:rFonts w:ascii="Arial" w:hAnsi="Arial" w:cs="Arial"/>
                <w:sz w:val="20"/>
                <w:szCs w:val="20"/>
              </w:rPr>
              <w:t>ALMACENES</w:t>
            </w:r>
            <w:r w:rsidR="00E9760C" w:rsidRPr="007620B3">
              <w:rPr>
                <w:rFonts w:ascii="Arial" w:hAnsi="Arial" w:cs="Arial"/>
                <w:sz w:val="20"/>
                <w:szCs w:val="20"/>
              </w:rPr>
              <w:t>.</w:t>
            </w:r>
          </w:p>
        </w:tc>
      </w:tr>
      <w:tr w:rsidR="00E22AA1" w:rsidRPr="000F083E" w14:paraId="38EE0BC4" w14:textId="77777777" w:rsidTr="00894086">
        <w:trPr>
          <w:trHeight w:val="139"/>
        </w:trPr>
        <w:tc>
          <w:tcPr>
            <w:tcW w:w="5000" w:type="pct"/>
            <w:gridSpan w:val="4"/>
          </w:tcPr>
          <w:p w14:paraId="1FB33467" w14:textId="515AC636" w:rsidR="002357D4" w:rsidRPr="000F083E" w:rsidRDefault="00E22AA1" w:rsidP="002357D4">
            <w:pPr>
              <w:jc w:val="both"/>
              <w:rPr>
                <w:rFonts w:ascii="Arial" w:hAnsi="Arial" w:cs="Arial"/>
                <w:sz w:val="20"/>
                <w:szCs w:val="20"/>
              </w:rPr>
            </w:pPr>
            <w:r w:rsidRPr="000F083E">
              <w:rPr>
                <w:rFonts w:ascii="Arial" w:hAnsi="Arial" w:cs="Arial"/>
                <w:b/>
                <w:sz w:val="20"/>
                <w:szCs w:val="20"/>
              </w:rPr>
              <w:t>6.2.  SOPORTE PRESUPUESTAL</w:t>
            </w:r>
          </w:p>
        </w:tc>
      </w:tr>
      <w:tr w:rsidR="00E22AA1" w:rsidRPr="000F083E" w14:paraId="618AEA91" w14:textId="77777777" w:rsidTr="002A4576">
        <w:trPr>
          <w:trHeight w:val="2993"/>
        </w:trPr>
        <w:tc>
          <w:tcPr>
            <w:tcW w:w="5000" w:type="pct"/>
            <w:gridSpan w:val="4"/>
          </w:tcPr>
          <w:p w14:paraId="4D0EA89F" w14:textId="0D210D6C" w:rsidR="005B774C" w:rsidRPr="002357D4" w:rsidRDefault="005B774C" w:rsidP="000B474C">
            <w:pPr>
              <w:suppressAutoHyphens/>
              <w:spacing w:before="60"/>
              <w:ind w:right="284"/>
              <w:jc w:val="both"/>
              <w:rPr>
                <w:rFonts w:ascii="Arial" w:hAnsi="Arial" w:cs="Arial"/>
                <w:color w:val="FF0000"/>
                <w:sz w:val="20"/>
                <w:szCs w:val="20"/>
                <w:lang w:eastAsia="ar-SA"/>
              </w:rPr>
            </w:pPr>
            <w:r w:rsidRPr="003042CD">
              <w:rPr>
                <w:rFonts w:ascii="Arial" w:hAnsi="Arial" w:cs="Arial"/>
                <w:sz w:val="20"/>
                <w:szCs w:val="20"/>
                <w:lang w:eastAsia="ar-SA"/>
              </w:rPr>
              <w:lastRenderedPageBreak/>
              <w:t>La ejecución del proyecto se encuentra financiada con recursos del Presupuesto General de la Nación y se respalda con el Certificado de Disponibilidad Presupuestal, expedido por el Coordinador del Área Financiera, de la Dirección Seccional de Administración Judicial, así:</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249"/>
              <w:gridCol w:w="1251"/>
              <w:gridCol w:w="2217"/>
              <w:gridCol w:w="868"/>
              <w:gridCol w:w="1194"/>
              <w:gridCol w:w="1194"/>
              <w:gridCol w:w="2223"/>
            </w:tblGrid>
            <w:tr w:rsidR="002A4576" w:rsidRPr="002A4576" w14:paraId="68C0F379" w14:textId="77777777" w:rsidTr="007C1E45">
              <w:trPr>
                <w:trHeight w:val="272"/>
                <w:jc w:val="center"/>
              </w:trPr>
              <w:tc>
                <w:tcPr>
                  <w:tcW w:w="688" w:type="dxa"/>
                  <w:shd w:val="clear" w:color="auto" w:fill="D9D9D9"/>
                </w:tcPr>
                <w:p w14:paraId="4667B813" w14:textId="77777777" w:rsidR="005B774C" w:rsidRPr="002A4576" w:rsidRDefault="005B774C" w:rsidP="005B774C">
                  <w:pPr>
                    <w:suppressAutoHyphens/>
                    <w:jc w:val="center"/>
                    <w:rPr>
                      <w:rFonts w:ascii="Arial" w:hAnsi="Arial" w:cs="Arial"/>
                      <w:b/>
                      <w:sz w:val="16"/>
                      <w:szCs w:val="16"/>
                    </w:rPr>
                  </w:pPr>
                </w:p>
              </w:tc>
              <w:tc>
                <w:tcPr>
                  <w:tcW w:w="9196" w:type="dxa"/>
                  <w:gridSpan w:val="7"/>
                  <w:shd w:val="clear" w:color="auto" w:fill="D9D9D9"/>
                  <w:vAlign w:val="center"/>
                </w:tcPr>
                <w:p w14:paraId="140D995B" w14:textId="77777777" w:rsidR="005B774C" w:rsidRPr="002A4576" w:rsidRDefault="005B774C" w:rsidP="005B774C">
                  <w:pPr>
                    <w:suppressAutoHyphens/>
                    <w:jc w:val="center"/>
                    <w:rPr>
                      <w:rFonts w:ascii="Arial" w:hAnsi="Arial" w:cs="Arial"/>
                      <w:b/>
                      <w:sz w:val="16"/>
                      <w:szCs w:val="16"/>
                      <w:lang w:eastAsia="ar-SA"/>
                    </w:rPr>
                  </w:pPr>
                  <w:r w:rsidRPr="002A4576">
                    <w:rPr>
                      <w:rFonts w:ascii="Arial" w:hAnsi="Arial" w:cs="Arial"/>
                      <w:b/>
                      <w:sz w:val="16"/>
                      <w:szCs w:val="16"/>
                    </w:rPr>
                    <w:t>CDP</w:t>
                  </w:r>
                </w:p>
              </w:tc>
            </w:tr>
            <w:tr w:rsidR="002A4576" w:rsidRPr="002A4576" w14:paraId="76F1CBAD" w14:textId="77777777" w:rsidTr="002A4576">
              <w:trPr>
                <w:trHeight w:val="920"/>
                <w:jc w:val="center"/>
              </w:trPr>
              <w:tc>
                <w:tcPr>
                  <w:tcW w:w="937" w:type="dxa"/>
                  <w:gridSpan w:val="2"/>
                  <w:vAlign w:val="center"/>
                </w:tcPr>
                <w:p w14:paraId="4D496ABB" w14:textId="77777777" w:rsidR="005B774C" w:rsidRPr="002A4576" w:rsidRDefault="005B774C" w:rsidP="005B774C">
                  <w:pPr>
                    <w:suppressAutoHyphens/>
                    <w:jc w:val="center"/>
                    <w:rPr>
                      <w:rFonts w:ascii="Arial" w:hAnsi="Arial" w:cs="Arial"/>
                      <w:sz w:val="14"/>
                      <w:szCs w:val="14"/>
                      <w:lang w:eastAsia="ar-SA"/>
                    </w:rPr>
                  </w:pPr>
                  <w:r w:rsidRPr="002A4576">
                    <w:rPr>
                      <w:rFonts w:ascii="Arial" w:hAnsi="Arial" w:cs="Arial"/>
                      <w:sz w:val="14"/>
                      <w:szCs w:val="14"/>
                    </w:rPr>
                    <w:t>No.</w:t>
                  </w:r>
                </w:p>
              </w:tc>
              <w:tc>
                <w:tcPr>
                  <w:tcW w:w="1251" w:type="dxa"/>
                  <w:vAlign w:val="center"/>
                </w:tcPr>
                <w:p w14:paraId="149078DA" w14:textId="77777777" w:rsidR="005B774C" w:rsidRPr="002A4576" w:rsidRDefault="005B774C" w:rsidP="005B774C">
                  <w:pPr>
                    <w:suppressAutoHyphens/>
                    <w:jc w:val="center"/>
                    <w:rPr>
                      <w:rFonts w:ascii="Arial" w:hAnsi="Arial" w:cs="Arial"/>
                      <w:sz w:val="14"/>
                      <w:szCs w:val="14"/>
                      <w:lang w:eastAsia="ar-SA"/>
                    </w:rPr>
                  </w:pPr>
                  <w:r w:rsidRPr="002A4576">
                    <w:rPr>
                      <w:rFonts w:ascii="Arial" w:hAnsi="Arial" w:cs="Arial"/>
                      <w:sz w:val="14"/>
                      <w:szCs w:val="14"/>
                    </w:rPr>
                    <w:t>Fecha expedición</w:t>
                  </w:r>
                </w:p>
              </w:tc>
              <w:tc>
                <w:tcPr>
                  <w:tcW w:w="2217" w:type="dxa"/>
                  <w:vAlign w:val="center"/>
                </w:tcPr>
                <w:p w14:paraId="057912C6" w14:textId="77777777" w:rsidR="005B774C" w:rsidRPr="002A4576" w:rsidRDefault="005B774C" w:rsidP="005B774C">
                  <w:pPr>
                    <w:suppressAutoHyphens/>
                    <w:ind w:left="-69" w:right="-108"/>
                    <w:jc w:val="center"/>
                    <w:rPr>
                      <w:rFonts w:ascii="Arial" w:hAnsi="Arial" w:cs="Arial"/>
                      <w:sz w:val="14"/>
                      <w:szCs w:val="14"/>
                      <w:lang w:eastAsia="ar-SA"/>
                    </w:rPr>
                  </w:pPr>
                  <w:r w:rsidRPr="002A4576">
                    <w:rPr>
                      <w:rFonts w:ascii="Arial" w:hAnsi="Arial" w:cs="Arial"/>
                      <w:sz w:val="14"/>
                      <w:szCs w:val="14"/>
                    </w:rPr>
                    <w:t>Rubro</w:t>
                  </w:r>
                </w:p>
              </w:tc>
              <w:tc>
                <w:tcPr>
                  <w:tcW w:w="868" w:type="dxa"/>
                  <w:vAlign w:val="center"/>
                </w:tcPr>
                <w:p w14:paraId="10D1E5AA" w14:textId="77777777" w:rsidR="005B774C" w:rsidRPr="002A4576" w:rsidRDefault="005B774C" w:rsidP="005B774C">
                  <w:pPr>
                    <w:suppressAutoHyphens/>
                    <w:ind w:left="-108" w:right="-108"/>
                    <w:jc w:val="center"/>
                    <w:rPr>
                      <w:rFonts w:ascii="Arial" w:hAnsi="Arial" w:cs="Arial"/>
                      <w:sz w:val="14"/>
                      <w:szCs w:val="14"/>
                      <w:lang w:eastAsia="ar-SA"/>
                    </w:rPr>
                  </w:pPr>
                  <w:r w:rsidRPr="002A4576">
                    <w:rPr>
                      <w:rFonts w:ascii="Arial" w:hAnsi="Arial" w:cs="Arial"/>
                      <w:sz w:val="14"/>
                      <w:szCs w:val="14"/>
                    </w:rPr>
                    <w:t>Recurso</w:t>
                  </w:r>
                </w:p>
              </w:tc>
              <w:tc>
                <w:tcPr>
                  <w:tcW w:w="1194" w:type="dxa"/>
                </w:tcPr>
                <w:p w14:paraId="5F6452EB" w14:textId="77777777" w:rsidR="005B774C" w:rsidRPr="002A4576" w:rsidRDefault="005B774C" w:rsidP="005B774C">
                  <w:pPr>
                    <w:suppressAutoHyphens/>
                    <w:ind w:left="-108" w:right="-108"/>
                    <w:jc w:val="center"/>
                    <w:rPr>
                      <w:rFonts w:ascii="Arial" w:hAnsi="Arial" w:cs="Arial"/>
                      <w:sz w:val="14"/>
                      <w:szCs w:val="14"/>
                    </w:rPr>
                  </w:pPr>
                </w:p>
                <w:p w14:paraId="26CDE900" w14:textId="77777777" w:rsidR="005B774C" w:rsidRPr="002A4576" w:rsidRDefault="005B774C" w:rsidP="005B774C">
                  <w:pPr>
                    <w:suppressAutoHyphens/>
                    <w:ind w:left="-108" w:right="-108"/>
                    <w:jc w:val="center"/>
                    <w:rPr>
                      <w:rFonts w:ascii="Arial" w:hAnsi="Arial" w:cs="Arial"/>
                      <w:sz w:val="14"/>
                      <w:szCs w:val="14"/>
                    </w:rPr>
                  </w:pPr>
                  <w:r w:rsidRPr="002A4576">
                    <w:rPr>
                      <w:rFonts w:ascii="Arial" w:hAnsi="Arial" w:cs="Arial"/>
                      <w:sz w:val="14"/>
                      <w:szCs w:val="14"/>
                    </w:rPr>
                    <w:t>SIT</w:t>
                  </w:r>
                </w:p>
                <w:p w14:paraId="4470607E" w14:textId="77777777" w:rsidR="005B774C" w:rsidRPr="002A4576" w:rsidRDefault="005B774C" w:rsidP="005B774C">
                  <w:pPr>
                    <w:suppressAutoHyphens/>
                    <w:ind w:left="-108" w:right="-108"/>
                    <w:jc w:val="center"/>
                    <w:rPr>
                      <w:rFonts w:ascii="Arial" w:hAnsi="Arial" w:cs="Arial"/>
                      <w:sz w:val="14"/>
                      <w:szCs w:val="14"/>
                    </w:rPr>
                  </w:pPr>
                </w:p>
              </w:tc>
              <w:tc>
                <w:tcPr>
                  <w:tcW w:w="1194" w:type="dxa"/>
                  <w:vAlign w:val="center"/>
                </w:tcPr>
                <w:p w14:paraId="2632A428" w14:textId="77777777" w:rsidR="005B774C" w:rsidRPr="002A4576" w:rsidRDefault="005B774C" w:rsidP="005B774C">
                  <w:pPr>
                    <w:suppressAutoHyphens/>
                    <w:ind w:left="-108" w:right="-108"/>
                    <w:jc w:val="center"/>
                    <w:rPr>
                      <w:rFonts w:ascii="Arial" w:hAnsi="Arial" w:cs="Arial"/>
                      <w:sz w:val="14"/>
                      <w:szCs w:val="14"/>
                      <w:lang w:eastAsia="ar-SA"/>
                    </w:rPr>
                  </w:pPr>
                  <w:r w:rsidRPr="002A4576">
                    <w:rPr>
                      <w:rFonts w:ascii="Arial" w:hAnsi="Arial" w:cs="Arial"/>
                      <w:sz w:val="14"/>
                      <w:szCs w:val="14"/>
                    </w:rPr>
                    <w:t>Unidad Ejecutora</w:t>
                  </w:r>
                </w:p>
              </w:tc>
              <w:tc>
                <w:tcPr>
                  <w:tcW w:w="2223" w:type="dxa"/>
                  <w:vAlign w:val="center"/>
                </w:tcPr>
                <w:p w14:paraId="7FD058F6" w14:textId="77777777" w:rsidR="005B774C" w:rsidRPr="002A4576" w:rsidRDefault="005B774C" w:rsidP="005B774C">
                  <w:pPr>
                    <w:suppressAutoHyphens/>
                    <w:ind w:left="-108" w:right="-108"/>
                    <w:jc w:val="center"/>
                    <w:rPr>
                      <w:rFonts w:ascii="Arial" w:hAnsi="Arial" w:cs="Arial"/>
                      <w:sz w:val="14"/>
                      <w:szCs w:val="14"/>
                      <w:lang w:eastAsia="ar-SA"/>
                    </w:rPr>
                  </w:pPr>
                  <w:r w:rsidRPr="002A4576">
                    <w:rPr>
                      <w:rFonts w:ascii="Arial" w:hAnsi="Arial" w:cs="Arial"/>
                      <w:sz w:val="14"/>
                      <w:szCs w:val="14"/>
                    </w:rPr>
                    <w:t>Valor CDP</w:t>
                  </w:r>
                </w:p>
              </w:tc>
            </w:tr>
            <w:tr w:rsidR="002A4576" w:rsidRPr="002A4576" w14:paraId="1BE530C0" w14:textId="77777777" w:rsidTr="002A4576">
              <w:trPr>
                <w:trHeight w:val="140"/>
                <w:jc w:val="center"/>
              </w:trPr>
              <w:tc>
                <w:tcPr>
                  <w:tcW w:w="937" w:type="dxa"/>
                  <w:gridSpan w:val="2"/>
                  <w:vAlign w:val="center"/>
                </w:tcPr>
                <w:p w14:paraId="351FA4DC" w14:textId="4F24ABCC" w:rsidR="005B774C" w:rsidRPr="002A4576" w:rsidRDefault="002A4576" w:rsidP="005B774C">
                  <w:pPr>
                    <w:suppressAutoHyphens/>
                    <w:jc w:val="center"/>
                    <w:rPr>
                      <w:rFonts w:ascii="Arial" w:hAnsi="Arial" w:cs="Arial"/>
                      <w:sz w:val="14"/>
                      <w:szCs w:val="14"/>
                      <w:lang w:eastAsia="ar-SA"/>
                    </w:rPr>
                  </w:pPr>
                  <w:r>
                    <w:rPr>
                      <w:rFonts w:ascii="Arial" w:hAnsi="Arial" w:cs="Arial"/>
                      <w:sz w:val="14"/>
                      <w:szCs w:val="14"/>
                      <w:lang w:eastAsia="ar-SA"/>
                    </w:rPr>
                    <w:t>4423</w:t>
                  </w:r>
                </w:p>
              </w:tc>
              <w:tc>
                <w:tcPr>
                  <w:tcW w:w="1251" w:type="dxa"/>
                  <w:vAlign w:val="center"/>
                </w:tcPr>
                <w:p w14:paraId="1A044CE3" w14:textId="5068389E" w:rsidR="005B774C" w:rsidRPr="002A4576" w:rsidRDefault="002A4576" w:rsidP="005B774C">
                  <w:pPr>
                    <w:suppressAutoHyphens/>
                    <w:jc w:val="center"/>
                    <w:rPr>
                      <w:rFonts w:ascii="Arial" w:hAnsi="Arial" w:cs="Arial"/>
                      <w:sz w:val="14"/>
                      <w:szCs w:val="14"/>
                      <w:lang w:eastAsia="ar-SA"/>
                    </w:rPr>
                  </w:pPr>
                  <w:r w:rsidRPr="002A4576">
                    <w:rPr>
                      <w:rFonts w:ascii="Arial" w:hAnsi="Arial" w:cs="Arial"/>
                      <w:sz w:val="14"/>
                      <w:szCs w:val="14"/>
                      <w:lang w:eastAsia="ar-SA"/>
                    </w:rPr>
                    <w:t>2023-12-29</w:t>
                  </w:r>
                  <w:r w:rsidRPr="002A4576">
                    <w:rPr>
                      <w:rFonts w:ascii="Arial" w:hAnsi="Arial" w:cs="Arial"/>
                      <w:sz w:val="14"/>
                      <w:szCs w:val="14"/>
                      <w:lang w:eastAsia="ar-SA"/>
                    </w:rPr>
                    <w:tab/>
                  </w:r>
                </w:p>
              </w:tc>
              <w:tc>
                <w:tcPr>
                  <w:tcW w:w="2217" w:type="dxa"/>
                  <w:vAlign w:val="center"/>
                </w:tcPr>
                <w:p w14:paraId="32066673" w14:textId="0987226A" w:rsidR="005B774C" w:rsidRPr="002A4576" w:rsidRDefault="002A4576" w:rsidP="002A4576">
                  <w:pPr>
                    <w:suppressAutoHyphens/>
                    <w:ind w:left="-69" w:right="-61"/>
                    <w:rPr>
                      <w:rFonts w:ascii="Arial" w:hAnsi="Arial" w:cs="Arial"/>
                      <w:sz w:val="12"/>
                      <w:szCs w:val="12"/>
                      <w:lang w:eastAsia="ar-SA"/>
                    </w:rPr>
                  </w:pPr>
                  <w:r w:rsidRPr="002A4576">
                    <w:rPr>
                      <w:rFonts w:ascii="Arial" w:hAnsi="Arial" w:cs="Arial"/>
                      <w:sz w:val="12"/>
                      <w:szCs w:val="12"/>
                      <w:lang w:eastAsia="ar-SA"/>
                    </w:rPr>
                    <w:t xml:space="preserve">C-2701-0800-36-0-2701048-02 ADQUISICIÓN DE BIENES Y SERVICIOS - SERVICIO DE APOYO EN LA GESTIÓN JUDICIAL - TRANSFORMACION DIGITAL DE LA RAMA </w:t>
                  </w:r>
                  <w:proofErr w:type="gramStart"/>
                  <w:r w:rsidRPr="002A4576">
                    <w:rPr>
                      <w:rFonts w:ascii="Arial" w:hAnsi="Arial" w:cs="Arial"/>
                      <w:sz w:val="12"/>
                      <w:szCs w:val="12"/>
                      <w:lang w:eastAsia="ar-SA"/>
                    </w:rPr>
                    <w:t>JUDICIAL  NACIONAL</w:t>
                  </w:r>
                  <w:proofErr w:type="gramEnd"/>
                </w:p>
              </w:tc>
              <w:tc>
                <w:tcPr>
                  <w:tcW w:w="868" w:type="dxa"/>
                  <w:vAlign w:val="center"/>
                </w:tcPr>
                <w:p w14:paraId="3A951648" w14:textId="3D0A0A6C" w:rsidR="005B774C" w:rsidRPr="002A4576" w:rsidRDefault="00162153" w:rsidP="005B774C">
                  <w:pPr>
                    <w:suppressAutoHyphens/>
                    <w:jc w:val="center"/>
                    <w:rPr>
                      <w:rFonts w:ascii="Arial" w:hAnsi="Arial" w:cs="Arial"/>
                      <w:sz w:val="14"/>
                      <w:szCs w:val="14"/>
                      <w:lang w:eastAsia="ar-SA"/>
                    </w:rPr>
                  </w:pPr>
                  <w:r w:rsidRPr="002A4576">
                    <w:rPr>
                      <w:rFonts w:ascii="Arial" w:hAnsi="Arial" w:cs="Arial"/>
                      <w:sz w:val="14"/>
                      <w:szCs w:val="14"/>
                      <w:lang w:eastAsia="ar-SA"/>
                    </w:rPr>
                    <w:t>1</w:t>
                  </w:r>
                  <w:r w:rsidR="002A4576">
                    <w:rPr>
                      <w:rFonts w:ascii="Arial" w:hAnsi="Arial" w:cs="Arial"/>
                      <w:sz w:val="14"/>
                      <w:szCs w:val="14"/>
                      <w:lang w:eastAsia="ar-SA"/>
                    </w:rPr>
                    <w:t>6</w:t>
                  </w:r>
                </w:p>
              </w:tc>
              <w:tc>
                <w:tcPr>
                  <w:tcW w:w="1194" w:type="dxa"/>
                </w:tcPr>
                <w:p w14:paraId="4A7389A9" w14:textId="77777777" w:rsidR="000978E1" w:rsidRPr="002A4576" w:rsidRDefault="000978E1" w:rsidP="005B774C">
                  <w:pPr>
                    <w:suppressAutoHyphens/>
                    <w:jc w:val="center"/>
                    <w:rPr>
                      <w:rFonts w:ascii="Arial" w:hAnsi="Arial" w:cs="Arial"/>
                      <w:sz w:val="14"/>
                      <w:szCs w:val="14"/>
                      <w:lang w:eastAsia="ar-SA"/>
                    </w:rPr>
                  </w:pPr>
                </w:p>
                <w:p w14:paraId="6C258963" w14:textId="2FE6F5E1" w:rsidR="005B774C" w:rsidRPr="002A4576" w:rsidRDefault="005B774C" w:rsidP="005B774C">
                  <w:pPr>
                    <w:suppressAutoHyphens/>
                    <w:jc w:val="center"/>
                    <w:rPr>
                      <w:rFonts w:ascii="Arial" w:hAnsi="Arial" w:cs="Arial"/>
                      <w:sz w:val="14"/>
                      <w:szCs w:val="14"/>
                      <w:lang w:eastAsia="ar-SA"/>
                    </w:rPr>
                  </w:pPr>
                  <w:r w:rsidRPr="002A4576">
                    <w:rPr>
                      <w:rFonts w:ascii="Arial" w:hAnsi="Arial" w:cs="Arial"/>
                      <w:sz w:val="14"/>
                      <w:szCs w:val="14"/>
                      <w:lang w:eastAsia="ar-SA"/>
                    </w:rPr>
                    <w:t>CSF</w:t>
                  </w:r>
                </w:p>
              </w:tc>
              <w:tc>
                <w:tcPr>
                  <w:tcW w:w="1194" w:type="dxa"/>
                  <w:vAlign w:val="center"/>
                </w:tcPr>
                <w:p w14:paraId="77149997" w14:textId="10149236" w:rsidR="005B774C" w:rsidRPr="002A4576" w:rsidRDefault="002A4576" w:rsidP="005B774C">
                  <w:pPr>
                    <w:suppressAutoHyphens/>
                    <w:jc w:val="center"/>
                    <w:rPr>
                      <w:rFonts w:ascii="Arial" w:hAnsi="Arial" w:cs="Arial"/>
                      <w:sz w:val="14"/>
                      <w:szCs w:val="14"/>
                      <w:lang w:eastAsia="ar-SA"/>
                    </w:rPr>
                  </w:pPr>
                  <w:r>
                    <w:rPr>
                      <w:rFonts w:ascii="Arial" w:hAnsi="Arial" w:cs="Arial"/>
                      <w:sz w:val="14"/>
                      <w:szCs w:val="14"/>
                      <w:lang w:eastAsia="ar-SA"/>
                    </w:rPr>
                    <w:t>02</w:t>
                  </w:r>
                </w:p>
              </w:tc>
              <w:tc>
                <w:tcPr>
                  <w:tcW w:w="2223" w:type="dxa"/>
                  <w:vAlign w:val="center"/>
                </w:tcPr>
                <w:p w14:paraId="6C553528" w14:textId="6CC8F526" w:rsidR="005B774C" w:rsidRPr="002A4576" w:rsidRDefault="002A4576" w:rsidP="005B774C">
                  <w:pPr>
                    <w:suppressAutoHyphens/>
                    <w:ind w:left="-108" w:right="-108"/>
                    <w:jc w:val="center"/>
                    <w:rPr>
                      <w:rFonts w:ascii="Arial" w:hAnsi="Arial" w:cs="Arial"/>
                      <w:b/>
                      <w:sz w:val="16"/>
                      <w:szCs w:val="16"/>
                      <w:lang w:eastAsia="ar-SA"/>
                    </w:rPr>
                  </w:pPr>
                  <w:r>
                    <w:rPr>
                      <w:rFonts w:ascii="Arial" w:hAnsi="Arial" w:cs="Arial"/>
                      <w:b/>
                      <w:sz w:val="16"/>
                      <w:szCs w:val="16"/>
                      <w:lang w:eastAsia="ar-SA"/>
                    </w:rPr>
                    <w:t xml:space="preserve">$ </w:t>
                  </w:r>
                  <w:r w:rsidRPr="002A4576">
                    <w:rPr>
                      <w:rFonts w:ascii="Arial" w:hAnsi="Arial" w:cs="Arial"/>
                      <w:b/>
                      <w:sz w:val="16"/>
                      <w:szCs w:val="16"/>
                      <w:lang w:eastAsia="ar-SA"/>
                    </w:rPr>
                    <w:t>12.310.263,00</w:t>
                  </w:r>
                </w:p>
              </w:tc>
            </w:tr>
          </w:tbl>
          <w:p w14:paraId="1F462876" w14:textId="7C63232B" w:rsidR="00E22AA1" w:rsidRPr="000F083E" w:rsidRDefault="00E22AA1" w:rsidP="00C23782">
            <w:pPr>
              <w:jc w:val="both"/>
              <w:rPr>
                <w:rFonts w:ascii="Arial" w:hAnsi="Arial" w:cs="Arial"/>
                <w:sz w:val="20"/>
                <w:szCs w:val="20"/>
              </w:rPr>
            </w:pPr>
          </w:p>
        </w:tc>
      </w:tr>
      <w:tr w:rsidR="00E22AA1" w:rsidRPr="000F083E" w14:paraId="5564C1A3" w14:textId="77777777" w:rsidTr="005B774C">
        <w:trPr>
          <w:trHeight w:val="78"/>
        </w:trPr>
        <w:tc>
          <w:tcPr>
            <w:tcW w:w="5000" w:type="pct"/>
            <w:gridSpan w:val="4"/>
            <w:shd w:val="clear" w:color="auto" w:fill="D9D9D9" w:themeFill="background1" w:themeFillShade="D9"/>
          </w:tcPr>
          <w:p w14:paraId="2955A341" w14:textId="77777777" w:rsidR="00E22AA1" w:rsidRPr="005B774C" w:rsidRDefault="00E22AA1" w:rsidP="00E22AA1">
            <w:pPr>
              <w:jc w:val="both"/>
              <w:rPr>
                <w:rFonts w:ascii="Arial" w:hAnsi="Arial" w:cs="Arial"/>
                <w:sz w:val="20"/>
                <w:szCs w:val="20"/>
              </w:rPr>
            </w:pPr>
            <w:r w:rsidRPr="005B774C">
              <w:rPr>
                <w:rFonts w:ascii="Arial" w:hAnsi="Arial" w:cs="Arial"/>
                <w:b/>
                <w:sz w:val="20"/>
                <w:szCs w:val="20"/>
              </w:rPr>
              <w:t>6.3. VARIABLES CONSIDERADAS PARA CALCULAR EL PRESUPUESTO OFICIAL</w:t>
            </w:r>
          </w:p>
        </w:tc>
      </w:tr>
      <w:tr w:rsidR="00E22AA1" w:rsidRPr="000F083E" w14:paraId="5DD87543" w14:textId="77777777" w:rsidTr="00894086">
        <w:trPr>
          <w:trHeight w:val="706"/>
        </w:trPr>
        <w:tc>
          <w:tcPr>
            <w:tcW w:w="5000" w:type="pct"/>
            <w:gridSpan w:val="4"/>
          </w:tcPr>
          <w:p w14:paraId="15657FEE" w14:textId="77777777" w:rsidR="00E22AA1" w:rsidRPr="00680560" w:rsidRDefault="00E22AA1" w:rsidP="00EA1A9F">
            <w:pPr>
              <w:jc w:val="both"/>
              <w:rPr>
                <w:rFonts w:ascii="Arial" w:hAnsi="Arial" w:cs="Arial"/>
                <w:sz w:val="20"/>
                <w:szCs w:val="20"/>
              </w:rPr>
            </w:pPr>
            <w:r w:rsidRPr="00680560">
              <w:rPr>
                <w:rFonts w:ascii="Arial" w:hAnsi="Arial" w:cs="Arial"/>
                <w:sz w:val="20"/>
                <w:szCs w:val="20"/>
              </w:rPr>
              <w:t>De conformidad con la “</w:t>
            </w:r>
            <w:r w:rsidRPr="00680560">
              <w:rPr>
                <w:rFonts w:ascii="Arial" w:hAnsi="Arial" w:cs="Arial"/>
                <w:b/>
                <w:sz w:val="20"/>
                <w:szCs w:val="20"/>
              </w:rPr>
              <w:t>Cláusula X, literal D) – Proceso de contratación en Gran Almacén – “</w:t>
            </w:r>
            <w:r w:rsidRPr="00680560">
              <w:rPr>
                <w:rFonts w:ascii="Arial" w:hAnsi="Arial" w:cs="Arial"/>
                <w:sz w:val="20"/>
                <w:szCs w:val="20"/>
              </w:rPr>
              <w:t>La Entidad Compradora debe diligenciar el formato de estudios previos en la TVEC y revisar los precios del Catálogo para cada uno de los bienes que pretende adquirir para seleccionar el o los Grandes Almacenes que ofrecen el menor precio de cada uno de los bienes requeridos. …”</w:t>
            </w:r>
            <w:r w:rsidRPr="00680560">
              <w:rPr>
                <w:rFonts w:ascii="Arial" w:hAnsi="Arial" w:cs="Arial"/>
                <w:b/>
                <w:sz w:val="20"/>
                <w:szCs w:val="20"/>
              </w:rPr>
              <w:t xml:space="preserve"> </w:t>
            </w:r>
            <w:r w:rsidRPr="00680560">
              <w:rPr>
                <w:rFonts w:ascii="Arial" w:hAnsi="Arial" w:cs="Arial"/>
                <w:sz w:val="20"/>
                <w:szCs w:val="20"/>
              </w:rPr>
              <w:t>de los Términos y Condiciones de Uso de la TVEC, el valor estimado de las órdenes de compra será el resultante de la cotización con menor precio ofertado por alguno de los proveedores.</w:t>
            </w:r>
          </w:p>
          <w:p w14:paraId="71E98EA5" w14:textId="77777777" w:rsidR="00E22AA1" w:rsidRPr="000F083E" w:rsidRDefault="00E22AA1" w:rsidP="00EA1A9F">
            <w:pPr>
              <w:jc w:val="both"/>
              <w:rPr>
                <w:rFonts w:ascii="Arial" w:hAnsi="Arial" w:cs="Arial"/>
                <w:sz w:val="20"/>
                <w:szCs w:val="20"/>
              </w:rPr>
            </w:pPr>
            <w:r w:rsidRPr="000F083E">
              <w:rPr>
                <w:rFonts w:ascii="Arial" w:hAnsi="Arial" w:cs="Arial"/>
                <w:sz w:val="20"/>
                <w:szCs w:val="20"/>
              </w:rPr>
              <w:t>La cotización de menor precio tiene fuerza vinculante durante toda la vigencia de la Orden de Compra.</w:t>
            </w:r>
          </w:p>
          <w:p w14:paraId="28125132" w14:textId="0869C81E" w:rsidR="00E22AA1" w:rsidRDefault="00E22AA1" w:rsidP="00A60800">
            <w:pPr>
              <w:jc w:val="both"/>
              <w:rPr>
                <w:rFonts w:ascii="Arial" w:hAnsi="Arial" w:cs="Arial"/>
                <w:sz w:val="20"/>
                <w:szCs w:val="20"/>
              </w:rPr>
            </w:pPr>
            <w:r w:rsidRPr="000F083E">
              <w:rPr>
                <w:rFonts w:ascii="Arial" w:hAnsi="Arial" w:cs="Arial"/>
                <w:sz w:val="20"/>
                <w:szCs w:val="20"/>
              </w:rPr>
              <w:t xml:space="preserve">Valga la pena señalar que el área de Almacén, con la finalidad de verificar que los valores resultantes de las cotizaciones no superen el presupuesto de la Entidad, previo a la </w:t>
            </w:r>
            <w:r>
              <w:rPr>
                <w:rFonts w:ascii="Arial" w:hAnsi="Arial" w:cs="Arial"/>
                <w:sz w:val="20"/>
                <w:szCs w:val="20"/>
              </w:rPr>
              <w:t xml:space="preserve">generación de la Orden de Compra, procedió a revisar los precios del catálogo </w:t>
            </w:r>
            <w:r w:rsidRPr="000F083E">
              <w:rPr>
                <w:rFonts w:ascii="Arial" w:hAnsi="Arial" w:cs="Arial"/>
                <w:sz w:val="20"/>
                <w:szCs w:val="20"/>
              </w:rPr>
              <w:t>dentro de la plataforma de la Tienda Virtual del Estado Colombiano</w:t>
            </w:r>
            <w:r>
              <w:rPr>
                <w:rFonts w:ascii="Arial" w:hAnsi="Arial" w:cs="Arial"/>
                <w:sz w:val="20"/>
                <w:szCs w:val="20"/>
              </w:rPr>
              <w:t xml:space="preserve"> – Grandes </w:t>
            </w:r>
            <w:r w:rsidR="00557EB1">
              <w:rPr>
                <w:rFonts w:ascii="Arial" w:hAnsi="Arial" w:cs="Arial"/>
                <w:sz w:val="20"/>
                <w:szCs w:val="20"/>
              </w:rPr>
              <w:t>Almacenes</w:t>
            </w:r>
            <w:r w:rsidRPr="000F083E">
              <w:rPr>
                <w:rFonts w:ascii="Arial" w:hAnsi="Arial" w:cs="Arial"/>
                <w:sz w:val="20"/>
                <w:szCs w:val="20"/>
              </w:rPr>
              <w:t>,</w:t>
            </w:r>
            <w:r>
              <w:rPr>
                <w:rFonts w:ascii="Arial" w:hAnsi="Arial" w:cs="Arial"/>
                <w:sz w:val="20"/>
                <w:szCs w:val="20"/>
              </w:rPr>
              <w:t xml:space="preserve"> para seleccionar el o los proveedores que ofrecen el menor precio, cumpliendo con las características técnicas y medioambientales requeridas.</w:t>
            </w:r>
          </w:p>
          <w:p w14:paraId="61C1AB60" w14:textId="44F47C0E" w:rsidR="002A5BBD" w:rsidRPr="000F083E" w:rsidRDefault="00E22AA1" w:rsidP="00B577CF">
            <w:pPr>
              <w:jc w:val="both"/>
              <w:rPr>
                <w:rFonts w:ascii="Arial" w:hAnsi="Arial" w:cs="Arial"/>
                <w:sz w:val="20"/>
                <w:szCs w:val="20"/>
              </w:rPr>
            </w:pPr>
            <w:r w:rsidRPr="002A25E1">
              <w:rPr>
                <w:rFonts w:ascii="Arial" w:hAnsi="Arial" w:cs="Arial"/>
                <w:sz w:val="20"/>
                <w:szCs w:val="20"/>
              </w:rPr>
              <w:t>Es necesario precisar que se tuvo en cuenta solamente aquellas cotizaciones presentadas, que resultan ventajosas para la entidad. Por tal motivo, se tomarán como referencia las que se consideran viables en materia presupuestal y que cumplen con las características técnicas y medioambientales requeridas.</w:t>
            </w:r>
          </w:p>
        </w:tc>
      </w:tr>
      <w:tr w:rsidR="00654440" w:rsidRPr="000F083E" w14:paraId="7FDBF392" w14:textId="77777777" w:rsidTr="00894086">
        <w:trPr>
          <w:trHeight w:val="706"/>
        </w:trPr>
        <w:tc>
          <w:tcPr>
            <w:tcW w:w="5000" w:type="pct"/>
            <w:gridSpan w:val="4"/>
          </w:tcPr>
          <w:p w14:paraId="75448110" w14:textId="77777777" w:rsidR="00C36B4B" w:rsidRDefault="00A776D7" w:rsidP="00A776D7">
            <w:pPr>
              <w:jc w:val="both"/>
              <w:rPr>
                <w:rFonts w:ascii="Arial" w:hAnsi="Arial" w:cs="Arial"/>
                <w:b/>
                <w:sz w:val="20"/>
                <w:szCs w:val="20"/>
              </w:rPr>
            </w:pPr>
            <w:r w:rsidRPr="00977A01">
              <w:rPr>
                <w:rFonts w:ascii="Arial" w:hAnsi="Arial" w:cs="Arial"/>
                <w:b/>
                <w:sz w:val="20"/>
                <w:szCs w:val="20"/>
              </w:rPr>
              <w:t xml:space="preserve">6.4. FORMA DE PAGO DEL CONTRATO </w:t>
            </w:r>
          </w:p>
          <w:p w14:paraId="24BEB747" w14:textId="5D7F3C98" w:rsidR="00A776D7" w:rsidRPr="00977A01" w:rsidRDefault="00A776D7" w:rsidP="00A776D7">
            <w:pPr>
              <w:jc w:val="both"/>
              <w:rPr>
                <w:rFonts w:ascii="Arial" w:hAnsi="Arial" w:cs="Arial"/>
                <w:sz w:val="20"/>
                <w:szCs w:val="20"/>
              </w:rPr>
            </w:pPr>
            <w:r w:rsidRPr="00977A01">
              <w:rPr>
                <w:rFonts w:ascii="Arial" w:hAnsi="Arial" w:cs="Arial"/>
                <w:sz w:val="20"/>
                <w:szCs w:val="20"/>
              </w:rPr>
              <w:t>La Dirección Ejecutiva Seccional de Administración Judicial realizará el pago de la presente contratación de conformidad con lo dispuesto por el artículo 3° del decreto 1425 del 24 de julio de 1.998. Éste será efectuado directamente al contratista, por parte de La Dirección General del Tesoro Nacional, mediante un pago único, dependiendo la disponibilidad del PAC, previa presentación de la factura o cuenta de cobro, respaldada por los siguientes documentos:</w:t>
            </w:r>
          </w:p>
          <w:p w14:paraId="775E8331" w14:textId="7247EF0A" w:rsidR="00654440" w:rsidRPr="00680560" w:rsidRDefault="00A776D7" w:rsidP="00ED46B0">
            <w:pPr>
              <w:jc w:val="both"/>
              <w:rPr>
                <w:rFonts w:ascii="Arial" w:hAnsi="Arial" w:cs="Arial"/>
                <w:sz w:val="20"/>
                <w:szCs w:val="20"/>
              </w:rPr>
            </w:pPr>
            <w:r w:rsidRPr="00977A01">
              <w:rPr>
                <w:rFonts w:ascii="Arial" w:hAnsi="Arial" w:cs="Arial"/>
                <w:sz w:val="20"/>
                <w:szCs w:val="20"/>
              </w:rPr>
              <w:t>Acta de recibo satisfactorio de la actividad contratada.</w:t>
            </w:r>
            <w:r w:rsidR="00ED46B0">
              <w:rPr>
                <w:rFonts w:ascii="Arial" w:hAnsi="Arial" w:cs="Arial"/>
                <w:sz w:val="20"/>
                <w:szCs w:val="20"/>
              </w:rPr>
              <w:t xml:space="preserve"> </w:t>
            </w:r>
            <w:r w:rsidRPr="00977A01">
              <w:rPr>
                <w:rFonts w:ascii="Arial" w:hAnsi="Arial" w:cs="Arial"/>
                <w:sz w:val="20"/>
                <w:szCs w:val="20"/>
              </w:rPr>
              <w:t>Certificación de pago de aportes al Sistema Integral de Salud, Riesgos Laborales y parafiscales, cuando haya lugar.</w:t>
            </w:r>
            <w:r w:rsidR="00ED46B0">
              <w:rPr>
                <w:rFonts w:ascii="Arial" w:hAnsi="Arial" w:cs="Arial"/>
                <w:sz w:val="20"/>
                <w:szCs w:val="20"/>
              </w:rPr>
              <w:t xml:space="preserve"> </w:t>
            </w:r>
            <w:r w:rsidRPr="00977A01">
              <w:rPr>
                <w:rFonts w:ascii="Arial" w:hAnsi="Arial" w:cs="Arial"/>
                <w:sz w:val="20"/>
                <w:szCs w:val="20"/>
              </w:rPr>
              <w:t>Certificación expedida por el revisor fiscal o el representante legal según corresponda de conformidad con la Ley 43 de 1990 y el Artículo 23 de la Ley 1150 de 2007, que acredite estar al día en el pago de nómina y de las obligaciones al Sistema Integral de Seguridad Social y parafiscales cuando haya lugar.</w:t>
            </w:r>
            <w:r w:rsidR="00B577CF">
              <w:rPr>
                <w:rFonts w:ascii="Arial" w:hAnsi="Arial" w:cs="Arial"/>
                <w:sz w:val="20"/>
                <w:szCs w:val="20"/>
              </w:rPr>
              <w:t xml:space="preserve"> </w:t>
            </w:r>
            <w:r w:rsidRPr="00977A01">
              <w:rPr>
                <w:rFonts w:ascii="Arial" w:hAnsi="Arial" w:cs="Arial"/>
                <w:sz w:val="20"/>
                <w:szCs w:val="20"/>
              </w:rPr>
              <w:t xml:space="preserve">En todo caso, los pagos estipulados en el presente </w:t>
            </w:r>
            <w:r w:rsidR="00C35FA1" w:rsidRPr="00977A01">
              <w:rPr>
                <w:rFonts w:ascii="Arial" w:hAnsi="Arial" w:cs="Arial"/>
                <w:sz w:val="20"/>
                <w:szCs w:val="20"/>
              </w:rPr>
              <w:t>numeral</w:t>
            </w:r>
            <w:r w:rsidRPr="00977A01">
              <w:rPr>
                <w:rFonts w:ascii="Arial" w:hAnsi="Arial" w:cs="Arial"/>
                <w:sz w:val="20"/>
                <w:szCs w:val="20"/>
              </w:rPr>
              <w:t xml:space="preserve"> se sujetarán a los recursos que la Dirección General de Crédito Público y del Tesoro Nacional del Ministerio de Hacienda, adjudique a la Nación - Consejo Superior de la Judicatura.</w:t>
            </w:r>
          </w:p>
        </w:tc>
      </w:tr>
      <w:tr w:rsidR="002375AE" w:rsidRPr="000F083E" w14:paraId="367D2D11" w14:textId="77777777" w:rsidTr="000B474C">
        <w:trPr>
          <w:trHeight w:val="394"/>
        </w:trPr>
        <w:tc>
          <w:tcPr>
            <w:tcW w:w="5000" w:type="pct"/>
            <w:gridSpan w:val="4"/>
            <w:shd w:val="clear" w:color="auto" w:fill="B8CCE4" w:themeFill="accent1" w:themeFillTint="66"/>
          </w:tcPr>
          <w:p w14:paraId="341C2326" w14:textId="77777777" w:rsidR="002375AE" w:rsidRPr="000F083E" w:rsidRDefault="00831705" w:rsidP="00EA1A9F">
            <w:pPr>
              <w:jc w:val="both"/>
              <w:rPr>
                <w:rFonts w:ascii="Arial" w:hAnsi="Arial" w:cs="Arial"/>
                <w:b/>
                <w:sz w:val="20"/>
                <w:szCs w:val="20"/>
              </w:rPr>
            </w:pPr>
            <w:r w:rsidRPr="000F083E">
              <w:rPr>
                <w:rFonts w:ascii="Arial" w:hAnsi="Arial" w:cs="Arial"/>
                <w:b/>
                <w:sz w:val="20"/>
                <w:szCs w:val="20"/>
              </w:rPr>
              <w:t>7</w:t>
            </w:r>
            <w:r w:rsidR="002375AE" w:rsidRPr="000F083E">
              <w:rPr>
                <w:rFonts w:ascii="Arial" w:hAnsi="Arial" w:cs="Arial"/>
                <w:b/>
                <w:sz w:val="20"/>
                <w:szCs w:val="20"/>
              </w:rPr>
              <w:t>. CRITERIOS PARA SELECCIONAR LA OFERTA MÁS FAVORABLE</w:t>
            </w:r>
          </w:p>
        </w:tc>
      </w:tr>
      <w:tr w:rsidR="002375AE" w:rsidRPr="000F083E" w14:paraId="7B4590E9" w14:textId="77777777" w:rsidTr="00894086">
        <w:trPr>
          <w:trHeight w:val="568"/>
        </w:trPr>
        <w:tc>
          <w:tcPr>
            <w:tcW w:w="5000" w:type="pct"/>
            <w:gridSpan w:val="4"/>
          </w:tcPr>
          <w:p w14:paraId="7B36AADB" w14:textId="243F59F5" w:rsidR="006D42B1" w:rsidRPr="000F083E" w:rsidRDefault="00EA5C73" w:rsidP="005240E0">
            <w:pPr>
              <w:jc w:val="both"/>
              <w:rPr>
                <w:rFonts w:ascii="Arial" w:hAnsi="Arial" w:cs="Arial"/>
                <w:sz w:val="20"/>
                <w:szCs w:val="20"/>
              </w:rPr>
            </w:pPr>
            <w:r w:rsidRPr="000F083E">
              <w:rPr>
                <w:rFonts w:ascii="Arial" w:hAnsi="Arial" w:cs="Arial"/>
                <w:sz w:val="20"/>
                <w:szCs w:val="20"/>
              </w:rPr>
              <w:t>Para efectos de seleccionar la oferta más favorable</w:t>
            </w:r>
            <w:r w:rsidR="001E07FD" w:rsidRPr="000F083E">
              <w:rPr>
                <w:rFonts w:ascii="Arial" w:hAnsi="Arial" w:cs="Arial"/>
                <w:sz w:val="20"/>
                <w:szCs w:val="20"/>
              </w:rPr>
              <w:t>,</w:t>
            </w:r>
            <w:r w:rsidRPr="000F083E">
              <w:rPr>
                <w:rFonts w:ascii="Arial" w:hAnsi="Arial" w:cs="Arial"/>
                <w:sz w:val="20"/>
                <w:szCs w:val="20"/>
              </w:rPr>
              <w:t xml:space="preserve"> la Dirección Seccional De Administración Judicial De </w:t>
            </w:r>
            <w:r w:rsidR="00C35FA1" w:rsidRPr="000F083E">
              <w:rPr>
                <w:rFonts w:ascii="Arial" w:hAnsi="Arial" w:cs="Arial"/>
                <w:sz w:val="20"/>
                <w:szCs w:val="20"/>
              </w:rPr>
              <w:t>Barranquilla deberá</w:t>
            </w:r>
            <w:r w:rsidRPr="000F083E">
              <w:rPr>
                <w:rFonts w:ascii="Arial" w:hAnsi="Arial" w:cs="Arial"/>
                <w:sz w:val="20"/>
                <w:szCs w:val="20"/>
              </w:rPr>
              <w:t xml:space="preserve"> dar aplicación a lo dispuesto </w:t>
            </w:r>
            <w:r w:rsidR="00702976" w:rsidRPr="000F083E">
              <w:rPr>
                <w:rFonts w:ascii="Arial" w:hAnsi="Arial" w:cs="Arial"/>
                <w:sz w:val="20"/>
                <w:szCs w:val="20"/>
              </w:rPr>
              <w:t xml:space="preserve">en </w:t>
            </w:r>
            <w:r w:rsidR="005240E0">
              <w:rPr>
                <w:rFonts w:ascii="Arial" w:hAnsi="Arial" w:cs="Arial"/>
                <w:sz w:val="20"/>
                <w:szCs w:val="20"/>
              </w:rPr>
              <w:t xml:space="preserve">los Términos </w:t>
            </w:r>
            <w:r w:rsidR="0060356C">
              <w:rPr>
                <w:rFonts w:ascii="Arial" w:hAnsi="Arial" w:cs="Arial"/>
                <w:sz w:val="20"/>
                <w:szCs w:val="20"/>
              </w:rPr>
              <w:t>y Condiciones de Uso de la TVEC y la reglamentación ambiental.</w:t>
            </w:r>
          </w:p>
        </w:tc>
      </w:tr>
      <w:tr w:rsidR="00082798" w:rsidRPr="000F083E" w14:paraId="2C98B015" w14:textId="77777777" w:rsidTr="00894086">
        <w:trPr>
          <w:trHeight w:val="720"/>
        </w:trPr>
        <w:tc>
          <w:tcPr>
            <w:tcW w:w="5000" w:type="pct"/>
            <w:gridSpan w:val="4"/>
            <w:shd w:val="clear" w:color="auto" w:fill="B8CCE4" w:themeFill="accent1" w:themeFillTint="66"/>
          </w:tcPr>
          <w:p w14:paraId="36D53680" w14:textId="77777777" w:rsidR="00082798" w:rsidRPr="000F083E" w:rsidRDefault="00831705" w:rsidP="00E22AA1">
            <w:pPr>
              <w:tabs>
                <w:tab w:val="left" w:pos="7755"/>
              </w:tabs>
              <w:jc w:val="both"/>
              <w:rPr>
                <w:rFonts w:ascii="Arial" w:hAnsi="Arial" w:cs="Arial"/>
                <w:b/>
                <w:sz w:val="20"/>
                <w:szCs w:val="20"/>
              </w:rPr>
            </w:pPr>
            <w:r w:rsidRPr="000F083E">
              <w:rPr>
                <w:rFonts w:ascii="Arial" w:hAnsi="Arial" w:cs="Arial"/>
                <w:b/>
                <w:sz w:val="20"/>
                <w:szCs w:val="20"/>
              </w:rPr>
              <w:t>8</w:t>
            </w:r>
            <w:r w:rsidR="00082798" w:rsidRPr="000F083E">
              <w:rPr>
                <w:rFonts w:ascii="Arial" w:hAnsi="Arial" w:cs="Arial"/>
                <w:b/>
                <w:sz w:val="20"/>
                <w:szCs w:val="20"/>
              </w:rPr>
              <w:t>. ESTIMACIÓN, TIPIFICACIÓN Y ASIGNACIÓN DE RIESGOS PREVISIBLES</w:t>
            </w:r>
            <w:r w:rsidR="00E22AA1">
              <w:rPr>
                <w:rFonts w:ascii="Arial" w:hAnsi="Arial" w:cs="Arial"/>
                <w:b/>
                <w:sz w:val="20"/>
                <w:szCs w:val="20"/>
              </w:rPr>
              <w:tab/>
            </w:r>
          </w:p>
        </w:tc>
      </w:tr>
      <w:tr w:rsidR="00082798" w:rsidRPr="000F083E" w14:paraId="41C58DED" w14:textId="77777777" w:rsidTr="00894086">
        <w:trPr>
          <w:trHeight w:val="1083"/>
        </w:trPr>
        <w:tc>
          <w:tcPr>
            <w:tcW w:w="5000" w:type="pct"/>
            <w:gridSpan w:val="4"/>
          </w:tcPr>
          <w:p w14:paraId="78A7D876" w14:textId="77777777" w:rsidR="00F02AEB" w:rsidRPr="00F66A2A" w:rsidRDefault="00F02AEB" w:rsidP="00F02AEB">
            <w:pPr>
              <w:pStyle w:val="BodyText31"/>
              <w:rPr>
                <w:rFonts w:cs="Arial"/>
                <w:sz w:val="20"/>
              </w:rPr>
            </w:pPr>
            <w:r w:rsidRPr="00F66A2A">
              <w:rPr>
                <w:rFonts w:cs="Arial"/>
                <w:sz w:val="20"/>
              </w:rPr>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4165899F" w14:textId="125AF0E2" w:rsidR="007B0714" w:rsidRDefault="00F02AEB" w:rsidP="00F02AEB">
            <w:pPr>
              <w:pStyle w:val="BodyText31"/>
              <w:rPr>
                <w:rFonts w:cs="Arial"/>
                <w:sz w:val="20"/>
                <w:lang w:val="es-ES"/>
              </w:rPr>
            </w:pPr>
            <w:r w:rsidRPr="00F66A2A">
              <w:rPr>
                <w:rFonts w:cs="Arial"/>
                <w:sz w:val="20"/>
                <w:lang w:val="es-ES"/>
              </w:rPr>
              <w:t>Los riesgos de esta contratación radican en el incumplimiento de la entrega oportuna del material adquirido o de la calidad deficiente del mismo.</w:t>
            </w:r>
          </w:p>
          <w:p w14:paraId="6FFC645D" w14:textId="77777777" w:rsidR="007B0714" w:rsidRPr="00F66A2A" w:rsidRDefault="007B0714" w:rsidP="00F02AEB">
            <w:pPr>
              <w:pStyle w:val="BodyText31"/>
              <w:rPr>
                <w:rFonts w:cs="Arial"/>
                <w:sz w:val="20"/>
                <w:lang w:val="es-ES"/>
              </w:rPr>
            </w:pPr>
          </w:p>
          <w:p w14:paraId="192C3B47" w14:textId="77777777" w:rsidR="00F02AEB" w:rsidRPr="00C957F5" w:rsidRDefault="00F02AEB" w:rsidP="00F02AEB">
            <w:pPr>
              <w:pStyle w:val="BodyText31"/>
              <w:rPr>
                <w:rFonts w:cs="Arial"/>
                <w:b/>
                <w:sz w:val="14"/>
                <w:szCs w:val="14"/>
                <w:lang w:val="es-ES"/>
              </w:rPr>
            </w:pPr>
            <w:r w:rsidRPr="00F66A2A">
              <w:rPr>
                <w:rFonts w:cs="Arial"/>
                <w:b/>
                <w:sz w:val="20"/>
                <w:lang w:val="es-ES"/>
              </w:rPr>
              <w:t>MAPA IDENTIFICACION DEL RIESGO</w:t>
            </w:r>
          </w:p>
          <w:p w14:paraId="50EADB19" w14:textId="77777777" w:rsidR="00E22AA1" w:rsidRPr="00C957F5" w:rsidRDefault="00E22AA1" w:rsidP="00F02AEB">
            <w:pPr>
              <w:pStyle w:val="BodyText31"/>
              <w:rPr>
                <w:rFonts w:cs="Arial"/>
                <w:b/>
                <w:sz w:val="14"/>
                <w:szCs w:val="14"/>
                <w:lang w:val="es-ES"/>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4"/>
              <w:gridCol w:w="424"/>
              <w:gridCol w:w="424"/>
              <w:gridCol w:w="1414"/>
              <w:gridCol w:w="1454"/>
              <w:gridCol w:w="424"/>
              <w:gridCol w:w="1407"/>
              <w:gridCol w:w="789"/>
              <w:gridCol w:w="1010"/>
              <w:gridCol w:w="1029"/>
            </w:tblGrid>
            <w:tr w:rsidR="00F02AEB" w:rsidRPr="00C957F5" w14:paraId="73224B43" w14:textId="77777777" w:rsidTr="0088351B">
              <w:trPr>
                <w:cantSplit/>
                <w:trHeight w:val="803"/>
                <w:jc w:val="center"/>
              </w:trPr>
              <w:tc>
                <w:tcPr>
                  <w:tcW w:w="452" w:type="dxa"/>
                  <w:textDirection w:val="btLr"/>
                </w:tcPr>
                <w:p w14:paraId="5CE432C9"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No</w:t>
                  </w:r>
                </w:p>
                <w:p w14:paraId="397D27A8" w14:textId="77777777" w:rsidR="00F02AEB" w:rsidRPr="00C957F5" w:rsidRDefault="00F02AEB" w:rsidP="00F02AEB">
                  <w:pPr>
                    <w:pStyle w:val="BodyText31"/>
                    <w:ind w:left="113" w:right="113"/>
                    <w:rPr>
                      <w:rFonts w:cs="Arial"/>
                      <w:sz w:val="14"/>
                      <w:szCs w:val="14"/>
                      <w:lang w:val="es-ES"/>
                    </w:rPr>
                  </w:pPr>
                </w:p>
              </w:tc>
              <w:tc>
                <w:tcPr>
                  <w:tcW w:w="452" w:type="dxa"/>
                  <w:textDirection w:val="btLr"/>
                </w:tcPr>
                <w:p w14:paraId="11671B52"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Clase</w:t>
                  </w:r>
                </w:p>
              </w:tc>
              <w:tc>
                <w:tcPr>
                  <w:tcW w:w="452" w:type="dxa"/>
                  <w:textDirection w:val="btLr"/>
                </w:tcPr>
                <w:p w14:paraId="3B8FD09C"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Área</w:t>
                  </w:r>
                </w:p>
              </w:tc>
              <w:tc>
                <w:tcPr>
                  <w:tcW w:w="452" w:type="dxa"/>
                  <w:textDirection w:val="btLr"/>
                </w:tcPr>
                <w:p w14:paraId="1742D6E0"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Etapa</w:t>
                  </w:r>
                </w:p>
              </w:tc>
              <w:tc>
                <w:tcPr>
                  <w:tcW w:w="452" w:type="dxa"/>
                  <w:textDirection w:val="btLr"/>
                </w:tcPr>
                <w:p w14:paraId="7A3A1FEB"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Tipo</w:t>
                  </w:r>
                </w:p>
              </w:tc>
              <w:tc>
                <w:tcPr>
                  <w:tcW w:w="1261" w:type="dxa"/>
                </w:tcPr>
                <w:p w14:paraId="22E784B1" w14:textId="77777777" w:rsidR="00F02AEB" w:rsidRPr="00C957F5" w:rsidRDefault="00F02AEB" w:rsidP="00F02AEB">
                  <w:pPr>
                    <w:pStyle w:val="BodyText31"/>
                    <w:jc w:val="left"/>
                    <w:rPr>
                      <w:rFonts w:cs="Arial"/>
                      <w:sz w:val="14"/>
                      <w:szCs w:val="14"/>
                      <w:lang w:val="es-ES"/>
                    </w:rPr>
                  </w:pPr>
                  <w:r w:rsidRPr="00C957F5">
                    <w:rPr>
                      <w:rFonts w:cs="Arial"/>
                      <w:sz w:val="14"/>
                      <w:szCs w:val="14"/>
                      <w:lang w:val="es-ES"/>
                    </w:rPr>
                    <w:t>Descripción (Que puede pasar y, si es posible como puede pasar)</w:t>
                  </w:r>
                </w:p>
              </w:tc>
              <w:tc>
                <w:tcPr>
                  <w:tcW w:w="1484" w:type="dxa"/>
                </w:tcPr>
                <w:p w14:paraId="26DA39C4" w14:textId="77777777" w:rsidR="00F02AEB" w:rsidRPr="00C957F5" w:rsidRDefault="00F02AEB" w:rsidP="00F02AEB">
                  <w:pPr>
                    <w:pStyle w:val="BodyText31"/>
                    <w:rPr>
                      <w:rFonts w:cs="Arial"/>
                      <w:sz w:val="14"/>
                      <w:szCs w:val="14"/>
                      <w:lang w:val="es-ES"/>
                    </w:rPr>
                  </w:pPr>
                  <w:r w:rsidRPr="00C957F5">
                    <w:rPr>
                      <w:rFonts w:cs="Arial"/>
                      <w:sz w:val="14"/>
                      <w:szCs w:val="14"/>
                      <w:lang w:val="es-ES"/>
                    </w:rPr>
                    <w:t>Consecuencia de la Ocurrencia del evento</w:t>
                  </w:r>
                </w:p>
              </w:tc>
              <w:tc>
                <w:tcPr>
                  <w:tcW w:w="452" w:type="dxa"/>
                  <w:textDirection w:val="btLr"/>
                </w:tcPr>
                <w:p w14:paraId="1CE6E846"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Prioridad</w:t>
                  </w:r>
                </w:p>
              </w:tc>
              <w:tc>
                <w:tcPr>
                  <w:tcW w:w="1584" w:type="dxa"/>
                </w:tcPr>
                <w:p w14:paraId="616997A0" w14:textId="16737C9B" w:rsidR="00F02AEB" w:rsidRPr="00C957F5" w:rsidRDefault="00F02AEB" w:rsidP="00F02AEB">
                  <w:pPr>
                    <w:pStyle w:val="BodyText31"/>
                    <w:rPr>
                      <w:rFonts w:cs="Arial"/>
                      <w:sz w:val="14"/>
                      <w:szCs w:val="14"/>
                      <w:lang w:val="es-ES"/>
                    </w:rPr>
                  </w:pPr>
                  <w:r w:rsidRPr="00C957F5">
                    <w:rPr>
                      <w:rFonts w:cs="Arial"/>
                      <w:sz w:val="14"/>
                      <w:szCs w:val="14"/>
                      <w:lang w:val="es-ES"/>
                    </w:rPr>
                    <w:t xml:space="preserve">Tratamiento/ </w:t>
                  </w:r>
                  <w:r w:rsidR="00BD528E" w:rsidRPr="00C957F5">
                    <w:rPr>
                      <w:rFonts w:cs="Arial"/>
                      <w:sz w:val="14"/>
                      <w:szCs w:val="14"/>
                      <w:lang w:val="es-ES"/>
                    </w:rPr>
                    <w:t>Controles a</w:t>
                  </w:r>
                  <w:r w:rsidRPr="00C957F5">
                    <w:rPr>
                      <w:rFonts w:cs="Arial"/>
                      <w:sz w:val="14"/>
                      <w:szCs w:val="14"/>
                      <w:lang w:val="es-ES"/>
                    </w:rPr>
                    <w:t xml:space="preserve"> ser Implementados</w:t>
                  </w:r>
                </w:p>
              </w:tc>
              <w:tc>
                <w:tcPr>
                  <w:tcW w:w="1095" w:type="dxa"/>
                  <w:textDirection w:val="btLr"/>
                </w:tcPr>
                <w:p w14:paraId="2AEAB8EE" w14:textId="37FC9362"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 xml:space="preserve">Impacto después </w:t>
                  </w:r>
                  <w:r w:rsidR="00BD528E" w:rsidRPr="00C957F5">
                    <w:rPr>
                      <w:rFonts w:cs="Arial"/>
                      <w:sz w:val="14"/>
                      <w:szCs w:val="14"/>
                      <w:lang w:val="es-ES"/>
                    </w:rPr>
                    <w:t>del tratamiento</w:t>
                  </w:r>
                </w:p>
              </w:tc>
              <w:tc>
                <w:tcPr>
                  <w:tcW w:w="1513" w:type="dxa"/>
                  <w:gridSpan w:val="2"/>
                </w:tcPr>
                <w:p w14:paraId="09C55A35" w14:textId="77777777" w:rsidR="00F02AEB" w:rsidRPr="00C957F5" w:rsidRDefault="00F02AEB" w:rsidP="00F02AEB">
                  <w:pPr>
                    <w:pStyle w:val="BodyText31"/>
                    <w:rPr>
                      <w:rFonts w:cs="Arial"/>
                      <w:sz w:val="14"/>
                      <w:szCs w:val="14"/>
                      <w:lang w:val="es-ES"/>
                    </w:rPr>
                  </w:pPr>
                  <w:r w:rsidRPr="00C957F5">
                    <w:rPr>
                      <w:rFonts w:cs="Arial"/>
                      <w:sz w:val="14"/>
                      <w:szCs w:val="14"/>
                      <w:lang w:val="es-ES"/>
                    </w:rPr>
                    <w:t>Control o Monitoreo por parte de la DESAJ</w:t>
                  </w:r>
                </w:p>
              </w:tc>
            </w:tr>
            <w:tr w:rsidR="00F02AEB" w:rsidRPr="00C957F5" w14:paraId="5CB740CE" w14:textId="77777777" w:rsidTr="00C36BFB">
              <w:trPr>
                <w:trHeight w:val="284"/>
                <w:jc w:val="center"/>
              </w:trPr>
              <w:tc>
                <w:tcPr>
                  <w:tcW w:w="452" w:type="dxa"/>
                </w:tcPr>
                <w:p w14:paraId="05AE4965" w14:textId="77777777" w:rsidR="00F02AEB" w:rsidRPr="00C957F5" w:rsidRDefault="00F02AEB" w:rsidP="00F02AEB">
                  <w:pPr>
                    <w:pStyle w:val="BodyText31"/>
                    <w:rPr>
                      <w:rFonts w:cs="Arial"/>
                      <w:sz w:val="14"/>
                      <w:szCs w:val="14"/>
                      <w:lang w:val="es-ES"/>
                    </w:rPr>
                  </w:pPr>
                </w:p>
              </w:tc>
              <w:tc>
                <w:tcPr>
                  <w:tcW w:w="452" w:type="dxa"/>
                </w:tcPr>
                <w:p w14:paraId="0A426B81" w14:textId="77777777" w:rsidR="00F02AEB" w:rsidRPr="00C957F5" w:rsidRDefault="00F02AEB" w:rsidP="00F02AEB">
                  <w:pPr>
                    <w:pStyle w:val="BodyText31"/>
                    <w:rPr>
                      <w:rFonts w:cs="Arial"/>
                      <w:sz w:val="14"/>
                      <w:szCs w:val="14"/>
                      <w:lang w:val="es-ES"/>
                    </w:rPr>
                  </w:pPr>
                </w:p>
              </w:tc>
              <w:tc>
                <w:tcPr>
                  <w:tcW w:w="452" w:type="dxa"/>
                </w:tcPr>
                <w:p w14:paraId="3122F61A" w14:textId="77777777" w:rsidR="00F02AEB" w:rsidRPr="00C957F5" w:rsidRDefault="00F02AEB" w:rsidP="00F02AEB">
                  <w:pPr>
                    <w:pStyle w:val="BodyText31"/>
                    <w:rPr>
                      <w:rFonts w:cs="Arial"/>
                      <w:sz w:val="14"/>
                      <w:szCs w:val="14"/>
                      <w:lang w:val="es-ES"/>
                    </w:rPr>
                  </w:pPr>
                </w:p>
              </w:tc>
              <w:tc>
                <w:tcPr>
                  <w:tcW w:w="452" w:type="dxa"/>
                </w:tcPr>
                <w:p w14:paraId="25480CCD" w14:textId="77777777" w:rsidR="00F02AEB" w:rsidRPr="00C957F5" w:rsidRDefault="00F02AEB" w:rsidP="00F02AEB">
                  <w:pPr>
                    <w:pStyle w:val="BodyText31"/>
                    <w:rPr>
                      <w:rFonts w:cs="Arial"/>
                      <w:sz w:val="14"/>
                      <w:szCs w:val="14"/>
                      <w:lang w:val="es-ES"/>
                    </w:rPr>
                  </w:pPr>
                </w:p>
              </w:tc>
              <w:tc>
                <w:tcPr>
                  <w:tcW w:w="452" w:type="dxa"/>
                </w:tcPr>
                <w:p w14:paraId="581FE7A4" w14:textId="77777777" w:rsidR="00F02AEB" w:rsidRPr="00C957F5" w:rsidRDefault="00F02AEB" w:rsidP="00F02AEB">
                  <w:pPr>
                    <w:pStyle w:val="BodyText31"/>
                    <w:rPr>
                      <w:rFonts w:cs="Arial"/>
                      <w:sz w:val="14"/>
                      <w:szCs w:val="14"/>
                      <w:lang w:val="es-ES"/>
                    </w:rPr>
                  </w:pPr>
                </w:p>
              </w:tc>
              <w:tc>
                <w:tcPr>
                  <w:tcW w:w="1261" w:type="dxa"/>
                </w:tcPr>
                <w:p w14:paraId="5B06703E" w14:textId="77777777" w:rsidR="00F02AEB" w:rsidRPr="00C957F5" w:rsidRDefault="00F02AEB" w:rsidP="00F02AEB">
                  <w:pPr>
                    <w:pStyle w:val="BodyText31"/>
                    <w:rPr>
                      <w:rFonts w:cs="Arial"/>
                      <w:sz w:val="14"/>
                      <w:szCs w:val="14"/>
                      <w:lang w:val="es-ES"/>
                    </w:rPr>
                  </w:pPr>
                </w:p>
              </w:tc>
              <w:tc>
                <w:tcPr>
                  <w:tcW w:w="1484" w:type="dxa"/>
                </w:tcPr>
                <w:p w14:paraId="210CE96B" w14:textId="77777777" w:rsidR="00F02AEB" w:rsidRPr="00C957F5" w:rsidRDefault="00F02AEB" w:rsidP="00F02AEB">
                  <w:pPr>
                    <w:pStyle w:val="BodyText31"/>
                    <w:rPr>
                      <w:rFonts w:cs="Arial"/>
                      <w:sz w:val="14"/>
                      <w:szCs w:val="14"/>
                      <w:lang w:val="es-ES"/>
                    </w:rPr>
                  </w:pPr>
                </w:p>
              </w:tc>
              <w:tc>
                <w:tcPr>
                  <w:tcW w:w="452" w:type="dxa"/>
                </w:tcPr>
                <w:p w14:paraId="0763811F" w14:textId="77777777" w:rsidR="00F02AEB" w:rsidRPr="00C957F5" w:rsidRDefault="00F02AEB" w:rsidP="00F02AEB">
                  <w:pPr>
                    <w:pStyle w:val="BodyText31"/>
                    <w:rPr>
                      <w:rFonts w:cs="Arial"/>
                      <w:sz w:val="14"/>
                      <w:szCs w:val="14"/>
                      <w:lang w:val="es-ES"/>
                    </w:rPr>
                  </w:pPr>
                </w:p>
              </w:tc>
              <w:tc>
                <w:tcPr>
                  <w:tcW w:w="1584" w:type="dxa"/>
                </w:tcPr>
                <w:p w14:paraId="0F5D2E2C" w14:textId="77777777" w:rsidR="00F02AEB" w:rsidRPr="00C957F5" w:rsidRDefault="00F02AEB" w:rsidP="00F02AEB">
                  <w:pPr>
                    <w:pStyle w:val="BodyText31"/>
                    <w:rPr>
                      <w:rFonts w:cs="Arial"/>
                      <w:sz w:val="14"/>
                      <w:szCs w:val="14"/>
                      <w:lang w:val="es-ES"/>
                    </w:rPr>
                  </w:pPr>
                </w:p>
              </w:tc>
              <w:tc>
                <w:tcPr>
                  <w:tcW w:w="1095" w:type="dxa"/>
                </w:tcPr>
                <w:p w14:paraId="04C11266" w14:textId="77777777" w:rsidR="00F02AEB" w:rsidRPr="00C957F5" w:rsidRDefault="00F02AEB" w:rsidP="00F02AEB">
                  <w:pPr>
                    <w:pStyle w:val="BodyText31"/>
                    <w:rPr>
                      <w:rFonts w:cs="Arial"/>
                      <w:sz w:val="14"/>
                      <w:szCs w:val="14"/>
                      <w:lang w:val="es-ES"/>
                    </w:rPr>
                  </w:pPr>
                </w:p>
              </w:tc>
              <w:tc>
                <w:tcPr>
                  <w:tcW w:w="363" w:type="dxa"/>
                </w:tcPr>
                <w:p w14:paraId="7DEB804F" w14:textId="77777777" w:rsidR="00F02AEB" w:rsidRPr="00C957F5" w:rsidRDefault="00F02AEB" w:rsidP="00F02AEB">
                  <w:pPr>
                    <w:pStyle w:val="BodyText31"/>
                    <w:rPr>
                      <w:rFonts w:cs="Arial"/>
                      <w:sz w:val="14"/>
                      <w:szCs w:val="14"/>
                      <w:lang w:val="es-ES"/>
                    </w:rPr>
                  </w:pPr>
                  <w:r w:rsidRPr="00C957F5">
                    <w:rPr>
                      <w:rFonts w:cs="Arial"/>
                      <w:sz w:val="14"/>
                      <w:szCs w:val="14"/>
                      <w:lang w:val="es-ES"/>
                    </w:rPr>
                    <w:t xml:space="preserve">Como </w:t>
                  </w:r>
                </w:p>
              </w:tc>
              <w:tc>
                <w:tcPr>
                  <w:tcW w:w="1150" w:type="dxa"/>
                </w:tcPr>
                <w:p w14:paraId="4EA64BD0" w14:textId="77777777" w:rsidR="00F02AEB" w:rsidRPr="00C957F5" w:rsidRDefault="00F02AEB" w:rsidP="00F02AEB">
                  <w:pPr>
                    <w:pStyle w:val="BodyText31"/>
                    <w:rPr>
                      <w:rFonts w:cs="Arial"/>
                      <w:sz w:val="14"/>
                      <w:szCs w:val="14"/>
                      <w:lang w:val="es-ES"/>
                    </w:rPr>
                  </w:pPr>
                  <w:r w:rsidRPr="00C957F5">
                    <w:rPr>
                      <w:rFonts w:cs="Arial"/>
                      <w:sz w:val="14"/>
                      <w:szCs w:val="14"/>
                      <w:lang w:val="es-ES"/>
                    </w:rPr>
                    <w:t>Cuando</w:t>
                  </w:r>
                </w:p>
              </w:tc>
            </w:tr>
            <w:tr w:rsidR="00F02AEB" w:rsidRPr="00C957F5" w14:paraId="38F82911" w14:textId="77777777" w:rsidTr="00C36BFB">
              <w:trPr>
                <w:cantSplit/>
                <w:trHeight w:val="1677"/>
                <w:jc w:val="center"/>
              </w:trPr>
              <w:tc>
                <w:tcPr>
                  <w:tcW w:w="452" w:type="dxa"/>
                </w:tcPr>
                <w:p w14:paraId="7D3DFB4B" w14:textId="77777777" w:rsidR="00F02AEB" w:rsidRPr="00C957F5" w:rsidRDefault="00F02AEB" w:rsidP="00F02AEB">
                  <w:pPr>
                    <w:pStyle w:val="BodyText31"/>
                    <w:rPr>
                      <w:rFonts w:cs="Arial"/>
                      <w:sz w:val="14"/>
                      <w:szCs w:val="14"/>
                      <w:lang w:val="es-ES"/>
                    </w:rPr>
                  </w:pPr>
                </w:p>
                <w:p w14:paraId="4DDE71FE" w14:textId="77777777" w:rsidR="00F02AEB" w:rsidRPr="00C957F5" w:rsidRDefault="00F02AEB" w:rsidP="00F02AEB">
                  <w:pPr>
                    <w:pStyle w:val="BodyText31"/>
                    <w:rPr>
                      <w:rFonts w:cs="Arial"/>
                      <w:sz w:val="14"/>
                      <w:szCs w:val="14"/>
                      <w:lang w:val="es-ES"/>
                    </w:rPr>
                  </w:pPr>
                </w:p>
                <w:p w14:paraId="69C7FFF4" w14:textId="77777777" w:rsidR="00F02AEB" w:rsidRPr="00C957F5" w:rsidRDefault="00F02AEB" w:rsidP="00F02AEB">
                  <w:pPr>
                    <w:pStyle w:val="BodyText31"/>
                    <w:rPr>
                      <w:rFonts w:cs="Arial"/>
                      <w:sz w:val="14"/>
                      <w:szCs w:val="14"/>
                      <w:lang w:val="es-ES"/>
                    </w:rPr>
                  </w:pPr>
                </w:p>
                <w:p w14:paraId="38B315F3" w14:textId="77777777" w:rsidR="00F02AEB" w:rsidRPr="00C957F5" w:rsidRDefault="00F02AEB" w:rsidP="00F02AEB">
                  <w:pPr>
                    <w:pStyle w:val="BodyText31"/>
                    <w:rPr>
                      <w:rFonts w:cs="Arial"/>
                      <w:sz w:val="14"/>
                      <w:szCs w:val="14"/>
                      <w:lang w:val="es-ES"/>
                    </w:rPr>
                  </w:pPr>
                </w:p>
                <w:p w14:paraId="495DCABE" w14:textId="77777777" w:rsidR="00F02AEB" w:rsidRPr="00C957F5" w:rsidRDefault="00F02AEB" w:rsidP="00F02AEB">
                  <w:pPr>
                    <w:pStyle w:val="BodyText31"/>
                    <w:rPr>
                      <w:rFonts w:cs="Arial"/>
                      <w:sz w:val="14"/>
                      <w:szCs w:val="14"/>
                      <w:lang w:val="es-ES"/>
                    </w:rPr>
                  </w:pPr>
                  <w:r w:rsidRPr="00C957F5">
                    <w:rPr>
                      <w:rFonts w:cs="Arial"/>
                      <w:sz w:val="14"/>
                      <w:szCs w:val="14"/>
                      <w:lang w:val="es-ES"/>
                    </w:rPr>
                    <w:t>1</w:t>
                  </w:r>
                </w:p>
              </w:tc>
              <w:tc>
                <w:tcPr>
                  <w:tcW w:w="452" w:type="dxa"/>
                  <w:textDirection w:val="btLr"/>
                </w:tcPr>
                <w:p w14:paraId="2E37AF18"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General</w:t>
                  </w:r>
                </w:p>
              </w:tc>
              <w:tc>
                <w:tcPr>
                  <w:tcW w:w="452" w:type="dxa"/>
                  <w:textDirection w:val="btLr"/>
                </w:tcPr>
                <w:p w14:paraId="2944FDEB"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Extremo</w:t>
                  </w:r>
                </w:p>
              </w:tc>
              <w:tc>
                <w:tcPr>
                  <w:tcW w:w="452" w:type="dxa"/>
                  <w:textDirection w:val="btLr"/>
                </w:tcPr>
                <w:p w14:paraId="56CDDDD0"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Contractual</w:t>
                  </w:r>
                </w:p>
              </w:tc>
              <w:tc>
                <w:tcPr>
                  <w:tcW w:w="452" w:type="dxa"/>
                  <w:textDirection w:val="btLr"/>
                </w:tcPr>
                <w:p w14:paraId="32C34C4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Operacional</w:t>
                  </w:r>
                </w:p>
              </w:tc>
              <w:tc>
                <w:tcPr>
                  <w:tcW w:w="1261" w:type="dxa"/>
                </w:tcPr>
                <w:p w14:paraId="09531AB7" w14:textId="7F38FF5C" w:rsidR="00F02AEB" w:rsidRPr="00C957F5" w:rsidRDefault="00F02AEB" w:rsidP="003A1A45">
                  <w:pPr>
                    <w:pStyle w:val="BodyText31"/>
                    <w:rPr>
                      <w:rFonts w:cs="Arial"/>
                      <w:sz w:val="14"/>
                      <w:szCs w:val="14"/>
                      <w:lang w:val="es-ES"/>
                    </w:rPr>
                  </w:pPr>
                  <w:r w:rsidRPr="00C957F5">
                    <w:rPr>
                      <w:rFonts w:cs="Arial"/>
                      <w:sz w:val="14"/>
                      <w:szCs w:val="14"/>
                      <w:lang w:val="es-ES"/>
                    </w:rPr>
                    <w:t>A</w:t>
                  </w:r>
                  <w:r w:rsidR="003A1A45" w:rsidRPr="00C957F5">
                    <w:rPr>
                      <w:rFonts w:cs="Arial"/>
                      <w:sz w:val="14"/>
                      <w:szCs w:val="14"/>
                      <w:lang w:val="es-ES"/>
                    </w:rPr>
                    <w:t xml:space="preserve">dquisición </w:t>
                  </w:r>
                  <w:r w:rsidR="00725D21" w:rsidRPr="00C957F5">
                    <w:rPr>
                      <w:rFonts w:cs="Arial"/>
                      <w:sz w:val="14"/>
                      <w:szCs w:val="14"/>
                      <w:lang w:val="es-ES"/>
                    </w:rPr>
                    <w:t xml:space="preserve">tardía </w:t>
                  </w:r>
                  <w:r w:rsidR="001F16B3">
                    <w:rPr>
                      <w:rFonts w:cs="Arial"/>
                      <w:sz w:val="14"/>
                      <w:szCs w:val="14"/>
                      <w:lang w:val="es-ES"/>
                    </w:rPr>
                    <w:t>DE COMPUTADORES</w:t>
                  </w:r>
                </w:p>
              </w:tc>
              <w:tc>
                <w:tcPr>
                  <w:tcW w:w="1484" w:type="dxa"/>
                </w:tcPr>
                <w:p w14:paraId="543491CE" w14:textId="783832E3" w:rsidR="00F02AEB" w:rsidRPr="00C957F5" w:rsidRDefault="00F02AEB" w:rsidP="003A1A45">
                  <w:pPr>
                    <w:pStyle w:val="BodyText31"/>
                    <w:rPr>
                      <w:rFonts w:cs="Arial"/>
                      <w:sz w:val="14"/>
                      <w:szCs w:val="14"/>
                      <w:lang w:val="es-ES"/>
                    </w:rPr>
                  </w:pPr>
                  <w:r w:rsidRPr="00C957F5">
                    <w:rPr>
                      <w:rFonts w:cs="Arial"/>
                      <w:sz w:val="14"/>
                      <w:szCs w:val="14"/>
                      <w:lang w:val="es-ES"/>
                    </w:rPr>
                    <w:t xml:space="preserve">Recepción tardía </w:t>
                  </w:r>
                  <w:r w:rsidR="001F16B3">
                    <w:rPr>
                      <w:rFonts w:cs="Arial"/>
                      <w:sz w:val="14"/>
                      <w:szCs w:val="14"/>
                      <w:lang w:val="es-ES"/>
                    </w:rPr>
                    <w:t>DE COMPUTADORES</w:t>
                  </w:r>
                  <w:bookmarkStart w:id="1" w:name="_GoBack"/>
                  <w:bookmarkEnd w:id="1"/>
                </w:p>
              </w:tc>
              <w:tc>
                <w:tcPr>
                  <w:tcW w:w="452" w:type="dxa"/>
                  <w:textDirection w:val="btLr"/>
                </w:tcPr>
                <w:p w14:paraId="7FCA75E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Bajo</w:t>
                  </w:r>
                </w:p>
              </w:tc>
              <w:tc>
                <w:tcPr>
                  <w:tcW w:w="1584" w:type="dxa"/>
                </w:tcPr>
                <w:p w14:paraId="151B3375" w14:textId="77777777" w:rsidR="00F02AEB" w:rsidRPr="00C957F5" w:rsidRDefault="00F02AEB" w:rsidP="00F02AEB">
                  <w:pPr>
                    <w:pStyle w:val="BodyText31"/>
                    <w:rPr>
                      <w:rFonts w:cs="Arial"/>
                      <w:sz w:val="14"/>
                      <w:szCs w:val="14"/>
                      <w:lang w:val="es-ES"/>
                    </w:rPr>
                  </w:pPr>
                  <w:r w:rsidRPr="00C957F5">
                    <w:rPr>
                      <w:rFonts w:cs="Arial"/>
                      <w:sz w:val="14"/>
                      <w:szCs w:val="14"/>
                      <w:lang w:val="es-ES"/>
                    </w:rPr>
                    <w:t>Planeación Oportuna/ Seguimiento</w:t>
                  </w:r>
                </w:p>
              </w:tc>
              <w:tc>
                <w:tcPr>
                  <w:tcW w:w="1095" w:type="dxa"/>
                  <w:textDirection w:val="btLr"/>
                </w:tcPr>
                <w:p w14:paraId="4F91DD0E" w14:textId="77777777" w:rsidR="00F02AEB" w:rsidRPr="00C957F5" w:rsidRDefault="00F02AEB" w:rsidP="00F02AEB">
                  <w:pPr>
                    <w:pStyle w:val="BodyText31"/>
                    <w:ind w:left="113" w:right="113"/>
                    <w:rPr>
                      <w:rFonts w:cs="Arial"/>
                      <w:sz w:val="14"/>
                      <w:szCs w:val="14"/>
                      <w:lang w:val="es-ES"/>
                    </w:rPr>
                  </w:pPr>
                  <w:r w:rsidRPr="00C957F5">
                    <w:rPr>
                      <w:rFonts w:cs="Arial"/>
                      <w:sz w:val="14"/>
                      <w:szCs w:val="14"/>
                      <w:lang w:val="es-ES"/>
                    </w:rPr>
                    <w:t>Menor</w:t>
                  </w:r>
                </w:p>
              </w:tc>
              <w:tc>
                <w:tcPr>
                  <w:tcW w:w="363" w:type="dxa"/>
                </w:tcPr>
                <w:p w14:paraId="29DA3BDA" w14:textId="45B1E1A4" w:rsidR="00F02AEB" w:rsidRPr="00C957F5" w:rsidRDefault="00F02AEB" w:rsidP="00F02AEB">
                  <w:pPr>
                    <w:pStyle w:val="BodyText31"/>
                    <w:rPr>
                      <w:rFonts w:cs="Arial"/>
                      <w:sz w:val="14"/>
                      <w:szCs w:val="14"/>
                      <w:lang w:val="es-ES"/>
                    </w:rPr>
                  </w:pPr>
                  <w:r w:rsidRPr="00C957F5">
                    <w:rPr>
                      <w:rFonts w:cs="Arial"/>
                      <w:sz w:val="14"/>
                      <w:szCs w:val="14"/>
                      <w:lang w:val="es-ES"/>
                    </w:rPr>
                    <w:t>Reclamo de la DESAJ</w:t>
                  </w:r>
                  <w:r w:rsidR="00BA6E7D">
                    <w:rPr>
                      <w:rFonts w:cs="Arial"/>
                      <w:sz w:val="14"/>
                      <w:szCs w:val="14"/>
                      <w:lang w:val="es-ES"/>
                    </w:rPr>
                    <w:t xml:space="preserve"> ante </w:t>
                  </w:r>
                  <w:r w:rsidR="00825BC8">
                    <w:rPr>
                      <w:rFonts w:cs="Arial"/>
                      <w:sz w:val="14"/>
                      <w:szCs w:val="14"/>
                      <w:lang w:val="es-ES"/>
                    </w:rPr>
                    <w:t>el Portal de Contratación estatal Colombia Compra Eficiente.</w:t>
                  </w:r>
                </w:p>
              </w:tc>
              <w:tc>
                <w:tcPr>
                  <w:tcW w:w="1150" w:type="dxa"/>
                </w:tcPr>
                <w:p w14:paraId="3436E4E6" w14:textId="77777777" w:rsidR="00F02AEB" w:rsidRPr="00C957F5" w:rsidRDefault="00F02AEB" w:rsidP="00F02AEB">
                  <w:pPr>
                    <w:pStyle w:val="BodyText31"/>
                    <w:rPr>
                      <w:rFonts w:cs="Arial"/>
                      <w:sz w:val="14"/>
                      <w:szCs w:val="14"/>
                      <w:lang w:val="es-ES"/>
                    </w:rPr>
                  </w:pPr>
                  <w:r w:rsidRPr="00C957F5">
                    <w:rPr>
                      <w:rFonts w:cs="Arial"/>
                      <w:sz w:val="14"/>
                      <w:szCs w:val="14"/>
                      <w:lang w:val="es-ES"/>
                    </w:rPr>
                    <w:t>En la ocurrencia del evento</w:t>
                  </w:r>
                </w:p>
              </w:tc>
            </w:tr>
          </w:tbl>
          <w:p w14:paraId="76D4C3DB" w14:textId="77777777" w:rsidR="000B474C" w:rsidRDefault="000B474C" w:rsidP="00F02AEB">
            <w:pPr>
              <w:jc w:val="both"/>
              <w:rPr>
                <w:rFonts w:ascii="Arial" w:hAnsi="Arial" w:cs="Arial"/>
                <w:b/>
                <w:sz w:val="20"/>
                <w:szCs w:val="20"/>
              </w:rPr>
            </w:pPr>
          </w:p>
          <w:p w14:paraId="234C3F07" w14:textId="2C16840D" w:rsidR="00F02AEB" w:rsidRPr="00F66A2A" w:rsidRDefault="00F02AEB" w:rsidP="00F02AEB">
            <w:pPr>
              <w:jc w:val="both"/>
              <w:rPr>
                <w:rFonts w:ascii="Arial" w:hAnsi="Arial" w:cs="Arial"/>
                <w:sz w:val="20"/>
                <w:szCs w:val="20"/>
              </w:rPr>
            </w:pPr>
            <w:r w:rsidRPr="00F66A2A">
              <w:rPr>
                <w:rFonts w:ascii="Arial" w:hAnsi="Arial" w:cs="Arial"/>
                <w:b/>
                <w:sz w:val="20"/>
                <w:szCs w:val="20"/>
              </w:rPr>
              <w:t>RIESGO TECNICO ASIGNADOS AL CONTRATISTA</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 xml:space="preserve">El contratista asume bajo su responsabilidad y </w:t>
            </w:r>
            <w:r w:rsidR="00BD528E" w:rsidRPr="00F66A2A">
              <w:rPr>
                <w:rFonts w:ascii="Arial" w:hAnsi="Arial" w:cs="Arial"/>
                <w:sz w:val="20"/>
                <w:szCs w:val="20"/>
              </w:rPr>
              <w:t>autonomía la</w:t>
            </w:r>
            <w:r w:rsidRPr="00F66A2A">
              <w:rPr>
                <w:rFonts w:ascii="Arial" w:hAnsi="Arial" w:cs="Arial"/>
                <w:sz w:val="20"/>
                <w:szCs w:val="20"/>
              </w:rPr>
              <w:t xml:space="preserve"> cancelación de los elementos correspondientes al sistema </w:t>
            </w:r>
            <w:r w:rsidR="00807D21" w:rsidRPr="00F66A2A">
              <w:rPr>
                <w:rFonts w:ascii="Arial" w:hAnsi="Arial" w:cs="Arial"/>
                <w:sz w:val="20"/>
                <w:szCs w:val="20"/>
              </w:rPr>
              <w:t>de seguridad</w:t>
            </w:r>
            <w:r w:rsidRPr="00F66A2A">
              <w:rPr>
                <w:rFonts w:ascii="Arial" w:hAnsi="Arial" w:cs="Arial"/>
                <w:sz w:val="20"/>
                <w:szCs w:val="20"/>
              </w:rPr>
              <w:t xml:space="preserve"> social integral aportado en forma mensualizada y durante la duración del contrato en las correspondientes certificaciones, conforme a lo reglado por el artículo 41 de la Ley 80 de 1993, modificado por el artículo 31 de la Ley 1150 de 2007 y en concordancia con el Decreto 1082 de 2015.</w:t>
            </w:r>
          </w:p>
          <w:p w14:paraId="3F1ABED1" w14:textId="77777777" w:rsidR="00F02AEB" w:rsidRPr="00F66A2A" w:rsidRDefault="00F02AEB" w:rsidP="00F02AEB">
            <w:pPr>
              <w:jc w:val="both"/>
              <w:rPr>
                <w:rFonts w:ascii="Arial" w:hAnsi="Arial" w:cs="Arial"/>
                <w:sz w:val="20"/>
                <w:szCs w:val="20"/>
              </w:rPr>
            </w:pPr>
            <w:r w:rsidRPr="00F66A2A">
              <w:rPr>
                <w:rFonts w:ascii="Arial" w:hAnsi="Arial" w:cs="Arial"/>
                <w:sz w:val="20"/>
                <w:szCs w:val="20"/>
              </w:rPr>
              <w:t xml:space="preserve">El  no suministro por parte del proveedor, brindar la mejor alternativa para el transporte de los bienes, la entrega del elemento teniendo en cuenta su naturaleza en el sitio acordado, las restricciones de transporte que contempla la ley, y </w:t>
            </w:r>
            <w:r w:rsidRPr="00F66A2A">
              <w:rPr>
                <w:rFonts w:ascii="Arial" w:hAnsi="Arial" w:cs="Arial"/>
                <w:sz w:val="20"/>
                <w:szCs w:val="20"/>
              </w:rPr>
              <w:lastRenderedPageBreak/>
              <w:t>los demás aspectos que impidan la entrega oportuna de los bienes contratados en el tiempo estipulado en las condiciones descritas en el contrato, serán razones suficientes para hacer efectiva la póliza de cumplimiento, esto incluye que el contratista adjudicatario deberá soportar el 100% de todos los riesgos derivados del transporte del material y los seguros que desprendan por causa de robo, destrucción, perdida, deterioro o daños, de los bienes objeto del presente proceso de selección.</w:t>
            </w:r>
          </w:p>
          <w:p w14:paraId="00173883" w14:textId="77777777" w:rsidR="00F02AEB" w:rsidRPr="00F66A2A" w:rsidRDefault="00F02AEB" w:rsidP="00F02AEB">
            <w:pPr>
              <w:jc w:val="both"/>
              <w:rPr>
                <w:rFonts w:ascii="Arial" w:hAnsi="Arial" w:cs="Arial"/>
                <w:sz w:val="20"/>
                <w:szCs w:val="20"/>
              </w:rPr>
            </w:pPr>
            <w:r w:rsidRPr="00F66A2A">
              <w:rPr>
                <w:rFonts w:ascii="Arial" w:hAnsi="Arial" w:cs="Arial"/>
                <w:b/>
                <w:sz w:val="20"/>
                <w:szCs w:val="20"/>
              </w:rPr>
              <w:t>RIESGO ECONOMICO ASUMIDO POR EL CONTRATISTA</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El riesgo que genere el transporte de los bienes objeto del contrato que se derive del presente proceso de selección hasta el lugar de entrega, así mismo como el pago de las primas de los seguros de transporte por robo, destrucción perdida de los mismos, serán asumidos por cuenta y riesgo del contratista y a favor de la Dirección Seccional de Administración Judicial de Barranquilla- Atlántico.</w:t>
            </w:r>
          </w:p>
          <w:p w14:paraId="15DFB23D" w14:textId="5F2B29AD" w:rsidR="00E22AA1" w:rsidRPr="005240E0" w:rsidRDefault="00F02AEB" w:rsidP="008E6068">
            <w:pPr>
              <w:jc w:val="both"/>
              <w:rPr>
                <w:rFonts w:ascii="Arial" w:hAnsi="Arial" w:cs="Arial"/>
                <w:sz w:val="20"/>
                <w:szCs w:val="20"/>
              </w:rPr>
            </w:pPr>
            <w:r w:rsidRPr="00F66A2A">
              <w:rPr>
                <w:rFonts w:ascii="Arial" w:hAnsi="Arial" w:cs="Arial"/>
                <w:b/>
                <w:sz w:val="20"/>
                <w:szCs w:val="20"/>
              </w:rPr>
              <w:t>RIESGOS JURIDICOS ASIGNADOS A LA ADMINISTRACION</w:t>
            </w:r>
            <w:r>
              <w:rPr>
                <w:rFonts w:ascii="Arial" w:hAnsi="Arial" w:cs="Arial"/>
                <w:b/>
                <w:sz w:val="20"/>
                <w:szCs w:val="20"/>
              </w:rPr>
              <w:t>:</w:t>
            </w:r>
            <w:r w:rsidR="007D5F0D">
              <w:rPr>
                <w:rFonts w:ascii="Arial" w:hAnsi="Arial" w:cs="Arial"/>
                <w:b/>
                <w:sz w:val="20"/>
                <w:szCs w:val="20"/>
              </w:rPr>
              <w:t xml:space="preserve"> </w:t>
            </w:r>
            <w:r w:rsidRPr="00F66A2A">
              <w:rPr>
                <w:rFonts w:ascii="Arial" w:hAnsi="Arial" w:cs="Arial"/>
                <w:sz w:val="20"/>
                <w:szCs w:val="20"/>
              </w:rPr>
              <w:t xml:space="preserve">Las partes no serán responsables ni se considera que han incurrido en incumplimiento de </w:t>
            </w:r>
            <w:r w:rsidR="00A41CB4" w:rsidRPr="00F66A2A">
              <w:rPr>
                <w:rFonts w:ascii="Arial" w:hAnsi="Arial" w:cs="Arial"/>
                <w:sz w:val="20"/>
                <w:szCs w:val="20"/>
              </w:rPr>
              <w:t>su obligación recíprocamente adquirida</w:t>
            </w:r>
            <w:r w:rsidRPr="00F66A2A">
              <w:rPr>
                <w:rFonts w:ascii="Arial" w:hAnsi="Arial" w:cs="Arial"/>
                <w:sz w:val="20"/>
                <w:szCs w:val="20"/>
              </w:rPr>
              <w:t xml:space="preserve">, si se presentaren durante su ejecución circunstancia de fuerza mayor o caso fortuito de conformidad con las definiciones del artículo 1º. El Contratista se obliga a notificar por escrito a la Dirección Seccional de Administración Judicial de Barranquilla- Atlántico las circunstancias de fuerza mayor o caso fortuito acompañando la exposición de los motivos correspondientes. Tal notificación se </w:t>
            </w:r>
            <w:r w:rsidR="001E2227" w:rsidRPr="00F66A2A">
              <w:rPr>
                <w:rFonts w:ascii="Arial" w:hAnsi="Arial" w:cs="Arial"/>
                <w:sz w:val="20"/>
                <w:szCs w:val="20"/>
              </w:rPr>
              <w:t>representará</w:t>
            </w:r>
            <w:r w:rsidRPr="00F66A2A">
              <w:rPr>
                <w:rFonts w:ascii="Arial" w:hAnsi="Arial" w:cs="Arial"/>
                <w:sz w:val="20"/>
                <w:szCs w:val="20"/>
              </w:rPr>
              <w:t xml:space="preserve"> a la Dirección Seccional de Administración Judicial de Barranquilla- Atlántico dentro de los cinco (5) días hábiles siguientes a la ocurrencia de las posibles causas de demora así mismo el CONTRATISTA </w:t>
            </w:r>
            <w:r w:rsidR="001E2227" w:rsidRPr="00F66A2A">
              <w:rPr>
                <w:rFonts w:ascii="Arial" w:hAnsi="Arial" w:cs="Arial"/>
                <w:sz w:val="20"/>
                <w:szCs w:val="20"/>
              </w:rPr>
              <w:t>acompañará a</w:t>
            </w:r>
            <w:r w:rsidRPr="00F66A2A">
              <w:rPr>
                <w:rFonts w:ascii="Arial" w:hAnsi="Arial" w:cs="Arial"/>
                <w:sz w:val="20"/>
                <w:szCs w:val="20"/>
              </w:rPr>
              <w:t xml:space="preserve"> la mencionada notificación todos los documentos de soporte debidamente legalizados que acrediten o justifiquen la demora ocasionada por fuerza mayor o caso fortuito, manifestando el tiempo dentro del cual cumplirá su obligación. En caso de </w:t>
            </w:r>
            <w:r w:rsidR="001E2227" w:rsidRPr="00F66A2A">
              <w:rPr>
                <w:rFonts w:ascii="Arial" w:hAnsi="Arial" w:cs="Arial"/>
                <w:sz w:val="20"/>
                <w:szCs w:val="20"/>
              </w:rPr>
              <w:t>persistencia la</w:t>
            </w:r>
            <w:r w:rsidRPr="00F66A2A">
              <w:rPr>
                <w:rFonts w:ascii="Arial" w:hAnsi="Arial" w:cs="Arial"/>
                <w:sz w:val="20"/>
                <w:szCs w:val="20"/>
              </w:rPr>
              <w:t xml:space="preserve"> causal o causales de fuerza mayor o caso fortuito. EL CONTRATISTA informará por escrito a la Dirección Seccional de Administración Judicial de Barranquilla- Atlántico dicha circunstancia o circunstancias  cada quince (15) días calendario hasta por un término de máximo de sesenta (60) días calendarios; vencidos  los cuales la Dirección Seccional de Administración Judicial de Barranquilla- Atlántico podrá dar por terminado el contrato por medio un acto administrativo, el cual será notificado al CONTRATISTA sin que haya lugar a una sanción alguna para este. Cuando las circunstancias de fuerza mayor o caso fortuito debidamente comprobadas no excedieren de sesenta (60) días, se levantará un acta suscrita por las partes contratantes con el fin de suspender los términos del contrato.  Desaparecida las partes contratantes con el fin de suspender los términos del contrato y desaparecida la cláusula de fuerza mayor o caso fortuito, se reiniciará la ejecución del contrato mediante acta suscrita entre las partes, evento en el cual el CONTRATISTA se obliga a prorrogar finalmente la videncia de la garantía única que ampara el contrato.</w:t>
            </w:r>
          </w:p>
        </w:tc>
      </w:tr>
      <w:tr w:rsidR="00082798" w:rsidRPr="000F083E" w14:paraId="59616355" w14:textId="77777777" w:rsidTr="00894086">
        <w:trPr>
          <w:trHeight w:val="450"/>
        </w:trPr>
        <w:tc>
          <w:tcPr>
            <w:tcW w:w="5000" w:type="pct"/>
            <w:gridSpan w:val="4"/>
            <w:shd w:val="clear" w:color="auto" w:fill="B8CCE4" w:themeFill="accent1" w:themeFillTint="66"/>
          </w:tcPr>
          <w:p w14:paraId="52E29455" w14:textId="77777777" w:rsidR="00F13DD3" w:rsidRPr="000F083E" w:rsidRDefault="00831705" w:rsidP="00EA1A9F">
            <w:pPr>
              <w:jc w:val="both"/>
              <w:rPr>
                <w:rFonts w:ascii="Arial" w:hAnsi="Arial" w:cs="Arial"/>
                <w:b/>
                <w:sz w:val="20"/>
                <w:szCs w:val="20"/>
              </w:rPr>
            </w:pPr>
            <w:r w:rsidRPr="000F083E">
              <w:rPr>
                <w:rFonts w:ascii="Arial" w:hAnsi="Arial" w:cs="Arial"/>
                <w:b/>
                <w:sz w:val="20"/>
                <w:szCs w:val="20"/>
              </w:rPr>
              <w:lastRenderedPageBreak/>
              <w:t>9</w:t>
            </w:r>
            <w:r w:rsidR="00082798" w:rsidRPr="000F083E">
              <w:rPr>
                <w:rFonts w:ascii="Arial" w:hAnsi="Arial" w:cs="Arial"/>
                <w:b/>
                <w:sz w:val="20"/>
                <w:szCs w:val="20"/>
              </w:rPr>
              <w:t xml:space="preserve">. </w:t>
            </w:r>
            <w:r w:rsidR="00082798" w:rsidRPr="000F083E">
              <w:rPr>
                <w:rFonts w:ascii="Arial" w:hAnsi="Arial" w:cs="Arial"/>
                <w:b/>
                <w:bCs/>
                <w:sz w:val="20"/>
                <w:szCs w:val="20"/>
                <w:lang w:eastAsia="ar-SA"/>
              </w:rPr>
              <w:t>GARANTÍAS</w:t>
            </w:r>
          </w:p>
        </w:tc>
      </w:tr>
      <w:tr w:rsidR="00F13DD3" w:rsidRPr="000F083E" w14:paraId="342830C5" w14:textId="77777777" w:rsidTr="00894086">
        <w:trPr>
          <w:trHeight w:val="1698"/>
        </w:trPr>
        <w:tc>
          <w:tcPr>
            <w:tcW w:w="5000" w:type="pct"/>
            <w:gridSpan w:val="4"/>
          </w:tcPr>
          <w:p w14:paraId="082CA7A6" w14:textId="77777777" w:rsidR="00680560" w:rsidRPr="000F083E" w:rsidRDefault="00EA5C73" w:rsidP="007D5F0D">
            <w:pPr>
              <w:jc w:val="both"/>
              <w:rPr>
                <w:rFonts w:ascii="Arial" w:hAnsi="Arial" w:cs="Arial"/>
                <w:b/>
                <w:sz w:val="20"/>
                <w:szCs w:val="20"/>
              </w:rPr>
            </w:pPr>
            <w:r w:rsidRPr="000F083E">
              <w:rPr>
                <w:rFonts w:ascii="Arial" w:hAnsi="Arial" w:cs="Arial"/>
                <w:sz w:val="20"/>
                <w:szCs w:val="20"/>
              </w:rPr>
              <w:t xml:space="preserve">De conformidad con </w:t>
            </w:r>
            <w:r w:rsidR="005240E0" w:rsidRPr="005240E0">
              <w:rPr>
                <w:rFonts w:ascii="Arial" w:hAnsi="Arial" w:cs="Arial"/>
                <w:sz w:val="20"/>
                <w:szCs w:val="20"/>
              </w:rPr>
              <w:t>lo estipulado</w:t>
            </w:r>
            <w:r w:rsidR="005240E0">
              <w:rPr>
                <w:rFonts w:ascii="Arial" w:hAnsi="Arial" w:cs="Arial"/>
                <w:sz w:val="20"/>
                <w:szCs w:val="20"/>
              </w:rPr>
              <w:t xml:space="preserve"> en</w:t>
            </w:r>
            <w:r w:rsidR="005240E0" w:rsidRPr="005240E0">
              <w:rPr>
                <w:rFonts w:ascii="Arial" w:hAnsi="Arial" w:cs="Arial"/>
                <w:sz w:val="20"/>
                <w:szCs w:val="20"/>
              </w:rPr>
              <w:t xml:space="preserve"> la </w:t>
            </w:r>
            <w:r w:rsidR="005240E0" w:rsidRPr="005240E0">
              <w:rPr>
                <w:rFonts w:ascii="Arial" w:hAnsi="Arial" w:cs="Arial"/>
                <w:b/>
                <w:sz w:val="20"/>
                <w:szCs w:val="20"/>
              </w:rPr>
              <w:t>Cláusula X. Procesos y Reglas de Contratación con Gran Almacén en la TVEC, literal I, Garantías.</w:t>
            </w:r>
            <w:r w:rsidR="005240E0" w:rsidRPr="005240E0">
              <w:rPr>
                <w:rFonts w:ascii="Arial" w:hAnsi="Arial" w:cs="Arial"/>
                <w:sz w:val="20"/>
                <w:szCs w:val="20"/>
              </w:rPr>
              <w:t xml:space="preserve"> “</w:t>
            </w:r>
            <w:r w:rsidR="005240E0" w:rsidRPr="005240E0">
              <w:rPr>
                <w:rFonts w:ascii="Arial" w:hAnsi="Arial" w:cs="Arial"/>
                <w:i/>
                <w:sz w:val="20"/>
                <w:szCs w:val="20"/>
              </w:rPr>
              <w:t>Los bienes objeto de la Orden de Compra a favor del Gran Almacén están amparados por la garantía legal a que se refiere el Capítulo I del Título III de la Ley 1480 de 2011 y el Capítulo II del Decreto 735 de 2013. Cuando la Entidad Compradora decide comprar bienes del Catálogo del Gran Almacén en la TVEC no puede exigir garantías adicionales a las previstas en la Ley 1480 de 2011, sin perjuicio de que adelante Procesos de Contratación con los Grandes Almacenes por fuera de la TVEC en los cuales requiera garantías adicionales</w:t>
            </w:r>
            <w:r w:rsidR="005240E0" w:rsidRPr="005240E0">
              <w:rPr>
                <w:rFonts w:ascii="Arial" w:hAnsi="Arial" w:cs="Arial"/>
                <w:sz w:val="20"/>
                <w:szCs w:val="20"/>
              </w:rPr>
              <w:t>.”</w:t>
            </w:r>
          </w:p>
        </w:tc>
      </w:tr>
      <w:tr w:rsidR="00962D27" w:rsidRPr="000F083E" w14:paraId="3190265A" w14:textId="77777777" w:rsidTr="00894086">
        <w:trPr>
          <w:trHeight w:val="478"/>
        </w:trPr>
        <w:tc>
          <w:tcPr>
            <w:tcW w:w="5000" w:type="pct"/>
            <w:gridSpan w:val="4"/>
            <w:shd w:val="clear" w:color="auto" w:fill="B8CCE4" w:themeFill="accent1" w:themeFillTint="66"/>
          </w:tcPr>
          <w:p w14:paraId="04E3C884" w14:textId="77777777" w:rsidR="00962D27" w:rsidRPr="000F083E" w:rsidRDefault="00831705" w:rsidP="00EA1A9F">
            <w:pPr>
              <w:jc w:val="both"/>
              <w:rPr>
                <w:rFonts w:ascii="Arial" w:hAnsi="Arial" w:cs="Arial"/>
                <w:b/>
                <w:sz w:val="20"/>
                <w:szCs w:val="20"/>
              </w:rPr>
            </w:pPr>
            <w:r w:rsidRPr="000F083E">
              <w:rPr>
                <w:rFonts w:ascii="Arial" w:hAnsi="Arial" w:cs="Arial"/>
                <w:b/>
                <w:sz w:val="20"/>
                <w:szCs w:val="20"/>
              </w:rPr>
              <w:t>10</w:t>
            </w:r>
            <w:r w:rsidR="00962D27" w:rsidRPr="000F083E">
              <w:rPr>
                <w:rFonts w:ascii="Arial" w:hAnsi="Arial" w:cs="Arial"/>
                <w:b/>
                <w:sz w:val="20"/>
                <w:szCs w:val="20"/>
              </w:rPr>
              <w:t>. SUPERVISIÓN Y/O SUPERVISIÓN DEL CONTRATO</w:t>
            </w:r>
          </w:p>
        </w:tc>
      </w:tr>
      <w:tr w:rsidR="002A5BBD" w:rsidRPr="000F083E" w14:paraId="0A583B15" w14:textId="77777777" w:rsidTr="00A3685D">
        <w:trPr>
          <w:trHeight w:val="634"/>
        </w:trPr>
        <w:tc>
          <w:tcPr>
            <w:tcW w:w="1502" w:type="pct"/>
            <w:vMerge w:val="restart"/>
          </w:tcPr>
          <w:p w14:paraId="021C1F98" w14:textId="77777777" w:rsidR="00962D27" w:rsidRPr="000F083E" w:rsidRDefault="00962D27" w:rsidP="00EA1A9F">
            <w:pPr>
              <w:jc w:val="both"/>
              <w:rPr>
                <w:rFonts w:ascii="Arial" w:hAnsi="Arial" w:cs="Arial"/>
                <w:b/>
                <w:sz w:val="20"/>
                <w:szCs w:val="20"/>
              </w:rPr>
            </w:pPr>
            <w:r w:rsidRPr="000F083E">
              <w:rPr>
                <w:rFonts w:ascii="Arial" w:hAnsi="Arial" w:cs="Arial"/>
                <w:b/>
                <w:bCs/>
                <w:sz w:val="20"/>
                <w:szCs w:val="20"/>
              </w:rPr>
              <w:t>1</w:t>
            </w:r>
            <w:r w:rsidR="00831705" w:rsidRPr="000F083E">
              <w:rPr>
                <w:rFonts w:ascii="Arial" w:hAnsi="Arial" w:cs="Arial"/>
                <w:b/>
                <w:bCs/>
                <w:sz w:val="20"/>
                <w:szCs w:val="20"/>
              </w:rPr>
              <w:t>0</w:t>
            </w:r>
            <w:r w:rsidRPr="000F083E">
              <w:rPr>
                <w:rFonts w:ascii="Arial" w:hAnsi="Arial" w:cs="Arial"/>
                <w:b/>
                <w:bCs/>
                <w:sz w:val="20"/>
                <w:szCs w:val="20"/>
              </w:rPr>
              <w:t>.1. SUPERVISIÓN</w:t>
            </w:r>
          </w:p>
          <w:p w14:paraId="0BF4B5FB" w14:textId="77777777" w:rsidR="00962D27" w:rsidRPr="000F083E" w:rsidRDefault="00962D27" w:rsidP="00EA1A9F">
            <w:pPr>
              <w:jc w:val="both"/>
              <w:rPr>
                <w:rFonts w:ascii="Arial" w:hAnsi="Arial" w:cs="Arial"/>
                <w:b/>
                <w:sz w:val="20"/>
                <w:szCs w:val="20"/>
              </w:rPr>
            </w:pPr>
          </w:p>
          <w:p w14:paraId="45F614A9" w14:textId="77777777" w:rsidR="00962D27" w:rsidRPr="000F083E" w:rsidRDefault="00962D27" w:rsidP="00EA1A9F">
            <w:pPr>
              <w:jc w:val="both"/>
              <w:rPr>
                <w:rFonts w:ascii="Arial" w:hAnsi="Arial" w:cs="Arial"/>
                <w:b/>
                <w:sz w:val="20"/>
                <w:szCs w:val="20"/>
              </w:rPr>
            </w:pPr>
          </w:p>
          <w:p w14:paraId="0C8363E4" w14:textId="77777777" w:rsidR="00962D27" w:rsidRPr="000F083E" w:rsidRDefault="00962D27" w:rsidP="00EA1A9F">
            <w:pPr>
              <w:jc w:val="both"/>
              <w:rPr>
                <w:rFonts w:ascii="Arial" w:hAnsi="Arial" w:cs="Arial"/>
                <w:b/>
                <w:sz w:val="20"/>
                <w:szCs w:val="20"/>
              </w:rPr>
            </w:pPr>
          </w:p>
          <w:p w14:paraId="279BD77B" w14:textId="77777777" w:rsidR="00962D27" w:rsidRPr="000F083E" w:rsidRDefault="00962D27" w:rsidP="00EA1A9F">
            <w:pPr>
              <w:jc w:val="both"/>
              <w:rPr>
                <w:rFonts w:ascii="Arial" w:hAnsi="Arial" w:cs="Arial"/>
                <w:b/>
                <w:sz w:val="20"/>
                <w:szCs w:val="20"/>
              </w:rPr>
            </w:pPr>
          </w:p>
          <w:p w14:paraId="20A63F42" w14:textId="77777777" w:rsidR="00962D27" w:rsidRPr="000F083E" w:rsidRDefault="00962D27" w:rsidP="00EA1A9F">
            <w:pPr>
              <w:jc w:val="both"/>
              <w:rPr>
                <w:rFonts w:ascii="Arial" w:hAnsi="Arial" w:cs="Arial"/>
                <w:b/>
                <w:sz w:val="20"/>
                <w:szCs w:val="20"/>
              </w:rPr>
            </w:pPr>
          </w:p>
        </w:tc>
        <w:tc>
          <w:tcPr>
            <w:tcW w:w="677" w:type="pct"/>
          </w:tcPr>
          <w:p w14:paraId="24D59BF2" w14:textId="77777777" w:rsidR="00962D27" w:rsidRPr="000F083E" w:rsidRDefault="00962D27" w:rsidP="00EA1A9F">
            <w:pPr>
              <w:rPr>
                <w:rFonts w:ascii="Arial" w:hAnsi="Arial" w:cs="Arial"/>
                <w:sz w:val="20"/>
                <w:szCs w:val="20"/>
              </w:rPr>
            </w:pPr>
            <w:r w:rsidRPr="000F083E">
              <w:rPr>
                <w:rFonts w:ascii="Arial" w:hAnsi="Arial" w:cs="Arial"/>
                <w:sz w:val="20"/>
                <w:szCs w:val="20"/>
              </w:rPr>
              <w:t>Nombre del funcionario:</w:t>
            </w:r>
          </w:p>
        </w:tc>
        <w:tc>
          <w:tcPr>
            <w:tcW w:w="2821" w:type="pct"/>
            <w:gridSpan w:val="2"/>
            <w:vAlign w:val="center"/>
          </w:tcPr>
          <w:p w14:paraId="31CC6C01" w14:textId="073C33FF" w:rsidR="00962D27" w:rsidRPr="000F083E" w:rsidRDefault="002A4576" w:rsidP="00EA1A9F">
            <w:pPr>
              <w:rPr>
                <w:rFonts w:ascii="Arial" w:hAnsi="Arial" w:cs="Arial"/>
                <w:b/>
                <w:sz w:val="20"/>
                <w:szCs w:val="20"/>
              </w:rPr>
            </w:pPr>
            <w:r>
              <w:rPr>
                <w:rFonts w:ascii="Arial" w:hAnsi="Arial" w:cs="Arial"/>
                <w:sz w:val="20"/>
                <w:szCs w:val="20"/>
              </w:rPr>
              <w:t>ALFREDO RAFAEL HADECHNI MUNIVE</w:t>
            </w:r>
          </w:p>
        </w:tc>
      </w:tr>
      <w:tr w:rsidR="002A5BBD" w:rsidRPr="000F083E" w14:paraId="2FAF825C" w14:textId="77777777" w:rsidTr="00A3685D">
        <w:trPr>
          <w:trHeight w:val="520"/>
        </w:trPr>
        <w:tc>
          <w:tcPr>
            <w:tcW w:w="1502" w:type="pct"/>
            <w:vMerge/>
          </w:tcPr>
          <w:p w14:paraId="75DF4A80" w14:textId="77777777" w:rsidR="00962D27" w:rsidRPr="000F083E" w:rsidRDefault="00962D27" w:rsidP="00EA1A9F">
            <w:pPr>
              <w:jc w:val="both"/>
              <w:rPr>
                <w:rFonts w:ascii="Arial" w:hAnsi="Arial" w:cs="Arial"/>
                <w:b/>
                <w:bCs/>
                <w:sz w:val="20"/>
                <w:szCs w:val="20"/>
              </w:rPr>
            </w:pPr>
          </w:p>
        </w:tc>
        <w:tc>
          <w:tcPr>
            <w:tcW w:w="677" w:type="pct"/>
          </w:tcPr>
          <w:p w14:paraId="123A0158" w14:textId="77777777" w:rsidR="00962D27" w:rsidRPr="000F083E" w:rsidRDefault="00962D27" w:rsidP="00EA1A9F">
            <w:pPr>
              <w:rPr>
                <w:rFonts w:ascii="Arial" w:hAnsi="Arial" w:cs="Arial"/>
                <w:sz w:val="20"/>
                <w:szCs w:val="20"/>
              </w:rPr>
            </w:pPr>
            <w:r w:rsidRPr="000F083E">
              <w:rPr>
                <w:rFonts w:ascii="Arial" w:hAnsi="Arial" w:cs="Arial"/>
                <w:sz w:val="20"/>
                <w:szCs w:val="20"/>
              </w:rPr>
              <w:t>Identificación del funcionario:</w:t>
            </w:r>
          </w:p>
        </w:tc>
        <w:tc>
          <w:tcPr>
            <w:tcW w:w="2821" w:type="pct"/>
            <w:gridSpan w:val="2"/>
            <w:vAlign w:val="center"/>
          </w:tcPr>
          <w:p w14:paraId="565255B9" w14:textId="5A677887" w:rsidR="00962D27" w:rsidRPr="000F083E" w:rsidRDefault="00A27F4B" w:rsidP="00EA1A9F">
            <w:pPr>
              <w:jc w:val="both"/>
              <w:rPr>
                <w:rFonts w:ascii="Arial" w:hAnsi="Arial" w:cs="Arial"/>
                <w:sz w:val="20"/>
                <w:szCs w:val="20"/>
              </w:rPr>
            </w:pPr>
            <w:r w:rsidRPr="000F083E">
              <w:rPr>
                <w:rFonts w:ascii="Arial" w:hAnsi="Arial" w:cs="Arial"/>
                <w:sz w:val="20"/>
                <w:szCs w:val="20"/>
              </w:rPr>
              <w:t xml:space="preserve">C.C. </w:t>
            </w:r>
            <w:r w:rsidR="002A4576">
              <w:rPr>
                <w:rFonts w:ascii="Arial" w:hAnsi="Arial" w:cs="Arial"/>
                <w:sz w:val="20"/>
                <w:szCs w:val="20"/>
              </w:rPr>
              <w:t>72.293.509</w:t>
            </w:r>
          </w:p>
        </w:tc>
      </w:tr>
      <w:tr w:rsidR="002A5BBD" w:rsidRPr="000F083E" w14:paraId="3FC38FF9" w14:textId="77777777" w:rsidTr="00A3685D">
        <w:trPr>
          <w:trHeight w:val="377"/>
        </w:trPr>
        <w:tc>
          <w:tcPr>
            <w:tcW w:w="1502" w:type="pct"/>
            <w:vMerge/>
          </w:tcPr>
          <w:p w14:paraId="7B28C954" w14:textId="77777777" w:rsidR="00962D27" w:rsidRPr="000F083E" w:rsidRDefault="00962D27" w:rsidP="00EA1A9F">
            <w:pPr>
              <w:jc w:val="both"/>
              <w:rPr>
                <w:rFonts w:ascii="Arial" w:hAnsi="Arial" w:cs="Arial"/>
                <w:b/>
                <w:bCs/>
                <w:sz w:val="20"/>
                <w:szCs w:val="20"/>
              </w:rPr>
            </w:pPr>
          </w:p>
        </w:tc>
        <w:tc>
          <w:tcPr>
            <w:tcW w:w="677" w:type="pct"/>
          </w:tcPr>
          <w:p w14:paraId="66C08769" w14:textId="77777777" w:rsidR="00962D27" w:rsidRPr="000F083E" w:rsidRDefault="00962D27" w:rsidP="00EA1A9F">
            <w:pPr>
              <w:rPr>
                <w:rFonts w:ascii="Arial" w:hAnsi="Arial" w:cs="Arial"/>
                <w:sz w:val="20"/>
                <w:szCs w:val="20"/>
              </w:rPr>
            </w:pPr>
            <w:r w:rsidRPr="000F083E">
              <w:rPr>
                <w:rFonts w:ascii="Arial" w:hAnsi="Arial" w:cs="Arial"/>
                <w:sz w:val="20"/>
                <w:szCs w:val="20"/>
              </w:rPr>
              <w:t>Cargo:</w:t>
            </w:r>
          </w:p>
        </w:tc>
        <w:tc>
          <w:tcPr>
            <w:tcW w:w="2821" w:type="pct"/>
            <w:gridSpan w:val="2"/>
          </w:tcPr>
          <w:p w14:paraId="0317B691" w14:textId="4E87CAC7" w:rsidR="00962D27" w:rsidRPr="000F083E" w:rsidRDefault="00962D27" w:rsidP="00EA1A9F">
            <w:pPr>
              <w:rPr>
                <w:rFonts w:ascii="Arial" w:hAnsi="Arial" w:cs="Arial"/>
                <w:sz w:val="20"/>
                <w:szCs w:val="20"/>
              </w:rPr>
            </w:pPr>
            <w:r w:rsidRPr="000F083E">
              <w:rPr>
                <w:rFonts w:ascii="Arial" w:hAnsi="Arial" w:cs="Arial"/>
                <w:sz w:val="20"/>
                <w:szCs w:val="20"/>
              </w:rPr>
              <w:t>Profesional Universitario Grado 11</w:t>
            </w:r>
            <w:r w:rsidR="003822B8">
              <w:rPr>
                <w:rFonts w:ascii="Arial" w:hAnsi="Arial" w:cs="Arial"/>
                <w:sz w:val="20"/>
                <w:szCs w:val="20"/>
              </w:rPr>
              <w:t xml:space="preserve"> </w:t>
            </w:r>
          </w:p>
        </w:tc>
      </w:tr>
      <w:tr w:rsidR="002A5BBD" w:rsidRPr="000F083E" w14:paraId="2D394FCB" w14:textId="77777777" w:rsidTr="00A3685D">
        <w:trPr>
          <w:trHeight w:val="500"/>
        </w:trPr>
        <w:tc>
          <w:tcPr>
            <w:tcW w:w="1502" w:type="pct"/>
            <w:vMerge/>
          </w:tcPr>
          <w:p w14:paraId="4C771F3F" w14:textId="77777777" w:rsidR="00962D27" w:rsidRPr="000F083E" w:rsidRDefault="00962D27" w:rsidP="00EA1A9F">
            <w:pPr>
              <w:jc w:val="both"/>
              <w:rPr>
                <w:rFonts w:ascii="Arial" w:hAnsi="Arial" w:cs="Arial"/>
                <w:b/>
                <w:bCs/>
                <w:sz w:val="20"/>
                <w:szCs w:val="20"/>
              </w:rPr>
            </w:pPr>
          </w:p>
        </w:tc>
        <w:tc>
          <w:tcPr>
            <w:tcW w:w="677" w:type="pct"/>
            <w:vAlign w:val="center"/>
          </w:tcPr>
          <w:p w14:paraId="10F691ED" w14:textId="77777777" w:rsidR="00962D27" w:rsidRPr="000F083E" w:rsidRDefault="00962D27" w:rsidP="00EA1A9F">
            <w:pPr>
              <w:suppressAutoHyphens/>
              <w:rPr>
                <w:rFonts w:ascii="Arial" w:hAnsi="Arial" w:cs="Arial"/>
                <w:sz w:val="20"/>
                <w:szCs w:val="20"/>
              </w:rPr>
            </w:pPr>
            <w:r w:rsidRPr="000F083E">
              <w:rPr>
                <w:rFonts w:ascii="Arial" w:hAnsi="Arial" w:cs="Arial"/>
                <w:sz w:val="20"/>
                <w:szCs w:val="20"/>
              </w:rPr>
              <w:t>Dependencia:</w:t>
            </w:r>
          </w:p>
        </w:tc>
        <w:tc>
          <w:tcPr>
            <w:tcW w:w="2821" w:type="pct"/>
            <w:gridSpan w:val="2"/>
            <w:vAlign w:val="center"/>
          </w:tcPr>
          <w:p w14:paraId="5E48E300" w14:textId="4AC81890" w:rsidR="00962D27" w:rsidRPr="000F083E" w:rsidRDefault="00CB0B22" w:rsidP="00EA1A9F">
            <w:pPr>
              <w:suppressAutoHyphens/>
              <w:rPr>
                <w:rFonts w:ascii="Arial" w:hAnsi="Arial" w:cs="Arial"/>
                <w:color w:val="000000"/>
                <w:sz w:val="20"/>
                <w:szCs w:val="20"/>
              </w:rPr>
            </w:pPr>
            <w:r>
              <w:rPr>
                <w:rFonts w:ascii="Arial" w:hAnsi="Arial" w:cs="Arial"/>
                <w:color w:val="000000"/>
                <w:sz w:val="20"/>
                <w:szCs w:val="20"/>
              </w:rPr>
              <w:t>DESAJ Barranquilla</w:t>
            </w:r>
          </w:p>
        </w:tc>
      </w:tr>
      <w:tr w:rsidR="00962D27" w:rsidRPr="000F083E" w14:paraId="2412F637" w14:textId="77777777" w:rsidTr="00894086">
        <w:trPr>
          <w:trHeight w:val="380"/>
        </w:trPr>
        <w:tc>
          <w:tcPr>
            <w:tcW w:w="5000" w:type="pct"/>
            <w:gridSpan w:val="4"/>
            <w:shd w:val="clear" w:color="auto" w:fill="B8CCE4" w:themeFill="accent1" w:themeFillTint="66"/>
          </w:tcPr>
          <w:p w14:paraId="0AB6DB97" w14:textId="77777777" w:rsidR="00312B77" w:rsidRPr="000F083E" w:rsidRDefault="00312B77" w:rsidP="000F083E">
            <w:pPr>
              <w:jc w:val="both"/>
              <w:rPr>
                <w:rFonts w:ascii="Arial" w:hAnsi="Arial" w:cs="Arial"/>
                <w:b/>
                <w:sz w:val="20"/>
                <w:szCs w:val="20"/>
              </w:rPr>
            </w:pPr>
            <w:r w:rsidRPr="000F083E">
              <w:rPr>
                <w:rFonts w:ascii="Arial" w:hAnsi="Arial" w:cs="Arial"/>
                <w:b/>
                <w:sz w:val="20"/>
                <w:szCs w:val="20"/>
              </w:rPr>
              <w:t xml:space="preserve">11. </w:t>
            </w:r>
            <w:r w:rsidRPr="000F083E">
              <w:rPr>
                <w:rFonts w:ascii="Arial" w:hAnsi="Arial" w:cs="Arial"/>
                <w:b/>
                <w:bCs/>
                <w:sz w:val="20"/>
                <w:szCs w:val="20"/>
              </w:rPr>
              <w:t xml:space="preserve">PLAZO DE </w:t>
            </w:r>
            <w:r w:rsidRPr="009E49E0">
              <w:rPr>
                <w:rFonts w:ascii="Arial" w:hAnsi="Arial" w:cs="Arial"/>
                <w:b/>
                <w:sz w:val="20"/>
                <w:szCs w:val="20"/>
              </w:rPr>
              <w:t>EJECUCIÓN</w:t>
            </w:r>
            <w:r w:rsidRPr="000F083E">
              <w:rPr>
                <w:rFonts w:ascii="Arial" w:hAnsi="Arial" w:cs="Arial"/>
                <w:b/>
                <w:bCs/>
                <w:sz w:val="20"/>
                <w:szCs w:val="20"/>
              </w:rPr>
              <w:t xml:space="preserve"> DEL CONTRATO Y LUGAR DE LAS ACTIVIDAD DE MANTENIMIENTOS</w:t>
            </w:r>
          </w:p>
        </w:tc>
      </w:tr>
      <w:tr w:rsidR="00E22AA1" w:rsidRPr="000F083E" w14:paraId="6D3A080F" w14:textId="77777777" w:rsidTr="00894086">
        <w:trPr>
          <w:trHeight w:val="120"/>
        </w:trPr>
        <w:tc>
          <w:tcPr>
            <w:tcW w:w="5000" w:type="pct"/>
            <w:gridSpan w:val="4"/>
          </w:tcPr>
          <w:p w14:paraId="067C64F7" w14:textId="77777777" w:rsidR="00E22AA1" w:rsidRPr="000F083E" w:rsidRDefault="00E22AA1" w:rsidP="000F083E">
            <w:pPr>
              <w:jc w:val="both"/>
              <w:rPr>
                <w:rFonts w:ascii="Arial" w:hAnsi="Arial" w:cs="Arial"/>
                <w:b/>
                <w:sz w:val="20"/>
                <w:szCs w:val="20"/>
              </w:rPr>
            </w:pPr>
            <w:r w:rsidRPr="000F083E">
              <w:rPr>
                <w:rFonts w:ascii="Arial" w:hAnsi="Arial" w:cs="Arial"/>
                <w:b/>
                <w:sz w:val="20"/>
                <w:szCs w:val="20"/>
              </w:rPr>
              <w:t>11.1. PLAZO DE EJECUCIÓN</w:t>
            </w:r>
          </w:p>
        </w:tc>
      </w:tr>
      <w:tr w:rsidR="00E22AA1" w:rsidRPr="000F083E" w14:paraId="40AB1B14" w14:textId="77777777" w:rsidTr="00894086">
        <w:trPr>
          <w:trHeight w:val="396"/>
        </w:trPr>
        <w:tc>
          <w:tcPr>
            <w:tcW w:w="5000" w:type="pct"/>
            <w:gridSpan w:val="4"/>
          </w:tcPr>
          <w:p w14:paraId="6654075B" w14:textId="6F5B2EB1" w:rsidR="00E22AA1" w:rsidRPr="007620B3" w:rsidRDefault="00E22AA1" w:rsidP="002A25E1">
            <w:pPr>
              <w:jc w:val="both"/>
              <w:rPr>
                <w:rFonts w:ascii="Arial" w:hAnsi="Arial" w:cs="Arial"/>
                <w:sz w:val="20"/>
                <w:szCs w:val="20"/>
              </w:rPr>
            </w:pPr>
            <w:r w:rsidRPr="007620B3">
              <w:rPr>
                <w:rFonts w:ascii="Arial" w:hAnsi="Arial" w:cs="Arial"/>
                <w:sz w:val="20"/>
                <w:szCs w:val="20"/>
              </w:rPr>
              <w:t xml:space="preserve">El plazo de ejecución del contrato será de </w:t>
            </w:r>
            <w:r w:rsidR="007C1E45">
              <w:rPr>
                <w:rFonts w:ascii="Arial" w:hAnsi="Arial" w:cs="Arial"/>
                <w:sz w:val="20"/>
                <w:szCs w:val="20"/>
              </w:rPr>
              <w:t>0</w:t>
            </w:r>
            <w:r w:rsidR="002A4576">
              <w:rPr>
                <w:rFonts w:ascii="Arial" w:hAnsi="Arial" w:cs="Arial"/>
                <w:sz w:val="20"/>
                <w:szCs w:val="20"/>
              </w:rPr>
              <w:t>3</w:t>
            </w:r>
            <w:r w:rsidR="002C300B" w:rsidRPr="007620B3">
              <w:rPr>
                <w:rFonts w:ascii="Arial" w:hAnsi="Arial" w:cs="Arial"/>
                <w:sz w:val="20"/>
                <w:szCs w:val="20"/>
              </w:rPr>
              <w:t xml:space="preserve"> días</w:t>
            </w:r>
            <w:r w:rsidR="007C1E45">
              <w:rPr>
                <w:rFonts w:ascii="Arial" w:hAnsi="Arial" w:cs="Arial"/>
                <w:sz w:val="20"/>
                <w:szCs w:val="20"/>
              </w:rPr>
              <w:t>.</w:t>
            </w:r>
          </w:p>
        </w:tc>
      </w:tr>
      <w:tr w:rsidR="00E22AA1" w:rsidRPr="000F083E" w14:paraId="09F67279" w14:textId="77777777" w:rsidTr="00894086">
        <w:trPr>
          <w:trHeight w:val="219"/>
        </w:trPr>
        <w:tc>
          <w:tcPr>
            <w:tcW w:w="5000" w:type="pct"/>
            <w:gridSpan w:val="4"/>
          </w:tcPr>
          <w:p w14:paraId="7F3AB31E" w14:textId="77777777" w:rsidR="00E22AA1" w:rsidRPr="000F083E" w:rsidRDefault="00E22AA1" w:rsidP="002A25E1">
            <w:pPr>
              <w:jc w:val="both"/>
              <w:rPr>
                <w:rFonts w:ascii="Arial" w:hAnsi="Arial" w:cs="Arial"/>
                <w:sz w:val="20"/>
                <w:szCs w:val="20"/>
              </w:rPr>
            </w:pPr>
            <w:r w:rsidRPr="000F083E">
              <w:rPr>
                <w:rFonts w:ascii="Arial" w:hAnsi="Arial" w:cs="Arial"/>
                <w:b/>
                <w:bCs/>
                <w:sz w:val="20"/>
                <w:szCs w:val="20"/>
              </w:rPr>
              <w:t>11.2. LUGAR DE EJECUCIÓN DEL CONTRATO</w:t>
            </w:r>
          </w:p>
        </w:tc>
      </w:tr>
      <w:tr w:rsidR="00E22AA1" w:rsidRPr="000F083E" w14:paraId="5CBD89CE" w14:textId="77777777" w:rsidTr="00894086">
        <w:trPr>
          <w:trHeight w:val="494"/>
        </w:trPr>
        <w:tc>
          <w:tcPr>
            <w:tcW w:w="5000" w:type="pct"/>
            <w:gridSpan w:val="4"/>
          </w:tcPr>
          <w:p w14:paraId="4E924713" w14:textId="77777777" w:rsidR="00E22AA1" w:rsidRPr="000F083E" w:rsidRDefault="00E22AA1" w:rsidP="00E22AA1">
            <w:pPr>
              <w:rPr>
                <w:rFonts w:ascii="Arial" w:hAnsi="Arial" w:cs="Arial"/>
                <w:b/>
                <w:sz w:val="20"/>
                <w:szCs w:val="20"/>
              </w:rPr>
            </w:pPr>
            <w:r>
              <w:rPr>
                <w:rFonts w:ascii="Arial" w:hAnsi="Arial" w:cs="Arial"/>
                <w:bCs/>
                <w:iCs/>
                <w:sz w:val="20"/>
                <w:szCs w:val="20"/>
              </w:rPr>
              <w:t>El contrato se ejecutará en la siguiente dirección: Calle 40 No. 44-80 Piso 1, Almacén - Palacio de Justicia Centro Cívico, Barranquilla, Atlántico.</w:t>
            </w:r>
          </w:p>
        </w:tc>
      </w:tr>
      <w:tr w:rsidR="00E22AA1" w:rsidRPr="000F083E" w14:paraId="6D7C2573" w14:textId="77777777" w:rsidTr="00894086">
        <w:trPr>
          <w:trHeight w:val="494"/>
        </w:trPr>
        <w:tc>
          <w:tcPr>
            <w:tcW w:w="5000" w:type="pct"/>
            <w:gridSpan w:val="4"/>
          </w:tcPr>
          <w:p w14:paraId="6E5C7EDF" w14:textId="77777777" w:rsidR="00E22AA1" w:rsidRDefault="00E22AA1" w:rsidP="00F02AEB">
            <w:pPr>
              <w:rPr>
                <w:rFonts w:ascii="Arial" w:hAnsi="Arial" w:cs="Arial"/>
                <w:bCs/>
                <w:iCs/>
                <w:sz w:val="20"/>
                <w:szCs w:val="20"/>
              </w:rPr>
            </w:pPr>
            <w:r w:rsidRPr="000F083E">
              <w:rPr>
                <w:rFonts w:ascii="Arial" w:hAnsi="Arial" w:cs="Arial"/>
                <w:b/>
                <w:bCs/>
                <w:sz w:val="20"/>
                <w:szCs w:val="20"/>
              </w:rPr>
              <w:t>11.3. LIQUIDACIÓN DEL CONTRATO</w:t>
            </w:r>
          </w:p>
        </w:tc>
      </w:tr>
      <w:tr w:rsidR="00E22AA1" w:rsidRPr="000F083E" w14:paraId="268C9B0B" w14:textId="77777777" w:rsidTr="00894086">
        <w:trPr>
          <w:trHeight w:val="615"/>
        </w:trPr>
        <w:tc>
          <w:tcPr>
            <w:tcW w:w="5000" w:type="pct"/>
            <w:gridSpan w:val="4"/>
          </w:tcPr>
          <w:p w14:paraId="4EB5911B" w14:textId="1A3D315E" w:rsidR="00E22AA1" w:rsidRPr="000F083E" w:rsidRDefault="00E22AA1" w:rsidP="00DB15E8">
            <w:pPr>
              <w:jc w:val="both"/>
              <w:rPr>
                <w:rFonts w:ascii="Arial" w:hAnsi="Arial" w:cs="Arial"/>
                <w:b/>
                <w:sz w:val="20"/>
                <w:szCs w:val="20"/>
              </w:rPr>
            </w:pPr>
            <w:r w:rsidRPr="00746B74">
              <w:rPr>
                <w:rFonts w:ascii="Arial" w:hAnsi="Arial" w:cs="Arial"/>
                <w:sz w:val="20"/>
                <w:szCs w:val="20"/>
                <w:lang w:eastAsia="es-ES"/>
              </w:rPr>
              <w:t xml:space="preserve">El acta de Liquidación del Contrato debe levantarse </w:t>
            </w:r>
            <w:r w:rsidR="00DB15E8">
              <w:rPr>
                <w:rFonts w:ascii="Arial" w:hAnsi="Arial" w:cs="Arial"/>
                <w:sz w:val="20"/>
                <w:szCs w:val="20"/>
                <w:lang w:eastAsia="es-ES"/>
              </w:rPr>
              <w:t>e</w:t>
            </w:r>
            <w:r w:rsidR="00C97F6B" w:rsidRPr="00746B74">
              <w:rPr>
                <w:rFonts w:ascii="Arial" w:hAnsi="Arial" w:cs="Arial"/>
                <w:sz w:val="20"/>
                <w:szCs w:val="20"/>
              </w:rPr>
              <w:t xml:space="preserve">n cumplimiento de lo establecido en el artículo 60 de la Ley 80 de 1993, modificado por el artículo 217 del Decreto - Ley 19 de 2012 y el artículo 11 de la Ley 1150 de 2007, es decir, aquellos cuya ejecución o cumplimiento de obligaciones se prolongan en el tiempo, serán objeto de liquidación los contratos de ejecución sucesiva y aquellos que lo requieran por reportar a su terminación obligaciones pendientes de determinar, o por su terminación en forma anormal. </w:t>
            </w:r>
            <w:r w:rsidR="00C97F6B" w:rsidRPr="00012D90">
              <w:rPr>
                <w:rFonts w:ascii="Arial" w:hAnsi="Arial" w:cs="Arial"/>
                <w:b/>
                <w:sz w:val="20"/>
                <w:szCs w:val="20"/>
              </w:rPr>
              <w:t>No será obligatoria la liquidación en los contratos de ejecución instantánea ni en los de prestación de servicios profesionales y de apoyo a la gestión</w:t>
            </w:r>
            <w:r w:rsidR="00C97F6B" w:rsidRPr="00746B74">
              <w:rPr>
                <w:rFonts w:ascii="Arial" w:hAnsi="Arial" w:cs="Arial"/>
                <w:sz w:val="20"/>
                <w:szCs w:val="20"/>
              </w:rPr>
              <w:t xml:space="preserve">, no obstante, frente a contingencias acaecidas durante la ejecución contractual, puede hacerse necesaria la liquidación de estos contratos o convenios. Será obligatorio la liquidación de contratos de ejecución instantánea, cuando estos terminen de forma anormal (Muerte del contratista, declaratorio de caducidad, terminación unilateral, </w:t>
            </w:r>
            <w:r w:rsidR="00EE7BF1" w:rsidRPr="00746B74">
              <w:rPr>
                <w:rFonts w:ascii="Arial" w:hAnsi="Arial" w:cs="Arial"/>
                <w:sz w:val="20"/>
                <w:szCs w:val="20"/>
              </w:rPr>
              <w:t>etc.</w:t>
            </w:r>
            <w:r w:rsidR="00C97F6B" w:rsidRPr="00746B74">
              <w:rPr>
                <w:rFonts w:ascii="Arial" w:hAnsi="Arial" w:cs="Arial"/>
                <w:sz w:val="20"/>
                <w:szCs w:val="20"/>
              </w:rPr>
              <w:t xml:space="preserve">), en los demás, el Consejo Superior de la Judicatura, teniendo en cuenta el valor del contrato, establecerá la conveniencia de llevar a cabo su liquidación. Para iniciar el trámite de liquidación, el </w:t>
            </w:r>
            <w:r w:rsidR="00DB15E8" w:rsidRPr="00746B74">
              <w:rPr>
                <w:rFonts w:ascii="Arial" w:hAnsi="Arial" w:cs="Arial"/>
                <w:sz w:val="20"/>
                <w:szCs w:val="20"/>
              </w:rPr>
              <w:t>supervisor(a</w:t>
            </w:r>
            <w:r w:rsidR="00C97F6B" w:rsidRPr="00746B74">
              <w:rPr>
                <w:rFonts w:ascii="Arial" w:hAnsi="Arial" w:cs="Arial"/>
                <w:sz w:val="20"/>
                <w:szCs w:val="20"/>
              </w:rPr>
              <w:t>) de contrato o convenio presentarán a la Unidad de Asistencia Legal, un proyecto de acta de liquidación, acompañada de los documentos o soportes respectivos. El Consejo Superior de la Judicatura intentará lograr la liquidación de mutuo acuerdo o bilateral, sin embargo, mantiene competencia para liquidar unilateralmente, dentro de los términos legales, cuando no se logre acuerdo entre las partes o cuando la normativa obligue a liquidar el contrato en el estado en que se encuentre.</w:t>
            </w:r>
          </w:p>
        </w:tc>
      </w:tr>
    </w:tbl>
    <w:p w14:paraId="7951C02F" w14:textId="703164A0" w:rsidR="002A4576" w:rsidRDefault="00C24EDB" w:rsidP="00ED46B0">
      <w:pPr>
        <w:pStyle w:val="Descripcin"/>
        <w:rPr>
          <w:noProof/>
        </w:rPr>
      </w:pPr>
      <w:r w:rsidRPr="0088351B">
        <w:rPr>
          <w:rFonts w:ascii="Arial" w:hAnsi="Arial" w:cs="Arial"/>
          <w:i w:val="0"/>
          <w:iCs w:val="0"/>
          <w:color w:val="auto"/>
          <w:sz w:val="20"/>
          <w:szCs w:val="20"/>
          <w:lang w:val="es-ES"/>
        </w:rPr>
        <w:t xml:space="preserve">El presente estudio de conveniencia se expide </w:t>
      </w:r>
      <w:r w:rsidRPr="00CE357F">
        <w:rPr>
          <w:rFonts w:ascii="Arial" w:hAnsi="Arial" w:cs="Arial"/>
          <w:i w:val="0"/>
          <w:iCs w:val="0"/>
          <w:color w:val="auto"/>
          <w:sz w:val="20"/>
          <w:szCs w:val="20"/>
          <w:lang w:val="es-ES"/>
        </w:rPr>
        <w:t>a los</w:t>
      </w:r>
      <w:r w:rsidR="00882154" w:rsidRPr="00CE357F">
        <w:rPr>
          <w:rFonts w:ascii="Arial" w:hAnsi="Arial" w:cs="Arial"/>
          <w:i w:val="0"/>
          <w:iCs w:val="0"/>
          <w:color w:val="auto"/>
          <w:sz w:val="20"/>
          <w:szCs w:val="20"/>
          <w:lang w:val="es-ES"/>
        </w:rPr>
        <w:t xml:space="preserve"> </w:t>
      </w:r>
      <w:r w:rsidR="002A4576">
        <w:rPr>
          <w:rFonts w:ascii="Arial" w:hAnsi="Arial" w:cs="Arial"/>
          <w:i w:val="0"/>
          <w:iCs w:val="0"/>
          <w:color w:val="auto"/>
          <w:sz w:val="20"/>
          <w:szCs w:val="20"/>
          <w:lang w:val="es-ES"/>
        </w:rPr>
        <w:t>veinti</w:t>
      </w:r>
      <w:r w:rsidR="00636D8E">
        <w:rPr>
          <w:rFonts w:ascii="Arial" w:hAnsi="Arial" w:cs="Arial"/>
          <w:i w:val="0"/>
          <w:iCs w:val="0"/>
          <w:color w:val="auto"/>
          <w:sz w:val="20"/>
          <w:szCs w:val="20"/>
          <w:lang w:val="es-ES"/>
        </w:rPr>
        <w:t>nueve</w:t>
      </w:r>
      <w:r w:rsidR="002A25E1" w:rsidRPr="00CE357F">
        <w:rPr>
          <w:rFonts w:ascii="Arial" w:hAnsi="Arial" w:cs="Arial"/>
          <w:i w:val="0"/>
          <w:iCs w:val="0"/>
          <w:color w:val="auto"/>
          <w:sz w:val="20"/>
          <w:szCs w:val="20"/>
          <w:lang w:val="es-ES"/>
        </w:rPr>
        <w:t xml:space="preserve"> (</w:t>
      </w:r>
      <w:r w:rsidR="00E85026" w:rsidRPr="00CE357F">
        <w:rPr>
          <w:rFonts w:ascii="Arial" w:hAnsi="Arial" w:cs="Arial"/>
          <w:i w:val="0"/>
          <w:iCs w:val="0"/>
          <w:color w:val="auto"/>
          <w:sz w:val="20"/>
          <w:szCs w:val="20"/>
          <w:lang w:val="es-ES"/>
        </w:rPr>
        <w:t>2</w:t>
      </w:r>
      <w:r w:rsidR="00636D8E">
        <w:rPr>
          <w:rFonts w:ascii="Arial" w:hAnsi="Arial" w:cs="Arial"/>
          <w:i w:val="0"/>
          <w:iCs w:val="0"/>
          <w:color w:val="auto"/>
          <w:sz w:val="20"/>
          <w:szCs w:val="20"/>
          <w:lang w:val="es-ES"/>
        </w:rPr>
        <w:t>9</w:t>
      </w:r>
      <w:r w:rsidR="002A25E1" w:rsidRPr="00CE357F">
        <w:rPr>
          <w:rFonts w:ascii="Arial" w:hAnsi="Arial" w:cs="Arial"/>
          <w:i w:val="0"/>
          <w:iCs w:val="0"/>
          <w:color w:val="auto"/>
          <w:sz w:val="20"/>
          <w:szCs w:val="20"/>
          <w:lang w:val="es-ES"/>
        </w:rPr>
        <w:t>)</w:t>
      </w:r>
      <w:r w:rsidR="00344372" w:rsidRPr="00CE357F">
        <w:rPr>
          <w:rFonts w:ascii="Arial" w:hAnsi="Arial" w:cs="Arial"/>
          <w:i w:val="0"/>
          <w:iCs w:val="0"/>
          <w:color w:val="auto"/>
          <w:sz w:val="20"/>
          <w:szCs w:val="20"/>
          <w:lang w:val="es-ES"/>
        </w:rPr>
        <w:t xml:space="preserve"> </w:t>
      </w:r>
      <w:r w:rsidR="00882154" w:rsidRPr="00CE357F">
        <w:rPr>
          <w:rFonts w:ascii="Arial" w:hAnsi="Arial" w:cs="Arial"/>
          <w:i w:val="0"/>
          <w:iCs w:val="0"/>
          <w:color w:val="auto"/>
          <w:sz w:val="20"/>
          <w:szCs w:val="20"/>
          <w:lang w:val="es-ES"/>
        </w:rPr>
        <w:t xml:space="preserve">días del mes de </w:t>
      </w:r>
      <w:r w:rsidR="002A4576">
        <w:rPr>
          <w:rFonts w:ascii="Arial" w:hAnsi="Arial" w:cs="Arial"/>
          <w:i w:val="0"/>
          <w:iCs w:val="0"/>
          <w:color w:val="auto"/>
          <w:sz w:val="20"/>
          <w:szCs w:val="20"/>
          <w:lang w:val="es-ES"/>
        </w:rPr>
        <w:t>diciembre</w:t>
      </w:r>
      <w:r w:rsidR="00882154" w:rsidRPr="00CE357F">
        <w:rPr>
          <w:rFonts w:ascii="Arial" w:hAnsi="Arial" w:cs="Arial"/>
          <w:i w:val="0"/>
          <w:iCs w:val="0"/>
          <w:color w:val="auto"/>
          <w:sz w:val="20"/>
          <w:szCs w:val="20"/>
          <w:lang w:val="es-ES"/>
        </w:rPr>
        <w:t xml:space="preserve"> de</w:t>
      </w:r>
      <w:r w:rsidR="00A27F4B" w:rsidRPr="00CE357F">
        <w:rPr>
          <w:rFonts w:ascii="Arial" w:hAnsi="Arial" w:cs="Arial"/>
          <w:i w:val="0"/>
          <w:iCs w:val="0"/>
          <w:color w:val="auto"/>
          <w:sz w:val="20"/>
          <w:szCs w:val="20"/>
          <w:lang w:val="es-ES"/>
        </w:rPr>
        <w:t>l</w:t>
      </w:r>
      <w:r w:rsidR="00882154" w:rsidRPr="00CE357F">
        <w:rPr>
          <w:rFonts w:ascii="Arial" w:hAnsi="Arial" w:cs="Arial"/>
          <w:i w:val="0"/>
          <w:iCs w:val="0"/>
          <w:color w:val="auto"/>
          <w:sz w:val="20"/>
          <w:szCs w:val="20"/>
          <w:lang w:val="es-ES"/>
        </w:rPr>
        <w:t xml:space="preserve"> 20</w:t>
      </w:r>
      <w:r w:rsidR="00594768" w:rsidRPr="00CE357F">
        <w:rPr>
          <w:rFonts w:ascii="Arial" w:hAnsi="Arial" w:cs="Arial"/>
          <w:i w:val="0"/>
          <w:iCs w:val="0"/>
          <w:color w:val="auto"/>
          <w:sz w:val="20"/>
          <w:szCs w:val="20"/>
          <w:lang w:val="es-ES"/>
        </w:rPr>
        <w:t>2</w:t>
      </w:r>
      <w:r w:rsidR="00766872" w:rsidRPr="00CE357F">
        <w:rPr>
          <w:rFonts w:ascii="Arial" w:hAnsi="Arial" w:cs="Arial"/>
          <w:i w:val="0"/>
          <w:iCs w:val="0"/>
          <w:color w:val="auto"/>
          <w:sz w:val="20"/>
          <w:szCs w:val="20"/>
          <w:lang w:val="es-ES"/>
        </w:rPr>
        <w:t>3</w:t>
      </w:r>
      <w:r w:rsidR="00BE2A76" w:rsidRPr="00CE357F">
        <w:rPr>
          <w:rFonts w:ascii="Arial" w:hAnsi="Arial" w:cs="Arial"/>
          <w:i w:val="0"/>
          <w:iCs w:val="0"/>
          <w:color w:val="auto"/>
          <w:sz w:val="20"/>
          <w:szCs w:val="20"/>
          <w:lang w:val="es-ES"/>
        </w:rPr>
        <w:t>.</w:t>
      </w:r>
      <w:r w:rsidR="00FE67C9">
        <w:rPr>
          <w:noProof/>
        </w:rPr>
        <w:t xml:space="preserve">     </w:t>
      </w:r>
    </w:p>
    <w:p w14:paraId="37095019" w14:textId="38CBB0FE" w:rsidR="00A82161" w:rsidRDefault="00FE67C9" w:rsidP="00ED46B0">
      <w:pPr>
        <w:pStyle w:val="Descripcin"/>
        <w:rPr>
          <w:rFonts w:ascii="Arial" w:hAnsi="Arial" w:cs="Arial"/>
          <w:sz w:val="20"/>
          <w:szCs w:val="20"/>
          <w:lang w:val="es-ES"/>
        </w:rPr>
      </w:pPr>
      <w:r>
        <w:rPr>
          <w:noProof/>
        </w:rPr>
        <w:t xml:space="preserve">            </w:t>
      </w:r>
      <w:r w:rsidR="00EE7BF1">
        <w:rPr>
          <w:noProof/>
        </w:rPr>
        <w:t xml:space="preserve">          </w:t>
      </w:r>
      <w:r>
        <w:rPr>
          <w:noProof/>
        </w:rPr>
        <w:t xml:space="preserve">                    </w:t>
      </w:r>
    </w:p>
    <w:p w14:paraId="531C27B4" w14:textId="03D4DB60" w:rsidR="00C36B4B" w:rsidRPr="000F083E" w:rsidRDefault="00FE67C9" w:rsidP="00344372">
      <w:pPr>
        <w:jc w:val="both"/>
        <w:rPr>
          <w:rFonts w:ascii="Arial" w:hAnsi="Arial" w:cs="Arial"/>
          <w:sz w:val="20"/>
          <w:szCs w:val="20"/>
          <w:lang w:val="es-ES"/>
        </w:rPr>
      </w:pPr>
      <w:r>
        <w:rPr>
          <w:rFonts w:ascii="Arial" w:hAnsi="Arial" w:cs="Arial"/>
          <w:sz w:val="20"/>
          <w:szCs w:val="20"/>
          <w:lang w:val="es-ES"/>
        </w:rPr>
        <w:tab/>
      </w:r>
      <w:r>
        <w:rPr>
          <w:rFonts w:ascii="Arial" w:hAnsi="Arial" w:cs="Arial"/>
          <w:sz w:val="20"/>
          <w:szCs w:val="20"/>
          <w:lang w:val="es-ES"/>
        </w:rPr>
        <w:tab/>
      </w:r>
    </w:p>
    <w:p w14:paraId="66E12EF6" w14:textId="77777777" w:rsidR="002A4576" w:rsidRPr="002A4576" w:rsidRDefault="002A4576" w:rsidP="002A4576">
      <w:pPr>
        <w:jc w:val="center"/>
        <w:rPr>
          <w:rFonts w:ascii="Arial" w:eastAsiaTheme="minorHAnsi" w:hAnsi="Arial" w:cs="Arial"/>
          <w:sz w:val="22"/>
          <w:szCs w:val="22"/>
          <w:lang w:val="es-ES" w:eastAsia="en-US"/>
        </w:rPr>
      </w:pPr>
      <w:r w:rsidRPr="002A4576">
        <w:rPr>
          <w:rFonts w:ascii="Arial" w:eastAsiaTheme="minorHAnsi" w:hAnsi="Arial" w:cs="Arial"/>
          <w:b/>
          <w:sz w:val="22"/>
          <w:szCs w:val="22"/>
          <w:lang w:val="es-ES" w:eastAsia="en-US"/>
        </w:rPr>
        <w:lastRenderedPageBreak/>
        <w:t>ALFREDO HADECHNI MUNIVE</w:t>
      </w:r>
    </w:p>
    <w:p w14:paraId="67D38615" w14:textId="77777777" w:rsidR="002A4576" w:rsidRPr="002A4576" w:rsidRDefault="002A4576" w:rsidP="002A4576">
      <w:pPr>
        <w:spacing w:after="200"/>
        <w:jc w:val="center"/>
        <w:rPr>
          <w:rFonts w:ascii="Arial" w:eastAsiaTheme="minorHAnsi" w:hAnsi="Arial" w:cs="Arial"/>
          <w:sz w:val="22"/>
          <w:szCs w:val="22"/>
          <w:lang w:val="es-ES" w:eastAsia="en-US"/>
        </w:rPr>
      </w:pPr>
      <w:r w:rsidRPr="002A4576">
        <w:rPr>
          <w:rFonts w:ascii="Arial" w:eastAsiaTheme="minorHAnsi" w:hAnsi="Arial" w:cs="Arial"/>
          <w:sz w:val="22"/>
          <w:szCs w:val="22"/>
          <w:lang w:val="es-ES" w:eastAsia="en-US"/>
        </w:rPr>
        <w:t xml:space="preserve">Jefe Oficina de Mantenimiento y </w:t>
      </w:r>
      <w:r w:rsidRPr="002A4576">
        <w:rPr>
          <w:rFonts w:ascii="Arial" w:hAnsi="Arial" w:cs="Arial"/>
          <w:color w:val="000000"/>
          <w:sz w:val="22"/>
          <w:szCs w:val="22"/>
        </w:rPr>
        <w:t>Soporte Tecnológico</w:t>
      </w:r>
    </w:p>
    <w:p w14:paraId="0D60D786" w14:textId="77777777" w:rsidR="00344372" w:rsidRPr="000F083E" w:rsidRDefault="00344372" w:rsidP="00344372">
      <w:pPr>
        <w:jc w:val="both"/>
        <w:rPr>
          <w:rFonts w:ascii="Arial" w:hAnsi="Arial" w:cs="Arial"/>
          <w:sz w:val="20"/>
          <w:szCs w:val="20"/>
        </w:rPr>
      </w:pPr>
      <w:r w:rsidRPr="000F083E">
        <w:rPr>
          <w:rFonts w:ascii="Arial" w:hAnsi="Arial" w:cs="Arial"/>
          <w:sz w:val="20"/>
          <w:szCs w:val="20"/>
        </w:rPr>
        <w:tab/>
      </w:r>
      <w:r w:rsidRPr="000F083E">
        <w:rPr>
          <w:rFonts w:ascii="Arial" w:hAnsi="Arial" w:cs="Arial"/>
          <w:sz w:val="20"/>
          <w:szCs w:val="20"/>
        </w:rPr>
        <w:tab/>
      </w:r>
      <w:r w:rsidRPr="000F083E">
        <w:rPr>
          <w:rFonts w:ascii="Arial" w:hAnsi="Arial" w:cs="Arial"/>
          <w:sz w:val="20"/>
          <w:szCs w:val="20"/>
        </w:rPr>
        <w:tab/>
      </w:r>
    </w:p>
    <w:p w14:paraId="72C0D00B" w14:textId="6A92C63D" w:rsidR="0001711B" w:rsidRPr="00E87292" w:rsidRDefault="00344372" w:rsidP="00ED46B0">
      <w:pPr>
        <w:pStyle w:val="Caracteresenmarcados"/>
        <w:rPr>
          <w:b/>
          <w:bCs/>
        </w:rPr>
      </w:pPr>
      <w:r w:rsidRPr="000F083E">
        <w:t>Anexo: Ficha técnica</w:t>
      </w:r>
      <w:r w:rsidR="00FE67C9">
        <w:t xml:space="preserve">, </w:t>
      </w:r>
      <w:r w:rsidR="002A25E1">
        <w:t>Pantallazos Consulta TVEC</w:t>
      </w:r>
      <w:r w:rsidRPr="000F083E">
        <w:t xml:space="preserve"> </w:t>
      </w:r>
    </w:p>
    <w:sectPr w:rsidR="0001711B" w:rsidRPr="00E87292" w:rsidSect="00FE67C9">
      <w:pgSz w:w="12242" w:h="19442" w:code="26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71C0" w14:textId="77777777" w:rsidR="005109BB" w:rsidRDefault="005109BB" w:rsidP="005109BB">
      <w:r>
        <w:separator/>
      </w:r>
    </w:p>
  </w:endnote>
  <w:endnote w:type="continuationSeparator" w:id="0">
    <w:p w14:paraId="057B7A2F" w14:textId="77777777" w:rsidR="005109BB" w:rsidRDefault="005109BB" w:rsidP="0051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CD8A6" w14:textId="77777777" w:rsidR="005109BB" w:rsidRDefault="005109BB" w:rsidP="005109BB">
      <w:r>
        <w:separator/>
      </w:r>
    </w:p>
  </w:footnote>
  <w:footnote w:type="continuationSeparator" w:id="0">
    <w:p w14:paraId="3288B83E" w14:textId="77777777" w:rsidR="005109BB" w:rsidRDefault="005109BB" w:rsidP="0051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E93"/>
    <w:multiLevelType w:val="hybridMultilevel"/>
    <w:tmpl w:val="AB067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359E1"/>
    <w:multiLevelType w:val="hybridMultilevel"/>
    <w:tmpl w:val="AC2C904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C3C44"/>
    <w:multiLevelType w:val="hybridMultilevel"/>
    <w:tmpl w:val="313AE8BA"/>
    <w:lvl w:ilvl="0" w:tplc="4C581FE6">
      <w:start w:val="5"/>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44021"/>
    <w:multiLevelType w:val="hybridMultilevel"/>
    <w:tmpl w:val="8C32DEBC"/>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2486A"/>
    <w:multiLevelType w:val="hybridMultilevel"/>
    <w:tmpl w:val="B672AA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0E16"/>
    <w:multiLevelType w:val="hybridMultilevel"/>
    <w:tmpl w:val="14BE36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9B206B"/>
    <w:multiLevelType w:val="hybridMultilevel"/>
    <w:tmpl w:val="BB0E84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5CE8"/>
    <w:multiLevelType w:val="hybridMultilevel"/>
    <w:tmpl w:val="E9922D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761DD"/>
    <w:multiLevelType w:val="hybridMultilevel"/>
    <w:tmpl w:val="4012877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B24DA0"/>
    <w:multiLevelType w:val="hybridMultilevel"/>
    <w:tmpl w:val="755A73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ED1BF5"/>
    <w:multiLevelType w:val="hybridMultilevel"/>
    <w:tmpl w:val="6F8CB5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7A3D50"/>
    <w:multiLevelType w:val="hybridMultilevel"/>
    <w:tmpl w:val="0406B09C"/>
    <w:lvl w:ilvl="0" w:tplc="FDD472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D5424A8"/>
    <w:multiLevelType w:val="hybridMultilevel"/>
    <w:tmpl w:val="F4EC9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6256FD"/>
    <w:multiLevelType w:val="hybridMultilevel"/>
    <w:tmpl w:val="05CA52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CE7CE2"/>
    <w:multiLevelType w:val="hybridMultilevel"/>
    <w:tmpl w:val="DA601C4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08688F"/>
    <w:multiLevelType w:val="hybridMultilevel"/>
    <w:tmpl w:val="56FA2B88"/>
    <w:lvl w:ilvl="0" w:tplc="76F88EB0">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BC3605"/>
    <w:multiLevelType w:val="hybridMultilevel"/>
    <w:tmpl w:val="3CA26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1867EB6"/>
    <w:multiLevelType w:val="hybridMultilevel"/>
    <w:tmpl w:val="D3D661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1A6D73"/>
    <w:multiLevelType w:val="hybridMultilevel"/>
    <w:tmpl w:val="0C7EAC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B2F45"/>
    <w:multiLevelType w:val="hybridMultilevel"/>
    <w:tmpl w:val="C21C4970"/>
    <w:lvl w:ilvl="0" w:tplc="034E185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033C89"/>
    <w:multiLevelType w:val="hybridMultilevel"/>
    <w:tmpl w:val="132C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5D4329"/>
    <w:multiLevelType w:val="hybridMultilevel"/>
    <w:tmpl w:val="81EE26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81493"/>
    <w:multiLevelType w:val="hybridMultilevel"/>
    <w:tmpl w:val="3C7CB84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7" w15:restartNumberingAfterBreak="0">
    <w:nsid w:val="50DA002E"/>
    <w:multiLevelType w:val="hybridMultilevel"/>
    <w:tmpl w:val="D1AE9D0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1568C7"/>
    <w:multiLevelType w:val="hybridMultilevel"/>
    <w:tmpl w:val="5AC0CA12"/>
    <w:lvl w:ilvl="0" w:tplc="AF4C654A">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4E351E7"/>
    <w:multiLevelType w:val="hybridMultilevel"/>
    <w:tmpl w:val="F70C1400"/>
    <w:lvl w:ilvl="0" w:tplc="7B5A99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6D64C3"/>
    <w:multiLevelType w:val="hybridMultilevel"/>
    <w:tmpl w:val="C1182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2841C7"/>
    <w:multiLevelType w:val="hybridMultilevel"/>
    <w:tmpl w:val="3D9C0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B34F05"/>
    <w:multiLevelType w:val="hybridMultilevel"/>
    <w:tmpl w:val="7FBCC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CD5CE6"/>
    <w:multiLevelType w:val="hybridMultilevel"/>
    <w:tmpl w:val="599879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0346A7C"/>
    <w:multiLevelType w:val="hybridMultilevel"/>
    <w:tmpl w:val="B6927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DE073D"/>
    <w:multiLevelType w:val="hybridMultilevel"/>
    <w:tmpl w:val="AF2CA6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B52D9A"/>
    <w:multiLevelType w:val="hybridMultilevel"/>
    <w:tmpl w:val="707CE9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A046BB5"/>
    <w:multiLevelType w:val="hybridMultilevel"/>
    <w:tmpl w:val="B40EF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095473"/>
    <w:multiLevelType w:val="hybridMultilevel"/>
    <w:tmpl w:val="4BF6AFBE"/>
    <w:lvl w:ilvl="0" w:tplc="5270ED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4426883"/>
    <w:multiLevelType w:val="hybridMultilevel"/>
    <w:tmpl w:val="859C42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057787"/>
    <w:multiLevelType w:val="hybridMultilevel"/>
    <w:tmpl w:val="AD2C2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C82389"/>
    <w:multiLevelType w:val="hybridMultilevel"/>
    <w:tmpl w:val="DC66CC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D136A"/>
    <w:multiLevelType w:val="hybridMultilevel"/>
    <w:tmpl w:val="6FCC8346"/>
    <w:lvl w:ilvl="0" w:tplc="F0104EA4">
      <w:start w:val="1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D225155"/>
    <w:multiLevelType w:val="hybridMultilevel"/>
    <w:tmpl w:val="A9B869E4"/>
    <w:lvl w:ilvl="0" w:tplc="59D497F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5"/>
  </w:num>
  <w:num w:numId="3">
    <w:abstractNumId w:val="15"/>
  </w:num>
  <w:num w:numId="4">
    <w:abstractNumId w:val="40"/>
  </w:num>
  <w:num w:numId="5">
    <w:abstractNumId w:val="13"/>
  </w:num>
  <w:num w:numId="6">
    <w:abstractNumId w:val="21"/>
  </w:num>
  <w:num w:numId="7">
    <w:abstractNumId w:val="23"/>
  </w:num>
  <w:num w:numId="8">
    <w:abstractNumId w:val="31"/>
  </w:num>
  <w:num w:numId="9">
    <w:abstractNumId w:val="18"/>
  </w:num>
  <w:num w:numId="10">
    <w:abstractNumId w:val="9"/>
  </w:num>
  <w:num w:numId="11">
    <w:abstractNumId w:val="27"/>
  </w:num>
  <w:num w:numId="12">
    <w:abstractNumId w:val="8"/>
  </w:num>
  <w:num w:numId="13">
    <w:abstractNumId w:val="25"/>
  </w:num>
  <w:num w:numId="14">
    <w:abstractNumId w:val="5"/>
  </w:num>
  <w:num w:numId="15">
    <w:abstractNumId w:val="0"/>
  </w:num>
  <w:num w:numId="16">
    <w:abstractNumId w:val="3"/>
  </w:num>
  <w:num w:numId="17">
    <w:abstractNumId w:val="42"/>
  </w:num>
  <w:num w:numId="18">
    <w:abstractNumId w:val="1"/>
  </w:num>
  <w:num w:numId="19">
    <w:abstractNumId w:val="12"/>
  </w:num>
  <w:num w:numId="20">
    <w:abstractNumId w:val="22"/>
  </w:num>
  <w:num w:numId="21">
    <w:abstractNumId w:val="6"/>
  </w:num>
  <w:num w:numId="22">
    <w:abstractNumId w:val="44"/>
  </w:num>
  <w:num w:numId="23">
    <w:abstractNumId w:val="10"/>
  </w:num>
  <w:num w:numId="24">
    <w:abstractNumId w:val="33"/>
  </w:num>
  <w:num w:numId="25">
    <w:abstractNumId w:val="2"/>
  </w:num>
  <w:num w:numId="26">
    <w:abstractNumId w:val="36"/>
  </w:num>
  <w:num w:numId="27">
    <w:abstractNumId w:val="7"/>
  </w:num>
  <w:num w:numId="28">
    <w:abstractNumId w:val="4"/>
  </w:num>
  <w:num w:numId="29">
    <w:abstractNumId w:val="34"/>
  </w:num>
  <w:num w:numId="30">
    <w:abstractNumId w:val="14"/>
  </w:num>
  <w:num w:numId="31">
    <w:abstractNumId w:val="24"/>
  </w:num>
  <w:num w:numId="32">
    <w:abstractNumId w:val="17"/>
  </w:num>
  <w:num w:numId="33">
    <w:abstractNumId w:val="38"/>
  </w:num>
  <w:num w:numId="34">
    <w:abstractNumId w:val="41"/>
  </w:num>
  <w:num w:numId="35">
    <w:abstractNumId w:val="37"/>
  </w:num>
  <w:num w:numId="36">
    <w:abstractNumId w:val="32"/>
  </w:num>
  <w:num w:numId="37">
    <w:abstractNumId w:val="16"/>
  </w:num>
  <w:num w:numId="38">
    <w:abstractNumId w:val="39"/>
  </w:num>
  <w:num w:numId="39">
    <w:abstractNumId w:val="29"/>
  </w:num>
  <w:num w:numId="40">
    <w:abstractNumId w:val="28"/>
  </w:num>
  <w:num w:numId="41">
    <w:abstractNumId w:val="30"/>
  </w:num>
  <w:num w:numId="42">
    <w:abstractNumId w:val="19"/>
  </w:num>
  <w:num w:numId="43">
    <w:abstractNumId w:val="20"/>
  </w:num>
  <w:num w:numId="44">
    <w:abstractNumId w:val="4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00010"/>
    <w:rsid w:val="000067B1"/>
    <w:rsid w:val="00007AD4"/>
    <w:rsid w:val="000106CC"/>
    <w:rsid w:val="00012D90"/>
    <w:rsid w:val="000130C6"/>
    <w:rsid w:val="00013FCF"/>
    <w:rsid w:val="0001482C"/>
    <w:rsid w:val="0001711B"/>
    <w:rsid w:val="00021480"/>
    <w:rsid w:val="00022295"/>
    <w:rsid w:val="00030CE9"/>
    <w:rsid w:val="00031ED4"/>
    <w:rsid w:val="00033767"/>
    <w:rsid w:val="0004004C"/>
    <w:rsid w:val="00041CE9"/>
    <w:rsid w:val="0004395C"/>
    <w:rsid w:val="00047601"/>
    <w:rsid w:val="000500C3"/>
    <w:rsid w:val="00054CE3"/>
    <w:rsid w:val="00055C58"/>
    <w:rsid w:val="00061CC8"/>
    <w:rsid w:val="00063704"/>
    <w:rsid w:val="000701E3"/>
    <w:rsid w:val="0007050D"/>
    <w:rsid w:val="0007210B"/>
    <w:rsid w:val="00072F41"/>
    <w:rsid w:val="0007529F"/>
    <w:rsid w:val="00081294"/>
    <w:rsid w:val="00081E4E"/>
    <w:rsid w:val="000826E1"/>
    <w:rsid w:val="00082798"/>
    <w:rsid w:val="000915FE"/>
    <w:rsid w:val="00093B42"/>
    <w:rsid w:val="000960DF"/>
    <w:rsid w:val="000961F2"/>
    <w:rsid w:val="00096A26"/>
    <w:rsid w:val="000978E1"/>
    <w:rsid w:val="000A5B17"/>
    <w:rsid w:val="000B15A7"/>
    <w:rsid w:val="000B474C"/>
    <w:rsid w:val="000C3441"/>
    <w:rsid w:val="000C613A"/>
    <w:rsid w:val="000C6E29"/>
    <w:rsid w:val="000D033E"/>
    <w:rsid w:val="000D098F"/>
    <w:rsid w:val="000D0F9C"/>
    <w:rsid w:val="000D170D"/>
    <w:rsid w:val="000D3F1D"/>
    <w:rsid w:val="000D3F3F"/>
    <w:rsid w:val="000D5A13"/>
    <w:rsid w:val="000D71B8"/>
    <w:rsid w:val="000E657A"/>
    <w:rsid w:val="000F0379"/>
    <w:rsid w:val="000F083E"/>
    <w:rsid w:val="000F1C03"/>
    <w:rsid w:val="000F246D"/>
    <w:rsid w:val="000F4366"/>
    <w:rsid w:val="00101A9C"/>
    <w:rsid w:val="001027FD"/>
    <w:rsid w:val="00102FB0"/>
    <w:rsid w:val="00106199"/>
    <w:rsid w:val="00111C8D"/>
    <w:rsid w:val="0011477F"/>
    <w:rsid w:val="00114C37"/>
    <w:rsid w:val="00120E03"/>
    <w:rsid w:val="00121178"/>
    <w:rsid w:val="0012126C"/>
    <w:rsid w:val="00121A33"/>
    <w:rsid w:val="001260BE"/>
    <w:rsid w:val="00130FB0"/>
    <w:rsid w:val="00132003"/>
    <w:rsid w:val="00133569"/>
    <w:rsid w:val="00135BEF"/>
    <w:rsid w:val="001473D5"/>
    <w:rsid w:val="0014799C"/>
    <w:rsid w:val="00147ECE"/>
    <w:rsid w:val="00152221"/>
    <w:rsid w:val="0015354A"/>
    <w:rsid w:val="00153EE0"/>
    <w:rsid w:val="00162153"/>
    <w:rsid w:val="00163111"/>
    <w:rsid w:val="0016401A"/>
    <w:rsid w:val="001739F5"/>
    <w:rsid w:val="00174252"/>
    <w:rsid w:val="00174A30"/>
    <w:rsid w:val="00180CEF"/>
    <w:rsid w:val="0018196E"/>
    <w:rsid w:val="0018306B"/>
    <w:rsid w:val="00183CBE"/>
    <w:rsid w:val="001846C9"/>
    <w:rsid w:val="0018490A"/>
    <w:rsid w:val="00185896"/>
    <w:rsid w:val="001909FE"/>
    <w:rsid w:val="00192D7F"/>
    <w:rsid w:val="00194BB2"/>
    <w:rsid w:val="001A02A9"/>
    <w:rsid w:val="001A080C"/>
    <w:rsid w:val="001A0D80"/>
    <w:rsid w:val="001A1B96"/>
    <w:rsid w:val="001A2C2E"/>
    <w:rsid w:val="001A5C06"/>
    <w:rsid w:val="001A7705"/>
    <w:rsid w:val="001B3D71"/>
    <w:rsid w:val="001B45A3"/>
    <w:rsid w:val="001B5F17"/>
    <w:rsid w:val="001C0AA6"/>
    <w:rsid w:val="001C4329"/>
    <w:rsid w:val="001C6856"/>
    <w:rsid w:val="001C6944"/>
    <w:rsid w:val="001D3155"/>
    <w:rsid w:val="001D5374"/>
    <w:rsid w:val="001D60D4"/>
    <w:rsid w:val="001D6576"/>
    <w:rsid w:val="001D7101"/>
    <w:rsid w:val="001D7299"/>
    <w:rsid w:val="001E07FD"/>
    <w:rsid w:val="001E0F38"/>
    <w:rsid w:val="001E2227"/>
    <w:rsid w:val="001E2B75"/>
    <w:rsid w:val="001E2C1F"/>
    <w:rsid w:val="001E310A"/>
    <w:rsid w:val="001E3B40"/>
    <w:rsid w:val="001E4614"/>
    <w:rsid w:val="001E4A12"/>
    <w:rsid w:val="001E62AE"/>
    <w:rsid w:val="001E7BFE"/>
    <w:rsid w:val="001F16B3"/>
    <w:rsid w:val="002047DD"/>
    <w:rsid w:val="00205979"/>
    <w:rsid w:val="00221E3D"/>
    <w:rsid w:val="00222F21"/>
    <w:rsid w:val="00224E0A"/>
    <w:rsid w:val="00226D65"/>
    <w:rsid w:val="00233632"/>
    <w:rsid w:val="00234026"/>
    <w:rsid w:val="002357D4"/>
    <w:rsid w:val="002375AE"/>
    <w:rsid w:val="0024061B"/>
    <w:rsid w:val="002409F7"/>
    <w:rsid w:val="00243F52"/>
    <w:rsid w:val="00250CB6"/>
    <w:rsid w:val="00251684"/>
    <w:rsid w:val="002549E7"/>
    <w:rsid w:val="00254FB2"/>
    <w:rsid w:val="0025785E"/>
    <w:rsid w:val="00257DC9"/>
    <w:rsid w:val="002613F1"/>
    <w:rsid w:val="002618CD"/>
    <w:rsid w:val="00261A5E"/>
    <w:rsid w:val="002634D4"/>
    <w:rsid w:val="00266353"/>
    <w:rsid w:val="00270751"/>
    <w:rsid w:val="00272294"/>
    <w:rsid w:val="00274F69"/>
    <w:rsid w:val="002805C4"/>
    <w:rsid w:val="00281DB4"/>
    <w:rsid w:val="002864E9"/>
    <w:rsid w:val="002931BF"/>
    <w:rsid w:val="002933D2"/>
    <w:rsid w:val="002939B9"/>
    <w:rsid w:val="00294B70"/>
    <w:rsid w:val="00296974"/>
    <w:rsid w:val="002979F9"/>
    <w:rsid w:val="002A0A13"/>
    <w:rsid w:val="002A25E1"/>
    <w:rsid w:val="002A383F"/>
    <w:rsid w:val="002A4576"/>
    <w:rsid w:val="002A5BBD"/>
    <w:rsid w:val="002B0A87"/>
    <w:rsid w:val="002B1292"/>
    <w:rsid w:val="002C08DC"/>
    <w:rsid w:val="002C300B"/>
    <w:rsid w:val="002C4AF1"/>
    <w:rsid w:val="002C4C1C"/>
    <w:rsid w:val="002C5D30"/>
    <w:rsid w:val="002C6930"/>
    <w:rsid w:val="002C7146"/>
    <w:rsid w:val="002D78E2"/>
    <w:rsid w:val="002E402F"/>
    <w:rsid w:val="002E511B"/>
    <w:rsid w:val="002E7626"/>
    <w:rsid w:val="002F699D"/>
    <w:rsid w:val="00307AE0"/>
    <w:rsid w:val="00307BFE"/>
    <w:rsid w:val="00312B77"/>
    <w:rsid w:val="0031333A"/>
    <w:rsid w:val="00317DD2"/>
    <w:rsid w:val="00327C02"/>
    <w:rsid w:val="003317E1"/>
    <w:rsid w:val="0033203C"/>
    <w:rsid w:val="003332FA"/>
    <w:rsid w:val="003334AB"/>
    <w:rsid w:val="003339B8"/>
    <w:rsid w:val="003341CD"/>
    <w:rsid w:val="00335D84"/>
    <w:rsid w:val="00337227"/>
    <w:rsid w:val="0034137F"/>
    <w:rsid w:val="00344062"/>
    <w:rsid w:val="00344372"/>
    <w:rsid w:val="00344A39"/>
    <w:rsid w:val="00345A82"/>
    <w:rsid w:val="00347330"/>
    <w:rsid w:val="003511CC"/>
    <w:rsid w:val="00361229"/>
    <w:rsid w:val="00361D48"/>
    <w:rsid w:val="00370F6C"/>
    <w:rsid w:val="00371A66"/>
    <w:rsid w:val="003732CB"/>
    <w:rsid w:val="003777C4"/>
    <w:rsid w:val="00380447"/>
    <w:rsid w:val="003822B8"/>
    <w:rsid w:val="00384A70"/>
    <w:rsid w:val="0038537C"/>
    <w:rsid w:val="00385665"/>
    <w:rsid w:val="00396923"/>
    <w:rsid w:val="00397570"/>
    <w:rsid w:val="003A1A45"/>
    <w:rsid w:val="003A2090"/>
    <w:rsid w:val="003A4A7E"/>
    <w:rsid w:val="003B2C05"/>
    <w:rsid w:val="003B4D9B"/>
    <w:rsid w:val="003B6A39"/>
    <w:rsid w:val="003C23A9"/>
    <w:rsid w:val="003C53EE"/>
    <w:rsid w:val="003D0657"/>
    <w:rsid w:val="003D25B0"/>
    <w:rsid w:val="003D4C0C"/>
    <w:rsid w:val="003D53EB"/>
    <w:rsid w:val="003D568B"/>
    <w:rsid w:val="003E40D6"/>
    <w:rsid w:val="003F00F5"/>
    <w:rsid w:val="003F2258"/>
    <w:rsid w:val="003F25FE"/>
    <w:rsid w:val="003F370D"/>
    <w:rsid w:val="003F3AD0"/>
    <w:rsid w:val="003F4E0E"/>
    <w:rsid w:val="003F6313"/>
    <w:rsid w:val="0040185C"/>
    <w:rsid w:val="00401C56"/>
    <w:rsid w:val="00402528"/>
    <w:rsid w:val="00402E4F"/>
    <w:rsid w:val="00403A43"/>
    <w:rsid w:val="00403C5C"/>
    <w:rsid w:val="00411B15"/>
    <w:rsid w:val="00412DF9"/>
    <w:rsid w:val="00414845"/>
    <w:rsid w:val="00417267"/>
    <w:rsid w:val="004251AA"/>
    <w:rsid w:val="00425A0B"/>
    <w:rsid w:val="004329E7"/>
    <w:rsid w:val="004339CA"/>
    <w:rsid w:val="0043631A"/>
    <w:rsid w:val="00440129"/>
    <w:rsid w:val="00443BB4"/>
    <w:rsid w:val="00444A1A"/>
    <w:rsid w:val="00444A6F"/>
    <w:rsid w:val="00452F83"/>
    <w:rsid w:val="00453CAA"/>
    <w:rsid w:val="0045430B"/>
    <w:rsid w:val="004549F4"/>
    <w:rsid w:val="004559BD"/>
    <w:rsid w:val="00461BB5"/>
    <w:rsid w:val="0046456A"/>
    <w:rsid w:val="00470C64"/>
    <w:rsid w:val="00472675"/>
    <w:rsid w:val="00484BAF"/>
    <w:rsid w:val="004929E2"/>
    <w:rsid w:val="00493E6C"/>
    <w:rsid w:val="00494D54"/>
    <w:rsid w:val="004A1CE2"/>
    <w:rsid w:val="004A1EA0"/>
    <w:rsid w:val="004A24D5"/>
    <w:rsid w:val="004A3117"/>
    <w:rsid w:val="004A5412"/>
    <w:rsid w:val="004A5580"/>
    <w:rsid w:val="004B11C7"/>
    <w:rsid w:val="004B52A6"/>
    <w:rsid w:val="004B7846"/>
    <w:rsid w:val="004C5663"/>
    <w:rsid w:val="004C5B5B"/>
    <w:rsid w:val="004D02C3"/>
    <w:rsid w:val="004D38B8"/>
    <w:rsid w:val="004D5C3A"/>
    <w:rsid w:val="004D7AF3"/>
    <w:rsid w:val="004E1DFD"/>
    <w:rsid w:val="004E27A4"/>
    <w:rsid w:val="004E308B"/>
    <w:rsid w:val="004E42DD"/>
    <w:rsid w:val="004F32FC"/>
    <w:rsid w:val="004F5AE7"/>
    <w:rsid w:val="005004EE"/>
    <w:rsid w:val="0050182F"/>
    <w:rsid w:val="00504D46"/>
    <w:rsid w:val="005071DB"/>
    <w:rsid w:val="00510545"/>
    <w:rsid w:val="005109BB"/>
    <w:rsid w:val="005115ED"/>
    <w:rsid w:val="00517AD9"/>
    <w:rsid w:val="00521539"/>
    <w:rsid w:val="005240E0"/>
    <w:rsid w:val="00524325"/>
    <w:rsid w:val="00524E62"/>
    <w:rsid w:val="00527DFF"/>
    <w:rsid w:val="00531ACD"/>
    <w:rsid w:val="0053574A"/>
    <w:rsid w:val="00535B27"/>
    <w:rsid w:val="00541990"/>
    <w:rsid w:val="00543184"/>
    <w:rsid w:val="0054328A"/>
    <w:rsid w:val="005435BB"/>
    <w:rsid w:val="005444BF"/>
    <w:rsid w:val="00545BE3"/>
    <w:rsid w:val="00547B95"/>
    <w:rsid w:val="00551E64"/>
    <w:rsid w:val="00553967"/>
    <w:rsid w:val="00554F69"/>
    <w:rsid w:val="0055614D"/>
    <w:rsid w:val="00557EB1"/>
    <w:rsid w:val="0056005E"/>
    <w:rsid w:val="005601E7"/>
    <w:rsid w:val="00560AD3"/>
    <w:rsid w:val="005618D0"/>
    <w:rsid w:val="00562738"/>
    <w:rsid w:val="00565CB4"/>
    <w:rsid w:val="00573055"/>
    <w:rsid w:val="005819FF"/>
    <w:rsid w:val="00587D1A"/>
    <w:rsid w:val="00590F41"/>
    <w:rsid w:val="00594768"/>
    <w:rsid w:val="005A1D44"/>
    <w:rsid w:val="005A309F"/>
    <w:rsid w:val="005A43ED"/>
    <w:rsid w:val="005A69BF"/>
    <w:rsid w:val="005A7FB6"/>
    <w:rsid w:val="005B0AF4"/>
    <w:rsid w:val="005B774C"/>
    <w:rsid w:val="005C2B2B"/>
    <w:rsid w:val="005C6F77"/>
    <w:rsid w:val="005C755D"/>
    <w:rsid w:val="005C7C1E"/>
    <w:rsid w:val="005D0790"/>
    <w:rsid w:val="005D3AB5"/>
    <w:rsid w:val="005D6D9E"/>
    <w:rsid w:val="005E4C90"/>
    <w:rsid w:val="005E4D48"/>
    <w:rsid w:val="005E60E9"/>
    <w:rsid w:val="005F1FC8"/>
    <w:rsid w:val="005F5EDD"/>
    <w:rsid w:val="005F66BB"/>
    <w:rsid w:val="00600125"/>
    <w:rsid w:val="00600266"/>
    <w:rsid w:val="00600D88"/>
    <w:rsid w:val="0060356C"/>
    <w:rsid w:val="00612E50"/>
    <w:rsid w:val="00615049"/>
    <w:rsid w:val="00622238"/>
    <w:rsid w:val="00622A95"/>
    <w:rsid w:val="006231E1"/>
    <w:rsid w:val="006233FF"/>
    <w:rsid w:val="00632526"/>
    <w:rsid w:val="00633BE1"/>
    <w:rsid w:val="006347E9"/>
    <w:rsid w:val="0063698A"/>
    <w:rsid w:val="00636D8E"/>
    <w:rsid w:val="0063798E"/>
    <w:rsid w:val="00645153"/>
    <w:rsid w:val="00652863"/>
    <w:rsid w:val="00654440"/>
    <w:rsid w:val="006571CC"/>
    <w:rsid w:val="006616F6"/>
    <w:rsid w:val="00662707"/>
    <w:rsid w:val="00667481"/>
    <w:rsid w:val="00670031"/>
    <w:rsid w:val="00672A46"/>
    <w:rsid w:val="00680560"/>
    <w:rsid w:val="00685A18"/>
    <w:rsid w:val="00687AC9"/>
    <w:rsid w:val="00693058"/>
    <w:rsid w:val="006957BB"/>
    <w:rsid w:val="00695F9B"/>
    <w:rsid w:val="00696103"/>
    <w:rsid w:val="006A171E"/>
    <w:rsid w:val="006A70E9"/>
    <w:rsid w:val="006A7384"/>
    <w:rsid w:val="006A79FF"/>
    <w:rsid w:val="006B37C0"/>
    <w:rsid w:val="006B4B39"/>
    <w:rsid w:val="006B5C24"/>
    <w:rsid w:val="006B73E3"/>
    <w:rsid w:val="006C2E9D"/>
    <w:rsid w:val="006C32DA"/>
    <w:rsid w:val="006C7CB7"/>
    <w:rsid w:val="006D42B1"/>
    <w:rsid w:val="006D53DD"/>
    <w:rsid w:val="006D5FCE"/>
    <w:rsid w:val="006D60BD"/>
    <w:rsid w:val="006D7FF8"/>
    <w:rsid w:val="006E0324"/>
    <w:rsid w:val="006E3846"/>
    <w:rsid w:val="006F3260"/>
    <w:rsid w:val="006F48AD"/>
    <w:rsid w:val="006F4B9F"/>
    <w:rsid w:val="006F516B"/>
    <w:rsid w:val="006F6E0B"/>
    <w:rsid w:val="00702976"/>
    <w:rsid w:val="00704CF9"/>
    <w:rsid w:val="00711371"/>
    <w:rsid w:val="007202EE"/>
    <w:rsid w:val="00720479"/>
    <w:rsid w:val="00720A1D"/>
    <w:rsid w:val="0072211E"/>
    <w:rsid w:val="0072255E"/>
    <w:rsid w:val="00722FFB"/>
    <w:rsid w:val="00724369"/>
    <w:rsid w:val="0072478D"/>
    <w:rsid w:val="00725105"/>
    <w:rsid w:val="00725ADB"/>
    <w:rsid w:val="00725D21"/>
    <w:rsid w:val="007265C3"/>
    <w:rsid w:val="00730298"/>
    <w:rsid w:val="00732E0D"/>
    <w:rsid w:val="007331C6"/>
    <w:rsid w:val="0073506A"/>
    <w:rsid w:val="0073688E"/>
    <w:rsid w:val="00740702"/>
    <w:rsid w:val="0074223B"/>
    <w:rsid w:val="00745595"/>
    <w:rsid w:val="00746B74"/>
    <w:rsid w:val="007476A0"/>
    <w:rsid w:val="007523BE"/>
    <w:rsid w:val="00753D29"/>
    <w:rsid w:val="0075526C"/>
    <w:rsid w:val="00756A36"/>
    <w:rsid w:val="00760903"/>
    <w:rsid w:val="00761A88"/>
    <w:rsid w:val="007620B3"/>
    <w:rsid w:val="00762940"/>
    <w:rsid w:val="00762EA3"/>
    <w:rsid w:val="007642F7"/>
    <w:rsid w:val="0076567B"/>
    <w:rsid w:val="00766872"/>
    <w:rsid w:val="00767CCB"/>
    <w:rsid w:val="00775E01"/>
    <w:rsid w:val="00776169"/>
    <w:rsid w:val="0078308B"/>
    <w:rsid w:val="007835FD"/>
    <w:rsid w:val="00785B21"/>
    <w:rsid w:val="00787B46"/>
    <w:rsid w:val="00793C8A"/>
    <w:rsid w:val="0079707A"/>
    <w:rsid w:val="007A1602"/>
    <w:rsid w:val="007A1AC8"/>
    <w:rsid w:val="007A3CEA"/>
    <w:rsid w:val="007A6BC1"/>
    <w:rsid w:val="007A72E4"/>
    <w:rsid w:val="007B065E"/>
    <w:rsid w:val="007B0714"/>
    <w:rsid w:val="007B0D40"/>
    <w:rsid w:val="007B5530"/>
    <w:rsid w:val="007C1A43"/>
    <w:rsid w:val="007C1E45"/>
    <w:rsid w:val="007C226C"/>
    <w:rsid w:val="007C4D8E"/>
    <w:rsid w:val="007C5557"/>
    <w:rsid w:val="007C632E"/>
    <w:rsid w:val="007C76AA"/>
    <w:rsid w:val="007D5F0D"/>
    <w:rsid w:val="007D6120"/>
    <w:rsid w:val="007D6504"/>
    <w:rsid w:val="007D6CBA"/>
    <w:rsid w:val="007D78C8"/>
    <w:rsid w:val="007E1705"/>
    <w:rsid w:val="007F134D"/>
    <w:rsid w:val="007F2E35"/>
    <w:rsid w:val="007F2F20"/>
    <w:rsid w:val="007F3ABE"/>
    <w:rsid w:val="007F630A"/>
    <w:rsid w:val="007F67D1"/>
    <w:rsid w:val="007F7254"/>
    <w:rsid w:val="0080289D"/>
    <w:rsid w:val="00803D62"/>
    <w:rsid w:val="008045ED"/>
    <w:rsid w:val="00807D21"/>
    <w:rsid w:val="00821FF2"/>
    <w:rsid w:val="00823A5C"/>
    <w:rsid w:val="00824002"/>
    <w:rsid w:val="00824DB5"/>
    <w:rsid w:val="00825BC8"/>
    <w:rsid w:val="00826F4B"/>
    <w:rsid w:val="00831705"/>
    <w:rsid w:val="008328C2"/>
    <w:rsid w:val="00833319"/>
    <w:rsid w:val="00836F4B"/>
    <w:rsid w:val="00842361"/>
    <w:rsid w:val="00842447"/>
    <w:rsid w:val="008515F5"/>
    <w:rsid w:val="00853F80"/>
    <w:rsid w:val="00856C15"/>
    <w:rsid w:val="008639C9"/>
    <w:rsid w:val="00866522"/>
    <w:rsid w:val="0087159E"/>
    <w:rsid w:val="00872124"/>
    <w:rsid w:val="008770E5"/>
    <w:rsid w:val="00882154"/>
    <w:rsid w:val="0088351B"/>
    <w:rsid w:val="0088437E"/>
    <w:rsid w:val="00885709"/>
    <w:rsid w:val="00885BA4"/>
    <w:rsid w:val="00887302"/>
    <w:rsid w:val="00887F1D"/>
    <w:rsid w:val="00890682"/>
    <w:rsid w:val="00890BCF"/>
    <w:rsid w:val="00890DE3"/>
    <w:rsid w:val="00892E88"/>
    <w:rsid w:val="00893B8C"/>
    <w:rsid w:val="00894086"/>
    <w:rsid w:val="00895DD5"/>
    <w:rsid w:val="00895E9B"/>
    <w:rsid w:val="00896C9F"/>
    <w:rsid w:val="008A012F"/>
    <w:rsid w:val="008A0210"/>
    <w:rsid w:val="008A58DD"/>
    <w:rsid w:val="008B28F3"/>
    <w:rsid w:val="008B3BFC"/>
    <w:rsid w:val="008B3DF0"/>
    <w:rsid w:val="008C22F4"/>
    <w:rsid w:val="008C3961"/>
    <w:rsid w:val="008C742E"/>
    <w:rsid w:val="008D77D5"/>
    <w:rsid w:val="008E28E5"/>
    <w:rsid w:val="008E3315"/>
    <w:rsid w:val="008E5895"/>
    <w:rsid w:val="008E6068"/>
    <w:rsid w:val="008E6B90"/>
    <w:rsid w:val="008F0B20"/>
    <w:rsid w:val="008F3AEA"/>
    <w:rsid w:val="008F5E25"/>
    <w:rsid w:val="00901D0F"/>
    <w:rsid w:val="009025D3"/>
    <w:rsid w:val="009035E9"/>
    <w:rsid w:val="009076B4"/>
    <w:rsid w:val="00912EF9"/>
    <w:rsid w:val="00913376"/>
    <w:rsid w:val="00915C93"/>
    <w:rsid w:val="00916493"/>
    <w:rsid w:val="00920588"/>
    <w:rsid w:val="009229F8"/>
    <w:rsid w:val="00923CD2"/>
    <w:rsid w:val="00924AE4"/>
    <w:rsid w:val="00930200"/>
    <w:rsid w:val="0093063A"/>
    <w:rsid w:val="00933089"/>
    <w:rsid w:val="00934514"/>
    <w:rsid w:val="00940C60"/>
    <w:rsid w:val="00947FE5"/>
    <w:rsid w:val="0095216C"/>
    <w:rsid w:val="0095368D"/>
    <w:rsid w:val="009548B1"/>
    <w:rsid w:val="00955B18"/>
    <w:rsid w:val="00961356"/>
    <w:rsid w:val="009617C7"/>
    <w:rsid w:val="00962D27"/>
    <w:rsid w:val="00963017"/>
    <w:rsid w:val="00965149"/>
    <w:rsid w:val="00972EC6"/>
    <w:rsid w:val="0097387F"/>
    <w:rsid w:val="00976F15"/>
    <w:rsid w:val="00977A01"/>
    <w:rsid w:val="00984E92"/>
    <w:rsid w:val="0099695A"/>
    <w:rsid w:val="009A2FA7"/>
    <w:rsid w:val="009A5A2F"/>
    <w:rsid w:val="009B2166"/>
    <w:rsid w:val="009B3D48"/>
    <w:rsid w:val="009B66F2"/>
    <w:rsid w:val="009C2418"/>
    <w:rsid w:val="009C2D45"/>
    <w:rsid w:val="009C4265"/>
    <w:rsid w:val="009C769C"/>
    <w:rsid w:val="009C77A3"/>
    <w:rsid w:val="009D30B8"/>
    <w:rsid w:val="009D3557"/>
    <w:rsid w:val="009D3A25"/>
    <w:rsid w:val="009E1EB5"/>
    <w:rsid w:val="009E3E26"/>
    <w:rsid w:val="009E49E0"/>
    <w:rsid w:val="009F681F"/>
    <w:rsid w:val="00A031F2"/>
    <w:rsid w:val="00A07009"/>
    <w:rsid w:val="00A108FD"/>
    <w:rsid w:val="00A11C78"/>
    <w:rsid w:val="00A13211"/>
    <w:rsid w:val="00A14B98"/>
    <w:rsid w:val="00A14D1D"/>
    <w:rsid w:val="00A22FC6"/>
    <w:rsid w:val="00A232AF"/>
    <w:rsid w:val="00A25944"/>
    <w:rsid w:val="00A27F4B"/>
    <w:rsid w:val="00A3387E"/>
    <w:rsid w:val="00A3685D"/>
    <w:rsid w:val="00A416E4"/>
    <w:rsid w:val="00A41CB4"/>
    <w:rsid w:val="00A43A50"/>
    <w:rsid w:val="00A44B1D"/>
    <w:rsid w:val="00A4528C"/>
    <w:rsid w:val="00A47A96"/>
    <w:rsid w:val="00A51331"/>
    <w:rsid w:val="00A517AC"/>
    <w:rsid w:val="00A51BC2"/>
    <w:rsid w:val="00A528DF"/>
    <w:rsid w:val="00A53C63"/>
    <w:rsid w:val="00A544DF"/>
    <w:rsid w:val="00A567D6"/>
    <w:rsid w:val="00A57410"/>
    <w:rsid w:val="00A60800"/>
    <w:rsid w:val="00A61D08"/>
    <w:rsid w:val="00A733FD"/>
    <w:rsid w:val="00A736DB"/>
    <w:rsid w:val="00A776D7"/>
    <w:rsid w:val="00A80E85"/>
    <w:rsid w:val="00A82161"/>
    <w:rsid w:val="00A84139"/>
    <w:rsid w:val="00A9341F"/>
    <w:rsid w:val="00A94DFE"/>
    <w:rsid w:val="00AA06CF"/>
    <w:rsid w:val="00AA31C1"/>
    <w:rsid w:val="00AA4F34"/>
    <w:rsid w:val="00AA4FB9"/>
    <w:rsid w:val="00AA55BC"/>
    <w:rsid w:val="00AB79C5"/>
    <w:rsid w:val="00AB7A2B"/>
    <w:rsid w:val="00AC0943"/>
    <w:rsid w:val="00AC0A04"/>
    <w:rsid w:val="00AC0E28"/>
    <w:rsid w:val="00AC2B04"/>
    <w:rsid w:val="00AC45C9"/>
    <w:rsid w:val="00AC667B"/>
    <w:rsid w:val="00AC6D6C"/>
    <w:rsid w:val="00AD0B7A"/>
    <w:rsid w:val="00AD0DFC"/>
    <w:rsid w:val="00AD174A"/>
    <w:rsid w:val="00AE0810"/>
    <w:rsid w:val="00AE3E99"/>
    <w:rsid w:val="00AE6EAF"/>
    <w:rsid w:val="00AF19A3"/>
    <w:rsid w:val="00AF3BA6"/>
    <w:rsid w:val="00AF7239"/>
    <w:rsid w:val="00B0111B"/>
    <w:rsid w:val="00B064EA"/>
    <w:rsid w:val="00B068D1"/>
    <w:rsid w:val="00B06CC2"/>
    <w:rsid w:val="00B14CCC"/>
    <w:rsid w:val="00B17E48"/>
    <w:rsid w:val="00B21A36"/>
    <w:rsid w:val="00B22675"/>
    <w:rsid w:val="00B22C16"/>
    <w:rsid w:val="00B27CB0"/>
    <w:rsid w:val="00B308EA"/>
    <w:rsid w:val="00B32946"/>
    <w:rsid w:val="00B346DD"/>
    <w:rsid w:val="00B35E2C"/>
    <w:rsid w:val="00B45CAA"/>
    <w:rsid w:val="00B47E51"/>
    <w:rsid w:val="00B50995"/>
    <w:rsid w:val="00B50B1E"/>
    <w:rsid w:val="00B55A24"/>
    <w:rsid w:val="00B577CF"/>
    <w:rsid w:val="00B60436"/>
    <w:rsid w:val="00B63F79"/>
    <w:rsid w:val="00B6650E"/>
    <w:rsid w:val="00B718C4"/>
    <w:rsid w:val="00B77DB6"/>
    <w:rsid w:val="00B86C5E"/>
    <w:rsid w:val="00B9788D"/>
    <w:rsid w:val="00BA05CF"/>
    <w:rsid w:val="00BA6A51"/>
    <w:rsid w:val="00BA6E7D"/>
    <w:rsid w:val="00BB1F47"/>
    <w:rsid w:val="00BC0153"/>
    <w:rsid w:val="00BC057F"/>
    <w:rsid w:val="00BC0F23"/>
    <w:rsid w:val="00BC4FA7"/>
    <w:rsid w:val="00BC7726"/>
    <w:rsid w:val="00BD046F"/>
    <w:rsid w:val="00BD1EF8"/>
    <w:rsid w:val="00BD2AF4"/>
    <w:rsid w:val="00BD2ECE"/>
    <w:rsid w:val="00BD4AC2"/>
    <w:rsid w:val="00BD528E"/>
    <w:rsid w:val="00BD65DC"/>
    <w:rsid w:val="00BE1452"/>
    <w:rsid w:val="00BE2A76"/>
    <w:rsid w:val="00BE2B09"/>
    <w:rsid w:val="00BE60D2"/>
    <w:rsid w:val="00BF0934"/>
    <w:rsid w:val="00BF25B1"/>
    <w:rsid w:val="00BF326C"/>
    <w:rsid w:val="00BF3B88"/>
    <w:rsid w:val="00BF6C17"/>
    <w:rsid w:val="00C01702"/>
    <w:rsid w:val="00C01A16"/>
    <w:rsid w:val="00C04AE7"/>
    <w:rsid w:val="00C05406"/>
    <w:rsid w:val="00C05689"/>
    <w:rsid w:val="00C10CC8"/>
    <w:rsid w:val="00C115FA"/>
    <w:rsid w:val="00C15840"/>
    <w:rsid w:val="00C2036D"/>
    <w:rsid w:val="00C23782"/>
    <w:rsid w:val="00C239CB"/>
    <w:rsid w:val="00C24EDB"/>
    <w:rsid w:val="00C355E8"/>
    <w:rsid w:val="00C35FA1"/>
    <w:rsid w:val="00C36B4B"/>
    <w:rsid w:val="00C36BFB"/>
    <w:rsid w:val="00C42C11"/>
    <w:rsid w:val="00C43A36"/>
    <w:rsid w:val="00C44C4C"/>
    <w:rsid w:val="00C45DFD"/>
    <w:rsid w:val="00C511F9"/>
    <w:rsid w:val="00C53023"/>
    <w:rsid w:val="00C53979"/>
    <w:rsid w:val="00C60024"/>
    <w:rsid w:val="00C60118"/>
    <w:rsid w:val="00C62837"/>
    <w:rsid w:val="00C65DC9"/>
    <w:rsid w:val="00C660E4"/>
    <w:rsid w:val="00C67461"/>
    <w:rsid w:val="00C72003"/>
    <w:rsid w:val="00C91631"/>
    <w:rsid w:val="00C93350"/>
    <w:rsid w:val="00C957F5"/>
    <w:rsid w:val="00C97F6B"/>
    <w:rsid w:val="00CA03E2"/>
    <w:rsid w:val="00CA0FB1"/>
    <w:rsid w:val="00CA1936"/>
    <w:rsid w:val="00CA3F12"/>
    <w:rsid w:val="00CA61FF"/>
    <w:rsid w:val="00CB0B22"/>
    <w:rsid w:val="00CB0BF1"/>
    <w:rsid w:val="00CB1854"/>
    <w:rsid w:val="00CB332B"/>
    <w:rsid w:val="00CB370C"/>
    <w:rsid w:val="00CB5207"/>
    <w:rsid w:val="00CB70E9"/>
    <w:rsid w:val="00CD2CCB"/>
    <w:rsid w:val="00CD72C9"/>
    <w:rsid w:val="00CD75D5"/>
    <w:rsid w:val="00CE08E8"/>
    <w:rsid w:val="00CE357F"/>
    <w:rsid w:val="00CF1D38"/>
    <w:rsid w:val="00CF2419"/>
    <w:rsid w:val="00CF3AD7"/>
    <w:rsid w:val="00D01AE4"/>
    <w:rsid w:val="00D01B13"/>
    <w:rsid w:val="00D04964"/>
    <w:rsid w:val="00D06628"/>
    <w:rsid w:val="00D14808"/>
    <w:rsid w:val="00D1738B"/>
    <w:rsid w:val="00D17551"/>
    <w:rsid w:val="00D22A76"/>
    <w:rsid w:val="00D2797F"/>
    <w:rsid w:val="00D326AF"/>
    <w:rsid w:val="00D41D07"/>
    <w:rsid w:val="00D420CD"/>
    <w:rsid w:val="00D42698"/>
    <w:rsid w:val="00D43BAB"/>
    <w:rsid w:val="00D45293"/>
    <w:rsid w:val="00D461DC"/>
    <w:rsid w:val="00D474C9"/>
    <w:rsid w:val="00D53B21"/>
    <w:rsid w:val="00D57275"/>
    <w:rsid w:val="00D57A8E"/>
    <w:rsid w:val="00D612E8"/>
    <w:rsid w:val="00D65CA8"/>
    <w:rsid w:val="00D65E62"/>
    <w:rsid w:val="00D76A8D"/>
    <w:rsid w:val="00D8059E"/>
    <w:rsid w:val="00D81CA1"/>
    <w:rsid w:val="00D8213C"/>
    <w:rsid w:val="00D82FBC"/>
    <w:rsid w:val="00D84D92"/>
    <w:rsid w:val="00D86288"/>
    <w:rsid w:val="00D865F9"/>
    <w:rsid w:val="00D8682E"/>
    <w:rsid w:val="00D90945"/>
    <w:rsid w:val="00D90A9E"/>
    <w:rsid w:val="00D90BB3"/>
    <w:rsid w:val="00DA0937"/>
    <w:rsid w:val="00DA0C1A"/>
    <w:rsid w:val="00DA3B2F"/>
    <w:rsid w:val="00DA4C9A"/>
    <w:rsid w:val="00DB15E8"/>
    <w:rsid w:val="00DB1B01"/>
    <w:rsid w:val="00DB33C4"/>
    <w:rsid w:val="00DB4A5F"/>
    <w:rsid w:val="00DC7161"/>
    <w:rsid w:val="00DD181A"/>
    <w:rsid w:val="00DD4FB0"/>
    <w:rsid w:val="00DD7234"/>
    <w:rsid w:val="00DE4007"/>
    <w:rsid w:val="00DE713C"/>
    <w:rsid w:val="00DF2BD1"/>
    <w:rsid w:val="00DF3943"/>
    <w:rsid w:val="00DF6BBF"/>
    <w:rsid w:val="00E0163F"/>
    <w:rsid w:val="00E01F9B"/>
    <w:rsid w:val="00E031D6"/>
    <w:rsid w:val="00E042A1"/>
    <w:rsid w:val="00E045FC"/>
    <w:rsid w:val="00E1363F"/>
    <w:rsid w:val="00E13EB5"/>
    <w:rsid w:val="00E16B28"/>
    <w:rsid w:val="00E17C3C"/>
    <w:rsid w:val="00E20A09"/>
    <w:rsid w:val="00E214C8"/>
    <w:rsid w:val="00E22139"/>
    <w:rsid w:val="00E22AA1"/>
    <w:rsid w:val="00E31595"/>
    <w:rsid w:val="00E347FA"/>
    <w:rsid w:val="00E3618F"/>
    <w:rsid w:val="00E45943"/>
    <w:rsid w:val="00E528EC"/>
    <w:rsid w:val="00E52CA1"/>
    <w:rsid w:val="00E533B3"/>
    <w:rsid w:val="00E542BF"/>
    <w:rsid w:val="00E5484C"/>
    <w:rsid w:val="00E56235"/>
    <w:rsid w:val="00E57446"/>
    <w:rsid w:val="00E61999"/>
    <w:rsid w:val="00E6328B"/>
    <w:rsid w:val="00E641B0"/>
    <w:rsid w:val="00E65D33"/>
    <w:rsid w:val="00E705D6"/>
    <w:rsid w:val="00E71141"/>
    <w:rsid w:val="00E717A7"/>
    <w:rsid w:val="00E73979"/>
    <w:rsid w:val="00E742C0"/>
    <w:rsid w:val="00E74444"/>
    <w:rsid w:val="00E751FB"/>
    <w:rsid w:val="00E76071"/>
    <w:rsid w:val="00E778F4"/>
    <w:rsid w:val="00E81208"/>
    <w:rsid w:val="00E8473E"/>
    <w:rsid w:val="00E85026"/>
    <w:rsid w:val="00E87292"/>
    <w:rsid w:val="00E93B08"/>
    <w:rsid w:val="00E9760C"/>
    <w:rsid w:val="00EA1A9F"/>
    <w:rsid w:val="00EA3BE7"/>
    <w:rsid w:val="00EA5C73"/>
    <w:rsid w:val="00EB32B2"/>
    <w:rsid w:val="00EB5E7C"/>
    <w:rsid w:val="00EC1BFE"/>
    <w:rsid w:val="00EC2AE5"/>
    <w:rsid w:val="00EC2D7B"/>
    <w:rsid w:val="00EC53D3"/>
    <w:rsid w:val="00EC6255"/>
    <w:rsid w:val="00EC693B"/>
    <w:rsid w:val="00EC787B"/>
    <w:rsid w:val="00ED301B"/>
    <w:rsid w:val="00ED46B0"/>
    <w:rsid w:val="00ED6A2D"/>
    <w:rsid w:val="00EE1889"/>
    <w:rsid w:val="00EE1C19"/>
    <w:rsid w:val="00EE1EB7"/>
    <w:rsid w:val="00EE6B76"/>
    <w:rsid w:val="00EE7225"/>
    <w:rsid w:val="00EE7BF1"/>
    <w:rsid w:val="00EF0764"/>
    <w:rsid w:val="00EF1724"/>
    <w:rsid w:val="00EF3A2F"/>
    <w:rsid w:val="00EF6E08"/>
    <w:rsid w:val="00F00C3B"/>
    <w:rsid w:val="00F02AEB"/>
    <w:rsid w:val="00F04137"/>
    <w:rsid w:val="00F0559C"/>
    <w:rsid w:val="00F07C8C"/>
    <w:rsid w:val="00F112C8"/>
    <w:rsid w:val="00F13DD3"/>
    <w:rsid w:val="00F1499B"/>
    <w:rsid w:val="00F15A07"/>
    <w:rsid w:val="00F162CD"/>
    <w:rsid w:val="00F207A4"/>
    <w:rsid w:val="00F23A3B"/>
    <w:rsid w:val="00F24B98"/>
    <w:rsid w:val="00F26D96"/>
    <w:rsid w:val="00F30C40"/>
    <w:rsid w:val="00F311D4"/>
    <w:rsid w:val="00F31ECC"/>
    <w:rsid w:val="00F32A5B"/>
    <w:rsid w:val="00F3405A"/>
    <w:rsid w:val="00F376D6"/>
    <w:rsid w:val="00F426C6"/>
    <w:rsid w:val="00F43BA0"/>
    <w:rsid w:val="00F443E9"/>
    <w:rsid w:val="00F45D23"/>
    <w:rsid w:val="00F45E29"/>
    <w:rsid w:val="00F511AD"/>
    <w:rsid w:val="00F55A97"/>
    <w:rsid w:val="00F602E6"/>
    <w:rsid w:val="00F6074A"/>
    <w:rsid w:val="00F90359"/>
    <w:rsid w:val="00F90B10"/>
    <w:rsid w:val="00F9109E"/>
    <w:rsid w:val="00F952FD"/>
    <w:rsid w:val="00FA0641"/>
    <w:rsid w:val="00FA1905"/>
    <w:rsid w:val="00FA6501"/>
    <w:rsid w:val="00FB5649"/>
    <w:rsid w:val="00FC025C"/>
    <w:rsid w:val="00FC08A6"/>
    <w:rsid w:val="00FC2645"/>
    <w:rsid w:val="00FC4FD7"/>
    <w:rsid w:val="00FC6013"/>
    <w:rsid w:val="00FD3C74"/>
    <w:rsid w:val="00FD7987"/>
    <w:rsid w:val="00FE0B85"/>
    <w:rsid w:val="00FE0F17"/>
    <w:rsid w:val="00FE13E2"/>
    <w:rsid w:val="00FE4A2B"/>
    <w:rsid w:val="00FE67C9"/>
    <w:rsid w:val="00FF0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E74"/>
  <w15:docId w15:val="{9F56E8E4-154A-43ED-9FA7-BDC9091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331"/>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uiPriority w:val="39"/>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Bullet List,FooterText,Use Case List Paragraph,List1,numbered,Paragraphe de liste1,List Paragraph1,titulo 3,Ha,HOJA,Bolita,BOLADEF,Párrafo de lista21,BOLA,Nivel 1 OS,Lista vistosa - Énfasis 11,Colorful List - Accent 11"/>
    <w:basedOn w:val="Normal"/>
    <w:link w:val="PrrafodelistaCar"/>
    <w:uiPriority w:val="34"/>
    <w:qFormat/>
    <w:rsid w:val="003F2258"/>
    <w:pPr>
      <w:ind w:left="720"/>
      <w:contextualSpacing/>
    </w:pPr>
  </w:style>
  <w:style w:type="paragraph" w:styleId="Lista">
    <w:name w:val="List"/>
    <w:basedOn w:val="Normal"/>
    <w:rsid w:val="004B52A6"/>
    <w:pPr>
      <w:ind w:left="283" w:hanging="283"/>
    </w:pPr>
    <w:rPr>
      <w:lang w:val="es-ES" w:eastAsia="es-ES"/>
    </w:rPr>
  </w:style>
  <w:style w:type="paragraph" w:styleId="Lista2">
    <w:name w:val="List 2"/>
    <w:basedOn w:val="Normal"/>
    <w:uiPriority w:val="99"/>
    <w:unhideWhenUsed/>
    <w:rsid w:val="004B52A6"/>
    <w:pPr>
      <w:ind w:left="566" w:hanging="283"/>
      <w:contextualSpacing/>
    </w:pPr>
  </w:style>
  <w:style w:type="paragraph" w:styleId="Textoindependiente">
    <w:name w:val="Body Text"/>
    <w:aliases w:val="body text,bt"/>
    <w:basedOn w:val="Normal"/>
    <w:link w:val="TextoindependienteCar"/>
    <w:rsid w:val="004B52A6"/>
    <w:pPr>
      <w:jc w:val="both"/>
    </w:pPr>
    <w:rPr>
      <w:rFonts w:ascii="Arial" w:hAnsi="Arial" w:cs="Arial"/>
      <w:lang w:val="es-ES" w:eastAsia="es-ES"/>
    </w:rPr>
  </w:style>
  <w:style w:type="character" w:customStyle="1" w:styleId="TextoindependienteCar">
    <w:name w:val="Texto independiente Car"/>
    <w:aliases w:val="body text Car,bt Car"/>
    <w:basedOn w:val="Fuentedeprrafopredeter"/>
    <w:link w:val="Textoindependiente"/>
    <w:rsid w:val="004B52A6"/>
    <w:rPr>
      <w:rFonts w:ascii="Arial" w:eastAsia="Times New Roman" w:hAnsi="Arial" w:cs="Arial"/>
      <w:sz w:val="24"/>
      <w:szCs w:val="24"/>
      <w:lang w:val="es-ES" w:eastAsia="es-ES"/>
    </w:rPr>
  </w:style>
  <w:style w:type="character" w:styleId="Hipervnculo">
    <w:name w:val="Hyperlink"/>
    <w:basedOn w:val="Fuentedeprrafopredeter"/>
    <w:uiPriority w:val="99"/>
    <w:unhideWhenUsed/>
    <w:rsid w:val="0099695A"/>
    <w:rPr>
      <w:color w:val="0000FF"/>
      <w:u w:val="single"/>
    </w:rPr>
  </w:style>
  <w:style w:type="character" w:styleId="nfasisintenso">
    <w:name w:val="Intense Emphasis"/>
    <w:basedOn w:val="Fuentedeprrafopredeter"/>
    <w:uiPriority w:val="21"/>
    <w:qFormat/>
    <w:rsid w:val="00A94DFE"/>
    <w:rPr>
      <w:b/>
      <w:bCs/>
      <w:i/>
      <w:iCs/>
      <w:color w:val="4F81BD" w:themeColor="accent1"/>
    </w:rPr>
  </w:style>
  <w:style w:type="paragraph" w:customStyle="1" w:styleId="BodyText31">
    <w:name w:val="Body Text 31"/>
    <w:basedOn w:val="Normal"/>
    <w:rsid w:val="00F02AEB"/>
    <w:pPr>
      <w:widowControl w:val="0"/>
      <w:jc w:val="both"/>
    </w:pPr>
    <w:rPr>
      <w:rFonts w:ascii="Arial" w:hAnsi="Arial"/>
      <w:szCs w:val="20"/>
      <w:lang w:val="es-ES_tradnl" w:eastAsia="es-ES"/>
    </w:rPr>
  </w:style>
  <w:style w:type="paragraph" w:styleId="Descripcin">
    <w:name w:val="caption"/>
    <w:basedOn w:val="Normal"/>
    <w:next w:val="Normal"/>
    <w:uiPriority w:val="35"/>
    <w:unhideWhenUsed/>
    <w:qFormat/>
    <w:rsid w:val="00007AD4"/>
    <w:rPr>
      <w:i/>
      <w:iCs/>
      <w:color w:val="1F497D" w:themeColor="text2"/>
      <w:sz w:val="18"/>
      <w:szCs w:val="18"/>
    </w:rPr>
  </w:style>
  <w:style w:type="paragraph" w:customStyle="1" w:styleId="Caracteresenmarcados">
    <w:name w:val="Caracteres enmarcados"/>
    <w:basedOn w:val="Normal"/>
    <w:rsid w:val="00007AD4"/>
  </w:style>
  <w:style w:type="character" w:customStyle="1" w:styleId="DefaultCar">
    <w:name w:val="Default Car"/>
    <w:link w:val="Default"/>
    <w:locked/>
    <w:rsid w:val="00BC057F"/>
    <w:rPr>
      <w:rFonts w:ascii="Arial" w:hAnsi="Arial" w:cs="Arial"/>
      <w:color w:val="000000"/>
      <w:sz w:val="24"/>
      <w:szCs w:val="24"/>
    </w:rPr>
  </w:style>
  <w:style w:type="character" w:customStyle="1" w:styleId="eop">
    <w:name w:val="eop"/>
    <w:basedOn w:val="Fuentedeprrafopredeter"/>
    <w:rsid w:val="00BC057F"/>
  </w:style>
  <w:style w:type="character" w:customStyle="1" w:styleId="PrrafodelistaCar">
    <w:name w:val="Párrafo de lista Car"/>
    <w:aliases w:val="lp1 Car,Bullet List Car,FooterText Car,Use Case List Paragraph Car,List1 Car,numbered Car,Paragraphe de liste1 Car,List Paragraph1 Car,titulo 3 Car,Ha Car,HOJA Car,Bolita Car,BOLADEF Car,Párrafo de lista21 Car,BOLA Car"/>
    <w:basedOn w:val="Fuentedeprrafopredeter"/>
    <w:link w:val="Prrafodelista"/>
    <w:uiPriority w:val="34"/>
    <w:qFormat/>
    <w:locked/>
    <w:rsid w:val="00111C8D"/>
  </w:style>
  <w:style w:type="paragraph" w:customStyle="1" w:styleId="TableParagraph">
    <w:name w:val="Table Paragraph"/>
    <w:basedOn w:val="Normal"/>
    <w:uiPriority w:val="1"/>
    <w:qFormat/>
    <w:rsid w:val="002A4576"/>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2A457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Footnote Text Char"/>
    <w:basedOn w:val="Normal"/>
    <w:link w:val="TextonotapieCar"/>
    <w:uiPriority w:val="99"/>
    <w:rsid w:val="005109BB"/>
    <w:pPr>
      <w:suppressAutoHyphens/>
      <w:jc w:val="both"/>
    </w:pPr>
    <w:rPr>
      <w:rFonts w:ascii="Arial" w:hAnsi="Arial"/>
      <w:sz w:val="20"/>
      <w:szCs w:val="20"/>
      <w:lang w:eastAsia="ar-SA"/>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5109BB"/>
    <w:rPr>
      <w:rFonts w:ascii="Arial" w:eastAsia="Times New Roman" w:hAnsi="Arial" w:cs="Times New Roman"/>
      <w:sz w:val="20"/>
      <w:szCs w:val="20"/>
      <w:lang w:eastAsia="ar-SA"/>
    </w:rPr>
  </w:style>
  <w:style w:type="paragraph" w:styleId="Sinespaciado">
    <w:name w:val="No Spacing"/>
    <w:uiPriority w:val="1"/>
    <w:qFormat/>
    <w:rsid w:val="005109BB"/>
    <w:pPr>
      <w:suppressAutoHyphens/>
      <w:spacing w:after="0" w:line="240" w:lineRule="auto"/>
    </w:pPr>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19">
      <w:bodyDiv w:val="1"/>
      <w:marLeft w:val="0"/>
      <w:marRight w:val="0"/>
      <w:marTop w:val="0"/>
      <w:marBottom w:val="0"/>
      <w:divBdr>
        <w:top w:val="none" w:sz="0" w:space="0" w:color="auto"/>
        <w:left w:val="none" w:sz="0" w:space="0" w:color="auto"/>
        <w:bottom w:val="none" w:sz="0" w:space="0" w:color="auto"/>
        <w:right w:val="none" w:sz="0" w:space="0" w:color="auto"/>
      </w:divBdr>
    </w:div>
    <w:div w:id="25642269">
      <w:bodyDiv w:val="1"/>
      <w:marLeft w:val="0"/>
      <w:marRight w:val="0"/>
      <w:marTop w:val="0"/>
      <w:marBottom w:val="0"/>
      <w:divBdr>
        <w:top w:val="none" w:sz="0" w:space="0" w:color="auto"/>
        <w:left w:val="none" w:sz="0" w:space="0" w:color="auto"/>
        <w:bottom w:val="none" w:sz="0" w:space="0" w:color="auto"/>
        <w:right w:val="none" w:sz="0" w:space="0" w:color="auto"/>
      </w:divBdr>
    </w:div>
    <w:div w:id="42096932">
      <w:bodyDiv w:val="1"/>
      <w:marLeft w:val="0"/>
      <w:marRight w:val="0"/>
      <w:marTop w:val="0"/>
      <w:marBottom w:val="0"/>
      <w:divBdr>
        <w:top w:val="none" w:sz="0" w:space="0" w:color="auto"/>
        <w:left w:val="none" w:sz="0" w:space="0" w:color="auto"/>
        <w:bottom w:val="none" w:sz="0" w:space="0" w:color="auto"/>
        <w:right w:val="none" w:sz="0" w:space="0" w:color="auto"/>
      </w:divBdr>
    </w:div>
    <w:div w:id="58286467">
      <w:bodyDiv w:val="1"/>
      <w:marLeft w:val="0"/>
      <w:marRight w:val="0"/>
      <w:marTop w:val="0"/>
      <w:marBottom w:val="0"/>
      <w:divBdr>
        <w:top w:val="none" w:sz="0" w:space="0" w:color="auto"/>
        <w:left w:val="none" w:sz="0" w:space="0" w:color="auto"/>
        <w:bottom w:val="none" w:sz="0" w:space="0" w:color="auto"/>
        <w:right w:val="none" w:sz="0" w:space="0" w:color="auto"/>
      </w:divBdr>
    </w:div>
    <w:div w:id="72242545">
      <w:bodyDiv w:val="1"/>
      <w:marLeft w:val="0"/>
      <w:marRight w:val="0"/>
      <w:marTop w:val="0"/>
      <w:marBottom w:val="0"/>
      <w:divBdr>
        <w:top w:val="none" w:sz="0" w:space="0" w:color="auto"/>
        <w:left w:val="none" w:sz="0" w:space="0" w:color="auto"/>
        <w:bottom w:val="none" w:sz="0" w:space="0" w:color="auto"/>
        <w:right w:val="none" w:sz="0" w:space="0" w:color="auto"/>
      </w:divBdr>
    </w:div>
    <w:div w:id="78478798">
      <w:bodyDiv w:val="1"/>
      <w:marLeft w:val="0"/>
      <w:marRight w:val="0"/>
      <w:marTop w:val="0"/>
      <w:marBottom w:val="0"/>
      <w:divBdr>
        <w:top w:val="none" w:sz="0" w:space="0" w:color="auto"/>
        <w:left w:val="none" w:sz="0" w:space="0" w:color="auto"/>
        <w:bottom w:val="none" w:sz="0" w:space="0" w:color="auto"/>
        <w:right w:val="none" w:sz="0" w:space="0" w:color="auto"/>
      </w:divBdr>
    </w:div>
    <w:div w:id="95103742">
      <w:bodyDiv w:val="1"/>
      <w:marLeft w:val="0"/>
      <w:marRight w:val="0"/>
      <w:marTop w:val="0"/>
      <w:marBottom w:val="0"/>
      <w:divBdr>
        <w:top w:val="none" w:sz="0" w:space="0" w:color="auto"/>
        <w:left w:val="none" w:sz="0" w:space="0" w:color="auto"/>
        <w:bottom w:val="none" w:sz="0" w:space="0" w:color="auto"/>
        <w:right w:val="none" w:sz="0" w:space="0" w:color="auto"/>
      </w:divBdr>
    </w:div>
    <w:div w:id="142285121">
      <w:bodyDiv w:val="1"/>
      <w:marLeft w:val="0"/>
      <w:marRight w:val="0"/>
      <w:marTop w:val="0"/>
      <w:marBottom w:val="0"/>
      <w:divBdr>
        <w:top w:val="none" w:sz="0" w:space="0" w:color="auto"/>
        <w:left w:val="none" w:sz="0" w:space="0" w:color="auto"/>
        <w:bottom w:val="none" w:sz="0" w:space="0" w:color="auto"/>
        <w:right w:val="none" w:sz="0" w:space="0" w:color="auto"/>
      </w:divBdr>
    </w:div>
    <w:div w:id="145557041">
      <w:bodyDiv w:val="1"/>
      <w:marLeft w:val="0"/>
      <w:marRight w:val="0"/>
      <w:marTop w:val="0"/>
      <w:marBottom w:val="0"/>
      <w:divBdr>
        <w:top w:val="none" w:sz="0" w:space="0" w:color="auto"/>
        <w:left w:val="none" w:sz="0" w:space="0" w:color="auto"/>
        <w:bottom w:val="none" w:sz="0" w:space="0" w:color="auto"/>
        <w:right w:val="none" w:sz="0" w:space="0" w:color="auto"/>
      </w:divBdr>
    </w:div>
    <w:div w:id="171117216">
      <w:bodyDiv w:val="1"/>
      <w:marLeft w:val="0"/>
      <w:marRight w:val="0"/>
      <w:marTop w:val="0"/>
      <w:marBottom w:val="0"/>
      <w:divBdr>
        <w:top w:val="none" w:sz="0" w:space="0" w:color="auto"/>
        <w:left w:val="none" w:sz="0" w:space="0" w:color="auto"/>
        <w:bottom w:val="none" w:sz="0" w:space="0" w:color="auto"/>
        <w:right w:val="none" w:sz="0" w:space="0" w:color="auto"/>
      </w:divBdr>
    </w:div>
    <w:div w:id="210073353">
      <w:bodyDiv w:val="1"/>
      <w:marLeft w:val="0"/>
      <w:marRight w:val="0"/>
      <w:marTop w:val="0"/>
      <w:marBottom w:val="0"/>
      <w:divBdr>
        <w:top w:val="none" w:sz="0" w:space="0" w:color="auto"/>
        <w:left w:val="none" w:sz="0" w:space="0" w:color="auto"/>
        <w:bottom w:val="none" w:sz="0" w:space="0" w:color="auto"/>
        <w:right w:val="none" w:sz="0" w:space="0" w:color="auto"/>
      </w:divBdr>
    </w:div>
    <w:div w:id="260263183">
      <w:bodyDiv w:val="1"/>
      <w:marLeft w:val="0"/>
      <w:marRight w:val="0"/>
      <w:marTop w:val="0"/>
      <w:marBottom w:val="0"/>
      <w:divBdr>
        <w:top w:val="none" w:sz="0" w:space="0" w:color="auto"/>
        <w:left w:val="none" w:sz="0" w:space="0" w:color="auto"/>
        <w:bottom w:val="none" w:sz="0" w:space="0" w:color="auto"/>
        <w:right w:val="none" w:sz="0" w:space="0" w:color="auto"/>
      </w:divBdr>
    </w:div>
    <w:div w:id="276837160">
      <w:bodyDiv w:val="1"/>
      <w:marLeft w:val="0"/>
      <w:marRight w:val="0"/>
      <w:marTop w:val="0"/>
      <w:marBottom w:val="0"/>
      <w:divBdr>
        <w:top w:val="none" w:sz="0" w:space="0" w:color="auto"/>
        <w:left w:val="none" w:sz="0" w:space="0" w:color="auto"/>
        <w:bottom w:val="none" w:sz="0" w:space="0" w:color="auto"/>
        <w:right w:val="none" w:sz="0" w:space="0" w:color="auto"/>
      </w:divBdr>
    </w:div>
    <w:div w:id="281620932">
      <w:bodyDiv w:val="1"/>
      <w:marLeft w:val="0"/>
      <w:marRight w:val="0"/>
      <w:marTop w:val="0"/>
      <w:marBottom w:val="0"/>
      <w:divBdr>
        <w:top w:val="none" w:sz="0" w:space="0" w:color="auto"/>
        <w:left w:val="none" w:sz="0" w:space="0" w:color="auto"/>
        <w:bottom w:val="none" w:sz="0" w:space="0" w:color="auto"/>
        <w:right w:val="none" w:sz="0" w:space="0" w:color="auto"/>
      </w:divBdr>
    </w:div>
    <w:div w:id="289239634">
      <w:bodyDiv w:val="1"/>
      <w:marLeft w:val="0"/>
      <w:marRight w:val="0"/>
      <w:marTop w:val="0"/>
      <w:marBottom w:val="0"/>
      <w:divBdr>
        <w:top w:val="none" w:sz="0" w:space="0" w:color="auto"/>
        <w:left w:val="none" w:sz="0" w:space="0" w:color="auto"/>
        <w:bottom w:val="none" w:sz="0" w:space="0" w:color="auto"/>
        <w:right w:val="none" w:sz="0" w:space="0" w:color="auto"/>
      </w:divBdr>
    </w:div>
    <w:div w:id="336469248">
      <w:bodyDiv w:val="1"/>
      <w:marLeft w:val="0"/>
      <w:marRight w:val="0"/>
      <w:marTop w:val="0"/>
      <w:marBottom w:val="0"/>
      <w:divBdr>
        <w:top w:val="none" w:sz="0" w:space="0" w:color="auto"/>
        <w:left w:val="none" w:sz="0" w:space="0" w:color="auto"/>
        <w:bottom w:val="none" w:sz="0" w:space="0" w:color="auto"/>
        <w:right w:val="none" w:sz="0" w:space="0" w:color="auto"/>
      </w:divBdr>
    </w:div>
    <w:div w:id="350688533">
      <w:bodyDiv w:val="1"/>
      <w:marLeft w:val="0"/>
      <w:marRight w:val="0"/>
      <w:marTop w:val="0"/>
      <w:marBottom w:val="0"/>
      <w:divBdr>
        <w:top w:val="none" w:sz="0" w:space="0" w:color="auto"/>
        <w:left w:val="none" w:sz="0" w:space="0" w:color="auto"/>
        <w:bottom w:val="none" w:sz="0" w:space="0" w:color="auto"/>
        <w:right w:val="none" w:sz="0" w:space="0" w:color="auto"/>
      </w:divBdr>
    </w:div>
    <w:div w:id="384256593">
      <w:bodyDiv w:val="1"/>
      <w:marLeft w:val="0"/>
      <w:marRight w:val="0"/>
      <w:marTop w:val="0"/>
      <w:marBottom w:val="0"/>
      <w:divBdr>
        <w:top w:val="none" w:sz="0" w:space="0" w:color="auto"/>
        <w:left w:val="none" w:sz="0" w:space="0" w:color="auto"/>
        <w:bottom w:val="none" w:sz="0" w:space="0" w:color="auto"/>
        <w:right w:val="none" w:sz="0" w:space="0" w:color="auto"/>
      </w:divBdr>
    </w:div>
    <w:div w:id="403914677">
      <w:bodyDiv w:val="1"/>
      <w:marLeft w:val="0"/>
      <w:marRight w:val="0"/>
      <w:marTop w:val="0"/>
      <w:marBottom w:val="0"/>
      <w:divBdr>
        <w:top w:val="none" w:sz="0" w:space="0" w:color="auto"/>
        <w:left w:val="none" w:sz="0" w:space="0" w:color="auto"/>
        <w:bottom w:val="none" w:sz="0" w:space="0" w:color="auto"/>
        <w:right w:val="none" w:sz="0" w:space="0" w:color="auto"/>
      </w:divBdr>
    </w:div>
    <w:div w:id="415371044">
      <w:bodyDiv w:val="1"/>
      <w:marLeft w:val="0"/>
      <w:marRight w:val="0"/>
      <w:marTop w:val="0"/>
      <w:marBottom w:val="0"/>
      <w:divBdr>
        <w:top w:val="none" w:sz="0" w:space="0" w:color="auto"/>
        <w:left w:val="none" w:sz="0" w:space="0" w:color="auto"/>
        <w:bottom w:val="none" w:sz="0" w:space="0" w:color="auto"/>
        <w:right w:val="none" w:sz="0" w:space="0" w:color="auto"/>
      </w:divBdr>
    </w:div>
    <w:div w:id="506332534">
      <w:bodyDiv w:val="1"/>
      <w:marLeft w:val="0"/>
      <w:marRight w:val="0"/>
      <w:marTop w:val="0"/>
      <w:marBottom w:val="0"/>
      <w:divBdr>
        <w:top w:val="none" w:sz="0" w:space="0" w:color="auto"/>
        <w:left w:val="none" w:sz="0" w:space="0" w:color="auto"/>
        <w:bottom w:val="none" w:sz="0" w:space="0" w:color="auto"/>
        <w:right w:val="none" w:sz="0" w:space="0" w:color="auto"/>
      </w:divBdr>
    </w:div>
    <w:div w:id="528377593">
      <w:bodyDiv w:val="1"/>
      <w:marLeft w:val="0"/>
      <w:marRight w:val="0"/>
      <w:marTop w:val="0"/>
      <w:marBottom w:val="0"/>
      <w:divBdr>
        <w:top w:val="none" w:sz="0" w:space="0" w:color="auto"/>
        <w:left w:val="none" w:sz="0" w:space="0" w:color="auto"/>
        <w:bottom w:val="none" w:sz="0" w:space="0" w:color="auto"/>
        <w:right w:val="none" w:sz="0" w:space="0" w:color="auto"/>
      </w:divBdr>
    </w:div>
    <w:div w:id="584847806">
      <w:bodyDiv w:val="1"/>
      <w:marLeft w:val="0"/>
      <w:marRight w:val="0"/>
      <w:marTop w:val="0"/>
      <w:marBottom w:val="0"/>
      <w:divBdr>
        <w:top w:val="none" w:sz="0" w:space="0" w:color="auto"/>
        <w:left w:val="none" w:sz="0" w:space="0" w:color="auto"/>
        <w:bottom w:val="none" w:sz="0" w:space="0" w:color="auto"/>
        <w:right w:val="none" w:sz="0" w:space="0" w:color="auto"/>
      </w:divBdr>
    </w:div>
    <w:div w:id="604390880">
      <w:bodyDiv w:val="1"/>
      <w:marLeft w:val="0"/>
      <w:marRight w:val="0"/>
      <w:marTop w:val="0"/>
      <w:marBottom w:val="0"/>
      <w:divBdr>
        <w:top w:val="none" w:sz="0" w:space="0" w:color="auto"/>
        <w:left w:val="none" w:sz="0" w:space="0" w:color="auto"/>
        <w:bottom w:val="none" w:sz="0" w:space="0" w:color="auto"/>
        <w:right w:val="none" w:sz="0" w:space="0" w:color="auto"/>
      </w:divBdr>
    </w:div>
    <w:div w:id="608703185">
      <w:bodyDiv w:val="1"/>
      <w:marLeft w:val="0"/>
      <w:marRight w:val="0"/>
      <w:marTop w:val="0"/>
      <w:marBottom w:val="0"/>
      <w:divBdr>
        <w:top w:val="none" w:sz="0" w:space="0" w:color="auto"/>
        <w:left w:val="none" w:sz="0" w:space="0" w:color="auto"/>
        <w:bottom w:val="none" w:sz="0" w:space="0" w:color="auto"/>
        <w:right w:val="none" w:sz="0" w:space="0" w:color="auto"/>
      </w:divBdr>
    </w:div>
    <w:div w:id="654801012">
      <w:bodyDiv w:val="1"/>
      <w:marLeft w:val="0"/>
      <w:marRight w:val="0"/>
      <w:marTop w:val="0"/>
      <w:marBottom w:val="0"/>
      <w:divBdr>
        <w:top w:val="none" w:sz="0" w:space="0" w:color="auto"/>
        <w:left w:val="none" w:sz="0" w:space="0" w:color="auto"/>
        <w:bottom w:val="none" w:sz="0" w:space="0" w:color="auto"/>
        <w:right w:val="none" w:sz="0" w:space="0" w:color="auto"/>
      </w:divBdr>
    </w:div>
    <w:div w:id="655501788">
      <w:bodyDiv w:val="1"/>
      <w:marLeft w:val="0"/>
      <w:marRight w:val="0"/>
      <w:marTop w:val="0"/>
      <w:marBottom w:val="0"/>
      <w:divBdr>
        <w:top w:val="none" w:sz="0" w:space="0" w:color="auto"/>
        <w:left w:val="none" w:sz="0" w:space="0" w:color="auto"/>
        <w:bottom w:val="none" w:sz="0" w:space="0" w:color="auto"/>
        <w:right w:val="none" w:sz="0" w:space="0" w:color="auto"/>
      </w:divBdr>
    </w:div>
    <w:div w:id="658000119">
      <w:bodyDiv w:val="1"/>
      <w:marLeft w:val="0"/>
      <w:marRight w:val="0"/>
      <w:marTop w:val="0"/>
      <w:marBottom w:val="0"/>
      <w:divBdr>
        <w:top w:val="none" w:sz="0" w:space="0" w:color="auto"/>
        <w:left w:val="none" w:sz="0" w:space="0" w:color="auto"/>
        <w:bottom w:val="none" w:sz="0" w:space="0" w:color="auto"/>
        <w:right w:val="none" w:sz="0" w:space="0" w:color="auto"/>
      </w:divBdr>
    </w:div>
    <w:div w:id="659818477">
      <w:bodyDiv w:val="1"/>
      <w:marLeft w:val="0"/>
      <w:marRight w:val="0"/>
      <w:marTop w:val="0"/>
      <w:marBottom w:val="0"/>
      <w:divBdr>
        <w:top w:val="none" w:sz="0" w:space="0" w:color="auto"/>
        <w:left w:val="none" w:sz="0" w:space="0" w:color="auto"/>
        <w:bottom w:val="none" w:sz="0" w:space="0" w:color="auto"/>
        <w:right w:val="none" w:sz="0" w:space="0" w:color="auto"/>
      </w:divBdr>
    </w:div>
    <w:div w:id="680157537">
      <w:bodyDiv w:val="1"/>
      <w:marLeft w:val="0"/>
      <w:marRight w:val="0"/>
      <w:marTop w:val="0"/>
      <w:marBottom w:val="0"/>
      <w:divBdr>
        <w:top w:val="none" w:sz="0" w:space="0" w:color="auto"/>
        <w:left w:val="none" w:sz="0" w:space="0" w:color="auto"/>
        <w:bottom w:val="none" w:sz="0" w:space="0" w:color="auto"/>
        <w:right w:val="none" w:sz="0" w:space="0" w:color="auto"/>
      </w:divBdr>
    </w:div>
    <w:div w:id="698705658">
      <w:bodyDiv w:val="1"/>
      <w:marLeft w:val="0"/>
      <w:marRight w:val="0"/>
      <w:marTop w:val="0"/>
      <w:marBottom w:val="0"/>
      <w:divBdr>
        <w:top w:val="none" w:sz="0" w:space="0" w:color="auto"/>
        <w:left w:val="none" w:sz="0" w:space="0" w:color="auto"/>
        <w:bottom w:val="none" w:sz="0" w:space="0" w:color="auto"/>
        <w:right w:val="none" w:sz="0" w:space="0" w:color="auto"/>
      </w:divBdr>
    </w:div>
    <w:div w:id="699089803">
      <w:bodyDiv w:val="1"/>
      <w:marLeft w:val="0"/>
      <w:marRight w:val="0"/>
      <w:marTop w:val="0"/>
      <w:marBottom w:val="0"/>
      <w:divBdr>
        <w:top w:val="none" w:sz="0" w:space="0" w:color="auto"/>
        <w:left w:val="none" w:sz="0" w:space="0" w:color="auto"/>
        <w:bottom w:val="none" w:sz="0" w:space="0" w:color="auto"/>
        <w:right w:val="none" w:sz="0" w:space="0" w:color="auto"/>
      </w:divBdr>
    </w:div>
    <w:div w:id="715588372">
      <w:bodyDiv w:val="1"/>
      <w:marLeft w:val="0"/>
      <w:marRight w:val="0"/>
      <w:marTop w:val="0"/>
      <w:marBottom w:val="0"/>
      <w:divBdr>
        <w:top w:val="none" w:sz="0" w:space="0" w:color="auto"/>
        <w:left w:val="none" w:sz="0" w:space="0" w:color="auto"/>
        <w:bottom w:val="none" w:sz="0" w:space="0" w:color="auto"/>
        <w:right w:val="none" w:sz="0" w:space="0" w:color="auto"/>
      </w:divBdr>
    </w:div>
    <w:div w:id="755981197">
      <w:bodyDiv w:val="1"/>
      <w:marLeft w:val="0"/>
      <w:marRight w:val="0"/>
      <w:marTop w:val="0"/>
      <w:marBottom w:val="0"/>
      <w:divBdr>
        <w:top w:val="none" w:sz="0" w:space="0" w:color="auto"/>
        <w:left w:val="none" w:sz="0" w:space="0" w:color="auto"/>
        <w:bottom w:val="none" w:sz="0" w:space="0" w:color="auto"/>
        <w:right w:val="none" w:sz="0" w:space="0" w:color="auto"/>
      </w:divBdr>
    </w:div>
    <w:div w:id="763696350">
      <w:bodyDiv w:val="1"/>
      <w:marLeft w:val="0"/>
      <w:marRight w:val="0"/>
      <w:marTop w:val="0"/>
      <w:marBottom w:val="0"/>
      <w:divBdr>
        <w:top w:val="none" w:sz="0" w:space="0" w:color="auto"/>
        <w:left w:val="none" w:sz="0" w:space="0" w:color="auto"/>
        <w:bottom w:val="none" w:sz="0" w:space="0" w:color="auto"/>
        <w:right w:val="none" w:sz="0" w:space="0" w:color="auto"/>
      </w:divBdr>
    </w:div>
    <w:div w:id="793132866">
      <w:bodyDiv w:val="1"/>
      <w:marLeft w:val="0"/>
      <w:marRight w:val="0"/>
      <w:marTop w:val="0"/>
      <w:marBottom w:val="0"/>
      <w:divBdr>
        <w:top w:val="none" w:sz="0" w:space="0" w:color="auto"/>
        <w:left w:val="none" w:sz="0" w:space="0" w:color="auto"/>
        <w:bottom w:val="none" w:sz="0" w:space="0" w:color="auto"/>
        <w:right w:val="none" w:sz="0" w:space="0" w:color="auto"/>
      </w:divBdr>
    </w:div>
    <w:div w:id="808329639">
      <w:bodyDiv w:val="1"/>
      <w:marLeft w:val="0"/>
      <w:marRight w:val="0"/>
      <w:marTop w:val="0"/>
      <w:marBottom w:val="0"/>
      <w:divBdr>
        <w:top w:val="none" w:sz="0" w:space="0" w:color="auto"/>
        <w:left w:val="none" w:sz="0" w:space="0" w:color="auto"/>
        <w:bottom w:val="none" w:sz="0" w:space="0" w:color="auto"/>
        <w:right w:val="none" w:sz="0" w:space="0" w:color="auto"/>
      </w:divBdr>
    </w:div>
    <w:div w:id="811597828">
      <w:bodyDiv w:val="1"/>
      <w:marLeft w:val="0"/>
      <w:marRight w:val="0"/>
      <w:marTop w:val="0"/>
      <w:marBottom w:val="0"/>
      <w:divBdr>
        <w:top w:val="none" w:sz="0" w:space="0" w:color="auto"/>
        <w:left w:val="none" w:sz="0" w:space="0" w:color="auto"/>
        <w:bottom w:val="none" w:sz="0" w:space="0" w:color="auto"/>
        <w:right w:val="none" w:sz="0" w:space="0" w:color="auto"/>
      </w:divBdr>
    </w:div>
    <w:div w:id="836388068">
      <w:bodyDiv w:val="1"/>
      <w:marLeft w:val="0"/>
      <w:marRight w:val="0"/>
      <w:marTop w:val="0"/>
      <w:marBottom w:val="0"/>
      <w:divBdr>
        <w:top w:val="none" w:sz="0" w:space="0" w:color="auto"/>
        <w:left w:val="none" w:sz="0" w:space="0" w:color="auto"/>
        <w:bottom w:val="none" w:sz="0" w:space="0" w:color="auto"/>
        <w:right w:val="none" w:sz="0" w:space="0" w:color="auto"/>
      </w:divBdr>
    </w:div>
    <w:div w:id="862520342">
      <w:bodyDiv w:val="1"/>
      <w:marLeft w:val="0"/>
      <w:marRight w:val="0"/>
      <w:marTop w:val="0"/>
      <w:marBottom w:val="0"/>
      <w:divBdr>
        <w:top w:val="none" w:sz="0" w:space="0" w:color="auto"/>
        <w:left w:val="none" w:sz="0" w:space="0" w:color="auto"/>
        <w:bottom w:val="none" w:sz="0" w:space="0" w:color="auto"/>
        <w:right w:val="none" w:sz="0" w:space="0" w:color="auto"/>
      </w:divBdr>
    </w:div>
    <w:div w:id="878201790">
      <w:bodyDiv w:val="1"/>
      <w:marLeft w:val="0"/>
      <w:marRight w:val="0"/>
      <w:marTop w:val="0"/>
      <w:marBottom w:val="0"/>
      <w:divBdr>
        <w:top w:val="none" w:sz="0" w:space="0" w:color="auto"/>
        <w:left w:val="none" w:sz="0" w:space="0" w:color="auto"/>
        <w:bottom w:val="none" w:sz="0" w:space="0" w:color="auto"/>
        <w:right w:val="none" w:sz="0" w:space="0" w:color="auto"/>
      </w:divBdr>
    </w:div>
    <w:div w:id="922841501">
      <w:bodyDiv w:val="1"/>
      <w:marLeft w:val="0"/>
      <w:marRight w:val="0"/>
      <w:marTop w:val="0"/>
      <w:marBottom w:val="0"/>
      <w:divBdr>
        <w:top w:val="none" w:sz="0" w:space="0" w:color="auto"/>
        <w:left w:val="none" w:sz="0" w:space="0" w:color="auto"/>
        <w:bottom w:val="none" w:sz="0" w:space="0" w:color="auto"/>
        <w:right w:val="none" w:sz="0" w:space="0" w:color="auto"/>
      </w:divBdr>
    </w:div>
    <w:div w:id="946156055">
      <w:bodyDiv w:val="1"/>
      <w:marLeft w:val="0"/>
      <w:marRight w:val="0"/>
      <w:marTop w:val="0"/>
      <w:marBottom w:val="0"/>
      <w:divBdr>
        <w:top w:val="none" w:sz="0" w:space="0" w:color="auto"/>
        <w:left w:val="none" w:sz="0" w:space="0" w:color="auto"/>
        <w:bottom w:val="none" w:sz="0" w:space="0" w:color="auto"/>
        <w:right w:val="none" w:sz="0" w:space="0" w:color="auto"/>
      </w:divBdr>
    </w:div>
    <w:div w:id="963996693">
      <w:bodyDiv w:val="1"/>
      <w:marLeft w:val="0"/>
      <w:marRight w:val="0"/>
      <w:marTop w:val="0"/>
      <w:marBottom w:val="0"/>
      <w:divBdr>
        <w:top w:val="none" w:sz="0" w:space="0" w:color="auto"/>
        <w:left w:val="none" w:sz="0" w:space="0" w:color="auto"/>
        <w:bottom w:val="none" w:sz="0" w:space="0" w:color="auto"/>
        <w:right w:val="none" w:sz="0" w:space="0" w:color="auto"/>
      </w:divBdr>
    </w:div>
    <w:div w:id="965046152">
      <w:bodyDiv w:val="1"/>
      <w:marLeft w:val="0"/>
      <w:marRight w:val="0"/>
      <w:marTop w:val="0"/>
      <w:marBottom w:val="0"/>
      <w:divBdr>
        <w:top w:val="none" w:sz="0" w:space="0" w:color="auto"/>
        <w:left w:val="none" w:sz="0" w:space="0" w:color="auto"/>
        <w:bottom w:val="none" w:sz="0" w:space="0" w:color="auto"/>
        <w:right w:val="none" w:sz="0" w:space="0" w:color="auto"/>
      </w:divBdr>
    </w:div>
    <w:div w:id="987246900">
      <w:bodyDiv w:val="1"/>
      <w:marLeft w:val="0"/>
      <w:marRight w:val="0"/>
      <w:marTop w:val="0"/>
      <w:marBottom w:val="0"/>
      <w:divBdr>
        <w:top w:val="none" w:sz="0" w:space="0" w:color="auto"/>
        <w:left w:val="none" w:sz="0" w:space="0" w:color="auto"/>
        <w:bottom w:val="none" w:sz="0" w:space="0" w:color="auto"/>
        <w:right w:val="none" w:sz="0" w:space="0" w:color="auto"/>
      </w:divBdr>
    </w:div>
    <w:div w:id="1000619504">
      <w:bodyDiv w:val="1"/>
      <w:marLeft w:val="0"/>
      <w:marRight w:val="0"/>
      <w:marTop w:val="0"/>
      <w:marBottom w:val="0"/>
      <w:divBdr>
        <w:top w:val="none" w:sz="0" w:space="0" w:color="auto"/>
        <w:left w:val="none" w:sz="0" w:space="0" w:color="auto"/>
        <w:bottom w:val="none" w:sz="0" w:space="0" w:color="auto"/>
        <w:right w:val="none" w:sz="0" w:space="0" w:color="auto"/>
      </w:divBdr>
    </w:div>
    <w:div w:id="1002128480">
      <w:bodyDiv w:val="1"/>
      <w:marLeft w:val="0"/>
      <w:marRight w:val="0"/>
      <w:marTop w:val="0"/>
      <w:marBottom w:val="0"/>
      <w:divBdr>
        <w:top w:val="none" w:sz="0" w:space="0" w:color="auto"/>
        <w:left w:val="none" w:sz="0" w:space="0" w:color="auto"/>
        <w:bottom w:val="none" w:sz="0" w:space="0" w:color="auto"/>
        <w:right w:val="none" w:sz="0" w:space="0" w:color="auto"/>
      </w:divBdr>
    </w:div>
    <w:div w:id="1123842135">
      <w:bodyDiv w:val="1"/>
      <w:marLeft w:val="0"/>
      <w:marRight w:val="0"/>
      <w:marTop w:val="0"/>
      <w:marBottom w:val="0"/>
      <w:divBdr>
        <w:top w:val="none" w:sz="0" w:space="0" w:color="auto"/>
        <w:left w:val="none" w:sz="0" w:space="0" w:color="auto"/>
        <w:bottom w:val="none" w:sz="0" w:space="0" w:color="auto"/>
        <w:right w:val="none" w:sz="0" w:space="0" w:color="auto"/>
      </w:divBdr>
    </w:div>
    <w:div w:id="1127115645">
      <w:bodyDiv w:val="1"/>
      <w:marLeft w:val="0"/>
      <w:marRight w:val="0"/>
      <w:marTop w:val="0"/>
      <w:marBottom w:val="0"/>
      <w:divBdr>
        <w:top w:val="none" w:sz="0" w:space="0" w:color="auto"/>
        <w:left w:val="none" w:sz="0" w:space="0" w:color="auto"/>
        <w:bottom w:val="none" w:sz="0" w:space="0" w:color="auto"/>
        <w:right w:val="none" w:sz="0" w:space="0" w:color="auto"/>
      </w:divBdr>
    </w:div>
    <w:div w:id="1171529626">
      <w:bodyDiv w:val="1"/>
      <w:marLeft w:val="0"/>
      <w:marRight w:val="0"/>
      <w:marTop w:val="0"/>
      <w:marBottom w:val="0"/>
      <w:divBdr>
        <w:top w:val="none" w:sz="0" w:space="0" w:color="auto"/>
        <w:left w:val="none" w:sz="0" w:space="0" w:color="auto"/>
        <w:bottom w:val="none" w:sz="0" w:space="0" w:color="auto"/>
        <w:right w:val="none" w:sz="0" w:space="0" w:color="auto"/>
      </w:divBdr>
    </w:div>
    <w:div w:id="1208031280">
      <w:bodyDiv w:val="1"/>
      <w:marLeft w:val="0"/>
      <w:marRight w:val="0"/>
      <w:marTop w:val="0"/>
      <w:marBottom w:val="0"/>
      <w:divBdr>
        <w:top w:val="none" w:sz="0" w:space="0" w:color="auto"/>
        <w:left w:val="none" w:sz="0" w:space="0" w:color="auto"/>
        <w:bottom w:val="none" w:sz="0" w:space="0" w:color="auto"/>
        <w:right w:val="none" w:sz="0" w:space="0" w:color="auto"/>
      </w:divBdr>
    </w:div>
    <w:div w:id="1267153607">
      <w:bodyDiv w:val="1"/>
      <w:marLeft w:val="0"/>
      <w:marRight w:val="0"/>
      <w:marTop w:val="0"/>
      <w:marBottom w:val="0"/>
      <w:divBdr>
        <w:top w:val="none" w:sz="0" w:space="0" w:color="auto"/>
        <w:left w:val="none" w:sz="0" w:space="0" w:color="auto"/>
        <w:bottom w:val="none" w:sz="0" w:space="0" w:color="auto"/>
        <w:right w:val="none" w:sz="0" w:space="0" w:color="auto"/>
      </w:divBdr>
    </w:div>
    <w:div w:id="1281841029">
      <w:bodyDiv w:val="1"/>
      <w:marLeft w:val="0"/>
      <w:marRight w:val="0"/>
      <w:marTop w:val="0"/>
      <w:marBottom w:val="0"/>
      <w:divBdr>
        <w:top w:val="none" w:sz="0" w:space="0" w:color="auto"/>
        <w:left w:val="none" w:sz="0" w:space="0" w:color="auto"/>
        <w:bottom w:val="none" w:sz="0" w:space="0" w:color="auto"/>
        <w:right w:val="none" w:sz="0" w:space="0" w:color="auto"/>
      </w:divBdr>
    </w:div>
    <w:div w:id="1283683659">
      <w:bodyDiv w:val="1"/>
      <w:marLeft w:val="0"/>
      <w:marRight w:val="0"/>
      <w:marTop w:val="0"/>
      <w:marBottom w:val="0"/>
      <w:divBdr>
        <w:top w:val="none" w:sz="0" w:space="0" w:color="auto"/>
        <w:left w:val="none" w:sz="0" w:space="0" w:color="auto"/>
        <w:bottom w:val="none" w:sz="0" w:space="0" w:color="auto"/>
        <w:right w:val="none" w:sz="0" w:space="0" w:color="auto"/>
      </w:divBdr>
    </w:div>
    <w:div w:id="1314409506">
      <w:bodyDiv w:val="1"/>
      <w:marLeft w:val="0"/>
      <w:marRight w:val="0"/>
      <w:marTop w:val="0"/>
      <w:marBottom w:val="0"/>
      <w:divBdr>
        <w:top w:val="none" w:sz="0" w:space="0" w:color="auto"/>
        <w:left w:val="none" w:sz="0" w:space="0" w:color="auto"/>
        <w:bottom w:val="none" w:sz="0" w:space="0" w:color="auto"/>
        <w:right w:val="none" w:sz="0" w:space="0" w:color="auto"/>
      </w:divBdr>
    </w:div>
    <w:div w:id="1328284922">
      <w:bodyDiv w:val="1"/>
      <w:marLeft w:val="0"/>
      <w:marRight w:val="0"/>
      <w:marTop w:val="0"/>
      <w:marBottom w:val="0"/>
      <w:divBdr>
        <w:top w:val="none" w:sz="0" w:space="0" w:color="auto"/>
        <w:left w:val="none" w:sz="0" w:space="0" w:color="auto"/>
        <w:bottom w:val="none" w:sz="0" w:space="0" w:color="auto"/>
        <w:right w:val="none" w:sz="0" w:space="0" w:color="auto"/>
      </w:divBdr>
    </w:div>
    <w:div w:id="1384788957">
      <w:bodyDiv w:val="1"/>
      <w:marLeft w:val="0"/>
      <w:marRight w:val="0"/>
      <w:marTop w:val="0"/>
      <w:marBottom w:val="0"/>
      <w:divBdr>
        <w:top w:val="none" w:sz="0" w:space="0" w:color="auto"/>
        <w:left w:val="none" w:sz="0" w:space="0" w:color="auto"/>
        <w:bottom w:val="none" w:sz="0" w:space="0" w:color="auto"/>
        <w:right w:val="none" w:sz="0" w:space="0" w:color="auto"/>
      </w:divBdr>
    </w:div>
    <w:div w:id="1414858235">
      <w:bodyDiv w:val="1"/>
      <w:marLeft w:val="0"/>
      <w:marRight w:val="0"/>
      <w:marTop w:val="0"/>
      <w:marBottom w:val="0"/>
      <w:divBdr>
        <w:top w:val="none" w:sz="0" w:space="0" w:color="auto"/>
        <w:left w:val="none" w:sz="0" w:space="0" w:color="auto"/>
        <w:bottom w:val="none" w:sz="0" w:space="0" w:color="auto"/>
        <w:right w:val="none" w:sz="0" w:space="0" w:color="auto"/>
      </w:divBdr>
    </w:div>
    <w:div w:id="1445926951">
      <w:bodyDiv w:val="1"/>
      <w:marLeft w:val="0"/>
      <w:marRight w:val="0"/>
      <w:marTop w:val="0"/>
      <w:marBottom w:val="0"/>
      <w:divBdr>
        <w:top w:val="none" w:sz="0" w:space="0" w:color="auto"/>
        <w:left w:val="none" w:sz="0" w:space="0" w:color="auto"/>
        <w:bottom w:val="none" w:sz="0" w:space="0" w:color="auto"/>
        <w:right w:val="none" w:sz="0" w:space="0" w:color="auto"/>
      </w:divBdr>
    </w:div>
    <w:div w:id="1462961339">
      <w:bodyDiv w:val="1"/>
      <w:marLeft w:val="0"/>
      <w:marRight w:val="0"/>
      <w:marTop w:val="0"/>
      <w:marBottom w:val="0"/>
      <w:divBdr>
        <w:top w:val="none" w:sz="0" w:space="0" w:color="auto"/>
        <w:left w:val="none" w:sz="0" w:space="0" w:color="auto"/>
        <w:bottom w:val="none" w:sz="0" w:space="0" w:color="auto"/>
        <w:right w:val="none" w:sz="0" w:space="0" w:color="auto"/>
      </w:divBdr>
    </w:div>
    <w:div w:id="1471098145">
      <w:bodyDiv w:val="1"/>
      <w:marLeft w:val="0"/>
      <w:marRight w:val="0"/>
      <w:marTop w:val="0"/>
      <w:marBottom w:val="0"/>
      <w:divBdr>
        <w:top w:val="none" w:sz="0" w:space="0" w:color="auto"/>
        <w:left w:val="none" w:sz="0" w:space="0" w:color="auto"/>
        <w:bottom w:val="none" w:sz="0" w:space="0" w:color="auto"/>
        <w:right w:val="none" w:sz="0" w:space="0" w:color="auto"/>
      </w:divBdr>
    </w:div>
    <w:div w:id="1504278241">
      <w:bodyDiv w:val="1"/>
      <w:marLeft w:val="0"/>
      <w:marRight w:val="0"/>
      <w:marTop w:val="0"/>
      <w:marBottom w:val="0"/>
      <w:divBdr>
        <w:top w:val="none" w:sz="0" w:space="0" w:color="auto"/>
        <w:left w:val="none" w:sz="0" w:space="0" w:color="auto"/>
        <w:bottom w:val="none" w:sz="0" w:space="0" w:color="auto"/>
        <w:right w:val="none" w:sz="0" w:space="0" w:color="auto"/>
      </w:divBdr>
    </w:div>
    <w:div w:id="1527869623">
      <w:bodyDiv w:val="1"/>
      <w:marLeft w:val="0"/>
      <w:marRight w:val="0"/>
      <w:marTop w:val="0"/>
      <w:marBottom w:val="0"/>
      <w:divBdr>
        <w:top w:val="none" w:sz="0" w:space="0" w:color="auto"/>
        <w:left w:val="none" w:sz="0" w:space="0" w:color="auto"/>
        <w:bottom w:val="none" w:sz="0" w:space="0" w:color="auto"/>
        <w:right w:val="none" w:sz="0" w:space="0" w:color="auto"/>
      </w:divBdr>
    </w:div>
    <w:div w:id="1528984604">
      <w:bodyDiv w:val="1"/>
      <w:marLeft w:val="0"/>
      <w:marRight w:val="0"/>
      <w:marTop w:val="0"/>
      <w:marBottom w:val="0"/>
      <w:divBdr>
        <w:top w:val="none" w:sz="0" w:space="0" w:color="auto"/>
        <w:left w:val="none" w:sz="0" w:space="0" w:color="auto"/>
        <w:bottom w:val="none" w:sz="0" w:space="0" w:color="auto"/>
        <w:right w:val="none" w:sz="0" w:space="0" w:color="auto"/>
      </w:divBdr>
    </w:div>
    <w:div w:id="1573268596">
      <w:bodyDiv w:val="1"/>
      <w:marLeft w:val="0"/>
      <w:marRight w:val="0"/>
      <w:marTop w:val="0"/>
      <w:marBottom w:val="0"/>
      <w:divBdr>
        <w:top w:val="none" w:sz="0" w:space="0" w:color="auto"/>
        <w:left w:val="none" w:sz="0" w:space="0" w:color="auto"/>
        <w:bottom w:val="none" w:sz="0" w:space="0" w:color="auto"/>
        <w:right w:val="none" w:sz="0" w:space="0" w:color="auto"/>
      </w:divBdr>
    </w:div>
    <w:div w:id="1587182861">
      <w:bodyDiv w:val="1"/>
      <w:marLeft w:val="0"/>
      <w:marRight w:val="0"/>
      <w:marTop w:val="0"/>
      <w:marBottom w:val="0"/>
      <w:divBdr>
        <w:top w:val="none" w:sz="0" w:space="0" w:color="auto"/>
        <w:left w:val="none" w:sz="0" w:space="0" w:color="auto"/>
        <w:bottom w:val="none" w:sz="0" w:space="0" w:color="auto"/>
        <w:right w:val="none" w:sz="0" w:space="0" w:color="auto"/>
      </w:divBdr>
    </w:div>
    <w:div w:id="1601792826">
      <w:bodyDiv w:val="1"/>
      <w:marLeft w:val="0"/>
      <w:marRight w:val="0"/>
      <w:marTop w:val="0"/>
      <w:marBottom w:val="0"/>
      <w:divBdr>
        <w:top w:val="none" w:sz="0" w:space="0" w:color="auto"/>
        <w:left w:val="none" w:sz="0" w:space="0" w:color="auto"/>
        <w:bottom w:val="none" w:sz="0" w:space="0" w:color="auto"/>
        <w:right w:val="none" w:sz="0" w:space="0" w:color="auto"/>
      </w:divBdr>
    </w:div>
    <w:div w:id="1668826350">
      <w:bodyDiv w:val="1"/>
      <w:marLeft w:val="0"/>
      <w:marRight w:val="0"/>
      <w:marTop w:val="0"/>
      <w:marBottom w:val="0"/>
      <w:divBdr>
        <w:top w:val="none" w:sz="0" w:space="0" w:color="auto"/>
        <w:left w:val="none" w:sz="0" w:space="0" w:color="auto"/>
        <w:bottom w:val="none" w:sz="0" w:space="0" w:color="auto"/>
        <w:right w:val="none" w:sz="0" w:space="0" w:color="auto"/>
      </w:divBdr>
    </w:div>
    <w:div w:id="1702899074">
      <w:bodyDiv w:val="1"/>
      <w:marLeft w:val="0"/>
      <w:marRight w:val="0"/>
      <w:marTop w:val="0"/>
      <w:marBottom w:val="0"/>
      <w:divBdr>
        <w:top w:val="none" w:sz="0" w:space="0" w:color="auto"/>
        <w:left w:val="none" w:sz="0" w:space="0" w:color="auto"/>
        <w:bottom w:val="none" w:sz="0" w:space="0" w:color="auto"/>
        <w:right w:val="none" w:sz="0" w:space="0" w:color="auto"/>
      </w:divBdr>
    </w:div>
    <w:div w:id="1718386668">
      <w:bodyDiv w:val="1"/>
      <w:marLeft w:val="0"/>
      <w:marRight w:val="0"/>
      <w:marTop w:val="0"/>
      <w:marBottom w:val="0"/>
      <w:divBdr>
        <w:top w:val="none" w:sz="0" w:space="0" w:color="auto"/>
        <w:left w:val="none" w:sz="0" w:space="0" w:color="auto"/>
        <w:bottom w:val="none" w:sz="0" w:space="0" w:color="auto"/>
        <w:right w:val="none" w:sz="0" w:space="0" w:color="auto"/>
      </w:divBdr>
    </w:div>
    <w:div w:id="1725444256">
      <w:bodyDiv w:val="1"/>
      <w:marLeft w:val="0"/>
      <w:marRight w:val="0"/>
      <w:marTop w:val="0"/>
      <w:marBottom w:val="0"/>
      <w:divBdr>
        <w:top w:val="none" w:sz="0" w:space="0" w:color="auto"/>
        <w:left w:val="none" w:sz="0" w:space="0" w:color="auto"/>
        <w:bottom w:val="none" w:sz="0" w:space="0" w:color="auto"/>
        <w:right w:val="none" w:sz="0" w:space="0" w:color="auto"/>
      </w:divBdr>
    </w:div>
    <w:div w:id="1728145359">
      <w:bodyDiv w:val="1"/>
      <w:marLeft w:val="0"/>
      <w:marRight w:val="0"/>
      <w:marTop w:val="0"/>
      <w:marBottom w:val="0"/>
      <w:divBdr>
        <w:top w:val="none" w:sz="0" w:space="0" w:color="auto"/>
        <w:left w:val="none" w:sz="0" w:space="0" w:color="auto"/>
        <w:bottom w:val="none" w:sz="0" w:space="0" w:color="auto"/>
        <w:right w:val="none" w:sz="0" w:space="0" w:color="auto"/>
      </w:divBdr>
    </w:div>
    <w:div w:id="1728798764">
      <w:bodyDiv w:val="1"/>
      <w:marLeft w:val="0"/>
      <w:marRight w:val="0"/>
      <w:marTop w:val="0"/>
      <w:marBottom w:val="0"/>
      <w:divBdr>
        <w:top w:val="none" w:sz="0" w:space="0" w:color="auto"/>
        <w:left w:val="none" w:sz="0" w:space="0" w:color="auto"/>
        <w:bottom w:val="none" w:sz="0" w:space="0" w:color="auto"/>
        <w:right w:val="none" w:sz="0" w:space="0" w:color="auto"/>
      </w:divBdr>
    </w:div>
    <w:div w:id="1732118860">
      <w:bodyDiv w:val="1"/>
      <w:marLeft w:val="0"/>
      <w:marRight w:val="0"/>
      <w:marTop w:val="0"/>
      <w:marBottom w:val="0"/>
      <w:divBdr>
        <w:top w:val="none" w:sz="0" w:space="0" w:color="auto"/>
        <w:left w:val="none" w:sz="0" w:space="0" w:color="auto"/>
        <w:bottom w:val="none" w:sz="0" w:space="0" w:color="auto"/>
        <w:right w:val="none" w:sz="0" w:space="0" w:color="auto"/>
      </w:divBdr>
    </w:div>
    <w:div w:id="1759135187">
      <w:bodyDiv w:val="1"/>
      <w:marLeft w:val="0"/>
      <w:marRight w:val="0"/>
      <w:marTop w:val="0"/>
      <w:marBottom w:val="0"/>
      <w:divBdr>
        <w:top w:val="none" w:sz="0" w:space="0" w:color="auto"/>
        <w:left w:val="none" w:sz="0" w:space="0" w:color="auto"/>
        <w:bottom w:val="none" w:sz="0" w:space="0" w:color="auto"/>
        <w:right w:val="none" w:sz="0" w:space="0" w:color="auto"/>
      </w:divBdr>
    </w:div>
    <w:div w:id="1760322391">
      <w:bodyDiv w:val="1"/>
      <w:marLeft w:val="0"/>
      <w:marRight w:val="0"/>
      <w:marTop w:val="0"/>
      <w:marBottom w:val="0"/>
      <w:divBdr>
        <w:top w:val="none" w:sz="0" w:space="0" w:color="auto"/>
        <w:left w:val="none" w:sz="0" w:space="0" w:color="auto"/>
        <w:bottom w:val="none" w:sz="0" w:space="0" w:color="auto"/>
        <w:right w:val="none" w:sz="0" w:space="0" w:color="auto"/>
      </w:divBdr>
    </w:div>
    <w:div w:id="1767118507">
      <w:bodyDiv w:val="1"/>
      <w:marLeft w:val="0"/>
      <w:marRight w:val="0"/>
      <w:marTop w:val="0"/>
      <w:marBottom w:val="0"/>
      <w:divBdr>
        <w:top w:val="none" w:sz="0" w:space="0" w:color="auto"/>
        <w:left w:val="none" w:sz="0" w:space="0" w:color="auto"/>
        <w:bottom w:val="none" w:sz="0" w:space="0" w:color="auto"/>
        <w:right w:val="none" w:sz="0" w:space="0" w:color="auto"/>
      </w:divBdr>
    </w:div>
    <w:div w:id="1778987939">
      <w:bodyDiv w:val="1"/>
      <w:marLeft w:val="0"/>
      <w:marRight w:val="0"/>
      <w:marTop w:val="0"/>
      <w:marBottom w:val="0"/>
      <w:divBdr>
        <w:top w:val="none" w:sz="0" w:space="0" w:color="auto"/>
        <w:left w:val="none" w:sz="0" w:space="0" w:color="auto"/>
        <w:bottom w:val="none" w:sz="0" w:space="0" w:color="auto"/>
        <w:right w:val="none" w:sz="0" w:space="0" w:color="auto"/>
      </w:divBdr>
    </w:div>
    <w:div w:id="1793130692">
      <w:bodyDiv w:val="1"/>
      <w:marLeft w:val="0"/>
      <w:marRight w:val="0"/>
      <w:marTop w:val="0"/>
      <w:marBottom w:val="0"/>
      <w:divBdr>
        <w:top w:val="none" w:sz="0" w:space="0" w:color="auto"/>
        <w:left w:val="none" w:sz="0" w:space="0" w:color="auto"/>
        <w:bottom w:val="none" w:sz="0" w:space="0" w:color="auto"/>
        <w:right w:val="none" w:sz="0" w:space="0" w:color="auto"/>
      </w:divBdr>
    </w:div>
    <w:div w:id="1803382773">
      <w:bodyDiv w:val="1"/>
      <w:marLeft w:val="0"/>
      <w:marRight w:val="0"/>
      <w:marTop w:val="0"/>
      <w:marBottom w:val="0"/>
      <w:divBdr>
        <w:top w:val="none" w:sz="0" w:space="0" w:color="auto"/>
        <w:left w:val="none" w:sz="0" w:space="0" w:color="auto"/>
        <w:bottom w:val="none" w:sz="0" w:space="0" w:color="auto"/>
        <w:right w:val="none" w:sz="0" w:space="0" w:color="auto"/>
      </w:divBdr>
    </w:div>
    <w:div w:id="1820490970">
      <w:bodyDiv w:val="1"/>
      <w:marLeft w:val="0"/>
      <w:marRight w:val="0"/>
      <w:marTop w:val="0"/>
      <w:marBottom w:val="0"/>
      <w:divBdr>
        <w:top w:val="none" w:sz="0" w:space="0" w:color="auto"/>
        <w:left w:val="none" w:sz="0" w:space="0" w:color="auto"/>
        <w:bottom w:val="none" w:sz="0" w:space="0" w:color="auto"/>
        <w:right w:val="none" w:sz="0" w:space="0" w:color="auto"/>
      </w:divBdr>
    </w:div>
    <w:div w:id="1826236132">
      <w:bodyDiv w:val="1"/>
      <w:marLeft w:val="0"/>
      <w:marRight w:val="0"/>
      <w:marTop w:val="0"/>
      <w:marBottom w:val="0"/>
      <w:divBdr>
        <w:top w:val="none" w:sz="0" w:space="0" w:color="auto"/>
        <w:left w:val="none" w:sz="0" w:space="0" w:color="auto"/>
        <w:bottom w:val="none" w:sz="0" w:space="0" w:color="auto"/>
        <w:right w:val="none" w:sz="0" w:space="0" w:color="auto"/>
      </w:divBdr>
    </w:div>
    <w:div w:id="1829788937">
      <w:bodyDiv w:val="1"/>
      <w:marLeft w:val="0"/>
      <w:marRight w:val="0"/>
      <w:marTop w:val="0"/>
      <w:marBottom w:val="0"/>
      <w:divBdr>
        <w:top w:val="none" w:sz="0" w:space="0" w:color="auto"/>
        <w:left w:val="none" w:sz="0" w:space="0" w:color="auto"/>
        <w:bottom w:val="none" w:sz="0" w:space="0" w:color="auto"/>
        <w:right w:val="none" w:sz="0" w:space="0" w:color="auto"/>
      </w:divBdr>
    </w:div>
    <w:div w:id="1847791545">
      <w:bodyDiv w:val="1"/>
      <w:marLeft w:val="0"/>
      <w:marRight w:val="0"/>
      <w:marTop w:val="0"/>
      <w:marBottom w:val="0"/>
      <w:divBdr>
        <w:top w:val="none" w:sz="0" w:space="0" w:color="auto"/>
        <w:left w:val="none" w:sz="0" w:space="0" w:color="auto"/>
        <w:bottom w:val="none" w:sz="0" w:space="0" w:color="auto"/>
        <w:right w:val="none" w:sz="0" w:space="0" w:color="auto"/>
      </w:divBdr>
    </w:div>
    <w:div w:id="1860241955">
      <w:bodyDiv w:val="1"/>
      <w:marLeft w:val="0"/>
      <w:marRight w:val="0"/>
      <w:marTop w:val="0"/>
      <w:marBottom w:val="0"/>
      <w:divBdr>
        <w:top w:val="none" w:sz="0" w:space="0" w:color="auto"/>
        <w:left w:val="none" w:sz="0" w:space="0" w:color="auto"/>
        <w:bottom w:val="none" w:sz="0" w:space="0" w:color="auto"/>
        <w:right w:val="none" w:sz="0" w:space="0" w:color="auto"/>
      </w:divBdr>
    </w:div>
    <w:div w:id="1887450686">
      <w:bodyDiv w:val="1"/>
      <w:marLeft w:val="0"/>
      <w:marRight w:val="0"/>
      <w:marTop w:val="0"/>
      <w:marBottom w:val="0"/>
      <w:divBdr>
        <w:top w:val="none" w:sz="0" w:space="0" w:color="auto"/>
        <w:left w:val="none" w:sz="0" w:space="0" w:color="auto"/>
        <w:bottom w:val="none" w:sz="0" w:space="0" w:color="auto"/>
        <w:right w:val="none" w:sz="0" w:space="0" w:color="auto"/>
      </w:divBdr>
    </w:div>
    <w:div w:id="1930770188">
      <w:bodyDiv w:val="1"/>
      <w:marLeft w:val="0"/>
      <w:marRight w:val="0"/>
      <w:marTop w:val="0"/>
      <w:marBottom w:val="0"/>
      <w:divBdr>
        <w:top w:val="none" w:sz="0" w:space="0" w:color="auto"/>
        <w:left w:val="none" w:sz="0" w:space="0" w:color="auto"/>
        <w:bottom w:val="none" w:sz="0" w:space="0" w:color="auto"/>
        <w:right w:val="none" w:sz="0" w:space="0" w:color="auto"/>
      </w:divBdr>
    </w:div>
    <w:div w:id="1931968293">
      <w:bodyDiv w:val="1"/>
      <w:marLeft w:val="0"/>
      <w:marRight w:val="0"/>
      <w:marTop w:val="0"/>
      <w:marBottom w:val="0"/>
      <w:divBdr>
        <w:top w:val="none" w:sz="0" w:space="0" w:color="auto"/>
        <w:left w:val="none" w:sz="0" w:space="0" w:color="auto"/>
        <w:bottom w:val="none" w:sz="0" w:space="0" w:color="auto"/>
        <w:right w:val="none" w:sz="0" w:space="0" w:color="auto"/>
      </w:divBdr>
    </w:div>
    <w:div w:id="1943803405">
      <w:bodyDiv w:val="1"/>
      <w:marLeft w:val="0"/>
      <w:marRight w:val="0"/>
      <w:marTop w:val="0"/>
      <w:marBottom w:val="0"/>
      <w:divBdr>
        <w:top w:val="none" w:sz="0" w:space="0" w:color="auto"/>
        <w:left w:val="none" w:sz="0" w:space="0" w:color="auto"/>
        <w:bottom w:val="none" w:sz="0" w:space="0" w:color="auto"/>
        <w:right w:val="none" w:sz="0" w:space="0" w:color="auto"/>
      </w:divBdr>
    </w:div>
    <w:div w:id="1952392349">
      <w:bodyDiv w:val="1"/>
      <w:marLeft w:val="0"/>
      <w:marRight w:val="0"/>
      <w:marTop w:val="0"/>
      <w:marBottom w:val="0"/>
      <w:divBdr>
        <w:top w:val="none" w:sz="0" w:space="0" w:color="auto"/>
        <w:left w:val="none" w:sz="0" w:space="0" w:color="auto"/>
        <w:bottom w:val="none" w:sz="0" w:space="0" w:color="auto"/>
        <w:right w:val="none" w:sz="0" w:space="0" w:color="auto"/>
      </w:divBdr>
    </w:div>
    <w:div w:id="1966740079">
      <w:bodyDiv w:val="1"/>
      <w:marLeft w:val="0"/>
      <w:marRight w:val="0"/>
      <w:marTop w:val="0"/>
      <w:marBottom w:val="0"/>
      <w:divBdr>
        <w:top w:val="none" w:sz="0" w:space="0" w:color="auto"/>
        <w:left w:val="none" w:sz="0" w:space="0" w:color="auto"/>
        <w:bottom w:val="none" w:sz="0" w:space="0" w:color="auto"/>
        <w:right w:val="none" w:sz="0" w:space="0" w:color="auto"/>
      </w:divBdr>
    </w:div>
    <w:div w:id="1969359298">
      <w:bodyDiv w:val="1"/>
      <w:marLeft w:val="0"/>
      <w:marRight w:val="0"/>
      <w:marTop w:val="0"/>
      <w:marBottom w:val="0"/>
      <w:divBdr>
        <w:top w:val="none" w:sz="0" w:space="0" w:color="auto"/>
        <w:left w:val="none" w:sz="0" w:space="0" w:color="auto"/>
        <w:bottom w:val="none" w:sz="0" w:space="0" w:color="auto"/>
        <w:right w:val="none" w:sz="0" w:space="0" w:color="auto"/>
      </w:divBdr>
    </w:div>
    <w:div w:id="1984962710">
      <w:bodyDiv w:val="1"/>
      <w:marLeft w:val="0"/>
      <w:marRight w:val="0"/>
      <w:marTop w:val="0"/>
      <w:marBottom w:val="0"/>
      <w:divBdr>
        <w:top w:val="none" w:sz="0" w:space="0" w:color="auto"/>
        <w:left w:val="none" w:sz="0" w:space="0" w:color="auto"/>
        <w:bottom w:val="none" w:sz="0" w:space="0" w:color="auto"/>
        <w:right w:val="none" w:sz="0" w:space="0" w:color="auto"/>
      </w:divBdr>
    </w:div>
    <w:div w:id="1997876010">
      <w:bodyDiv w:val="1"/>
      <w:marLeft w:val="0"/>
      <w:marRight w:val="0"/>
      <w:marTop w:val="0"/>
      <w:marBottom w:val="0"/>
      <w:divBdr>
        <w:top w:val="none" w:sz="0" w:space="0" w:color="auto"/>
        <w:left w:val="none" w:sz="0" w:space="0" w:color="auto"/>
        <w:bottom w:val="none" w:sz="0" w:space="0" w:color="auto"/>
        <w:right w:val="none" w:sz="0" w:space="0" w:color="auto"/>
      </w:divBdr>
    </w:div>
    <w:div w:id="2011370298">
      <w:bodyDiv w:val="1"/>
      <w:marLeft w:val="0"/>
      <w:marRight w:val="0"/>
      <w:marTop w:val="0"/>
      <w:marBottom w:val="0"/>
      <w:divBdr>
        <w:top w:val="none" w:sz="0" w:space="0" w:color="auto"/>
        <w:left w:val="none" w:sz="0" w:space="0" w:color="auto"/>
        <w:bottom w:val="none" w:sz="0" w:space="0" w:color="auto"/>
        <w:right w:val="none" w:sz="0" w:space="0" w:color="auto"/>
      </w:divBdr>
    </w:div>
    <w:div w:id="2049714661">
      <w:bodyDiv w:val="1"/>
      <w:marLeft w:val="0"/>
      <w:marRight w:val="0"/>
      <w:marTop w:val="0"/>
      <w:marBottom w:val="0"/>
      <w:divBdr>
        <w:top w:val="none" w:sz="0" w:space="0" w:color="auto"/>
        <w:left w:val="none" w:sz="0" w:space="0" w:color="auto"/>
        <w:bottom w:val="none" w:sz="0" w:space="0" w:color="auto"/>
        <w:right w:val="none" w:sz="0" w:space="0" w:color="auto"/>
      </w:divBdr>
    </w:div>
    <w:div w:id="2059086898">
      <w:bodyDiv w:val="1"/>
      <w:marLeft w:val="0"/>
      <w:marRight w:val="0"/>
      <w:marTop w:val="0"/>
      <w:marBottom w:val="0"/>
      <w:divBdr>
        <w:top w:val="none" w:sz="0" w:space="0" w:color="auto"/>
        <w:left w:val="none" w:sz="0" w:space="0" w:color="auto"/>
        <w:bottom w:val="none" w:sz="0" w:space="0" w:color="auto"/>
        <w:right w:val="none" w:sz="0" w:space="0" w:color="auto"/>
      </w:divBdr>
    </w:div>
    <w:div w:id="2062098162">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090534974">
      <w:bodyDiv w:val="1"/>
      <w:marLeft w:val="0"/>
      <w:marRight w:val="0"/>
      <w:marTop w:val="0"/>
      <w:marBottom w:val="0"/>
      <w:divBdr>
        <w:top w:val="none" w:sz="0" w:space="0" w:color="auto"/>
        <w:left w:val="none" w:sz="0" w:space="0" w:color="auto"/>
        <w:bottom w:val="none" w:sz="0" w:space="0" w:color="auto"/>
        <w:right w:val="none" w:sz="0" w:space="0" w:color="auto"/>
      </w:divBdr>
    </w:div>
    <w:div w:id="2121146653">
      <w:bodyDiv w:val="1"/>
      <w:marLeft w:val="0"/>
      <w:marRight w:val="0"/>
      <w:marTop w:val="0"/>
      <w:marBottom w:val="0"/>
      <w:divBdr>
        <w:top w:val="none" w:sz="0" w:space="0" w:color="auto"/>
        <w:left w:val="none" w:sz="0" w:space="0" w:color="auto"/>
        <w:bottom w:val="none" w:sz="0" w:space="0" w:color="auto"/>
        <w:right w:val="none" w:sz="0" w:space="0" w:color="auto"/>
      </w:divBdr>
    </w:div>
    <w:div w:id="2127695493">
      <w:bodyDiv w:val="1"/>
      <w:marLeft w:val="0"/>
      <w:marRight w:val="0"/>
      <w:marTop w:val="0"/>
      <w:marBottom w:val="0"/>
      <w:divBdr>
        <w:top w:val="none" w:sz="0" w:space="0" w:color="auto"/>
        <w:left w:val="none" w:sz="0" w:space="0" w:color="auto"/>
        <w:bottom w:val="none" w:sz="0" w:space="0" w:color="auto"/>
        <w:right w:val="none" w:sz="0" w:space="0" w:color="auto"/>
      </w:divBdr>
    </w:div>
    <w:div w:id="2128117413">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 w:id="2130120485">
      <w:bodyDiv w:val="1"/>
      <w:marLeft w:val="0"/>
      <w:marRight w:val="0"/>
      <w:marTop w:val="0"/>
      <w:marBottom w:val="0"/>
      <w:divBdr>
        <w:top w:val="none" w:sz="0" w:space="0" w:color="auto"/>
        <w:left w:val="none" w:sz="0" w:space="0" w:color="auto"/>
        <w:bottom w:val="none" w:sz="0" w:space="0" w:color="auto"/>
        <w:right w:val="none" w:sz="0" w:space="0" w:color="auto"/>
      </w:divBdr>
    </w:div>
    <w:div w:id="21417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mbiacompra.gov.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E3257EF5CC5C4B88BDA7306B92E415" ma:contentTypeVersion="15" ma:contentTypeDescription="Crear nuevo documento." ma:contentTypeScope="" ma:versionID="4c825c64eb030345253b59dd303af95b">
  <xsd:schema xmlns:xsd="http://www.w3.org/2001/XMLSchema" xmlns:xs="http://www.w3.org/2001/XMLSchema" xmlns:p="http://schemas.microsoft.com/office/2006/metadata/properties" xmlns:ns3="d6ec9a2f-e449-4fec-9ec5-50cf5808c396" xmlns:ns4="74092687-0802-45aa-867e-f35a559a775e" targetNamespace="http://schemas.microsoft.com/office/2006/metadata/properties" ma:root="true" ma:fieldsID="2917480d86d1b6c1ed07d3544a2422b9" ns3:_="" ns4:_="">
    <xsd:import namespace="d6ec9a2f-e449-4fec-9ec5-50cf5808c396"/>
    <xsd:import namespace="74092687-0802-45aa-867e-f35a559a77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9a2f-e449-4fec-9ec5-50cf5808c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92687-0802-45aa-867e-f35a559a775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ec9a2f-e449-4fec-9ec5-50cf5808c3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FCD6-11C1-43D5-87A9-9C07489D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9a2f-e449-4fec-9ec5-50cf5808c396"/>
    <ds:schemaRef ds:uri="74092687-0802-45aa-867e-f35a559a7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9F453-B00C-4B0B-8407-C215578A02F7}">
  <ds:schemaRefs>
    <ds:schemaRef ds:uri="d6ec9a2f-e449-4fec-9ec5-50cf5808c396"/>
    <ds:schemaRef ds:uri="74092687-0802-45aa-867e-f35a559a775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1E038B-B945-4C2D-82D5-6F1976FCE9C2}">
  <ds:schemaRefs>
    <ds:schemaRef ds:uri="http://schemas.microsoft.com/sharepoint/v3/contenttype/forms"/>
  </ds:schemaRefs>
</ds:datastoreItem>
</file>

<file path=customXml/itemProps4.xml><?xml version="1.0" encoding="utf-8"?>
<ds:datastoreItem xmlns:ds="http://schemas.openxmlformats.org/officeDocument/2006/customXml" ds:itemID="{EFEF9C0D-71E0-4F8A-A8F6-93037CF1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5099</Words>
  <Characters>28050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Alfredo Rafael Hadechni Munive</cp:lastModifiedBy>
  <cp:revision>13</cp:revision>
  <cp:lastPrinted>2022-05-02T20:20:00Z</cp:lastPrinted>
  <dcterms:created xsi:type="dcterms:W3CDTF">2023-12-13T19:07:00Z</dcterms:created>
  <dcterms:modified xsi:type="dcterms:W3CDTF">2024-06-07T16:19:00Z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0x01010085E3257EF5CC5C4B88BDA7306B92E415</vt:lpwstr>
  </property>
</Properties>
</file>