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C1" w:rsidRDefault="007C125B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MX" w:eastAsia="es-ES"/>
        </w:rPr>
      </w:pPr>
      <w:r>
        <w:rPr>
          <w:rFonts w:ascii="Century Gothic" w:eastAsia="Times New Roman" w:hAnsi="Century Gothic" w:cs="Arial"/>
          <w:b/>
          <w:lang w:val="es-MX" w:eastAsia="es-ES"/>
        </w:rPr>
        <w:t>REPUBLICA DE COLOMBIA</w:t>
      </w:r>
    </w:p>
    <w:p w:rsidR="008B17C1" w:rsidRDefault="007C125B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MX" w:eastAsia="es-ES"/>
        </w:rPr>
      </w:pPr>
      <w:r>
        <w:rPr>
          <w:rFonts w:ascii="Century Gothic" w:eastAsia="Times New Roman" w:hAnsi="Century Gothic" w:cs="Arial"/>
          <w:b/>
          <w:lang w:val="es-MX" w:eastAsia="es-ES"/>
        </w:rPr>
        <w:t>RAMA JUDICIAL</w:t>
      </w:r>
    </w:p>
    <w:p w:rsidR="008B17C1" w:rsidRDefault="007C125B">
      <w:pPr>
        <w:spacing w:after="0" w:line="240" w:lineRule="auto"/>
        <w:jc w:val="center"/>
        <w:rPr>
          <w:rFonts w:ascii="Century Gothic" w:eastAsia="Times New Roman" w:hAnsi="Century Gothic" w:cs="Arial"/>
          <w:lang w:val="es-MX" w:eastAsia="es-ES"/>
        </w:rPr>
      </w:pPr>
      <w:r>
        <w:rPr>
          <w:noProof/>
          <w:lang w:val="es-CO" w:eastAsia="es-CO"/>
        </w:rPr>
        <w:drawing>
          <wp:inline distT="0" distB="0" distL="0" distR="0">
            <wp:extent cx="476250" cy="519430"/>
            <wp:effectExtent l="0" t="0" r="0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C1" w:rsidRDefault="007C125B">
      <w:pPr>
        <w:spacing w:after="0" w:line="240" w:lineRule="auto"/>
        <w:jc w:val="center"/>
        <w:rPr>
          <w:rFonts w:ascii="Century Gothic" w:eastAsia="Times New Roman" w:hAnsi="Century Gothic" w:cs="Arial"/>
          <w:b/>
          <w:lang w:val="es-MX" w:eastAsia="es-ES"/>
        </w:rPr>
      </w:pPr>
      <w:r>
        <w:rPr>
          <w:rFonts w:ascii="Century Gothic" w:eastAsia="Times New Roman" w:hAnsi="Century Gothic" w:cs="Arial"/>
          <w:b/>
          <w:lang w:val="es-MX" w:eastAsia="es-ES"/>
        </w:rPr>
        <w:t>JUZGADO TERCERO ADMINISTRATIVO DEL CIRCUITO DE BOGOTÁ</w:t>
      </w:r>
    </w:p>
    <w:p w:rsidR="008B17C1" w:rsidRDefault="007C125B">
      <w:pPr>
        <w:spacing w:after="0" w:line="240" w:lineRule="auto"/>
        <w:jc w:val="center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lang w:val="es-MX" w:eastAsia="es-ES"/>
        </w:rPr>
        <w:t>SECCIÓN PRIMERA</w:t>
      </w:r>
    </w:p>
    <w:p w:rsidR="008B17C1" w:rsidRDefault="008B17C1">
      <w:pPr>
        <w:spacing w:after="0" w:line="360" w:lineRule="auto"/>
        <w:rPr>
          <w:sz w:val="24"/>
          <w:szCs w:val="24"/>
          <w:lang w:eastAsia="es-ES"/>
        </w:rPr>
      </w:pPr>
    </w:p>
    <w:p w:rsidR="008B17C1" w:rsidRDefault="007C125B">
      <w:pPr>
        <w:tabs>
          <w:tab w:val="left" w:pos="-720"/>
        </w:tabs>
        <w:spacing w:after="0" w:line="240" w:lineRule="auto"/>
        <w:jc w:val="both"/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pacing w:val="-3"/>
          <w:sz w:val="24"/>
          <w:szCs w:val="24"/>
          <w:lang w:eastAsia="es-ES"/>
        </w:rPr>
        <w:t>Bogotá, D.C., veintitrés (23) de abril de dos mil veinte (2020)</w:t>
      </w:r>
    </w:p>
    <w:p w:rsidR="008B17C1" w:rsidRDefault="008B17C1">
      <w:pPr>
        <w:pStyle w:val="Sinespaciado"/>
      </w:pPr>
    </w:p>
    <w:p w:rsidR="008B17C1" w:rsidRDefault="007C125B">
      <w:pPr>
        <w:keepNext/>
        <w:tabs>
          <w:tab w:val="left" w:pos="-720"/>
        </w:tabs>
        <w:spacing w:after="0" w:line="240" w:lineRule="auto"/>
        <w:jc w:val="both"/>
        <w:outlineLvl w:val="2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>Expediente:</w:t>
      </w:r>
      <w:r w:rsidR="005E4F54"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  <w:t>11001 3334 003 2020 0007200</w:t>
      </w:r>
    </w:p>
    <w:p w:rsidR="008B17C1" w:rsidRDefault="007C125B">
      <w:pPr>
        <w:tabs>
          <w:tab w:val="left" w:pos="-720"/>
        </w:tabs>
        <w:spacing w:after="0" w:line="240" w:lineRule="auto"/>
        <w:ind w:left="2124" w:right="404" w:hanging="2124"/>
        <w:jc w:val="both"/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 xml:space="preserve">Demandante: </w:t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ab/>
        <w:t xml:space="preserve">ARNOLFO SANABRIA GALINDO </w:t>
      </w:r>
    </w:p>
    <w:p w:rsidR="008B17C1" w:rsidRDefault="007C125B">
      <w:pPr>
        <w:tabs>
          <w:tab w:val="left" w:pos="-720"/>
        </w:tabs>
        <w:spacing w:after="0" w:line="240" w:lineRule="auto"/>
        <w:ind w:left="2124" w:hanging="2124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>Demandados: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Arial"/>
          <w:b/>
          <w:spacing w:val="-3"/>
          <w:sz w:val="24"/>
          <w:szCs w:val="24"/>
          <w:lang w:eastAsia="es-ES"/>
        </w:rPr>
        <w:t>NACIÓN – FISCALÍA GENERAL DE LA NACIÓN</w:t>
      </w:r>
    </w:p>
    <w:p w:rsidR="008B17C1" w:rsidRDefault="007C125B">
      <w:pPr>
        <w:tabs>
          <w:tab w:val="left" w:pos="-720"/>
        </w:tabs>
        <w:spacing w:after="0" w:line="240" w:lineRule="auto"/>
        <w:ind w:left="2124" w:hanging="2124"/>
        <w:jc w:val="both"/>
        <w:rPr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</w:p>
    <w:p w:rsidR="008B17C1" w:rsidRDefault="007C125B">
      <w:pPr>
        <w:tabs>
          <w:tab w:val="left" w:pos="-720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>Asunto:</w:t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</w:r>
      <w:r>
        <w:rPr>
          <w:rFonts w:ascii="Century Gothic" w:eastAsia="Times New Roman" w:hAnsi="Century Gothic" w:cs="Times New Roman"/>
          <w:b/>
          <w:spacing w:val="-3"/>
          <w:sz w:val="24"/>
          <w:szCs w:val="24"/>
          <w:lang w:eastAsia="es-ES"/>
        </w:rPr>
        <w:tab/>
        <w:t>Remite por competencia.</w:t>
      </w:r>
    </w:p>
    <w:p w:rsidR="008B17C1" w:rsidRDefault="007C125B">
      <w:pPr>
        <w:pStyle w:val="Sinespaciado"/>
      </w:pPr>
      <w:r>
        <w:rPr>
          <w:lang w:eastAsia="es-ES"/>
        </w:rPr>
        <w:t xml:space="preserve">                         </w:t>
      </w:r>
    </w:p>
    <w:p w:rsidR="008B17C1" w:rsidRDefault="007C125B">
      <w:pPr>
        <w:spacing w:after="0" w:line="276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Mediante acta individual de reparto de 22 de abril del presente año, fue asignada a este Despacho la tutela de la referencia. </w:t>
      </w:r>
    </w:p>
    <w:p w:rsidR="008B17C1" w:rsidRDefault="008B17C1">
      <w:pPr>
        <w:pStyle w:val="Sinespaciado"/>
        <w:rPr>
          <w:lang w:eastAsia="es-ES"/>
        </w:rPr>
      </w:pPr>
    </w:p>
    <w:p w:rsidR="008B17C1" w:rsidRDefault="007C125B">
      <w:pPr>
        <w:spacing w:after="0" w:line="276" w:lineRule="auto"/>
        <w:jc w:val="both"/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Al respecto, el artículo 1 del Decreto 1983 de 2017, que modifica el artículo </w:t>
      </w:r>
      <w:r>
        <w:rPr>
          <w:rFonts w:ascii="Century Gothic" w:hAnsi="Century Gothic" w:cs="Arial"/>
          <w:bCs/>
          <w:iCs/>
          <w:sz w:val="24"/>
          <w:szCs w:val="24"/>
          <w:shd w:val="clear" w:color="auto" w:fill="FFFFFF"/>
        </w:rPr>
        <w:t>2.2.3.1.2.1 del Decreto 1069 de 2015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, establece lo siguiente:</w:t>
      </w:r>
    </w:p>
    <w:p w:rsidR="008B17C1" w:rsidRDefault="008B17C1">
      <w:pPr>
        <w:pStyle w:val="Sinespaciado"/>
        <w:rPr>
          <w:lang w:val="es-ES_tradnl" w:eastAsia="es-ES"/>
        </w:rPr>
      </w:pPr>
    </w:p>
    <w:p w:rsidR="008B17C1" w:rsidRDefault="007C125B">
      <w:pPr>
        <w:shd w:val="clear" w:color="auto" w:fill="FFFFFF"/>
        <w:spacing w:line="240" w:lineRule="auto"/>
        <w:ind w:left="708" w:right="618"/>
        <w:jc w:val="both"/>
        <w:rPr>
          <w:rFonts w:ascii="Century Gothic" w:eastAsia="Times New Roman" w:hAnsi="Century Gothic"/>
          <w:i/>
        </w:rPr>
      </w:pPr>
      <w:r>
        <w:rPr>
          <w:rFonts w:ascii="Century Gothic" w:hAnsi="Century Gothic"/>
          <w:bCs/>
          <w:i/>
          <w:lang w:val="es-ES_tradnl"/>
        </w:rPr>
        <w:t>“</w:t>
      </w:r>
      <w:r>
        <w:rPr>
          <w:rFonts w:ascii="Century Gothic" w:hAnsi="Century Gothic" w:cs="Arial"/>
          <w:bCs/>
          <w:i/>
        </w:rPr>
        <w:t>ARTÍCULO</w:t>
      </w:r>
      <w:bookmarkStart w:id="0" w:name="1"/>
      <w:r>
        <w:rPr>
          <w:rFonts w:ascii="Century Gothic" w:hAnsi="Century Gothic" w:cs="Arial"/>
          <w:bCs/>
          <w:i/>
        </w:rPr>
        <w:t> </w:t>
      </w:r>
      <w:bookmarkEnd w:id="0"/>
      <w:r>
        <w:rPr>
          <w:rFonts w:ascii="Century Gothic" w:hAnsi="Century Gothic" w:cs="Arial"/>
          <w:bCs/>
          <w:i/>
        </w:rPr>
        <w:t>1.</w:t>
      </w:r>
      <w:r>
        <w:rPr>
          <w:rFonts w:ascii="Century Gothic" w:hAnsi="Century Gothic" w:cs="Arial"/>
          <w:i/>
        </w:rPr>
        <w:t> </w:t>
      </w:r>
      <w:r>
        <w:rPr>
          <w:rFonts w:ascii="Century Gothic" w:hAnsi="Century Gothic" w:cs="Arial"/>
          <w:bCs/>
          <w:i/>
          <w:iCs/>
        </w:rPr>
        <w:t>Modificación del artículo 2.2.3.1.2.1 del Decreto 1069 de 2015.</w:t>
      </w:r>
      <w:r>
        <w:rPr>
          <w:rFonts w:ascii="Century Gothic" w:hAnsi="Century Gothic" w:cs="Arial"/>
          <w:i/>
        </w:rPr>
        <w:t> Modificase el artículo 2.2.3.1.2.1 del Decreto 1069 de 2015, el cual quedara así:</w:t>
      </w:r>
    </w:p>
    <w:p w:rsidR="008B17C1" w:rsidRDefault="007C125B">
      <w:pPr>
        <w:pStyle w:val="Sinespaciado"/>
      </w:pPr>
      <w:r>
        <w:t> </w:t>
      </w:r>
    </w:p>
    <w:p w:rsidR="008B17C1" w:rsidRDefault="007C125B">
      <w:pPr>
        <w:pStyle w:val="Sinespaciado"/>
        <w:ind w:left="708" w:right="618"/>
        <w:jc w:val="both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"</w:t>
      </w:r>
      <w:r>
        <w:rPr>
          <w:rFonts w:ascii="Century Gothic" w:hAnsi="Century Gothic"/>
          <w:bCs/>
          <w:i/>
        </w:rPr>
        <w:t>ARTÍCULO 2.2.3.1.2.1</w:t>
      </w:r>
      <w:r>
        <w:rPr>
          <w:rFonts w:ascii="Century Gothic" w:hAnsi="Century Gothic"/>
          <w:i/>
        </w:rPr>
        <w:t> </w:t>
      </w:r>
      <w:r>
        <w:rPr>
          <w:rFonts w:ascii="Century Gothic" w:hAnsi="Century Gothic"/>
          <w:bCs/>
          <w:i/>
          <w:iCs/>
        </w:rPr>
        <w:t>Reparto de la acción de tutela.</w:t>
      </w:r>
      <w:r>
        <w:rPr>
          <w:rFonts w:ascii="Century Gothic" w:hAnsi="Century Gothic"/>
          <w:i/>
        </w:rPr>
        <w:t xml:space="preserve"> Para los efectos previstos en el artículo 37 del Decreto 2591 de 1991, conocerán de la acción de tutela, a prevención, los jueces con jurisdicción donde ocurriere la violación o la amenaza que motivare la presentación de la solicitud </w:t>
      </w:r>
      <w:r>
        <w:rPr>
          <w:rFonts w:ascii="Century Gothic" w:hAnsi="Century Gothic"/>
          <w:b/>
          <w:i/>
        </w:rPr>
        <w:t>o donde se produjeren sus efectos</w:t>
      </w:r>
      <w:r>
        <w:rPr>
          <w:rFonts w:ascii="Century Gothic" w:hAnsi="Century Gothic"/>
          <w:i/>
        </w:rPr>
        <w:t>, conforme a las siguientes reglas:</w:t>
      </w:r>
    </w:p>
    <w:p w:rsidR="008B17C1" w:rsidRDefault="007C125B">
      <w:pPr>
        <w:pStyle w:val="Sinespaciado"/>
        <w:ind w:left="708" w:right="618"/>
        <w:jc w:val="both"/>
        <w:rPr>
          <w:rFonts w:ascii="Century Gothic" w:hAnsi="Century Gothic"/>
          <w:i/>
          <w:highlight w:val="white"/>
        </w:rPr>
      </w:pPr>
      <w:r>
        <w:rPr>
          <w:rFonts w:ascii="Century Gothic" w:hAnsi="Century Gothic"/>
          <w:i/>
          <w:shd w:val="clear" w:color="auto" w:fill="FFFFFF"/>
        </w:rPr>
        <w:t>(…)</w:t>
      </w:r>
    </w:p>
    <w:p w:rsidR="008B17C1" w:rsidRDefault="008B17C1">
      <w:pPr>
        <w:pStyle w:val="Sinespaciado"/>
        <w:ind w:left="708" w:right="618"/>
        <w:jc w:val="both"/>
        <w:rPr>
          <w:rFonts w:ascii="Century Gothic" w:hAnsi="Century Gothic"/>
          <w:i/>
          <w:highlight w:val="white"/>
        </w:rPr>
      </w:pPr>
    </w:p>
    <w:p w:rsidR="008B17C1" w:rsidRDefault="007C125B">
      <w:pPr>
        <w:pStyle w:val="Sinespaciado"/>
        <w:ind w:left="708" w:right="618"/>
        <w:jc w:val="both"/>
        <w:rPr>
          <w:rFonts w:ascii="Century Gothic" w:hAnsi="Century Gothic"/>
          <w:i/>
          <w:lang w:val="es-ES_tradnl"/>
        </w:rPr>
      </w:pPr>
      <w:r>
        <w:rPr>
          <w:rFonts w:ascii="Century Gothic" w:hAnsi="Century Gothic" w:cs="Arial"/>
          <w:i/>
          <w:color w:val="000000"/>
          <w:shd w:val="clear" w:color="auto" w:fill="FFFFFF"/>
        </w:rPr>
        <w:t xml:space="preserve">4. Las acciones de tutela dirigidas contra las actuaciones de los Fiscales y Procuradores serán repartidas, para su conocimiento en primera instancia, al respectivo superior funcional de la autoridad judicial ante quien intervienen. </w:t>
      </w:r>
      <w:r>
        <w:rPr>
          <w:rFonts w:ascii="Century Gothic" w:hAnsi="Century Gothic" w:cs="Arial"/>
          <w:b/>
          <w:bCs/>
          <w:i/>
          <w:color w:val="000000"/>
          <w:shd w:val="clear" w:color="auto" w:fill="FFFFFF"/>
        </w:rPr>
        <w:t>Para el caso de los Fiscales que intervienen ante Tribunales o Altas Cortes, conocerán en primera instancia y a prevención, los Tribunales Superiores de Distrito Judicial o las Salas Disciplinarias de los Consejos Seccionales de la Judicatura</w:t>
      </w:r>
      <w:r>
        <w:rPr>
          <w:rFonts w:ascii="Century Gothic" w:hAnsi="Century Gothic" w:cs="Arial"/>
          <w:i/>
          <w:color w:val="000000"/>
          <w:shd w:val="clear" w:color="auto" w:fill="FFFFFF"/>
        </w:rPr>
        <w:t>. Para el caso de los Procuradores que intervienen ante Tribunales o Altas Cortes, conocerán en primera instancia y a prevención, los Tribunales Administrativos o las Salas Disciplinarias de los Consejos Seccionales.</w:t>
      </w:r>
    </w:p>
    <w:p w:rsidR="008B17C1" w:rsidRDefault="007C125B">
      <w:pPr>
        <w:pStyle w:val="Sinespaciado"/>
        <w:ind w:left="708" w:right="618"/>
        <w:jc w:val="both"/>
        <w:rPr>
          <w:color w:val="666666"/>
        </w:rPr>
      </w:pPr>
      <w:r>
        <w:rPr>
          <w:rFonts w:ascii="Century Gothic" w:hAnsi="Century Gothic"/>
          <w:bCs/>
          <w:i/>
          <w:lang w:val="es-ES_tradnl"/>
        </w:rPr>
        <w:t>(…)” (Se resalta).</w:t>
      </w:r>
    </w:p>
    <w:p w:rsidR="008B17C1" w:rsidRDefault="008B17C1">
      <w:pPr>
        <w:pStyle w:val="Sinespaciado"/>
      </w:pPr>
    </w:p>
    <w:p w:rsidR="008B17C1" w:rsidRDefault="007C125B">
      <w:pPr>
        <w:spacing w:after="0" w:line="276" w:lineRule="auto"/>
        <w:jc w:val="both"/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</w:pP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Así las cosas, al solicitarse el amparo respecto una actuació</w:t>
      </w:r>
      <w:r w:rsidR="00573988"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n realizada por la Fiscalía 19 De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legada ante el T</w:t>
      </w:r>
      <w:r w:rsidR="00573988"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r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 xml:space="preserve">ibunal de Distrito de Justicia Transicional de Bogotá, dentro de los procesos por homicidio radicados 2179, 4473, 5697 y 5714, peticiones relacionadas con la </w:t>
      </w:r>
      <w:r w:rsidR="00573988"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suspensión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 xml:space="preserve"> de dichas </w:t>
      </w:r>
      <w:r w:rsidR="00573988"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actuaciones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 xml:space="preserve"> penales, este Juzgado carece de competencia para tramitar y decidir la acción constitucional de la referencia, por lo que atendiendo lo establecido 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lastRenderedPageBreak/>
        <w:t>en el artículo en cita</w:t>
      </w:r>
      <w:r>
        <w:rPr>
          <w:rFonts w:ascii="Century Gothic" w:hAnsi="Century Gothic"/>
          <w:sz w:val="24"/>
          <w:szCs w:val="24"/>
        </w:rPr>
        <w:t>,</w:t>
      </w:r>
      <w:r>
        <w:rPr>
          <w:rFonts w:ascii="Times New Roman" w:hAnsi="Times New Roman"/>
          <w:b/>
        </w:rPr>
        <w:t xml:space="preserve"> 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se r</w:t>
      </w:r>
      <w:bookmarkStart w:id="1" w:name="_GoBack"/>
      <w:bookmarkEnd w:id="1"/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 xml:space="preserve">emitirá al Tribunal Superior del Distrito Judicial de Bogotá - Sala de Justicia y Paz, para su conocimiento.  </w:t>
      </w:r>
    </w:p>
    <w:p w:rsidR="008B17C1" w:rsidRDefault="008B17C1">
      <w:pPr>
        <w:pStyle w:val="Sinespaciado"/>
        <w:rPr>
          <w:lang w:val="es-ES_tradnl" w:eastAsia="es-ES"/>
        </w:rPr>
      </w:pPr>
    </w:p>
    <w:p w:rsidR="008B17C1" w:rsidRDefault="007C125B">
      <w:pPr>
        <w:spacing w:after="0" w:line="360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Por lo tanto, </w:t>
      </w:r>
      <w:r>
        <w:rPr>
          <w:rFonts w:ascii="Century Gothic" w:eastAsia="Times New Roman" w:hAnsi="Century Gothic"/>
          <w:b/>
          <w:sz w:val="24"/>
          <w:szCs w:val="24"/>
          <w:lang w:eastAsia="es-ES"/>
        </w:rPr>
        <w:t>se dispone:</w:t>
      </w:r>
    </w:p>
    <w:p w:rsidR="008B17C1" w:rsidRDefault="008B17C1">
      <w:pPr>
        <w:pStyle w:val="Sinespaciado"/>
        <w:rPr>
          <w:lang w:eastAsia="es-ES"/>
        </w:rPr>
      </w:pPr>
    </w:p>
    <w:p w:rsidR="008B17C1" w:rsidRDefault="007C12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t>Declarara que éste Juzgado carece de competencia para conocer la presente acción de tutela, de conformidad con lo expuesto en la parte motiva.</w:t>
      </w:r>
    </w:p>
    <w:p w:rsidR="008B17C1" w:rsidRDefault="008B17C1">
      <w:pPr>
        <w:pStyle w:val="Sinespaciado"/>
        <w:rPr>
          <w:lang w:eastAsia="es-ES"/>
        </w:rPr>
      </w:pPr>
    </w:p>
    <w:p w:rsidR="008B17C1" w:rsidRDefault="007C12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Remitir por competencia de manera inmediata la presente acción constitucional al </w:t>
      </w:r>
      <w:r>
        <w:rPr>
          <w:rFonts w:ascii="Century Gothic" w:eastAsia="Times New Roman" w:hAnsi="Century Gothic"/>
          <w:bCs/>
          <w:sz w:val="24"/>
          <w:szCs w:val="24"/>
          <w:lang w:val="es-ES_tradnl" w:eastAsia="es-ES"/>
        </w:rPr>
        <w:t>Tribunal Superior del Distrito Judicial de Bogotá – Sala de Justicia y Paz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(Reparto), atendiendo lo dispuesto en el</w:t>
      </w:r>
      <w:r>
        <w:rPr>
          <w:rFonts w:ascii="Century Gothic" w:eastAsia="Times New Roman" w:hAnsi="Century Gothic"/>
          <w:sz w:val="24"/>
          <w:szCs w:val="24"/>
          <w:lang w:eastAsia="es-ES"/>
        </w:rPr>
        <w:t xml:space="preserve"> artículo 1 del Decreto 1983 de 2017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:rsidR="008B17C1" w:rsidRDefault="008B17C1">
      <w:pPr>
        <w:pStyle w:val="Sinespaciado"/>
      </w:pPr>
    </w:p>
    <w:p w:rsidR="008B17C1" w:rsidRDefault="007C12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Notificase al accionante de lo decidido, por el medio más rápido y expedito. </w:t>
      </w:r>
    </w:p>
    <w:p w:rsidR="008B17C1" w:rsidRDefault="008B17C1">
      <w:pPr>
        <w:pStyle w:val="Prrafodelista"/>
        <w:rPr>
          <w:rFonts w:ascii="Century Gothic" w:eastAsia="Times New Roman" w:hAnsi="Century Gothic"/>
          <w:sz w:val="24"/>
          <w:szCs w:val="24"/>
          <w:lang w:eastAsia="es-ES"/>
        </w:rPr>
      </w:pPr>
    </w:p>
    <w:p w:rsidR="008B17C1" w:rsidRDefault="007C125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Century Gothic" w:eastAsia="Times New Roman" w:hAnsi="Century Gothic"/>
          <w:sz w:val="24"/>
          <w:szCs w:val="24"/>
          <w:lang w:eastAsia="es-ES"/>
        </w:rPr>
      </w:pPr>
      <w:r>
        <w:rPr>
          <w:rFonts w:ascii="Century Gothic" w:eastAsia="Times New Roman" w:hAnsi="Century Gothic"/>
          <w:sz w:val="24"/>
          <w:szCs w:val="24"/>
          <w:lang w:eastAsia="es-ES"/>
        </w:rPr>
        <w:t>Por Secretaría déjense las constancias respectivas.</w:t>
      </w:r>
    </w:p>
    <w:p w:rsidR="008B17C1" w:rsidRDefault="008B17C1">
      <w:pPr>
        <w:spacing w:after="0" w:line="276" w:lineRule="auto"/>
        <w:ind w:right="-11"/>
        <w:jc w:val="both"/>
        <w:rPr>
          <w:rFonts w:ascii="Century Gothic" w:eastAsia="Calibri" w:hAnsi="Century Gothic" w:cs="Times New Roman"/>
          <w:sz w:val="24"/>
          <w:szCs w:val="24"/>
          <w:lang w:eastAsia="es-ES"/>
        </w:rPr>
      </w:pPr>
    </w:p>
    <w:p w:rsidR="008B17C1" w:rsidRDefault="007C125B">
      <w:pPr>
        <w:spacing w:after="0" w:line="276" w:lineRule="auto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NOTIFICASE y CÚMPLASE</w:t>
      </w:r>
    </w:p>
    <w:p w:rsidR="00C6238F" w:rsidRDefault="00AB35DD">
      <w:pPr>
        <w:tabs>
          <w:tab w:val="left" w:pos="-720"/>
        </w:tabs>
        <w:spacing w:after="0" w:line="276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val="es-CO" w:eastAsia="es-CO"/>
        </w:rPr>
        <w:drawing>
          <wp:inline distT="0" distB="0" distL="0" distR="0">
            <wp:extent cx="2744572" cy="986282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DIGIT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476" cy="986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7C1" w:rsidRPr="00573988" w:rsidRDefault="007C125B">
      <w:pPr>
        <w:tabs>
          <w:tab w:val="left" w:pos="-720"/>
        </w:tabs>
        <w:spacing w:after="0" w:line="276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573988">
        <w:rPr>
          <w:rFonts w:ascii="Century Gothic" w:eastAsia="Times New Roman" w:hAnsi="Century Gothic" w:cs="Times New Roman"/>
          <w:sz w:val="24"/>
          <w:szCs w:val="24"/>
          <w:lang w:eastAsia="es-ES"/>
        </w:rPr>
        <w:t>ERICSON SUESCUN LEÓN</w:t>
      </w:r>
    </w:p>
    <w:p w:rsidR="008B17C1" w:rsidRPr="00573988" w:rsidRDefault="007C125B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573988">
        <w:rPr>
          <w:rFonts w:ascii="Century Gothic" w:eastAsia="Times New Roman" w:hAnsi="Century Gothic" w:cs="Times New Roman"/>
          <w:b/>
          <w:bCs/>
          <w:sz w:val="24"/>
          <w:szCs w:val="24"/>
          <w:lang w:eastAsia="es-ES"/>
        </w:rPr>
        <w:t>Juez</w:t>
      </w:r>
    </w:p>
    <w:sectPr w:rsidR="008B17C1" w:rsidRPr="00573988">
      <w:headerReference w:type="default" r:id="rId10"/>
      <w:footerReference w:type="default" r:id="rId11"/>
      <w:footerReference w:type="first" r:id="rId12"/>
      <w:pgSz w:w="12240" w:h="18720"/>
      <w:pgMar w:top="1417" w:right="1701" w:bottom="1417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A6" w:rsidRDefault="00960AA6">
      <w:pPr>
        <w:spacing w:after="0" w:line="240" w:lineRule="auto"/>
      </w:pPr>
      <w:r>
        <w:separator/>
      </w:r>
    </w:p>
  </w:endnote>
  <w:endnote w:type="continuationSeparator" w:id="0">
    <w:p w:rsidR="00960AA6" w:rsidRDefault="0096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C1" w:rsidRDefault="008B17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150369"/>
      <w:docPartObj>
        <w:docPartGallery w:val="Page Numbers (Bottom of Page)"/>
        <w:docPartUnique/>
      </w:docPartObj>
    </w:sdtPr>
    <w:sdtEndPr/>
    <w:sdtContent>
      <w:p w:rsidR="008B17C1" w:rsidRDefault="007C125B">
        <w:pPr>
          <w:pStyle w:val="Piedep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F15C2">
          <w:rPr>
            <w:noProof/>
          </w:rPr>
          <w:t>1</w:t>
        </w:r>
        <w:r>
          <w:fldChar w:fldCharType="end"/>
        </w:r>
      </w:p>
    </w:sdtContent>
  </w:sdt>
  <w:p w:rsidR="008B17C1" w:rsidRDefault="008B17C1">
    <w:pPr>
      <w:pStyle w:val="Piedepgina"/>
      <w:ind w:left="7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A6" w:rsidRDefault="00960AA6">
      <w:pPr>
        <w:spacing w:after="0" w:line="240" w:lineRule="auto"/>
      </w:pPr>
      <w:r>
        <w:separator/>
      </w:r>
    </w:p>
  </w:footnote>
  <w:footnote w:type="continuationSeparator" w:id="0">
    <w:p w:rsidR="00960AA6" w:rsidRDefault="0096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7C1" w:rsidRDefault="007C125B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tab/>
    </w:r>
    <w:r>
      <w:rPr>
        <w:rFonts w:ascii="Times New Roman" w:hAnsi="Times New Roman" w:cs="Times New Roman"/>
        <w:sz w:val="20"/>
        <w:szCs w:val="20"/>
      </w:rPr>
      <w:t xml:space="preserve">Expediente: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11001 3334 003 2020 00072 00</w:t>
    </w:r>
  </w:p>
  <w:p w:rsidR="008B17C1" w:rsidRDefault="007C125B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Demandante: </w:t>
    </w:r>
    <w:proofErr w:type="spellStart"/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Arnolfo</w:t>
    </w:r>
    <w:proofErr w:type="spellEnd"/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 xml:space="preserve"> Sanabria Galindo </w:t>
    </w:r>
    <w:r>
      <w:rPr>
        <w:rFonts w:ascii="Times New Roman" w:hAnsi="Times New Roman" w:cs="Times New Roman"/>
        <w:sz w:val="20"/>
        <w:szCs w:val="20"/>
      </w:rPr>
      <w:t xml:space="preserve"> </w:t>
    </w:r>
  </w:p>
  <w:p w:rsidR="008B17C1" w:rsidRDefault="007C125B">
    <w:pPr>
      <w:pStyle w:val="Sinespaciado"/>
      <w:ind w:firstLine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Demandado: </w:t>
    </w:r>
    <w:r>
      <w:rPr>
        <w:rFonts w:ascii="Times New Roman" w:eastAsia="Times New Roman" w:hAnsi="Times New Roman" w:cs="Times New Roman"/>
        <w:spacing w:val="-3"/>
        <w:sz w:val="20"/>
        <w:szCs w:val="20"/>
        <w:lang w:eastAsia="es-ES"/>
      </w:rPr>
      <w:t>Fiscalía  General de la Nación</w:t>
    </w:r>
  </w:p>
  <w:p w:rsidR="008B17C1" w:rsidRDefault="007C125B">
    <w:pPr>
      <w:pStyle w:val="Sinespaciado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Acción de Tutela</w:t>
    </w:r>
  </w:p>
  <w:p w:rsidR="008B17C1" w:rsidRDefault="007C125B">
    <w:pPr>
      <w:pStyle w:val="Encabezado"/>
      <w:tabs>
        <w:tab w:val="clear" w:pos="4252"/>
        <w:tab w:val="clear" w:pos="8504"/>
        <w:tab w:val="left" w:pos="0"/>
        <w:tab w:val="left" w:pos="6804"/>
      </w:tabs>
      <w:ind w:left="6379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>Remite por competencia</w:t>
    </w:r>
  </w:p>
  <w:p w:rsidR="008B17C1" w:rsidRDefault="008B17C1">
    <w:pPr>
      <w:pStyle w:val="Encabezado"/>
      <w:tabs>
        <w:tab w:val="clear" w:pos="4252"/>
        <w:tab w:val="clear" w:pos="8504"/>
        <w:tab w:val="left" w:pos="0"/>
        <w:tab w:val="lef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F1F"/>
    <w:multiLevelType w:val="multilevel"/>
    <w:tmpl w:val="356E1E4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A4E2C"/>
    <w:multiLevelType w:val="multilevel"/>
    <w:tmpl w:val="8766C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C1"/>
    <w:rsid w:val="0052585B"/>
    <w:rsid w:val="00573988"/>
    <w:rsid w:val="005E4F54"/>
    <w:rsid w:val="006F15C2"/>
    <w:rsid w:val="007C125B"/>
    <w:rsid w:val="008B17C1"/>
    <w:rsid w:val="00960AA6"/>
    <w:rsid w:val="00AB35DD"/>
    <w:rsid w:val="00C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75CAE-0023-4120-977A-C1ADE713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E571F"/>
    <w:rPr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B27FA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A3090"/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FB2B6A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FB2B6A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2E571F"/>
    <w:pPr>
      <w:tabs>
        <w:tab w:val="center" w:pos="4252"/>
        <w:tab w:val="right" w:pos="8504"/>
      </w:tabs>
      <w:spacing w:after="0" w:line="240" w:lineRule="auto"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B27F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A3090"/>
    <w:rPr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1A3090"/>
    <w:pPr>
      <w:tabs>
        <w:tab w:val="center" w:pos="4252"/>
        <w:tab w:val="right" w:pos="8504"/>
      </w:tabs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B2B6A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D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A7C0-AD88-40D4-B4DB-D36D8DE0C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Lopez Campos</dc:creator>
  <dc:description/>
  <cp:lastModifiedBy>Angélica Guzmán</cp:lastModifiedBy>
  <cp:revision>2</cp:revision>
  <cp:lastPrinted>2019-03-28T19:18:00Z</cp:lastPrinted>
  <dcterms:created xsi:type="dcterms:W3CDTF">2020-04-23T17:07:00Z</dcterms:created>
  <dcterms:modified xsi:type="dcterms:W3CDTF">2020-04-23T17:07:00Z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