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r w:rsidR="004F13BE">
        <w:rPr>
          <w:rFonts w:ascii="Arial Narrow" w:hAnsi="Arial Narrow"/>
          <w:iCs/>
          <w:spacing w:val="-3"/>
          <w:sz w:val="24"/>
          <w:szCs w:val="24"/>
          <w:lang w:val="es-CO" w:eastAsia="es-ES"/>
        </w:rPr>
        <w:t xml:space="preserve"> </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008A5B75">
        <w:rPr>
          <w:rFonts w:ascii="Arial Narrow" w:hAnsi="Arial Narrow"/>
          <w:iCs/>
          <w:spacing w:val="-3"/>
          <w:sz w:val="24"/>
          <w:szCs w:val="24"/>
          <w:lang w:val="es-CO" w:eastAsia="es-ES"/>
        </w:rPr>
        <w:t>70</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001440">
        <w:rPr>
          <w:rFonts w:ascii="Arial Narrow" w:hAnsi="Arial Narrow"/>
          <w:b/>
          <w:sz w:val="24"/>
          <w:szCs w:val="24"/>
          <w:lang w:eastAsia="es-ES"/>
        </w:rPr>
        <w:t>34</w:t>
      </w:r>
      <w:r w:rsidR="008A5B75">
        <w:rPr>
          <w:rFonts w:ascii="Arial Narrow" w:hAnsi="Arial Narrow"/>
          <w:b/>
          <w:sz w:val="24"/>
          <w:szCs w:val="24"/>
          <w:lang w:eastAsia="es-ES"/>
        </w:rPr>
        <w:t>6</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8A5B75">
        <w:rPr>
          <w:rFonts w:ascii="Arial Narrow" w:hAnsi="Arial Narrow"/>
          <w:b/>
          <w:sz w:val="24"/>
          <w:szCs w:val="24"/>
          <w:lang w:val="es-CO" w:eastAsia="es-ES"/>
        </w:rPr>
        <w:t>Héctor Álzate Gutiérrez</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001440">
        <w:rPr>
          <w:rFonts w:ascii="Arial Narrow" w:hAnsi="Arial Narrow" w:cs="Arial"/>
          <w:sz w:val="24"/>
          <w:szCs w:val="24"/>
          <w:lang w:val="es-CO"/>
        </w:rPr>
        <w:t>06 de septiembre de 2019</w:t>
      </w:r>
      <w:r w:rsidRPr="00B0547A">
        <w:rPr>
          <w:rFonts w:ascii="Arial Narrow" w:hAnsi="Arial Narrow" w:cs="Arial"/>
          <w:sz w:val="24"/>
          <w:szCs w:val="24"/>
          <w:lang w:val="es-CO"/>
        </w:rPr>
        <w:t xml:space="preserve"> </w:t>
      </w:r>
      <w:r w:rsidR="008A5B75">
        <w:rPr>
          <w:rFonts w:ascii="Arial Narrow" w:hAnsi="Arial Narrow" w:cs="Arial"/>
          <w:sz w:val="24"/>
          <w:szCs w:val="24"/>
          <w:lang w:val="es-CO"/>
        </w:rPr>
        <w:t>e</w:t>
      </w:r>
      <w:r w:rsidRPr="00B0547A">
        <w:rPr>
          <w:rFonts w:ascii="Arial Narrow" w:hAnsi="Arial Narrow" w:cs="Arial"/>
          <w:sz w:val="24"/>
          <w:szCs w:val="24"/>
          <w:lang w:val="es-CO"/>
        </w:rPr>
        <w:t>l señor</w:t>
      </w:r>
      <w:r w:rsidR="006B2741" w:rsidRPr="006B2741">
        <w:rPr>
          <w:rFonts w:ascii="Arial Narrow" w:hAnsi="Arial Narrow"/>
          <w:b/>
          <w:sz w:val="24"/>
          <w:szCs w:val="24"/>
          <w:lang w:val="es-CO" w:eastAsia="es-ES"/>
        </w:rPr>
        <w:t xml:space="preserve"> </w:t>
      </w:r>
      <w:r w:rsidR="008A5B75">
        <w:rPr>
          <w:rFonts w:ascii="Arial Narrow" w:hAnsi="Arial Narrow"/>
          <w:sz w:val="24"/>
          <w:szCs w:val="24"/>
          <w:lang w:val="es-CO" w:eastAsia="es-ES"/>
        </w:rPr>
        <w:t>Héctor Álzate Gutiérrez</w:t>
      </w:r>
      <w:r w:rsidRPr="00B0547A">
        <w:rPr>
          <w:rFonts w:ascii="Arial Narrow" w:hAnsi="Arial Narrow" w:cs="Arial"/>
          <w:sz w:val="24"/>
          <w:szCs w:val="24"/>
          <w:lang w:val="es-CO"/>
        </w:rPr>
        <w:t xml:space="preserve"> </w:t>
      </w:r>
      <w:r w:rsidR="002F5E15">
        <w:rPr>
          <w:rFonts w:ascii="Arial Narrow" w:hAnsi="Arial Narrow" w:cs="Arial"/>
          <w:sz w:val="24"/>
          <w:szCs w:val="24"/>
          <w:lang w:val="es-CO"/>
        </w:rPr>
        <w:t>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8A5B75">
        <w:rPr>
          <w:rFonts w:ascii="Arial Narrow" w:hAnsi="Arial Narrow" w:cs="Arial"/>
          <w:spacing w:val="-3"/>
          <w:sz w:val="24"/>
          <w:szCs w:val="24"/>
          <w:lang w:eastAsia="es-ES"/>
        </w:rPr>
        <w:t>20193100024461</w:t>
      </w:r>
      <w:r w:rsidR="006C46EA">
        <w:rPr>
          <w:rFonts w:ascii="Arial Narrow" w:hAnsi="Arial Narrow" w:cs="Arial"/>
          <w:spacing w:val="-3"/>
          <w:sz w:val="24"/>
          <w:szCs w:val="24"/>
          <w:lang w:eastAsia="es-ES"/>
        </w:rPr>
        <w:t xml:space="preserve"> </w:t>
      </w:r>
      <w:r w:rsidR="006B2741">
        <w:rPr>
          <w:rFonts w:ascii="Arial Narrow" w:hAnsi="Arial Narrow" w:cs="Arial"/>
          <w:spacing w:val="-3"/>
          <w:sz w:val="24"/>
          <w:szCs w:val="24"/>
          <w:lang w:eastAsia="es-ES"/>
        </w:rPr>
        <w:t xml:space="preserve">del </w:t>
      </w:r>
      <w:r w:rsidR="008A5B75">
        <w:rPr>
          <w:rFonts w:ascii="Arial Narrow" w:hAnsi="Arial Narrow" w:cs="Arial"/>
          <w:spacing w:val="-3"/>
          <w:sz w:val="24"/>
          <w:szCs w:val="24"/>
          <w:lang w:eastAsia="es-ES"/>
        </w:rPr>
        <w:t>15 de marzo de 2019</w:t>
      </w:r>
      <w:r w:rsidR="002654D7">
        <w:rPr>
          <w:rFonts w:ascii="Arial Narrow" w:hAnsi="Arial Narrow" w:cs="Arial"/>
          <w:spacing w:val="-3"/>
          <w:sz w:val="24"/>
          <w:szCs w:val="24"/>
          <w:lang w:eastAsia="es-ES"/>
        </w:rPr>
        <w:t xml:space="preserve"> </w:t>
      </w:r>
      <w:r w:rsidR="002F5E15">
        <w:rPr>
          <w:rFonts w:ascii="Arial Narrow" w:hAnsi="Arial Narrow" w:cs="Arial"/>
          <w:spacing w:val="-3"/>
          <w:sz w:val="24"/>
          <w:szCs w:val="24"/>
          <w:lang w:eastAsia="es-ES"/>
        </w:rPr>
        <w:t>y la nulidad de</w:t>
      </w:r>
      <w:r w:rsidR="001617AF">
        <w:rPr>
          <w:rFonts w:ascii="Arial Narrow" w:hAnsi="Arial Narrow" w:cs="Arial"/>
          <w:spacing w:val="-3"/>
          <w:sz w:val="24"/>
          <w:szCs w:val="24"/>
          <w:lang w:eastAsia="es-ES"/>
        </w:rPr>
        <w:t xml:space="preserve"> </w:t>
      </w:r>
      <w:r w:rsidR="00421DAA">
        <w:rPr>
          <w:rFonts w:ascii="Arial Narrow" w:hAnsi="Arial Narrow" w:cs="Arial"/>
          <w:spacing w:val="-3"/>
          <w:sz w:val="24"/>
          <w:szCs w:val="24"/>
          <w:lang w:eastAsia="es-ES"/>
        </w:rPr>
        <w:t>l</w:t>
      </w:r>
      <w:r w:rsidR="001617AF">
        <w:rPr>
          <w:rFonts w:ascii="Arial Narrow" w:hAnsi="Arial Narrow" w:cs="Arial"/>
          <w:spacing w:val="-3"/>
          <w:sz w:val="24"/>
          <w:szCs w:val="24"/>
          <w:lang w:eastAsia="es-ES"/>
        </w:rPr>
        <w:t xml:space="preserve">a resolución </w:t>
      </w:r>
      <w:r w:rsidR="008A5B75">
        <w:rPr>
          <w:rFonts w:ascii="Arial Narrow" w:hAnsi="Arial Narrow" w:cs="Arial"/>
          <w:spacing w:val="-3"/>
          <w:sz w:val="24"/>
          <w:szCs w:val="24"/>
          <w:lang w:eastAsia="es-ES"/>
        </w:rPr>
        <w:t>20945</w:t>
      </w:r>
      <w:r w:rsidR="001617AF">
        <w:rPr>
          <w:rFonts w:ascii="Arial Narrow" w:hAnsi="Arial Narrow" w:cs="Arial"/>
          <w:spacing w:val="-3"/>
          <w:sz w:val="24"/>
          <w:szCs w:val="24"/>
          <w:lang w:eastAsia="es-ES"/>
        </w:rPr>
        <w:t xml:space="preserve"> del </w:t>
      </w:r>
      <w:r w:rsidR="008A5B75">
        <w:rPr>
          <w:rFonts w:ascii="Arial Narrow" w:hAnsi="Arial Narrow" w:cs="Arial"/>
          <w:spacing w:val="-3"/>
          <w:sz w:val="24"/>
          <w:szCs w:val="24"/>
          <w:lang w:eastAsia="es-ES"/>
        </w:rPr>
        <w:t>25 de abril de 2019</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3A22CA">
        <w:rPr>
          <w:rFonts w:ascii="Arial Narrow" w:hAnsi="Arial Narrow" w:cs="Arial"/>
          <w:spacing w:val="-3"/>
          <w:sz w:val="24"/>
          <w:szCs w:val="24"/>
          <w:lang w:eastAsia="es-ES"/>
        </w:rPr>
        <w:t>, entre otras</w:t>
      </w:r>
      <w:r w:rsidR="001954B3">
        <w:rPr>
          <w:rFonts w:ascii="Arial Narrow" w:hAnsi="Arial Narrow" w:cs="Arial"/>
          <w:spacing w:val="-3"/>
          <w:sz w:val="24"/>
          <w:szCs w:val="24"/>
          <w:lang w:eastAsia="es-ES"/>
        </w:rPr>
        <w:t>.</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5643A5">
        <w:rPr>
          <w:rFonts w:ascii="Arial Narrow" w:hAnsi="Arial Narrow" w:cs="Arial"/>
          <w:sz w:val="24"/>
          <w:szCs w:val="24"/>
          <w:lang w:val="es-CO" w:eastAsia="en-US"/>
        </w:rPr>
        <w:t>, solicitando la inclusión de la</w:t>
      </w:r>
      <w:r w:rsidRPr="00B0547A">
        <w:rPr>
          <w:rFonts w:ascii="Arial Narrow" w:hAnsi="Arial Narrow" w:cs="Arial"/>
          <w:sz w:val="24"/>
          <w:szCs w:val="24"/>
          <w:lang w:val="es-CO" w:eastAsia="en-US"/>
        </w:rPr>
        <w:t xml:space="preserve"> bonificación</w:t>
      </w:r>
      <w:r w:rsidR="009234C0">
        <w:rPr>
          <w:rFonts w:ascii="Arial Narrow" w:hAnsi="Arial Narrow" w:cs="Arial"/>
          <w:sz w:val="24"/>
          <w:szCs w:val="24"/>
          <w:lang w:val="es-CO" w:eastAsia="en-US"/>
        </w:rPr>
        <w:t xml:space="preserve"> judicial</w:t>
      </w:r>
      <w:r w:rsidRPr="00B0547A">
        <w:rPr>
          <w:rFonts w:ascii="Arial Narrow" w:hAnsi="Arial Narrow" w:cs="Arial"/>
          <w:sz w:val="24"/>
          <w:szCs w:val="24"/>
          <w:lang w:val="es-CO" w:eastAsia="en-US"/>
        </w:rPr>
        <w:t xml:space="preserve"> </w:t>
      </w:r>
      <w:r w:rsidR="005643A5">
        <w:rPr>
          <w:rFonts w:ascii="Arial Narrow" w:hAnsi="Arial Narrow" w:cs="Arial"/>
          <w:sz w:val="24"/>
          <w:szCs w:val="24"/>
          <w:lang w:val="es-CO" w:eastAsia="en-US"/>
        </w:rPr>
        <w:t xml:space="preserve">como factor </w:t>
      </w:r>
      <w:r w:rsidR="009234C0">
        <w:rPr>
          <w:rFonts w:ascii="Arial Narrow" w:hAnsi="Arial Narrow" w:cs="Arial"/>
          <w:sz w:val="24"/>
          <w:szCs w:val="24"/>
          <w:lang w:val="es-CO" w:eastAsia="en-US"/>
        </w:rPr>
        <w:t>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w:t>
            </w:r>
            <w:r w:rsidR="00BA2C48">
              <w:rPr>
                <w:rFonts w:ascii="Calibri" w:hAnsi="Calibri" w:cs="Arial"/>
                <w:b/>
                <w:u w:val="single"/>
              </w:rPr>
              <w:t>______________</w:t>
            </w:r>
            <w:r w:rsidR="00172A12">
              <w:rPr>
                <w:rFonts w:ascii="Calibri" w:hAnsi="Calibri" w:cs="Arial"/>
                <w:b/>
                <w:u w:val="single"/>
              </w:rPr>
              <w:t>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BA2C48">
        <w:rPr>
          <w:rFonts w:ascii="Arial Narrow" w:hAnsi="Arial Narrow"/>
        </w:rPr>
        <w:t>106</w:t>
      </w:r>
      <w:r w:rsidR="009D50F2">
        <w:rPr>
          <w:rFonts w:ascii="Arial Narrow" w:hAnsi="Arial Narrow"/>
        </w:rPr>
        <w:t>8</w:t>
      </w:r>
      <w:bookmarkStart w:id="0" w:name="_GoBack"/>
      <w:bookmarkEnd w:id="0"/>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w:t>
      </w:r>
      <w:r w:rsidR="008A5B75">
        <w:rPr>
          <w:rFonts w:ascii="Arial Narrow" w:hAnsi="Arial Narrow" w:cs="Arial"/>
          <w:b/>
        </w:rPr>
        <w:t>0346</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8A5B75">
        <w:rPr>
          <w:rFonts w:ascii="Arial Narrow" w:hAnsi="Arial Narrow" w:cs="Arial"/>
          <w:b/>
        </w:rPr>
        <w:t>Héctor Álzate Gutiérrez</w:t>
      </w:r>
      <w:r w:rsidR="00C46FCE">
        <w:rPr>
          <w:rFonts w:ascii="Arial Narrow" w:hAnsi="Arial Narrow" w:cs="Arial"/>
          <w:b/>
        </w:rPr>
        <w:t xml:space="preserve"> </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1617AF">
        <w:rPr>
          <w:rFonts w:ascii="Arial Narrow" w:hAnsi="Arial Narrow" w:cs="Arial"/>
          <w:bCs/>
        </w:rPr>
        <w:t>__________________</w:t>
      </w:r>
      <w:r w:rsidR="00D95323">
        <w:rPr>
          <w:rFonts w:ascii="Arial Narrow" w:hAnsi="Arial Narrow" w:cs="Arial"/>
          <w:bCs/>
        </w:rPr>
        <w:t>__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ED68FE">
        <w:rPr>
          <w:rFonts w:ascii="Arial Narrow" w:hAnsi="Arial Narrow" w:cs="Arial"/>
          <w:bCs/>
        </w:rPr>
        <w:t>52</w:t>
      </w:r>
      <w:r w:rsidR="00D95323">
        <w:rPr>
          <w:rFonts w:ascii="Arial Narrow" w:hAnsi="Arial Narrow" w:cs="Arial"/>
          <w:bCs/>
        </w:rPr>
        <w:t xml:space="preserve"> </w:t>
      </w:r>
      <w:r w:rsidRPr="00242B94">
        <w:rPr>
          <w:rFonts w:ascii="Arial Narrow" w:hAnsi="Arial Narrow" w:cs="Arial"/>
          <w:bCs/>
        </w:rPr>
        <w:t>folios</w:t>
      </w:r>
      <w:r w:rsidR="00516A85">
        <w:rPr>
          <w:rFonts w:ascii="Arial Narrow" w:hAnsi="Arial Narrow" w:cs="Arial"/>
          <w:bCs/>
        </w:rPr>
        <w:t xml:space="preserve"> y  </w:t>
      </w:r>
      <w:r w:rsidR="001617AF">
        <w:rPr>
          <w:rFonts w:ascii="Arial Narrow" w:hAnsi="Arial Narrow" w:cs="Arial"/>
          <w:bCs/>
        </w:rPr>
        <w:t>un traslado</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headerReference w:type="first" r:id="rId13"/>
      <w:footerReference w:type="first" r:id="rId14"/>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BC" w:rsidRDefault="00012FBC" w:rsidP="004F3ABA">
      <w:r>
        <w:separator/>
      </w:r>
    </w:p>
  </w:endnote>
  <w:endnote w:type="continuationSeparator" w:id="0">
    <w:p w:rsidR="00012FBC" w:rsidRDefault="00012FBC"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012FBC"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012FBC"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BC" w:rsidRDefault="00012FBC" w:rsidP="004F3ABA">
      <w:r>
        <w:separator/>
      </w:r>
    </w:p>
  </w:footnote>
  <w:footnote w:type="continuationSeparator" w:id="0">
    <w:p w:rsidR="00012FBC" w:rsidRDefault="00012FBC"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8A5B75">
      <w:rPr>
        <w:rFonts w:ascii="Arial Narrow" w:hAnsi="Arial Narrow" w:cs="Arial"/>
        <w:sz w:val="18"/>
        <w:szCs w:val="18"/>
      </w:rPr>
      <w:t>346</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6B2741">
      <w:rPr>
        <w:rFonts w:ascii="Arial Narrow" w:hAnsi="Arial Narrow" w:cs="Arial"/>
        <w:sz w:val="18"/>
        <w:szCs w:val="18"/>
      </w:rPr>
      <w:t xml:space="preserve">; </w:t>
    </w:r>
    <w:r w:rsidR="008A5B75">
      <w:rPr>
        <w:rFonts w:ascii="Arial Narrow" w:hAnsi="Arial Narrow" w:cs="Arial"/>
        <w:sz w:val="18"/>
        <w:szCs w:val="18"/>
      </w:rPr>
      <w:t>Héctor Álzate  Gutiérrez</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012FBC" w:rsidP="00984FB7">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0A" w:rsidRPr="0060200A" w:rsidRDefault="00ED68FE" w:rsidP="0060200A">
    <w:pPr>
      <w:pStyle w:val="Encabezado"/>
      <w:jc w:val="right"/>
      <w:rPr>
        <w:lang w:val="es-CO"/>
      </w:rPr>
    </w:pPr>
    <w:r>
      <w:rPr>
        <w:lang w:val="es-CO"/>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01440"/>
    <w:rsid w:val="00012FBC"/>
    <w:rsid w:val="00032D3E"/>
    <w:rsid w:val="000A41FE"/>
    <w:rsid w:val="0010075F"/>
    <w:rsid w:val="001147E3"/>
    <w:rsid w:val="0013366F"/>
    <w:rsid w:val="001617AF"/>
    <w:rsid w:val="00172A12"/>
    <w:rsid w:val="001954B3"/>
    <w:rsid w:val="001B0081"/>
    <w:rsid w:val="00202E3D"/>
    <w:rsid w:val="00206CEB"/>
    <w:rsid w:val="00243D8F"/>
    <w:rsid w:val="002469DB"/>
    <w:rsid w:val="00251058"/>
    <w:rsid w:val="002566A9"/>
    <w:rsid w:val="00262422"/>
    <w:rsid w:val="002654D7"/>
    <w:rsid w:val="0027442A"/>
    <w:rsid w:val="00286551"/>
    <w:rsid w:val="002950C2"/>
    <w:rsid w:val="00296707"/>
    <w:rsid w:val="002B0E69"/>
    <w:rsid w:val="002F3D5B"/>
    <w:rsid w:val="002F5E15"/>
    <w:rsid w:val="003A22CA"/>
    <w:rsid w:val="003D64B2"/>
    <w:rsid w:val="003D7B4B"/>
    <w:rsid w:val="00421DAA"/>
    <w:rsid w:val="004B0CBB"/>
    <w:rsid w:val="004F13BE"/>
    <w:rsid w:val="004F3ABA"/>
    <w:rsid w:val="00516A85"/>
    <w:rsid w:val="00522557"/>
    <w:rsid w:val="005364E3"/>
    <w:rsid w:val="005430D3"/>
    <w:rsid w:val="005643A5"/>
    <w:rsid w:val="00580C02"/>
    <w:rsid w:val="005813DA"/>
    <w:rsid w:val="0060200A"/>
    <w:rsid w:val="00632140"/>
    <w:rsid w:val="006516AD"/>
    <w:rsid w:val="006563A0"/>
    <w:rsid w:val="00681640"/>
    <w:rsid w:val="006B2741"/>
    <w:rsid w:val="006C46EA"/>
    <w:rsid w:val="006E7116"/>
    <w:rsid w:val="006F63AA"/>
    <w:rsid w:val="00701D88"/>
    <w:rsid w:val="00740CC7"/>
    <w:rsid w:val="00751881"/>
    <w:rsid w:val="00765CF1"/>
    <w:rsid w:val="007A48D1"/>
    <w:rsid w:val="007F2C01"/>
    <w:rsid w:val="007F7696"/>
    <w:rsid w:val="00847641"/>
    <w:rsid w:val="008A5A04"/>
    <w:rsid w:val="008A5B75"/>
    <w:rsid w:val="008E0DC0"/>
    <w:rsid w:val="009234C0"/>
    <w:rsid w:val="00984FB7"/>
    <w:rsid w:val="009A7B50"/>
    <w:rsid w:val="009D50F2"/>
    <w:rsid w:val="009D6AA5"/>
    <w:rsid w:val="009D7150"/>
    <w:rsid w:val="00B0547A"/>
    <w:rsid w:val="00B6467D"/>
    <w:rsid w:val="00B87913"/>
    <w:rsid w:val="00B9277F"/>
    <w:rsid w:val="00B96A1F"/>
    <w:rsid w:val="00BA2C48"/>
    <w:rsid w:val="00C1535D"/>
    <w:rsid w:val="00C3570A"/>
    <w:rsid w:val="00C46FCE"/>
    <w:rsid w:val="00C76081"/>
    <w:rsid w:val="00C80827"/>
    <w:rsid w:val="00CC285D"/>
    <w:rsid w:val="00CD07B2"/>
    <w:rsid w:val="00CD3AAD"/>
    <w:rsid w:val="00CD553B"/>
    <w:rsid w:val="00D10F2F"/>
    <w:rsid w:val="00D324E8"/>
    <w:rsid w:val="00D95323"/>
    <w:rsid w:val="00DB68AB"/>
    <w:rsid w:val="00DE57E9"/>
    <w:rsid w:val="00DF2424"/>
    <w:rsid w:val="00DF4EB6"/>
    <w:rsid w:val="00E032B5"/>
    <w:rsid w:val="00E15D53"/>
    <w:rsid w:val="00E36E14"/>
    <w:rsid w:val="00E8258E"/>
    <w:rsid w:val="00EA0DE7"/>
    <w:rsid w:val="00ED68FE"/>
    <w:rsid w:val="00EE4295"/>
    <w:rsid w:val="00F422C1"/>
    <w:rsid w:val="00F655BE"/>
    <w:rsid w:val="00F77330"/>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D7ED-91F0-4692-8F63-BE375318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5</cp:revision>
  <cp:lastPrinted>2019-09-03T21:36:00Z</cp:lastPrinted>
  <dcterms:created xsi:type="dcterms:W3CDTF">2019-09-19T15:55:00Z</dcterms:created>
  <dcterms:modified xsi:type="dcterms:W3CDTF">2019-09-19T16:32:00Z</dcterms:modified>
</cp:coreProperties>
</file>