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77"/>
      </w:tblGrid>
      <w:tr w:rsidR="009A08B7" w:rsidRPr="00F206F0" w:rsidTr="00563E9D">
        <w:tc>
          <w:tcPr>
            <w:tcW w:w="1843" w:type="dxa"/>
            <w:vAlign w:val="center"/>
          </w:tcPr>
          <w:p w:rsidR="009A08B7" w:rsidRPr="00F206F0" w:rsidRDefault="009A08B7" w:rsidP="00563E9D">
            <w:pPr>
              <w:rPr>
                <w:rFonts w:ascii="Tahoma" w:hAnsi="Tahoma" w:cs="Tahoma"/>
                <w:sz w:val="16"/>
                <w:szCs w:val="16"/>
              </w:rPr>
            </w:pPr>
            <w:r w:rsidRPr="00F206F0">
              <w:rPr>
                <w:rFonts w:ascii="Tahoma" w:hAnsi="Tahoma" w:cs="Tahoma"/>
                <w:sz w:val="16"/>
                <w:szCs w:val="16"/>
              </w:rPr>
              <w:t>CIUDAD Y FECHA</w:t>
            </w:r>
          </w:p>
        </w:tc>
        <w:tc>
          <w:tcPr>
            <w:tcW w:w="6977" w:type="dxa"/>
          </w:tcPr>
          <w:p w:rsidR="009A08B7" w:rsidRPr="00F206F0" w:rsidRDefault="009A08B7" w:rsidP="00C30C47">
            <w:pPr>
              <w:rPr>
                <w:rFonts w:ascii="Tahoma" w:hAnsi="Tahoma" w:cs="Tahoma"/>
                <w:b/>
                <w:sz w:val="16"/>
                <w:szCs w:val="16"/>
              </w:rPr>
            </w:pPr>
            <w:r w:rsidRPr="00F206F0">
              <w:rPr>
                <w:rFonts w:ascii="Tahoma" w:hAnsi="Tahoma" w:cs="Tahoma"/>
                <w:b/>
                <w:sz w:val="16"/>
                <w:szCs w:val="16"/>
              </w:rPr>
              <w:t xml:space="preserve">Bogotá D. C., </w:t>
            </w:r>
            <w:r w:rsidR="00C30C47">
              <w:rPr>
                <w:rFonts w:ascii="Tahoma" w:hAnsi="Tahoma" w:cs="Tahoma"/>
                <w:b/>
                <w:sz w:val="16"/>
                <w:szCs w:val="16"/>
              </w:rPr>
              <w:t>veintitrés (23)</w:t>
            </w:r>
            <w:r w:rsidRPr="00F206F0">
              <w:rPr>
                <w:rFonts w:ascii="Tahoma" w:hAnsi="Tahoma" w:cs="Tahoma"/>
                <w:b/>
                <w:sz w:val="16"/>
                <w:szCs w:val="16"/>
              </w:rPr>
              <w:t xml:space="preserve"> de noviembre  de dos mil dieciséis (2016)</w:t>
            </w:r>
          </w:p>
        </w:tc>
      </w:tr>
      <w:tr w:rsidR="009A08B7" w:rsidRPr="00F206F0" w:rsidTr="00563E9D">
        <w:tc>
          <w:tcPr>
            <w:tcW w:w="1843" w:type="dxa"/>
            <w:vAlign w:val="center"/>
          </w:tcPr>
          <w:p w:rsidR="009A08B7" w:rsidRPr="00F206F0" w:rsidRDefault="009A08B7" w:rsidP="00563E9D">
            <w:pPr>
              <w:rPr>
                <w:rFonts w:ascii="Tahoma" w:hAnsi="Tahoma" w:cs="Tahoma"/>
                <w:sz w:val="16"/>
                <w:szCs w:val="16"/>
              </w:rPr>
            </w:pPr>
            <w:r w:rsidRPr="00F206F0">
              <w:rPr>
                <w:rFonts w:ascii="Tahoma" w:hAnsi="Tahoma" w:cs="Tahoma"/>
                <w:sz w:val="16"/>
                <w:szCs w:val="16"/>
              </w:rPr>
              <w:t>REFERENCIA</w:t>
            </w:r>
          </w:p>
        </w:tc>
        <w:tc>
          <w:tcPr>
            <w:tcW w:w="6977" w:type="dxa"/>
          </w:tcPr>
          <w:p w:rsidR="009A08B7" w:rsidRPr="00F206F0" w:rsidRDefault="009A08B7" w:rsidP="00563E9D">
            <w:pPr>
              <w:rPr>
                <w:rFonts w:ascii="Tahoma" w:hAnsi="Tahoma" w:cs="Tahoma"/>
                <w:b/>
                <w:sz w:val="16"/>
                <w:szCs w:val="16"/>
              </w:rPr>
            </w:pPr>
            <w:r w:rsidRPr="00F206F0">
              <w:rPr>
                <w:rFonts w:ascii="Tahoma" w:hAnsi="Tahoma" w:cs="Tahoma"/>
                <w:b/>
                <w:sz w:val="16"/>
                <w:szCs w:val="16"/>
              </w:rPr>
              <w:t>Expediente No. 11001333603420130006100</w:t>
            </w:r>
          </w:p>
        </w:tc>
      </w:tr>
      <w:tr w:rsidR="009A08B7" w:rsidRPr="00F206F0" w:rsidTr="00563E9D">
        <w:tc>
          <w:tcPr>
            <w:tcW w:w="1843" w:type="dxa"/>
            <w:vAlign w:val="center"/>
          </w:tcPr>
          <w:p w:rsidR="009A08B7" w:rsidRPr="00F206F0" w:rsidRDefault="009A08B7" w:rsidP="00563E9D">
            <w:pPr>
              <w:rPr>
                <w:rFonts w:ascii="Tahoma" w:hAnsi="Tahoma" w:cs="Tahoma"/>
                <w:sz w:val="16"/>
                <w:szCs w:val="16"/>
              </w:rPr>
            </w:pPr>
            <w:r w:rsidRPr="00F206F0">
              <w:rPr>
                <w:rFonts w:ascii="Tahoma" w:hAnsi="Tahoma" w:cs="Tahoma"/>
                <w:sz w:val="16"/>
                <w:szCs w:val="16"/>
              </w:rPr>
              <w:t>DEMANDANTE</w:t>
            </w:r>
          </w:p>
        </w:tc>
        <w:tc>
          <w:tcPr>
            <w:tcW w:w="6977" w:type="dxa"/>
          </w:tcPr>
          <w:p w:rsidR="009A08B7" w:rsidRPr="00F206F0" w:rsidRDefault="009A08B7" w:rsidP="00563E9D">
            <w:pPr>
              <w:rPr>
                <w:rFonts w:ascii="Tahoma" w:hAnsi="Tahoma" w:cs="Tahoma"/>
                <w:b/>
                <w:sz w:val="16"/>
                <w:szCs w:val="16"/>
              </w:rPr>
            </w:pPr>
            <w:r w:rsidRPr="00F206F0">
              <w:rPr>
                <w:rFonts w:ascii="Tahoma" w:hAnsi="Tahoma" w:cs="Tahoma"/>
                <w:b/>
                <w:sz w:val="16"/>
                <w:szCs w:val="16"/>
              </w:rPr>
              <w:t>SALUD TOTAL S.A. E.P.S.</w:t>
            </w:r>
          </w:p>
        </w:tc>
      </w:tr>
      <w:tr w:rsidR="009A08B7" w:rsidRPr="00F206F0" w:rsidTr="00563E9D">
        <w:tc>
          <w:tcPr>
            <w:tcW w:w="1843" w:type="dxa"/>
            <w:vAlign w:val="center"/>
          </w:tcPr>
          <w:p w:rsidR="009A08B7" w:rsidRPr="00F206F0" w:rsidRDefault="009A08B7" w:rsidP="00563E9D">
            <w:pPr>
              <w:rPr>
                <w:rFonts w:ascii="Tahoma" w:hAnsi="Tahoma" w:cs="Tahoma"/>
                <w:sz w:val="16"/>
                <w:szCs w:val="16"/>
              </w:rPr>
            </w:pPr>
            <w:r w:rsidRPr="00F206F0">
              <w:rPr>
                <w:rFonts w:ascii="Tahoma" w:hAnsi="Tahoma" w:cs="Tahoma"/>
                <w:sz w:val="16"/>
                <w:szCs w:val="16"/>
              </w:rPr>
              <w:t>DEMANDADO</w:t>
            </w:r>
          </w:p>
        </w:tc>
        <w:tc>
          <w:tcPr>
            <w:tcW w:w="6977" w:type="dxa"/>
          </w:tcPr>
          <w:p w:rsidR="009A08B7" w:rsidRPr="00F206F0" w:rsidRDefault="009A08B7" w:rsidP="00563E9D">
            <w:pPr>
              <w:shd w:val="clear" w:color="auto" w:fill="FFFFFF"/>
              <w:rPr>
                <w:rFonts w:ascii="Tahoma" w:hAnsi="Tahoma" w:cs="Tahoma"/>
                <w:b/>
                <w:sz w:val="16"/>
                <w:szCs w:val="16"/>
              </w:rPr>
            </w:pPr>
            <w:r w:rsidRPr="00F206F0">
              <w:rPr>
                <w:rFonts w:ascii="Tahoma" w:hAnsi="Tahoma" w:cs="Tahoma"/>
                <w:b/>
                <w:sz w:val="16"/>
                <w:szCs w:val="16"/>
              </w:rPr>
              <w:t>NACIÓN – MINISTERIO DE SALUD Y PROTECCIÓN SOCIAL, CONSORCIO FIDUFOSYGA 2005, CONSORCIO SAYP 2011</w:t>
            </w:r>
          </w:p>
        </w:tc>
      </w:tr>
      <w:tr w:rsidR="009A08B7" w:rsidRPr="00F206F0" w:rsidTr="00563E9D">
        <w:tc>
          <w:tcPr>
            <w:tcW w:w="1843" w:type="dxa"/>
            <w:vAlign w:val="center"/>
          </w:tcPr>
          <w:p w:rsidR="009A08B7" w:rsidRPr="00F206F0" w:rsidRDefault="009A08B7" w:rsidP="00563E9D">
            <w:pPr>
              <w:rPr>
                <w:rFonts w:ascii="Tahoma" w:hAnsi="Tahoma" w:cs="Tahoma"/>
                <w:sz w:val="16"/>
                <w:szCs w:val="16"/>
              </w:rPr>
            </w:pPr>
            <w:r w:rsidRPr="00F206F0">
              <w:rPr>
                <w:rFonts w:ascii="Tahoma" w:hAnsi="Tahoma" w:cs="Tahoma"/>
                <w:sz w:val="16"/>
                <w:szCs w:val="16"/>
              </w:rPr>
              <w:t>MEDIO DE CONTROL</w:t>
            </w:r>
          </w:p>
        </w:tc>
        <w:tc>
          <w:tcPr>
            <w:tcW w:w="6977" w:type="dxa"/>
          </w:tcPr>
          <w:p w:rsidR="009A08B7" w:rsidRPr="00F206F0" w:rsidRDefault="009A08B7" w:rsidP="00563E9D">
            <w:pPr>
              <w:rPr>
                <w:rFonts w:ascii="Tahoma" w:hAnsi="Tahoma" w:cs="Tahoma"/>
                <w:b/>
                <w:sz w:val="16"/>
                <w:szCs w:val="16"/>
              </w:rPr>
            </w:pPr>
            <w:r w:rsidRPr="00F206F0">
              <w:rPr>
                <w:rFonts w:ascii="Tahoma" w:hAnsi="Tahoma" w:cs="Tahoma"/>
                <w:b/>
                <w:sz w:val="16"/>
                <w:szCs w:val="16"/>
              </w:rPr>
              <w:t>REPARACIÓN DIRECTA</w:t>
            </w:r>
          </w:p>
        </w:tc>
      </w:tr>
      <w:tr w:rsidR="009A08B7" w:rsidRPr="00F206F0" w:rsidTr="00563E9D">
        <w:tc>
          <w:tcPr>
            <w:tcW w:w="1843" w:type="dxa"/>
            <w:vAlign w:val="center"/>
          </w:tcPr>
          <w:p w:rsidR="009A08B7" w:rsidRPr="00F206F0" w:rsidRDefault="009A08B7" w:rsidP="00563E9D">
            <w:pPr>
              <w:rPr>
                <w:rFonts w:ascii="Tahoma" w:hAnsi="Tahoma" w:cs="Tahoma"/>
                <w:sz w:val="16"/>
                <w:szCs w:val="16"/>
              </w:rPr>
            </w:pPr>
            <w:r w:rsidRPr="00F206F0">
              <w:rPr>
                <w:rFonts w:ascii="Tahoma" w:hAnsi="Tahoma" w:cs="Tahoma"/>
                <w:sz w:val="16"/>
                <w:szCs w:val="16"/>
              </w:rPr>
              <w:t>ASUNTO</w:t>
            </w:r>
          </w:p>
        </w:tc>
        <w:tc>
          <w:tcPr>
            <w:tcW w:w="6977" w:type="dxa"/>
          </w:tcPr>
          <w:p w:rsidR="009A08B7" w:rsidRPr="00F206F0" w:rsidRDefault="00F206F0" w:rsidP="00563E9D">
            <w:pPr>
              <w:rPr>
                <w:rFonts w:ascii="Tahoma" w:hAnsi="Tahoma" w:cs="Tahoma"/>
                <w:b/>
                <w:sz w:val="16"/>
                <w:szCs w:val="16"/>
              </w:rPr>
            </w:pPr>
            <w:bookmarkStart w:id="0" w:name="_GoBack"/>
            <w:r w:rsidRPr="00F206F0">
              <w:rPr>
                <w:rFonts w:ascii="Tahoma" w:hAnsi="Tahoma" w:cs="Tahoma"/>
                <w:b/>
                <w:sz w:val="16"/>
                <w:szCs w:val="16"/>
              </w:rPr>
              <w:t>SEÑALA GASTOS PERICIALES</w:t>
            </w:r>
            <w:bookmarkEnd w:id="0"/>
          </w:p>
        </w:tc>
      </w:tr>
    </w:tbl>
    <w:p w:rsidR="009A08B7" w:rsidRPr="00F206F0" w:rsidRDefault="009A08B7" w:rsidP="009A08B7">
      <w:pPr>
        <w:jc w:val="both"/>
        <w:rPr>
          <w:rFonts w:ascii="Tahoma" w:hAnsi="Tahoma" w:cs="Tahoma"/>
          <w:sz w:val="16"/>
          <w:szCs w:val="16"/>
        </w:rPr>
      </w:pPr>
    </w:p>
    <w:p w:rsidR="009A08B7" w:rsidRPr="00F206F0" w:rsidRDefault="009A08B7" w:rsidP="009A08B7">
      <w:pPr>
        <w:shd w:val="clear" w:color="auto" w:fill="FFFFFF"/>
        <w:autoSpaceDE w:val="0"/>
        <w:autoSpaceDN w:val="0"/>
        <w:adjustRightInd w:val="0"/>
        <w:jc w:val="both"/>
        <w:rPr>
          <w:rFonts w:ascii="Tahoma" w:hAnsi="Tahoma" w:cs="Tahoma"/>
          <w:sz w:val="16"/>
          <w:szCs w:val="16"/>
        </w:rPr>
      </w:pPr>
      <w:r w:rsidRPr="00F206F0">
        <w:rPr>
          <w:rFonts w:ascii="Tahoma" w:hAnsi="Tahoma" w:cs="Tahoma"/>
          <w:sz w:val="16"/>
          <w:szCs w:val="16"/>
        </w:rPr>
        <w:t xml:space="preserve">El presente proceso pretende que se declare solidariamente responsable a la NACIÓN - MINISTERIO DE SALUD Y PROTECCIÓN SOCIAL, CONSORCIO FIDUFOSYGA 2005, CONSORCIO SAYP 2011 y UNIÓN TEMPORAL NUEVO FOSYGA por los perjuicios causados a la EPS SALUD TOTAL, al descontar unilateralmente el dinero correspondiente a la prestación de servicios de salud que se suministraron presuntamente con anterioridad al fallecimiento de sus afiliados. </w:t>
      </w:r>
    </w:p>
    <w:p w:rsidR="009A08B7" w:rsidRPr="00F206F0" w:rsidRDefault="009A08B7" w:rsidP="009A08B7">
      <w:pPr>
        <w:shd w:val="clear" w:color="auto" w:fill="FFFFFF"/>
        <w:autoSpaceDE w:val="0"/>
        <w:autoSpaceDN w:val="0"/>
        <w:adjustRightInd w:val="0"/>
        <w:jc w:val="both"/>
        <w:rPr>
          <w:rFonts w:ascii="Tahoma" w:hAnsi="Tahoma" w:cs="Tahoma"/>
          <w:sz w:val="16"/>
          <w:szCs w:val="16"/>
        </w:rPr>
      </w:pPr>
    </w:p>
    <w:p w:rsidR="009A08B7" w:rsidRPr="00F206F0" w:rsidRDefault="009A08B7" w:rsidP="009A08B7">
      <w:pPr>
        <w:jc w:val="both"/>
        <w:rPr>
          <w:rFonts w:ascii="Tahoma" w:hAnsi="Tahoma" w:cs="Tahoma"/>
          <w:sz w:val="16"/>
          <w:szCs w:val="16"/>
        </w:rPr>
      </w:pPr>
      <w:r w:rsidRPr="00F206F0">
        <w:rPr>
          <w:rFonts w:ascii="Tahoma" w:hAnsi="Tahoma" w:cs="Tahoma"/>
          <w:sz w:val="16"/>
          <w:szCs w:val="16"/>
        </w:rPr>
        <w:t xml:space="preserve">En audiencia inicial </w:t>
      </w:r>
      <w:r w:rsidR="009F5D2B" w:rsidRPr="00F206F0">
        <w:rPr>
          <w:rFonts w:ascii="Tahoma" w:hAnsi="Tahoma" w:cs="Tahoma"/>
          <w:sz w:val="16"/>
          <w:szCs w:val="16"/>
        </w:rPr>
        <w:t>realizada</w:t>
      </w:r>
      <w:r w:rsidRPr="00F206F0">
        <w:rPr>
          <w:rFonts w:ascii="Tahoma" w:hAnsi="Tahoma" w:cs="Tahoma"/>
          <w:sz w:val="16"/>
          <w:szCs w:val="16"/>
        </w:rPr>
        <w:t xml:space="preserve"> el 11 de </w:t>
      </w:r>
      <w:r w:rsidR="009F5D2B" w:rsidRPr="00F206F0">
        <w:rPr>
          <w:rFonts w:ascii="Tahoma" w:hAnsi="Tahoma" w:cs="Tahoma"/>
          <w:sz w:val="16"/>
          <w:szCs w:val="16"/>
        </w:rPr>
        <w:t>octubre</w:t>
      </w:r>
      <w:r w:rsidRPr="00F206F0">
        <w:rPr>
          <w:rFonts w:ascii="Tahoma" w:hAnsi="Tahoma" w:cs="Tahoma"/>
          <w:sz w:val="16"/>
          <w:szCs w:val="16"/>
        </w:rPr>
        <w:t xml:space="preserve"> de 2016 se decretó el dictamen pericial solicitado por la </w:t>
      </w:r>
      <w:r w:rsidR="000F5D39" w:rsidRPr="00F206F0">
        <w:rPr>
          <w:rFonts w:ascii="Tahoma" w:hAnsi="Tahoma" w:cs="Tahoma"/>
          <w:sz w:val="16"/>
          <w:szCs w:val="16"/>
        </w:rPr>
        <w:t xml:space="preserve">Parte Actora </w:t>
      </w:r>
      <w:r w:rsidRPr="00F206F0">
        <w:rPr>
          <w:rFonts w:ascii="Tahoma" w:hAnsi="Tahoma" w:cs="Tahoma"/>
          <w:sz w:val="16"/>
          <w:szCs w:val="16"/>
        </w:rPr>
        <w:t>en el acápite  10.4. DICTAMEN PERICIAL (FOLIO 51, CUADERNO PRINCIPAL)</w:t>
      </w:r>
      <w:r w:rsidR="000629E6">
        <w:rPr>
          <w:rFonts w:ascii="Tahoma" w:hAnsi="Tahoma" w:cs="Tahoma"/>
          <w:sz w:val="16"/>
          <w:szCs w:val="16"/>
        </w:rPr>
        <w:t xml:space="preserve">, </w:t>
      </w:r>
      <w:r w:rsidR="001D3FF1">
        <w:rPr>
          <w:rFonts w:ascii="Tahoma" w:hAnsi="Tahoma" w:cs="Tahoma"/>
          <w:sz w:val="16"/>
          <w:szCs w:val="16"/>
        </w:rPr>
        <w:t>que debería rendir un contador</w:t>
      </w:r>
      <w:r w:rsidRPr="00F206F0">
        <w:rPr>
          <w:rFonts w:ascii="Tahoma" w:hAnsi="Tahoma" w:cs="Tahoma"/>
          <w:sz w:val="16"/>
          <w:szCs w:val="16"/>
        </w:rPr>
        <w:t>.</w:t>
      </w:r>
    </w:p>
    <w:p w:rsidR="009A08B7" w:rsidRPr="00F206F0" w:rsidRDefault="009A08B7" w:rsidP="009A08B7">
      <w:pPr>
        <w:jc w:val="both"/>
        <w:rPr>
          <w:rFonts w:ascii="Tahoma" w:hAnsi="Tahoma" w:cs="Tahoma"/>
          <w:sz w:val="16"/>
          <w:szCs w:val="16"/>
        </w:rPr>
      </w:pPr>
    </w:p>
    <w:p w:rsidR="009A08B7" w:rsidRPr="00F206F0" w:rsidRDefault="009A08B7" w:rsidP="001D3FF1">
      <w:pPr>
        <w:rPr>
          <w:rFonts w:ascii="Tahoma" w:hAnsi="Tahoma" w:cs="Tahoma"/>
          <w:sz w:val="16"/>
          <w:szCs w:val="16"/>
        </w:rPr>
      </w:pPr>
      <w:r w:rsidRPr="00F206F0">
        <w:rPr>
          <w:rFonts w:ascii="Tahoma" w:hAnsi="Tahoma" w:cs="Tahoma"/>
          <w:sz w:val="16"/>
          <w:szCs w:val="16"/>
        </w:rPr>
        <w:t xml:space="preserve">En cumplimiento de lo anterior por secretaria se </w:t>
      </w:r>
      <w:r w:rsidR="009F5D2B" w:rsidRPr="00F206F0">
        <w:rPr>
          <w:rFonts w:ascii="Tahoma" w:hAnsi="Tahoma" w:cs="Tahoma"/>
          <w:sz w:val="16"/>
          <w:szCs w:val="16"/>
        </w:rPr>
        <w:t>designó</w:t>
      </w:r>
      <w:r w:rsidRPr="00F206F0">
        <w:rPr>
          <w:rFonts w:ascii="Tahoma" w:hAnsi="Tahoma" w:cs="Tahoma"/>
          <w:sz w:val="16"/>
          <w:szCs w:val="16"/>
        </w:rPr>
        <w:t xml:space="preserve"> al señor MIGUEL ANGEL CALDERON CORTES</w:t>
      </w:r>
      <w:r w:rsidR="001D3FF1">
        <w:rPr>
          <w:rFonts w:ascii="Tahoma" w:hAnsi="Tahoma" w:cs="Tahoma"/>
          <w:sz w:val="16"/>
          <w:szCs w:val="16"/>
        </w:rPr>
        <w:t xml:space="preserve"> </w:t>
      </w:r>
      <w:r w:rsidR="000F5D39" w:rsidRPr="00F206F0">
        <w:rPr>
          <w:rFonts w:ascii="Tahoma" w:hAnsi="Tahoma" w:cs="Tahoma"/>
          <w:sz w:val="16"/>
          <w:szCs w:val="16"/>
        </w:rPr>
        <w:t xml:space="preserve">que se </w:t>
      </w:r>
      <w:r w:rsidR="001D3FF1">
        <w:rPr>
          <w:rFonts w:ascii="Tahoma" w:hAnsi="Tahoma" w:cs="Tahoma"/>
          <w:sz w:val="16"/>
          <w:szCs w:val="16"/>
        </w:rPr>
        <w:t>posesionó</w:t>
      </w:r>
      <w:r w:rsidR="000F5D39" w:rsidRPr="00F206F0">
        <w:rPr>
          <w:rFonts w:ascii="Tahoma" w:hAnsi="Tahoma" w:cs="Tahoma"/>
          <w:sz w:val="16"/>
          <w:szCs w:val="16"/>
        </w:rPr>
        <w:t xml:space="preserve"> el 8 de noviembre de 2016</w:t>
      </w:r>
      <w:r w:rsidR="009F5D2B" w:rsidRPr="00F206F0">
        <w:rPr>
          <w:rFonts w:ascii="Tahoma" w:hAnsi="Tahoma" w:cs="Tahoma"/>
          <w:sz w:val="16"/>
          <w:szCs w:val="16"/>
        </w:rPr>
        <w:t xml:space="preserve"> solicitando $700.000 como gastos periciales.</w:t>
      </w:r>
    </w:p>
    <w:p w:rsidR="009A08B7" w:rsidRPr="00F206F0" w:rsidRDefault="009A08B7" w:rsidP="009A08B7">
      <w:pPr>
        <w:jc w:val="both"/>
        <w:rPr>
          <w:rFonts w:ascii="Tahoma" w:hAnsi="Tahoma" w:cs="Tahoma"/>
          <w:sz w:val="16"/>
          <w:szCs w:val="16"/>
        </w:rPr>
      </w:pPr>
    </w:p>
    <w:p w:rsidR="000F5D39" w:rsidRPr="00F206F0" w:rsidRDefault="000F5D39" w:rsidP="009A08B7">
      <w:pPr>
        <w:jc w:val="both"/>
        <w:rPr>
          <w:rFonts w:ascii="Tahoma" w:hAnsi="Tahoma" w:cs="Tahoma"/>
          <w:sz w:val="16"/>
          <w:szCs w:val="16"/>
        </w:rPr>
      </w:pPr>
      <w:r w:rsidRPr="00F206F0">
        <w:rPr>
          <w:rFonts w:ascii="Tahoma" w:hAnsi="Tahoma" w:cs="Tahoma"/>
          <w:sz w:val="16"/>
          <w:szCs w:val="16"/>
        </w:rPr>
        <w:t>En infor</w:t>
      </w:r>
      <w:r w:rsidR="009F5D2B" w:rsidRPr="00F206F0">
        <w:rPr>
          <w:rFonts w:ascii="Tahoma" w:hAnsi="Tahoma" w:cs="Tahoma"/>
          <w:sz w:val="16"/>
          <w:szCs w:val="16"/>
        </w:rPr>
        <w:t>m</w:t>
      </w:r>
      <w:r w:rsidRPr="00F206F0">
        <w:rPr>
          <w:rFonts w:ascii="Tahoma" w:hAnsi="Tahoma" w:cs="Tahoma"/>
          <w:sz w:val="16"/>
          <w:szCs w:val="16"/>
        </w:rPr>
        <w:t xml:space="preserve">e secretarial del 11 de noviembre de 2016 se </w:t>
      </w:r>
      <w:r w:rsidR="009F5D2B" w:rsidRPr="00F206F0">
        <w:rPr>
          <w:rFonts w:ascii="Tahoma" w:hAnsi="Tahoma" w:cs="Tahoma"/>
          <w:sz w:val="16"/>
          <w:szCs w:val="16"/>
        </w:rPr>
        <w:t>anotó</w:t>
      </w:r>
      <w:r w:rsidRPr="00F206F0">
        <w:rPr>
          <w:rFonts w:ascii="Tahoma" w:hAnsi="Tahoma" w:cs="Tahoma"/>
          <w:sz w:val="16"/>
          <w:szCs w:val="16"/>
        </w:rPr>
        <w:t>: “</w:t>
      </w:r>
      <w:r w:rsidRPr="00F206F0">
        <w:rPr>
          <w:rFonts w:ascii="Tahoma" w:hAnsi="Tahoma" w:cs="Tahoma"/>
          <w:i/>
          <w:sz w:val="16"/>
          <w:szCs w:val="16"/>
        </w:rPr>
        <w:t>POSE</w:t>
      </w:r>
      <w:r w:rsidR="009B45CA">
        <w:rPr>
          <w:rFonts w:ascii="Tahoma" w:hAnsi="Tahoma" w:cs="Tahoma"/>
          <w:i/>
          <w:sz w:val="16"/>
          <w:szCs w:val="16"/>
        </w:rPr>
        <w:t>S</w:t>
      </w:r>
      <w:r w:rsidRPr="00F206F0">
        <w:rPr>
          <w:rFonts w:ascii="Tahoma" w:hAnsi="Tahoma" w:cs="Tahoma"/>
          <w:i/>
          <w:sz w:val="16"/>
          <w:szCs w:val="16"/>
        </w:rPr>
        <w:t>ION DE PERITO EFECTUADA EL 8 DE NOVIEMBRE DE 2016 EN LA CUAL SOLICITA GASTOS. SIRVASE PROVEER</w:t>
      </w:r>
      <w:r w:rsidRPr="00F206F0">
        <w:rPr>
          <w:rFonts w:ascii="Tahoma" w:hAnsi="Tahoma" w:cs="Tahoma"/>
          <w:sz w:val="16"/>
          <w:szCs w:val="16"/>
        </w:rPr>
        <w:t>”</w:t>
      </w:r>
    </w:p>
    <w:p w:rsidR="000F5D39" w:rsidRPr="00F206F0" w:rsidRDefault="000F5D39" w:rsidP="009A08B7">
      <w:pPr>
        <w:jc w:val="both"/>
        <w:rPr>
          <w:rFonts w:ascii="Tahoma" w:hAnsi="Tahoma" w:cs="Tahoma"/>
          <w:sz w:val="16"/>
          <w:szCs w:val="16"/>
        </w:rPr>
      </w:pPr>
    </w:p>
    <w:p w:rsidR="009A08B7" w:rsidRPr="00F206F0" w:rsidRDefault="009A08B7" w:rsidP="009A08B7">
      <w:pPr>
        <w:jc w:val="both"/>
        <w:rPr>
          <w:rFonts w:ascii="Tahoma" w:hAnsi="Tahoma" w:cs="Tahoma"/>
          <w:sz w:val="16"/>
          <w:szCs w:val="16"/>
        </w:rPr>
      </w:pPr>
      <w:r w:rsidRPr="00F206F0">
        <w:rPr>
          <w:rFonts w:ascii="Tahoma" w:hAnsi="Tahoma" w:cs="Tahoma"/>
          <w:sz w:val="16"/>
          <w:szCs w:val="16"/>
        </w:rPr>
        <w:t xml:space="preserve">Procede el Despacho </w:t>
      </w:r>
      <w:r w:rsidR="009B45CA">
        <w:rPr>
          <w:rFonts w:ascii="Tahoma" w:hAnsi="Tahoma" w:cs="Tahoma"/>
          <w:sz w:val="16"/>
          <w:szCs w:val="16"/>
        </w:rPr>
        <w:t>a pronunciarse sobre lo anotado.</w:t>
      </w:r>
    </w:p>
    <w:p w:rsidR="009A08B7" w:rsidRPr="00F206F0" w:rsidRDefault="009A08B7" w:rsidP="009A08B7">
      <w:pPr>
        <w:jc w:val="both"/>
        <w:rPr>
          <w:rFonts w:ascii="Tahoma" w:hAnsi="Tahoma" w:cs="Tahoma"/>
          <w:sz w:val="16"/>
          <w:szCs w:val="16"/>
        </w:rPr>
      </w:pPr>
    </w:p>
    <w:p w:rsidR="009A08B7" w:rsidRPr="00F206F0" w:rsidRDefault="009A08B7" w:rsidP="009A08B7">
      <w:pPr>
        <w:pStyle w:val="Sinespaciado1"/>
        <w:jc w:val="center"/>
        <w:rPr>
          <w:rFonts w:ascii="Tahoma" w:hAnsi="Tahoma" w:cs="Tahoma"/>
          <w:b/>
          <w:sz w:val="16"/>
          <w:szCs w:val="16"/>
          <w:lang w:val="es-CO"/>
        </w:rPr>
      </w:pPr>
      <w:r w:rsidRPr="00F206F0">
        <w:rPr>
          <w:rFonts w:ascii="Tahoma" w:hAnsi="Tahoma" w:cs="Tahoma"/>
          <w:b/>
          <w:sz w:val="16"/>
          <w:szCs w:val="16"/>
          <w:lang w:val="es-CO"/>
        </w:rPr>
        <w:t>CONSIDERACIONES:</w:t>
      </w:r>
    </w:p>
    <w:p w:rsidR="009A08B7" w:rsidRPr="00F206F0" w:rsidRDefault="009A08B7" w:rsidP="009A08B7">
      <w:pPr>
        <w:pStyle w:val="Sinespaciado1"/>
        <w:jc w:val="center"/>
        <w:rPr>
          <w:rFonts w:ascii="Tahoma" w:hAnsi="Tahoma" w:cs="Tahoma"/>
          <w:b/>
          <w:sz w:val="16"/>
          <w:szCs w:val="16"/>
          <w:lang w:val="es-CO"/>
        </w:rPr>
      </w:pPr>
    </w:p>
    <w:p w:rsidR="009A08B7" w:rsidRPr="00F206F0" w:rsidRDefault="009A08B7" w:rsidP="009A08B7">
      <w:pPr>
        <w:jc w:val="both"/>
        <w:rPr>
          <w:rFonts w:ascii="Tahoma" w:hAnsi="Tahoma" w:cs="Tahoma"/>
          <w:bCs/>
          <w:sz w:val="16"/>
          <w:szCs w:val="16"/>
        </w:rPr>
      </w:pPr>
      <w:r w:rsidRPr="00F206F0">
        <w:rPr>
          <w:rFonts w:ascii="Tahoma" w:hAnsi="Tahoma" w:cs="Tahoma"/>
          <w:bCs/>
          <w:sz w:val="16"/>
          <w:szCs w:val="16"/>
        </w:rPr>
        <w:t>El Código de Procedimiento Administrativo y de lo de lo Contencioso Administrativo señala en su artículo 218 que la prueba pericial se regirá por las normas del Código de Procedimiento Civil, salvo en lo que de manera expresa disponga este Código sobre la materia.</w:t>
      </w:r>
    </w:p>
    <w:p w:rsidR="009A08B7" w:rsidRPr="00F206F0" w:rsidRDefault="009A08B7" w:rsidP="009A08B7">
      <w:pPr>
        <w:jc w:val="both"/>
        <w:rPr>
          <w:rFonts w:ascii="Tahoma" w:hAnsi="Tahoma" w:cs="Tahoma"/>
          <w:bCs/>
          <w:sz w:val="16"/>
          <w:szCs w:val="16"/>
        </w:rPr>
      </w:pPr>
    </w:p>
    <w:p w:rsidR="00895E9B" w:rsidRPr="00E56A39" w:rsidRDefault="001C6611" w:rsidP="001C6611">
      <w:pPr>
        <w:jc w:val="both"/>
        <w:rPr>
          <w:bCs/>
          <w:i/>
          <w:sz w:val="16"/>
          <w:szCs w:val="16"/>
        </w:rPr>
      </w:pPr>
      <w:r w:rsidRPr="00F206F0">
        <w:rPr>
          <w:rFonts w:ascii="Tahoma" w:hAnsi="Tahoma" w:cs="Tahoma"/>
          <w:bCs/>
          <w:sz w:val="16"/>
          <w:szCs w:val="16"/>
        </w:rPr>
        <w:t xml:space="preserve">El artículo 230 del </w:t>
      </w:r>
      <w:r w:rsidR="00E56A39">
        <w:rPr>
          <w:rFonts w:ascii="Tahoma" w:hAnsi="Tahoma" w:cs="Tahoma"/>
          <w:bCs/>
          <w:sz w:val="16"/>
          <w:szCs w:val="16"/>
        </w:rPr>
        <w:t>Código General d</w:t>
      </w:r>
      <w:r w:rsidR="00E56A39" w:rsidRPr="00F206F0">
        <w:rPr>
          <w:rFonts w:ascii="Tahoma" w:hAnsi="Tahoma" w:cs="Tahoma"/>
          <w:bCs/>
          <w:sz w:val="16"/>
          <w:szCs w:val="16"/>
        </w:rPr>
        <w:t xml:space="preserve">el Proceso </w:t>
      </w:r>
      <w:r w:rsidRPr="00F206F0">
        <w:rPr>
          <w:rFonts w:ascii="Tahoma" w:hAnsi="Tahoma" w:cs="Tahoma"/>
          <w:bCs/>
          <w:sz w:val="16"/>
          <w:szCs w:val="16"/>
        </w:rPr>
        <w:t xml:space="preserve">determina que el juez </w:t>
      </w:r>
      <w:r w:rsidR="00E56A39" w:rsidRPr="00E56A39">
        <w:rPr>
          <w:bCs/>
          <w:sz w:val="16"/>
          <w:szCs w:val="16"/>
        </w:rPr>
        <w:t>“</w:t>
      </w:r>
      <w:r w:rsidRPr="00E56A39">
        <w:rPr>
          <w:bCs/>
          <w:sz w:val="16"/>
          <w:szCs w:val="16"/>
        </w:rPr>
        <w:t xml:space="preserve">(…) </w:t>
      </w:r>
      <w:r w:rsidR="00895E9B" w:rsidRPr="00E56A39">
        <w:rPr>
          <w:bCs/>
          <w:i/>
          <w:sz w:val="16"/>
          <w:szCs w:val="16"/>
        </w:rPr>
        <w:t xml:space="preserve">le </w:t>
      </w:r>
      <w:r w:rsidR="00895E9B" w:rsidRPr="00E56A39">
        <w:rPr>
          <w:b/>
          <w:bCs/>
          <w:i/>
          <w:sz w:val="16"/>
          <w:szCs w:val="16"/>
        </w:rPr>
        <w:t>señalará provisionalmente los honorarios y gastos que deberán ser consignados a órdenes del juzgado dentro de los tres (3) días siguientes.</w:t>
      </w:r>
      <w:r w:rsidR="00895E9B" w:rsidRPr="00E56A39">
        <w:rPr>
          <w:bCs/>
          <w:i/>
          <w:sz w:val="16"/>
          <w:szCs w:val="16"/>
        </w:rPr>
        <w:t xml:space="preserve"> Si no se hiciere la consignación, el juez podrá ordenar al perito que rinda el dictamen si lo estima indispensable.</w:t>
      </w:r>
    </w:p>
    <w:p w:rsidR="00895E9B" w:rsidRPr="00E56A39" w:rsidRDefault="00895E9B" w:rsidP="00895E9B">
      <w:pPr>
        <w:jc w:val="both"/>
        <w:rPr>
          <w:bCs/>
          <w:i/>
          <w:sz w:val="16"/>
          <w:szCs w:val="16"/>
        </w:rPr>
      </w:pPr>
    </w:p>
    <w:p w:rsidR="00895E9B" w:rsidRPr="00E56A39" w:rsidRDefault="00895E9B" w:rsidP="00895E9B">
      <w:pPr>
        <w:jc w:val="both"/>
        <w:rPr>
          <w:bCs/>
          <w:i/>
          <w:sz w:val="16"/>
          <w:szCs w:val="16"/>
        </w:rPr>
      </w:pPr>
      <w:r w:rsidRPr="00E56A39">
        <w:rPr>
          <w:bCs/>
          <w:i/>
          <w:sz w:val="16"/>
          <w:szCs w:val="16"/>
        </w:rPr>
        <w:t>Si el perito no rinde el dictamen en tiempo se le impondrá multa de cinco (5) a diez (10) salarios mínimos legales mensuales y se le informará a la entidad de la cual dependa o a cuya vigilancia esté sometido.</w:t>
      </w:r>
    </w:p>
    <w:p w:rsidR="00895E9B" w:rsidRPr="00E56A39" w:rsidRDefault="00895E9B" w:rsidP="00895E9B">
      <w:pPr>
        <w:jc w:val="both"/>
        <w:rPr>
          <w:bCs/>
          <w:i/>
          <w:sz w:val="16"/>
          <w:szCs w:val="16"/>
        </w:rPr>
      </w:pPr>
    </w:p>
    <w:p w:rsidR="00895E9B" w:rsidRPr="00F206F0" w:rsidRDefault="00895E9B" w:rsidP="00895E9B">
      <w:pPr>
        <w:jc w:val="both"/>
        <w:rPr>
          <w:rFonts w:ascii="Tahoma" w:hAnsi="Tahoma" w:cs="Tahoma"/>
          <w:bCs/>
          <w:sz w:val="16"/>
          <w:szCs w:val="16"/>
        </w:rPr>
      </w:pPr>
      <w:r w:rsidRPr="00E56A39">
        <w:rPr>
          <w:bCs/>
          <w:i/>
          <w:sz w:val="16"/>
          <w:szCs w:val="16"/>
        </w:rPr>
        <w:t>Con el dictamen pericial el perito deberá acompañar los soportes de los gastos en que incurrió para la elaboración del dictamen. Las sumas no acreditadas deberá reembolsarlas a órdenes del juzgado</w:t>
      </w:r>
      <w:r w:rsidR="001C6611" w:rsidRPr="00E56A39">
        <w:rPr>
          <w:bCs/>
          <w:sz w:val="16"/>
          <w:szCs w:val="16"/>
        </w:rPr>
        <w:t xml:space="preserve"> (…)</w:t>
      </w:r>
      <w:r w:rsidR="00E56A39" w:rsidRPr="00E56A39">
        <w:rPr>
          <w:bCs/>
          <w:sz w:val="16"/>
          <w:szCs w:val="16"/>
        </w:rPr>
        <w:t>”</w:t>
      </w:r>
      <w:r w:rsidR="001C6611" w:rsidRPr="00F206F0">
        <w:rPr>
          <w:rFonts w:ascii="Tahoma" w:hAnsi="Tahoma" w:cs="Tahoma"/>
          <w:bCs/>
          <w:sz w:val="16"/>
          <w:szCs w:val="16"/>
        </w:rPr>
        <w:t xml:space="preserve"> negrita fuera de texto</w:t>
      </w:r>
    </w:p>
    <w:p w:rsidR="00895E9B" w:rsidRPr="00F206F0" w:rsidRDefault="00895E9B" w:rsidP="009A08B7">
      <w:pPr>
        <w:jc w:val="both"/>
        <w:rPr>
          <w:rFonts w:ascii="Tahoma" w:hAnsi="Tahoma" w:cs="Tahoma"/>
          <w:bCs/>
          <w:sz w:val="16"/>
          <w:szCs w:val="16"/>
        </w:rPr>
      </w:pPr>
    </w:p>
    <w:p w:rsidR="009A08B7" w:rsidRPr="00F206F0" w:rsidRDefault="009A08B7" w:rsidP="009A08B7">
      <w:pPr>
        <w:jc w:val="both"/>
        <w:rPr>
          <w:rFonts w:ascii="Tahoma" w:hAnsi="Tahoma" w:cs="Tahoma"/>
          <w:bCs/>
          <w:sz w:val="16"/>
          <w:szCs w:val="16"/>
        </w:rPr>
      </w:pPr>
      <w:r w:rsidRPr="00F206F0">
        <w:rPr>
          <w:rFonts w:ascii="Tahoma" w:hAnsi="Tahoma" w:cs="Tahoma"/>
          <w:bCs/>
          <w:sz w:val="16"/>
          <w:szCs w:val="16"/>
        </w:rPr>
        <w:t xml:space="preserve">Así mismo, el </w:t>
      </w:r>
      <w:r w:rsidRPr="00F206F0">
        <w:rPr>
          <w:rFonts w:ascii="Tahoma" w:hAnsi="Tahoma" w:cs="Tahoma"/>
          <w:b/>
          <w:bCs/>
          <w:sz w:val="16"/>
          <w:szCs w:val="16"/>
        </w:rPr>
        <w:t>articulo 37 numeral  6.1.6 del Acuerdo 1518 de 2002</w:t>
      </w:r>
      <w:r w:rsidRPr="00F206F0">
        <w:rPr>
          <w:rFonts w:ascii="Tahoma" w:hAnsi="Tahoma" w:cs="Tahoma"/>
          <w:bCs/>
          <w:sz w:val="16"/>
          <w:szCs w:val="16"/>
        </w:rPr>
        <w:t xml:space="preserve"> establece que en los dictámenes periciales distintos de avalúos, los honorarios se fijarán entre cinco y quinientos salarios mínimos legales diarios vigentes.</w:t>
      </w:r>
    </w:p>
    <w:p w:rsidR="009A08B7" w:rsidRPr="00F206F0" w:rsidRDefault="009A08B7" w:rsidP="009A08B7">
      <w:pPr>
        <w:jc w:val="both"/>
        <w:rPr>
          <w:rFonts w:ascii="Tahoma" w:hAnsi="Tahoma" w:cs="Tahoma"/>
          <w:bCs/>
          <w:sz w:val="16"/>
          <w:szCs w:val="16"/>
        </w:rPr>
      </w:pPr>
    </w:p>
    <w:p w:rsidR="009A08B7" w:rsidRPr="00F206F0" w:rsidRDefault="009A08B7" w:rsidP="009A08B7">
      <w:pPr>
        <w:jc w:val="both"/>
        <w:rPr>
          <w:rFonts w:ascii="Tahoma" w:hAnsi="Tahoma" w:cs="Tahoma"/>
          <w:bCs/>
          <w:sz w:val="16"/>
          <w:szCs w:val="16"/>
        </w:rPr>
      </w:pPr>
      <w:r w:rsidRPr="00F206F0">
        <w:rPr>
          <w:rFonts w:ascii="Tahoma" w:hAnsi="Tahoma" w:cs="Tahoma"/>
          <w:bCs/>
          <w:sz w:val="16"/>
          <w:szCs w:val="16"/>
        </w:rPr>
        <w:t>Analizado el caso observa el despacho que si bien es cierto la Corte Constitucional ampara la gratuidad del acceso a la administración de justicia este hace referencia a que los operadores judiciales y en general todo el personal dispuesto para administrar justicia no realice ningún cobro por este hecho, no porque no existan cargas que debe asumir la</w:t>
      </w:r>
      <w:r w:rsidR="001C6611" w:rsidRPr="00F206F0">
        <w:rPr>
          <w:rFonts w:ascii="Tahoma" w:hAnsi="Tahoma" w:cs="Tahoma"/>
          <w:bCs/>
          <w:sz w:val="16"/>
          <w:szCs w:val="16"/>
        </w:rPr>
        <w:t>s</w:t>
      </w:r>
      <w:r w:rsidRPr="00F206F0">
        <w:rPr>
          <w:rFonts w:ascii="Tahoma" w:hAnsi="Tahoma" w:cs="Tahoma"/>
          <w:bCs/>
          <w:sz w:val="16"/>
          <w:szCs w:val="16"/>
        </w:rPr>
        <w:t xml:space="preserve"> parte</w:t>
      </w:r>
      <w:r w:rsidR="001C6611" w:rsidRPr="00F206F0">
        <w:rPr>
          <w:rFonts w:ascii="Tahoma" w:hAnsi="Tahoma" w:cs="Tahoma"/>
          <w:bCs/>
          <w:sz w:val="16"/>
          <w:szCs w:val="16"/>
        </w:rPr>
        <w:t>s</w:t>
      </w:r>
      <w:r w:rsidRPr="00F206F0">
        <w:rPr>
          <w:rFonts w:ascii="Tahoma" w:hAnsi="Tahoma" w:cs="Tahoma"/>
          <w:bCs/>
          <w:sz w:val="16"/>
          <w:szCs w:val="16"/>
        </w:rPr>
        <w:t xml:space="preserve"> y es que  las agencias, costas y expensas se materializan en los gastos que deben satisfacer las partes como consecuencia del proceso que promueven, y de los que una de ellas podría resarcirse en caso de producirse la condena en costas de la parte contraria, es decir, se destinan exclusivamente a cubrir los gastos que ha generado el proceso y nada más.</w:t>
      </w:r>
    </w:p>
    <w:p w:rsidR="009A08B7" w:rsidRPr="00F206F0" w:rsidRDefault="009A08B7" w:rsidP="009A08B7">
      <w:pPr>
        <w:jc w:val="both"/>
        <w:rPr>
          <w:rFonts w:ascii="Tahoma" w:hAnsi="Tahoma" w:cs="Tahoma"/>
          <w:bCs/>
          <w:sz w:val="16"/>
          <w:szCs w:val="16"/>
        </w:rPr>
      </w:pPr>
    </w:p>
    <w:p w:rsidR="009A08B7" w:rsidRPr="00F206F0" w:rsidRDefault="009A08B7" w:rsidP="009A08B7">
      <w:pPr>
        <w:shd w:val="clear" w:color="auto" w:fill="FFFFFF"/>
        <w:ind w:left="22" w:right="49"/>
        <w:jc w:val="both"/>
        <w:rPr>
          <w:rFonts w:ascii="Tahoma" w:hAnsi="Tahoma" w:cs="Tahoma"/>
          <w:bCs/>
          <w:sz w:val="16"/>
          <w:szCs w:val="16"/>
        </w:rPr>
      </w:pPr>
      <w:r w:rsidRPr="00F206F0">
        <w:rPr>
          <w:rFonts w:ascii="Tahoma" w:hAnsi="Tahoma" w:cs="Tahoma"/>
          <w:bCs/>
          <w:sz w:val="16"/>
          <w:szCs w:val="16"/>
        </w:rPr>
        <w:t xml:space="preserve">Ahora, teniendo en cuenta que los </w:t>
      </w:r>
      <w:r w:rsidR="001C6611" w:rsidRPr="00F206F0">
        <w:rPr>
          <w:rFonts w:ascii="Tahoma" w:hAnsi="Tahoma" w:cs="Tahoma"/>
          <w:bCs/>
          <w:sz w:val="16"/>
          <w:szCs w:val="16"/>
        </w:rPr>
        <w:t xml:space="preserve">gastos solicitados por el perito </w:t>
      </w:r>
      <w:r w:rsidRPr="00F206F0">
        <w:rPr>
          <w:rFonts w:ascii="Tahoma" w:hAnsi="Tahoma" w:cs="Tahoma"/>
          <w:bCs/>
          <w:sz w:val="16"/>
          <w:szCs w:val="16"/>
        </w:rPr>
        <w:t>no exceden el límite de los establecidos para los dictámenes periciales distintos a los avalúos, esto es, entre cinco y quinientos salarios mínimos legales diarios vigentes y que en caso de prosperar la demanda, dichos gastos ser</w:t>
      </w:r>
      <w:r w:rsidR="00B67D07">
        <w:rPr>
          <w:rFonts w:ascii="Tahoma" w:hAnsi="Tahoma" w:cs="Tahoma"/>
          <w:bCs/>
          <w:sz w:val="16"/>
          <w:szCs w:val="16"/>
        </w:rPr>
        <w:t>ían</w:t>
      </w:r>
      <w:r w:rsidRPr="00F206F0">
        <w:rPr>
          <w:rFonts w:ascii="Tahoma" w:hAnsi="Tahoma" w:cs="Tahoma"/>
          <w:bCs/>
          <w:sz w:val="16"/>
          <w:szCs w:val="16"/>
        </w:rPr>
        <w:t xml:space="preserve"> devueltos como costas procesales, considera el despacho que no son excesivos, ni arbitrarios por lo que </w:t>
      </w:r>
      <w:r w:rsidR="004F10B2" w:rsidRPr="00F206F0">
        <w:rPr>
          <w:rFonts w:ascii="Tahoma" w:hAnsi="Tahoma" w:cs="Tahoma"/>
          <w:bCs/>
          <w:sz w:val="16"/>
          <w:szCs w:val="16"/>
        </w:rPr>
        <w:t>se procederá a señalar</w:t>
      </w:r>
      <w:r w:rsidR="00F206F0" w:rsidRPr="00F206F0">
        <w:rPr>
          <w:rFonts w:ascii="Tahoma" w:hAnsi="Tahoma" w:cs="Tahoma"/>
          <w:bCs/>
          <w:sz w:val="16"/>
          <w:szCs w:val="16"/>
        </w:rPr>
        <w:t xml:space="preserve"> </w:t>
      </w:r>
      <w:r w:rsidR="001C6611" w:rsidRPr="00F206F0">
        <w:rPr>
          <w:rFonts w:ascii="Tahoma" w:hAnsi="Tahoma" w:cs="Tahoma"/>
          <w:bCs/>
          <w:sz w:val="16"/>
          <w:szCs w:val="16"/>
        </w:rPr>
        <w:t xml:space="preserve">los gastos por la suma solicitada, </w:t>
      </w:r>
      <w:r w:rsidR="00F206F0" w:rsidRPr="00F206F0">
        <w:rPr>
          <w:rFonts w:ascii="Tahoma" w:hAnsi="Tahoma" w:cs="Tahoma"/>
          <w:bCs/>
          <w:sz w:val="16"/>
          <w:szCs w:val="16"/>
        </w:rPr>
        <w:t xml:space="preserve">para lo cual se le concederá al apoderado de la parte demandante el término de 3 días para que </w:t>
      </w:r>
      <w:r w:rsidR="005B1DA0">
        <w:rPr>
          <w:rFonts w:ascii="Tahoma" w:hAnsi="Tahoma" w:cs="Tahoma"/>
          <w:bCs/>
          <w:sz w:val="16"/>
          <w:szCs w:val="16"/>
        </w:rPr>
        <w:t>consigne</w:t>
      </w:r>
      <w:r w:rsidR="00F206F0" w:rsidRPr="00F206F0">
        <w:rPr>
          <w:rFonts w:ascii="Tahoma" w:hAnsi="Tahoma" w:cs="Tahoma"/>
          <w:bCs/>
          <w:sz w:val="16"/>
          <w:szCs w:val="16"/>
        </w:rPr>
        <w:t xml:space="preserve"> los honorarios, so pena de prescindir de la prueba.</w:t>
      </w:r>
    </w:p>
    <w:p w:rsidR="009A08B7" w:rsidRPr="00F206F0" w:rsidRDefault="009A08B7" w:rsidP="009A08B7">
      <w:pPr>
        <w:shd w:val="clear" w:color="auto" w:fill="FFFFFF"/>
        <w:ind w:left="22" w:right="49"/>
        <w:jc w:val="both"/>
        <w:rPr>
          <w:rFonts w:ascii="Tahoma" w:hAnsi="Tahoma" w:cs="Tahoma"/>
          <w:bCs/>
          <w:sz w:val="16"/>
          <w:szCs w:val="16"/>
        </w:rPr>
      </w:pPr>
    </w:p>
    <w:p w:rsidR="009A08B7" w:rsidRPr="00F206F0" w:rsidRDefault="009A08B7" w:rsidP="009A08B7">
      <w:pPr>
        <w:jc w:val="both"/>
        <w:rPr>
          <w:rFonts w:ascii="Tahoma" w:hAnsi="Tahoma" w:cs="Tahoma"/>
          <w:sz w:val="16"/>
          <w:szCs w:val="16"/>
        </w:rPr>
      </w:pPr>
      <w:r w:rsidRPr="00F206F0">
        <w:rPr>
          <w:rFonts w:ascii="Tahoma" w:hAnsi="Tahoma" w:cs="Tahoma"/>
          <w:color w:val="000000"/>
          <w:spacing w:val="-7"/>
          <w:sz w:val="16"/>
          <w:szCs w:val="16"/>
        </w:rPr>
        <w:t xml:space="preserve">Por brevemente expuesto, se </w:t>
      </w:r>
      <w:r w:rsidRPr="00F206F0">
        <w:rPr>
          <w:rFonts w:ascii="Tahoma" w:hAnsi="Tahoma" w:cs="Tahoma"/>
          <w:b/>
          <w:bCs/>
          <w:color w:val="000000"/>
          <w:spacing w:val="-7"/>
          <w:sz w:val="16"/>
          <w:szCs w:val="16"/>
        </w:rPr>
        <w:t>RESUELVE:</w:t>
      </w:r>
    </w:p>
    <w:p w:rsidR="009A08B7" w:rsidRPr="00F206F0" w:rsidRDefault="009A08B7" w:rsidP="009A08B7">
      <w:pPr>
        <w:jc w:val="both"/>
        <w:rPr>
          <w:rFonts w:ascii="Tahoma" w:hAnsi="Tahoma" w:cs="Tahoma"/>
          <w:b/>
          <w:color w:val="000000"/>
          <w:spacing w:val="-5"/>
          <w:sz w:val="16"/>
          <w:szCs w:val="16"/>
        </w:rPr>
      </w:pPr>
    </w:p>
    <w:p w:rsidR="009A08B7" w:rsidRPr="00F206F0" w:rsidRDefault="004F10B2" w:rsidP="009A08B7">
      <w:pPr>
        <w:jc w:val="both"/>
        <w:rPr>
          <w:rFonts w:ascii="Tahoma" w:hAnsi="Tahoma" w:cs="Tahoma"/>
          <w:sz w:val="16"/>
          <w:szCs w:val="16"/>
        </w:rPr>
      </w:pPr>
      <w:r w:rsidRPr="00F206F0">
        <w:rPr>
          <w:rFonts w:ascii="Tahoma" w:hAnsi="Tahoma" w:cs="Tahoma"/>
          <w:sz w:val="16"/>
          <w:szCs w:val="16"/>
        </w:rPr>
        <w:t xml:space="preserve">Señálese por concepto de gastos periciales la suma de </w:t>
      </w:r>
      <w:r w:rsidR="005B1DA0" w:rsidRPr="00F206F0">
        <w:rPr>
          <w:rFonts w:ascii="Tahoma" w:hAnsi="Tahoma" w:cs="Tahoma"/>
          <w:color w:val="000000"/>
          <w:spacing w:val="-5"/>
          <w:sz w:val="16"/>
          <w:szCs w:val="16"/>
        </w:rPr>
        <w:t xml:space="preserve">SETECIENTOS MIL PESOS </w:t>
      </w:r>
      <w:r w:rsidRPr="00F206F0">
        <w:rPr>
          <w:rFonts w:ascii="Tahoma" w:hAnsi="Tahoma" w:cs="Tahoma"/>
          <w:color w:val="000000"/>
          <w:spacing w:val="-5"/>
          <w:sz w:val="16"/>
          <w:szCs w:val="16"/>
        </w:rPr>
        <w:t xml:space="preserve">($700.000) </w:t>
      </w:r>
      <w:r w:rsidRPr="00F206F0">
        <w:rPr>
          <w:rFonts w:ascii="Tahoma" w:hAnsi="Tahoma" w:cs="Tahoma"/>
          <w:sz w:val="16"/>
          <w:szCs w:val="16"/>
        </w:rPr>
        <w:t>por el perito contador MIGUEL ANGEL CALDERON CORTES , la que deberá ser sufragada por la parte actora, en la Cuenta de Ahorros Nº 4-0070-0-27679-1, convenio 11628 del Banco Agrario de Colombia a órdenes del Juzgado Treinta y Cuatro Administrativo del Circuito Judicial de Bogotá;</w:t>
      </w:r>
      <w:r w:rsidRPr="00F206F0">
        <w:rPr>
          <w:rFonts w:ascii="Tahoma" w:hAnsi="Tahoma" w:cs="Tahoma"/>
          <w:noProof/>
          <w:sz w:val="16"/>
          <w:szCs w:val="16"/>
        </w:rPr>
        <w:t xml:space="preserve"> satisfecho lo anterior, alléguese el correspondiente recibo de consignación (el que le entrega el banco en papel termico)</w:t>
      </w:r>
      <w:r w:rsidR="009A08B7" w:rsidRPr="00F206F0">
        <w:rPr>
          <w:rFonts w:ascii="Tahoma" w:hAnsi="Tahoma" w:cs="Tahoma"/>
          <w:sz w:val="16"/>
          <w:szCs w:val="16"/>
        </w:rPr>
        <w:t xml:space="preserve">, dentro del término de </w:t>
      </w:r>
      <w:r w:rsidRPr="00F206F0">
        <w:rPr>
          <w:rFonts w:ascii="Tahoma" w:hAnsi="Tahoma" w:cs="Tahoma"/>
          <w:sz w:val="16"/>
          <w:szCs w:val="16"/>
        </w:rPr>
        <w:t>3 días</w:t>
      </w:r>
      <w:r w:rsidR="009A08B7" w:rsidRPr="00F206F0">
        <w:rPr>
          <w:rFonts w:ascii="Tahoma" w:hAnsi="Tahoma" w:cs="Tahoma"/>
          <w:sz w:val="16"/>
          <w:szCs w:val="16"/>
        </w:rPr>
        <w:t xml:space="preserve">, </w:t>
      </w:r>
      <w:r w:rsidR="009A08B7" w:rsidRPr="00F206F0">
        <w:rPr>
          <w:rFonts w:ascii="Tahoma" w:hAnsi="Tahoma" w:cs="Tahoma"/>
          <w:b/>
          <w:sz w:val="16"/>
          <w:szCs w:val="16"/>
        </w:rPr>
        <w:t>so pena de prescindir de la prueba</w:t>
      </w:r>
      <w:r w:rsidR="00F206F0" w:rsidRPr="00F206F0">
        <w:rPr>
          <w:rFonts w:ascii="Tahoma" w:hAnsi="Tahoma" w:cs="Tahoma"/>
          <w:sz w:val="16"/>
          <w:szCs w:val="16"/>
        </w:rPr>
        <w:t>.</w:t>
      </w:r>
    </w:p>
    <w:p w:rsidR="00F206F0" w:rsidRPr="00F206F0" w:rsidRDefault="00F206F0" w:rsidP="009A08B7">
      <w:pPr>
        <w:jc w:val="both"/>
        <w:rPr>
          <w:rFonts w:ascii="Tahoma" w:hAnsi="Tahoma" w:cs="Tahoma"/>
          <w:sz w:val="16"/>
          <w:szCs w:val="16"/>
        </w:rPr>
      </w:pPr>
    </w:p>
    <w:p w:rsidR="009A08B7" w:rsidRPr="00F206F0" w:rsidRDefault="009A08B7" w:rsidP="009A08B7">
      <w:pPr>
        <w:jc w:val="both"/>
        <w:rPr>
          <w:rFonts w:ascii="Tahoma" w:hAnsi="Tahoma" w:cs="Tahoma"/>
          <w:b/>
          <w:bCs/>
          <w:sz w:val="16"/>
          <w:szCs w:val="16"/>
        </w:rPr>
      </w:pPr>
      <w:r w:rsidRPr="00F206F0">
        <w:rPr>
          <w:rFonts w:ascii="Tahoma" w:hAnsi="Tahoma" w:cs="Tahoma"/>
          <w:sz w:val="16"/>
          <w:szCs w:val="16"/>
        </w:rPr>
        <w:t xml:space="preserve">El destinatario cuenta con </w:t>
      </w:r>
      <w:r w:rsidR="004F10B2" w:rsidRPr="00F206F0">
        <w:rPr>
          <w:rFonts w:ascii="Tahoma" w:hAnsi="Tahoma" w:cs="Tahoma"/>
          <w:sz w:val="16"/>
          <w:szCs w:val="16"/>
        </w:rPr>
        <w:t>20</w:t>
      </w:r>
      <w:r w:rsidRPr="00F206F0">
        <w:rPr>
          <w:rFonts w:ascii="Tahoma" w:hAnsi="Tahoma" w:cs="Tahoma"/>
          <w:sz w:val="16"/>
          <w:szCs w:val="16"/>
        </w:rPr>
        <w:t xml:space="preserve"> días contados al recibo de la </w:t>
      </w:r>
      <w:r w:rsidR="00F206F0" w:rsidRPr="00F206F0">
        <w:rPr>
          <w:rFonts w:ascii="Tahoma" w:hAnsi="Tahoma" w:cs="Tahoma"/>
          <w:sz w:val="16"/>
          <w:szCs w:val="16"/>
        </w:rPr>
        <w:t>consignación de los gastos procesales</w:t>
      </w:r>
      <w:r w:rsidRPr="00F206F0">
        <w:rPr>
          <w:rFonts w:ascii="Tahoma" w:hAnsi="Tahoma" w:cs="Tahoma"/>
          <w:sz w:val="16"/>
          <w:szCs w:val="16"/>
        </w:rPr>
        <w:t xml:space="preserve">. Su incumplimiento acarreará </w:t>
      </w:r>
      <w:r w:rsidRPr="00F206F0">
        <w:rPr>
          <w:rFonts w:ascii="Tahoma" w:hAnsi="Tahoma" w:cs="Tahoma"/>
          <w:b/>
          <w:sz w:val="16"/>
          <w:szCs w:val="16"/>
        </w:rPr>
        <w:t>sanción pecuniaria</w:t>
      </w:r>
      <w:r w:rsidRPr="00F206F0">
        <w:rPr>
          <w:rFonts w:ascii="Tahoma" w:hAnsi="Tahoma" w:cs="Tahoma"/>
          <w:sz w:val="16"/>
          <w:szCs w:val="16"/>
        </w:rPr>
        <w:t>.</w:t>
      </w:r>
    </w:p>
    <w:p w:rsidR="009A08B7" w:rsidRPr="00F206F0" w:rsidRDefault="009A08B7" w:rsidP="009A08B7">
      <w:pPr>
        <w:shd w:val="clear" w:color="auto" w:fill="FFFFFF"/>
        <w:spacing w:before="230" w:line="216" w:lineRule="exact"/>
        <w:ind w:left="22" w:right="49"/>
        <w:jc w:val="both"/>
        <w:rPr>
          <w:rFonts w:ascii="Tahoma" w:hAnsi="Tahoma" w:cs="Tahoma"/>
          <w:b/>
          <w:color w:val="000000"/>
          <w:spacing w:val="-5"/>
          <w:sz w:val="16"/>
          <w:szCs w:val="16"/>
        </w:rPr>
      </w:pPr>
      <w:r w:rsidRPr="00F206F0">
        <w:rPr>
          <w:rFonts w:ascii="Tahoma" w:hAnsi="Tahoma" w:cs="Tahoma"/>
          <w:b/>
          <w:bCs/>
          <w:sz w:val="16"/>
          <w:szCs w:val="16"/>
        </w:rPr>
        <w:t xml:space="preserve">Es de advertir que una vez allegado el dictamen se correrán los correspondientes traslados </w:t>
      </w:r>
      <w:r w:rsidR="00F206F0" w:rsidRPr="00F206F0">
        <w:rPr>
          <w:rFonts w:ascii="Tahoma" w:hAnsi="Tahoma" w:cs="Tahoma"/>
          <w:b/>
          <w:bCs/>
          <w:sz w:val="16"/>
          <w:szCs w:val="16"/>
        </w:rPr>
        <w:t>y se indicaran los honorario</w:t>
      </w:r>
      <w:r w:rsidR="000177A6">
        <w:rPr>
          <w:rFonts w:ascii="Tahoma" w:hAnsi="Tahoma" w:cs="Tahoma"/>
          <w:b/>
          <w:bCs/>
          <w:sz w:val="16"/>
          <w:szCs w:val="16"/>
        </w:rPr>
        <w:t>s</w:t>
      </w:r>
      <w:r w:rsidR="00F206F0" w:rsidRPr="00F206F0">
        <w:rPr>
          <w:rFonts w:ascii="Tahoma" w:hAnsi="Tahoma" w:cs="Tahoma"/>
          <w:b/>
          <w:bCs/>
          <w:sz w:val="16"/>
          <w:szCs w:val="16"/>
        </w:rPr>
        <w:t xml:space="preserve"> como indica el 221 del CPACA.</w:t>
      </w:r>
    </w:p>
    <w:p w:rsidR="009A08B7" w:rsidRPr="00F206F0" w:rsidRDefault="009A08B7" w:rsidP="009A08B7">
      <w:pPr>
        <w:jc w:val="both"/>
        <w:rPr>
          <w:rFonts w:ascii="Tahoma" w:hAnsi="Tahoma" w:cs="Tahoma"/>
          <w:b/>
          <w:color w:val="000000"/>
          <w:spacing w:val="-4"/>
          <w:sz w:val="16"/>
          <w:szCs w:val="16"/>
        </w:rPr>
      </w:pPr>
    </w:p>
    <w:p w:rsidR="009A08B7" w:rsidRPr="00F206F0" w:rsidRDefault="009A08B7" w:rsidP="009A08B7">
      <w:pPr>
        <w:pStyle w:val="Sinespaciado1"/>
        <w:rPr>
          <w:rFonts w:ascii="Tahoma" w:hAnsi="Tahoma" w:cs="Tahoma"/>
          <w:b/>
          <w:sz w:val="16"/>
          <w:szCs w:val="16"/>
          <w:lang w:val="es-CO"/>
        </w:rPr>
      </w:pPr>
      <w:r w:rsidRPr="00F206F0">
        <w:rPr>
          <w:rFonts w:ascii="Tahoma" w:hAnsi="Tahoma" w:cs="Tahoma"/>
          <w:b/>
          <w:sz w:val="16"/>
          <w:szCs w:val="16"/>
          <w:lang w:val="es-CO"/>
        </w:rPr>
        <w:t>NOTIFÍQUESE Y CÚMPLASE,</w:t>
      </w:r>
    </w:p>
    <w:p w:rsidR="009A08B7" w:rsidRPr="00F206F0" w:rsidRDefault="009A08B7" w:rsidP="009A08B7">
      <w:pPr>
        <w:pStyle w:val="Sinespaciado1"/>
        <w:rPr>
          <w:rFonts w:ascii="Tahoma" w:hAnsi="Tahoma" w:cs="Tahoma"/>
          <w:b/>
          <w:sz w:val="16"/>
          <w:szCs w:val="16"/>
          <w:lang w:val="es-CO"/>
        </w:rPr>
      </w:pPr>
    </w:p>
    <w:p w:rsidR="009A08B7" w:rsidRPr="00F206F0" w:rsidRDefault="009A08B7" w:rsidP="009A08B7">
      <w:pPr>
        <w:pStyle w:val="Sinespaciado1"/>
        <w:jc w:val="center"/>
        <w:rPr>
          <w:rFonts w:ascii="Tahoma" w:hAnsi="Tahoma" w:cs="Tahoma"/>
          <w:sz w:val="16"/>
          <w:szCs w:val="16"/>
          <w:lang w:val="es-CO"/>
        </w:rPr>
      </w:pPr>
      <w:r w:rsidRPr="00F206F0">
        <w:rPr>
          <w:rFonts w:ascii="Tahoma" w:hAnsi="Tahoma" w:cs="Tahoma"/>
          <w:b/>
          <w:bCs/>
          <w:color w:val="000000"/>
          <w:spacing w:val="1"/>
          <w:sz w:val="16"/>
          <w:szCs w:val="16"/>
          <w:lang w:val="es-CO"/>
        </w:rPr>
        <w:t>OLGA CECILIA HENAO MARÍN</w:t>
      </w:r>
    </w:p>
    <w:p w:rsidR="009A08B7" w:rsidRPr="00F206F0" w:rsidRDefault="009A08B7" w:rsidP="009A08B7">
      <w:pPr>
        <w:shd w:val="clear" w:color="auto" w:fill="FFFFFF"/>
        <w:ind w:left="4277"/>
        <w:rPr>
          <w:rFonts w:ascii="Tahoma" w:hAnsi="Tahoma" w:cs="Tahoma"/>
          <w:sz w:val="16"/>
          <w:szCs w:val="16"/>
        </w:rPr>
      </w:pPr>
      <w:r w:rsidRPr="00F206F0">
        <w:rPr>
          <w:rFonts w:ascii="Tahoma" w:hAnsi="Tahoma" w:cs="Tahoma"/>
          <w:color w:val="000000"/>
          <w:spacing w:val="-6"/>
          <w:sz w:val="16"/>
          <w:szCs w:val="16"/>
        </w:rPr>
        <w:t>Juez</w:t>
      </w:r>
    </w:p>
    <w:p w:rsidR="009A08B7" w:rsidRPr="00F206F0" w:rsidRDefault="009A08B7" w:rsidP="000177A6">
      <w:pPr>
        <w:shd w:val="clear" w:color="auto" w:fill="FFFFFF"/>
        <w:rPr>
          <w:rFonts w:ascii="Tahoma" w:hAnsi="Tahoma" w:cs="Tahoma"/>
          <w:sz w:val="16"/>
          <w:szCs w:val="16"/>
        </w:rPr>
      </w:pPr>
      <w:r w:rsidRPr="000177A6">
        <w:rPr>
          <w:rFonts w:ascii="Tahoma" w:hAnsi="Tahoma" w:cs="Tahoma"/>
          <w:color w:val="000000"/>
          <w:spacing w:val="-4"/>
          <w:sz w:val="12"/>
          <w:szCs w:val="12"/>
        </w:rPr>
        <w:t>NNC</w:t>
      </w:r>
    </w:p>
    <w:p w:rsidR="00ED1972" w:rsidRPr="00F206F0" w:rsidRDefault="00ED1972">
      <w:pPr>
        <w:rPr>
          <w:rFonts w:ascii="Tahoma" w:hAnsi="Tahoma" w:cs="Tahoma"/>
          <w:sz w:val="16"/>
          <w:szCs w:val="16"/>
        </w:rPr>
      </w:pPr>
    </w:p>
    <w:sectPr w:rsidR="00ED1972" w:rsidRPr="00F206F0" w:rsidSect="00204E6D">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138" w:rsidRDefault="00DF3138" w:rsidP="009A08B7">
      <w:r>
        <w:separator/>
      </w:r>
    </w:p>
  </w:endnote>
  <w:endnote w:type="continuationSeparator" w:id="0">
    <w:p w:rsidR="00DF3138" w:rsidRDefault="00DF3138" w:rsidP="009A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138" w:rsidRDefault="00DF3138" w:rsidP="009A08B7">
      <w:r>
        <w:separator/>
      </w:r>
    </w:p>
  </w:footnote>
  <w:footnote w:type="continuationSeparator" w:id="0">
    <w:p w:rsidR="00DF3138" w:rsidRDefault="00DF3138" w:rsidP="009A0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6D" w:rsidRPr="00F206F0" w:rsidRDefault="00F206F0" w:rsidP="00204E6D">
    <w:pPr>
      <w:pStyle w:val="Encabezado"/>
      <w:jc w:val="right"/>
      <w:rPr>
        <w:rFonts w:ascii="Tahoma" w:hAnsi="Tahoma" w:cs="Tahoma"/>
        <w:sz w:val="12"/>
        <w:szCs w:val="12"/>
      </w:rPr>
    </w:pPr>
    <w:r w:rsidRPr="00F206F0">
      <w:rPr>
        <w:rFonts w:ascii="Tahoma" w:hAnsi="Tahoma" w:cs="Tahoma"/>
        <w:sz w:val="12"/>
        <w:szCs w:val="12"/>
      </w:rPr>
      <w:t>Expediente: 2013-0061</w:t>
    </w:r>
  </w:p>
  <w:p w:rsidR="00016656" w:rsidRPr="00F206F0" w:rsidRDefault="00F206F0" w:rsidP="00204E6D">
    <w:pPr>
      <w:pStyle w:val="Encabezado"/>
      <w:jc w:val="right"/>
      <w:rPr>
        <w:rFonts w:ascii="Tahoma" w:hAnsi="Tahoma" w:cs="Tahoma"/>
        <w:b/>
        <w:sz w:val="12"/>
        <w:szCs w:val="12"/>
      </w:rPr>
    </w:pPr>
    <w:r w:rsidRPr="00F206F0">
      <w:rPr>
        <w:rFonts w:ascii="Tahoma" w:hAnsi="Tahoma" w:cs="Tahoma"/>
        <w:b/>
        <w:sz w:val="12"/>
        <w:szCs w:val="12"/>
        <w:lang w:val="es-MX"/>
      </w:rPr>
      <w:t>SEÑALA GASTOS PERICIALES</w:t>
    </w:r>
  </w:p>
  <w:p w:rsidR="00204E6D" w:rsidRPr="00F206F0" w:rsidRDefault="00F206F0" w:rsidP="00204E6D">
    <w:pPr>
      <w:pStyle w:val="Encabezado"/>
      <w:jc w:val="right"/>
      <w:rPr>
        <w:rFonts w:ascii="Tahoma" w:hAnsi="Tahoma" w:cs="Tahoma"/>
        <w:sz w:val="12"/>
        <w:szCs w:val="12"/>
      </w:rPr>
    </w:pPr>
    <w:r w:rsidRPr="00F206F0">
      <w:rPr>
        <w:rFonts w:ascii="Tahoma" w:hAnsi="Tahoma" w:cs="Tahoma"/>
        <w:sz w:val="12"/>
        <w:szCs w:val="12"/>
      </w:rPr>
      <w:t xml:space="preserve">Página de </w:t>
    </w:r>
    <w:r w:rsidRPr="00F206F0">
      <w:rPr>
        <w:rFonts w:ascii="Tahoma" w:hAnsi="Tahoma" w:cs="Tahoma"/>
        <w:sz w:val="12"/>
        <w:szCs w:val="12"/>
      </w:rPr>
      <w:fldChar w:fldCharType="begin"/>
    </w:r>
    <w:r w:rsidRPr="00F206F0">
      <w:rPr>
        <w:rFonts w:ascii="Tahoma" w:hAnsi="Tahoma" w:cs="Tahoma"/>
        <w:sz w:val="12"/>
        <w:szCs w:val="12"/>
      </w:rPr>
      <w:instrText xml:space="preserve"> NUMPAGES  \* Arabic  \* MERGEFORMAT </w:instrText>
    </w:r>
    <w:r w:rsidRPr="00F206F0">
      <w:rPr>
        <w:rFonts w:ascii="Tahoma" w:hAnsi="Tahoma" w:cs="Tahoma"/>
        <w:sz w:val="12"/>
        <w:szCs w:val="12"/>
      </w:rPr>
      <w:fldChar w:fldCharType="separate"/>
    </w:r>
    <w:r w:rsidR="00F110BB">
      <w:rPr>
        <w:rFonts w:ascii="Tahoma" w:hAnsi="Tahoma" w:cs="Tahoma"/>
        <w:noProof/>
        <w:sz w:val="12"/>
        <w:szCs w:val="12"/>
      </w:rPr>
      <w:t>1</w:t>
    </w:r>
    <w:r w:rsidRPr="00F206F0">
      <w:rPr>
        <w:rFonts w:ascii="Tahoma" w:hAnsi="Tahoma" w:cs="Tahoma"/>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6D" w:rsidRPr="00561EBE" w:rsidRDefault="00F206F0" w:rsidP="00204E6D">
    <w:pPr>
      <w:pStyle w:val="Encabezado"/>
      <w:jc w:val="center"/>
      <w:rPr>
        <w:rFonts w:ascii="Arial" w:hAnsi="Arial" w:cs="Arial"/>
        <w:b/>
        <w:i/>
        <w:sz w:val="12"/>
        <w:szCs w:val="12"/>
      </w:rPr>
    </w:pPr>
    <w:r>
      <w:rPr>
        <w:rFonts w:ascii="Arial" w:hAnsi="Arial" w:cs="Arial"/>
        <w:b/>
        <w:i/>
        <w:noProof/>
        <w:sz w:val="12"/>
        <w:szCs w:val="12"/>
        <w:lang w:eastAsia="es-CO"/>
      </w:rPr>
      <w:drawing>
        <wp:inline distT="0" distB="0" distL="0" distR="0" wp14:anchorId="31761A27" wp14:editId="1AD60CA2">
          <wp:extent cx="607060" cy="607060"/>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607060"/>
                  </a:xfrm>
                  <a:prstGeom prst="rect">
                    <a:avLst/>
                  </a:prstGeom>
                  <a:noFill/>
                  <a:ln>
                    <a:noFill/>
                  </a:ln>
                </pic:spPr>
              </pic:pic>
            </a:graphicData>
          </a:graphic>
        </wp:inline>
      </w:drawing>
    </w:r>
  </w:p>
  <w:p w:rsidR="00204E6D" w:rsidRPr="00561EBE" w:rsidRDefault="00F206F0" w:rsidP="00204E6D">
    <w:pPr>
      <w:pStyle w:val="Encabezado"/>
      <w:jc w:val="center"/>
      <w:rPr>
        <w:rFonts w:ascii="Tahoma" w:hAnsi="Tahoma" w:cs="Tahoma"/>
        <w:b/>
        <w:sz w:val="12"/>
        <w:szCs w:val="12"/>
        <w:lang w:val="es-MX"/>
      </w:rPr>
    </w:pPr>
    <w:r w:rsidRPr="00561EBE">
      <w:rPr>
        <w:rFonts w:ascii="Tahoma" w:hAnsi="Tahoma" w:cs="Tahoma"/>
        <w:b/>
        <w:sz w:val="12"/>
        <w:szCs w:val="12"/>
        <w:lang w:val="es-MX"/>
      </w:rPr>
      <w:t>JUZGADO TREINTA Y CUATRO ADMINISTRATIVO</w:t>
    </w:r>
  </w:p>
  <w:p w:rsidR="00204E6D" w:rsidRPr="00561EBE" w:rsidRDefault="00F206F0" w:rsidP="00204E6D">
    <w:pPr>
      <w:pStyle w:val="Encabezado"/>
      <w:jc w:val="center"/>
      <w:rPr>
        <w:rFonts w:ascii="Tahoma" w:hAnsi="Tahoma" w:cs="Tahoma"/>
        <w:b/>
        <w:sz w:val="12"/>
        <w:szCs w:val="12"/>
        <w:lang w:val="es-MX"/>
      </w:rPr>
    </w:pPr>
    <w:r w:rsidRPr="00561EBE">
      <w:rPr>
        <w:rFonts w:ascii="Tahoma" w:hAnsi="Tahoma" w:cs="Tahoma"/>
        <w:b/>
        <w:sz w:val="12"/>
        <w:szCs w:val="12"/>
        <w:lang w:val="es-MX"/>
      </w:rPr>
      <w:t>ORAL DE BOGOTÁ</w:t>
    </w:r>
  </w:p>
  <w:p w:rsidR="00204E6D" w:rsidRPr="00561EBE" w:rsidRDefault="00F206F0" w:rsidP="00204E6D">
    <w:pPr>
      <w:pStyle w:val="Encabezado"/>
      <w:jc w:val="center"/>
      <w:rPr>
        <w:rFonts w:ascii="Tahoma" w:hAnsi="Tahoma" w:cs="Tahoma"/>
        <w:b/>
        <w:sz w:val="12"/>
        <w:szCs w:val="12"/>
        <w:lang w:val="es-MX"/>
      </w:rPr>
    </w:pPr>
    <w:r w:rsidRPr="00561EBE">
      <w:rPr>
        <w:rFonts w:ascii="Tahoma" w:hAnsi="Tahoma" w:cs="Tahoma"/>
        <w:b/>
        <w:sz w:val="12"/>
        <w:szCs w:val="12"/>
        <w:lang w:val="es-MX"/>
      </w:rPr>
      <w:t>Sección Tercera</w:t>
    </w:r>
  </w:p>
  <w:p w:rsidR="00204E6D" w:rsidRDefault="00DF31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73A"/>
    <w:multiLevelType w:val="hybridMultilevel"/>
    <w:tmpl w:val="7B9C9B92"/>
    <w:lvl w:ilvl="0" w:tplc="9B5E0768">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B7"/>
    <w:rsid w:val="000177A6"/>
    <w:rsid w:val="000629E6"/>
    <w:rsid w:val="000F5D39"/>
    <w:rsid w:val="001C6611"/>
    <w:rsid w:val="001D3FF1"/>
    <w:rsid w:val="0040464C"/>
    <w:rsid w:val="004170A9"/>
    <w:rsid w:val="004F10B2"/>
    <w:rsid w:val="005B1DA0"/>
    <w:rsid w:val="007B7FB0"/>
    <w:rsid w:val="00895E9B"/>
    <w:rsid w:val="009A08B7"/>
    <w:rsid w:val="009B45CA"/>
    <w:rsid w:val="009F5D2B"/>
    <w:rsid w:val="00B67D07"/>
    <w:rsid w:val="00C30C47"/>
    <w:rsid w:val="00DF3138"/>
    <w:rsid w:val="00E56A39"/>
    <w:rsid w:val="00E67283"/>
    <w:rsid w:val="00ED1972"/>
    <w:rsid w:val="00F110BB"/>
    <w:rsid w:val="00F206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8B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8B7"/>
    <w:pPr>
      <w:tabs>
        <w:tab w:val="center" w:pos="4419"/>
        <w:tab w:val="right" w:pos="8838"/>
      </w:tabs>
    </w:pPr>
  </w:style>
  <w:style w:type="character" w:customStyle="1" w:styleId="EncabezadoCar">
    <w:name w:val="Encabezado Car"/>
    <w:basedOn w:val="Fuentedeprrafopredeter"/>
    <w:link w:val="Encabezado"/>
    <w:uiPriority w:val="99"/>
    <w:rsid w:val="009A08B7"/>
    <w:rPr>
      <w:rFonts w:ascii="Times New Roman" w:eastAsia="Times New Roman" w:hAnsi="Times New Roman" w:cs="Times New Roman"/>
      <w:sz w:val="24"/>
      <w:szCs w:val="24"/>
      <w:lang w:val="es-ES" w:eastAsia="es-ES"/>
    </w:rPr>
  </w:style>
  <w:style w:type="paragraph" w:customStyle="1" w:styleId="Sinespaciado1">
    <w:name w:val="Sin espaciado1"/>
    <w:rsid w:val="009A08B7"/>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A08B7"/>
    <w:pPr>
      <w:ind w:left="720"/>
      <w:contextualSpacing/>
    </w:p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
    <w:basedOn w:val="Normal"/>
    <w:link w:val="TextonotapieCar"/>
    <w:unhideWhenUsed/>
    <w:rsid w:val="009A08B7"/>
    <w:rPr>
      <w:sz w:val="20"/>
      <w:szCs w:val="20"/>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rsid w:val="009A08B7"/>
    <w:rPr>
      <w:rFonts w:ascii="Times New Roman" w:eastAsia="Times New Roman" w:hAnsi="Times New Roman" w:cs="Times New Roman"/>
      <w:sz w:val="20"/>
      <w:szCs w:val="20"/>
      <w:lang w:val="es-ES" w:eastAsia="es-ES"/>
    </w:rPr>
  </w:style>
  <w:style w:type="character" w:styleId="Refdenotaalpie">
    <w:name w:val="footnote reference"/>
    <w:aliases w:val="Texto de nota al p,Pie de Pàgina,F,Pie de P_gin,Pie de P_,Pie de P_g,Texto de nota al pi,Appel note de bas de page,Footnotes refss,Footnote number,referencia nota al pie,f,Ref"/>
    <w:basedOn w:val="Fuentedeprrafopredeter"/>
    <w:unhideWhenUsed/>
    <w:rsid w:val="009A08B7"/>
    <w:rPr>
      <w:vertAlign w:val="superscript"/>
    </w:rPr>
  </w:style>
  <w:style w:type="paragraph" w:styleId="Textodeglobo">
    <w:name w:val="Balloon Text"/>
    <w:basedOn w:val="Normal"/>
    <w:link w:val="TextodegloboCar"/>
    <w:uiPriority w:val="99"/>
    <w:semiHidden/>
    <w:unhideWhenUsed/>
    <w:rsid w:val="009A08B7"/>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8B7"/>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F206F0"/>
    <w:pPr>
      <w:tabs>
        <w:tab w:val="center" w:pos="4419"/>
        <w:tab w:val="right" w:pos="8838"/>
      </w:tabs>
    </w:pPr>
  </w:style>
  <w:style w:type="character" w:customStyle="1" w:styleId="PiedepginaCar">
    <w:name w:val="Pie de página Car"/>
    <w:basedOn w:val="Fuentedeprrafopredeter"/>
    <w:link w:val="Piedepgina"/>
    <w:uiPriority w:val="99"/>
    <w:rsid w:val="00F206F0"/>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8B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8B7"/>
    <w:pPr>
      <w:tabs>
        <w:tab w:val="center" w:pos="4419"/>
        <w:tab w:val="right" w:pos="8838"/>
      </w:tabs>
    </w:pPr>
  </w:style>
  <w:style w:type="character" w:customStyle="1" w:styleId="EncabezadoCar">
    <w:name w:val="Encabezado Car"/>
    <w:basedOn w:val="Fuentedeprrafopredeter"/>
    <w:link w:val="Encabezado"/>
    <w:uiPriority w:val="99"/>
    <w:rsid w:val="009A08B7"/>
    <w:rPr>
      <w:rFonts w:ascii="Times New Roman" w:eastAsia="Times New Roman" w:hAnsi="Times New Roman" w:cs="Times New Roman"/>
      <w:sz w:val="24"/>
      <w:szCs w:val="24"/>
      <w:lang w:val="es-ES" w:eastAsia="es-ES"/>
    </w:rPr>
  </w:style>
  <w:style w:type="paragraph" w:customStyle="1" w:styleId="Sinespaciado1">
    <w:name w:val="Sin espaciado1"/>
    <w:rsid w:val="009A08B7"/>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A08B7"/>
    <w:pPr>
      <w:ind w:left="720"/>
      <w:contextualSpacing/>
    </w:p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
    <w:basedOn w:val="Normal"/>
    <w:link w:val="TextonotapieCar"/>
    <w:unhideWhenUsed/>
    <w:rsid w:val="009A08B7"/>
    <w:rPr>
      <w:sz w:val="20"/>
      <w:szCs w:val="20"/>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rsid w:val="009A08B7"/>
    <w:rPr>
      <w:rFonts w:ascii="Times New Roman" w:eastAsia="Times New Roman" w:hAnsi="Times New Roman" w:cs="Times New Roman"/>
      <w:sz w:val="20"/>
      <w:szCs w:val="20"/>
      <w:lang w:val="es-ES" w:eastAsia="es-ES"/>
    </w:rPr>
  </w:style>
  <w:style w:type="character" w:styleId="Refdenotaalpie">
    <w:name w:val="footnote reference"/>
    <w:aliases w:val="Texto de nota al p,Pie de Pàgina,F,Pie de P_gin,Pie de P_,Pie de P_g,Texto de nota al pi,Appel note de bas de page,Footnotes refss,Footnote number,referencia nota al pie,f,Ref"/>
    <w:basedOn w:val="Fuentedeprrafopredeter"/>
    <w:unhideWhenUsed/>
    <w:rsid w:val="009A08B7"/>
    <w:rPr>
      <w:vertAlign w:val="superscript"/>
    </w:rPr>
  </w:style>
  <w:style w:type="paragraph" w:styleId="Textodeglobo">
    <w:name w:val="Balloon Text"/>
    <w:basedOn w:val="Normal"/>
    <w:link w:val="TextodegloboCar"/>
    <w:uiPriority w:val="99"/>
    <w:semiHidden/>
    <w:unhideWhenUsed/>
    <w:rsid w:val="009A08B7"/>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8B7"/>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F206F0"/>
    <w:pPr>
      <w:tabs>
        <w:tab w:val="center" w:pos="4419"/>
        <w:tab w:val="right" w:pos="8838"/>
      </w:tabs>
    </w:pPr>
  </w:style>
  <w:style w:type="character" w:customStyle="1" w:styleId="PiedepginaCar">
    <w:name w:val="Pie de página Car"/>
    <w:basedOn w:val="Fuentedeprrafopredeter"/>
    <w:link w:val="Piedepgina"/>
    <w:uiPriority w:val="99"/>
    <w:rsid w:val="00F206F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766</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Olga Henao Marin</cp:lastModifiedBy>
  <cp:revision>4</cp:revision>
  <cp:lastPrinted>2016-11-23T18:47:00Z</cp:lastPrinted>
  <dcterms:created xsi:type="dcterms:W3CDTF">2016-11-23T18:47:00Z</dcterms:created>
  <dcterms:modified xsi:type="dcterms:W3CDTF">2016-11-23T19:24:00Z</dcterms:modified>
</cp:coreProperties>
</file>