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735"/>
      </w:tblGrid>
      <w:tr w:rsidR="00CF5200" w:rsidRPr="00C11480" w:rsidTr="00C11480">
        <w:tc>
          <w:tcPr>
            <w:tcW w:w="1985" w:type="dxa"/>
          </w:tcPr>
          <w:p w:rsidR="00CF5200" w:rsidRPr="001F7758" w:rsidRDefault="00CF5200" w:rsidP="00DC02E3">
            <w:pPr>
              <w:jc w:val="both"/>
              <w:rPr>
                <w:rFonts w:ascii="Tahoma" w:hAnsi="Tahoma" w:cs="Tahoma"/>
                <w:sz w:val="14"/>
                <w:szCs w:val="14"/>
                <w:lang w:val="es-MX"/>
              </w:rPr>
            </w:pPr>
            <w:r w:rsidRPr="001F7758">
              <w:rPr>
                <w:rFonts w:ascii="Tahoma" w:hAnsi="Tahoma" w:cs="Tahoma"/>
                <w:sz w:val="14"/>
                <w:szCs w:val="14"/>
                <w:lang w:val="es-MX"/>
              </w:rPr>
              <w:t>CIUDAD Y FECHA</w:t>
            </w:r>
          </w:p>
        </w:tc>
        <w:tc>
          <w:tcPr>
            <w:tcW w:w="6735" w:type="dxa"/>
          </w:tcPr>
          <w:p w:rsidR="00CF5200" w:rsidRPr="001F7758" w:rsidRDefault="00CF5200" w:rsidP="001F7758">
            <w:pPr>
              <w:jc w:val="both"/>
              <w:rPr>
                <w:rFonts w:ascii="Tahoma" w:hAnsi="Tahoma" w:cs="Tahoma"/>
                <w:b/>
                <w:sz w:val="14"/>
                <w:szCs w:val="14"/>
                <w:lang w:val="es-MX"/>
              </w:rPr>
            </w:pPr>
            <w:r w:rsidRPr="001F7758">
              <w:rPr>
                <w:rFonts w:ascii="Tahoma" w:hAnsi="Tahoma" w:cs="Tahoma"/>
                <w:b/>
                <w:sz w:val="14"/>
                <w:szCs w:val="14"/>
                <w:lang w:val="es-MX"/>
              </w:rPr>
              <w:t xml:space="preserve">Bogotá D.C., </w:t>
            </w:r>
            <w:r w:rsidR="001F7758" w:rsidRPr="001F7758">
              <w:rPr>
                <w:rFonts w:ascii="Tahoma" w:hAnsi="Tahoma" w:cs="Tahoma"/>
                <w:b/>
                <w:sz w:val="14"/>
                <w:szCs w:val="14"/>
                <w:lang w:val="es-MX"/>
              </w:rPr>
              <w:t>diez (10)</w:t>
            </w:r>
            <w:r w:rsidR="00C2247A" w:rsidRPr="001F7758">
              <w:rPr>
                <w:rFonts w:ascii="Tahoma" w:hAnsi="Tahoma" w:cs="Tahoma"/>
                <w:b/>
                <w:sz w:val="14"/>
                <w:szCs w:val="14"/>
                <w:lang w:val="es-MX"/>
              </w:rPr>
              <w:t xml:space="preserve"> de febrero de </w:t>
            </w:r>
            <w:r w:rsidRPr="001F7758">
              <w:rPr>
                <w:rFonts w:ascii="Tahoma" w:hAnsi="Tahoma" w:cs="Tahoma"/>
                <w:b/>
                <w:sz w:val="14"/>
                <w:szCs w:val="14"/>
                <w:lang w:val="es-MX"/>
              </w:rPr>
              <w:t xml:space="preserve">dos mil </w:t>
            </w:r>
            <w:r w:rsidR="00C2247A" w:rsidRPr="001F7758">
              <w:rPr>
                <w:rFonts w:ascii="Tahoma" w:hAnsi="Tahoma" w:cs="Tahoma"/>
                <w:b/>
                <w:sz w:val="14"/>
                <w:szCs w:val="14"/>
                <w:lang w:val="es-MX"/>
              </w:rPr>
              <w:t>diecisiete (2017)</w:t>
            </w:r>
          </w:p>
        </w:tc>
      </w:tr>
      <w:tr w:rsidR="00CF5200" w:rsidRPr="00C11480" w:rsidTr="00C11480">
        <w:tc>
          <w:tcPr>
            <w:tcW w:w="1985" w:type="dxa"/>
          </w:tcPr>
          <w:p w:rsidR="00CF5200" w:rsidRPr="001F7758" w:rsidRDefault="00CF5200" w:rsidP="00DC02E3">
            <w:pPr>
              <w:jc w:val="both"/>
              <w:rPr>
                <w:rFonts w:ascii="Tahoma" w:hAnsi="Tahoma" w:cs="Tahoma"/>
                <w:sz w:val="14"/>
                <w:szCs w:val="14"/>
                <w:lang w:val="es-MX"/>
              </w:rPr>
            </w:pPr>
            <w:r w:rsidRPr="001F7758">
              <w:rPr>
                <w:rFonts w:ascii="Tahoma" w:hAnsi="Tahoma" w:cs="Tahoma"/>
                <w:sz w:val="14"/>
                <w:szCs w:val="14"/>
                <w:lang w:val="es-MX"/>
              </w:rPr>
              <w:t>REFERENCIA</w:t>
            </w:r>
          </w:p>
        </w:tc>
        <w:tc>
          <w:tcPr>
            <w:tcW w:w="6735" w:type="dxa"/>
          </w:tcPr>
          <w:p w:rsidR="00CF5200" w:rsidRPr="001F7758" w:rsidRDefault="00CF5200" w:rsidP="00DC02E3">
            <w:pPr>
              <w:pStyle w:val="Sinespaciado"/>
              <w:rPr>
                <w:rFonts w:ascii="Tahoma" w:hAnsi="Tahoma" w:cs="Tahoma"/>
                <w:b/>
                <w:sz w:val="14"/>
                <w:szCs w:val="14"/>
              </w:rPr>
            </w:pPr>
            <w:r w:rsidRPr="001F7758">
              <w:rPr>
                <w:rFonts w:ascii="Tahoma" w:hAnsi="Tahoma" w:cs="Tahoma"/>
                <w:b/>
                <w:sz w:val="14"/>
                <w:szCs w:val="14"/>
              </w:rPr>
              <w:t>Expediente No. 11001333603420140023800</w:t>
            </w:r>
          </w:p>
        </w:tc>
      </w:tr>
      <w:tr w:rsidR="00CF5200" w:rsidRPr="00C11480" w:rsidTr="00C11480">
        <w:tc>
          <w:tcPr>
            <w:tcW w:w="1985" w:type="dxa"/>
          </w:tcPr>
          <w:p w:rsidR="00CF5200" w:rsidRPr="001F7758" w:rsidRDefault="00CF5200" w:rsidP="00DC02E3">
            <w:pPr>
              <w:jc w:val="both"/>
              <w:rPr>
                <w:rFonts w:ascii="Tahoma" w:hAnsi="Tahoma" w:cs="Tahoma"/>
                <w:sz w:val="14"/>
                <w:szCs w:val="14"/>
                <w:lang w:val="es-MX"/>
              </w:rPr>
            </w:pPr>
            <w:r w:rsidRPr="001F7758">
              <w:rPr>
                <w:rFonts w:ascii="Tahoma" w:hAnsi="Tahoma" w:cs="Tahoma"/>
                <w:sz w:val="14"/>
                <w:szCs w:val="14"/>
                <w:lang w:val="es-MX"/>
              </w:rPr>
              <w:t>DEMANDANTE</w:t>
            </w:r>
          </w:p>
        </w:tc>
        <w:tc>
          <w:tcPr>
            <w:tcW w:w="6735" w:type="dxa"/>
          </w:tcPr>
          <w:p w:rsidR="00CF5200" w:rsidRPr="001F7758" w:rsidRDefault="00CF5200" w:rsidP="00DC02E3">
            <w:pPr>
              <w:pStyle w:val="Sinespaciado"/>
              <w:rPr>
                <w:rFonts w:ascii="Tahoma" w:hAnsi="Tahoma" w:cs="Tahoma"/>
                <w:b/>
                <w:sz w:val="14"/>
                <w:szCs w:val="14"/>
              </w:rPr>
            </w:pPr>
            <w:r w:rsidRPr="001F7758">
              <w:rPr>
                <w:rFonts w:ascii="Tahoma" w:hAnsi="Tahoma" w:cs="Tahoma"/>
                <w:b/>
                <w:sz w:val="14"/>
                <w:szCs w:val="14"/>
              </w:rPr>
              <w:t>JHON ALEJANDRO BUSTAMANTE ACERO y PATRICIA ACERO BAUTISTA</w:t>
            </w:r>
          </w:p>
        </w:tc>
      </w:tr>
      <w:tr w:rsidR="00CF5200" w:rsidRPr="00C11480" w:rsidTr="00C11480">
        <w:tc>
          <w:tcPr>
            <w:tcW w:w="1985" w:type="dxa"/>
          </w:tcPr>
          <w:p w:rsidR="00CF5200" w:rsidRPr="001F7758" w:rsidRDefault="00CF5200" w:rsidP="00DC02E3">
            <w:pPr>
              <w:jc w:val="both"/>
              <w:rPr>
                <w:rFonts w:ascii="Tahoma" w:hAnsi="Tahoma" w:cs="Tahoma"/>
                <w:sz w:val="14"/>
                <w:szCs w:val="14"/>
                <w:lang w:val="es-MX"/>
              </w:rPr>
            </w:pPr>
            <w:r w:rsidRPr="001F7758">
              <w:rPr>
                <w:rFonts w:ascii="Tahoma" w:hAnsi="Tahoma" w:cs="Tahoma"/>
                <w:sz w:val="14"/>
                <w:szCs w:val="14"/>
                <w:lang w:val="es-MX"/>
              </w:rPr>
              <w:t>DEMANDADO</w:t>
            </w:r>
          </w:p>
        </w:tc>
        <w:tc>
          <w:tcPr>
            <w:tcW w:w="6735" w:type="dxa"/>
          </w:tcPr>
          <w:p w:rsidR="00CF5200" w:rsidRPr="001F7758" w:rsidRDefault="00CF5200" w:rsidP="00DC02E3">
            <w:pPr>
              <w:pStyle w:val="Sinespaciado"/>
              <w:rPr>
                <w:rFonts w:ascii="Tahoma" w:hAnsi="Tahoma" w:cs="Tahoma"/>
                <w:b/>
                <w:sz w:val="14"/>
                <w:szCs w:val="14"/>
              </w:rPr>
            </w:pPr>
            <w:r w:rsidRPr="001F7758">
              <w:rPr>
                <w:rFonts w:ascii="Tahoma" w:hAnsi="Tahoma" w:cs="Tahoma"/>
                <w:b/>
                <w:sz w:val="14"/>
                <w:szCs w:val="14"/>
              </w:rPr>
              <w:t>BOGOTA DISTRITO CAPITAL – INSTITUTO DE DESARROLLO URBANO IDU</w:t>
            </w:r>
          </w:p>
        </w:tc>
      </w:tr>
      <w:tr w:rsidR="00CF5200" w:rsidRPr="00C11480" w:rsidTr="00C11480">
        <w:tc>
          <w:tcPr>
            <w:tcW w:w="1985" w:type="dxa"/>
          </w:tcPr>
          <w:p w:rsidR="00CF5200" w:rsidRPr="001F7758" w:rsidRDefault="00CF5200" w:rsidP="00DC02E3">
            <w:pPr>
              <w:jc w:val="both"/>
              <w:rPr>
                <w:rFonts w:ascii="Tahoma" w:hAnsi="Tahoma" w:cs="Tahoma"/>
                <w:sz w:val="14"/>
                <w:szCs w:val="14"/>
                <w:lang w:val="es-MX"/>
              </w:rPr>
            </w:pPr>
            <w:r w:rsidRPr="001F7758">
              <w:rPr>
                <w:rFonts w:ascii="Tahoma" w:hAnsi="Tahoma" w:cs="Tahoma"/>
                <w:sz w:val="14"/>
                <w:szCs w:val="14"/>
                <w:lang w:val="es-MX"/>
              </w:rPr>
              <w:t>MEDIO DE CONTROL</w:t>
            </w:r>
          </w:p>
        </w:tc>
        <w:tc>
          <w:tcPr>
            <w:tcW w:w="6735" w:type="dxa"/>
          </w:tcPr>
          <w:p w:rsidR="00CF5200" w:rsidRPr="001F7758" w:rsidRDefault="00CF5200" w:rsidP="00DC02E3">
            <w:pPr>
              <w:pStyle w:val="Sinespaciado"/>
              <w:rPr>
                <w:rFonts w:ascii="Tahoma" w:hAnsi="Tahoma" w:cs="Tahoma"/>
                <w:b/>
                <w:sz w:val="14"/>
                <w:szCs w:val="14"/>
              </w:rPr>
            </w:pPr>
            <w:r w:rsidRPr="001F7758">
              <w:rPr>
                <w:rFonts w:ascii="Tahoma" w:hAnsi="Tahoma" w:cs="Tahoma"/>
                <w:b/>
                <w:sz w:val="14"/>
                <w:szCs w:val="14"/>
              </w:rPr>
              <w:t>REPARACIÓN DIRECTA</w:t>
            </w:r>
          </w:p>
        </w:tc>
      </w:tr>
      <w:tr w:rsidR="00CF5200" w:rsidRPr="00C11480" w:rsidTr="00C11480">
        <w:tc>
          <w:tcPr>
            <w:tcW w:w="1985" w:type="dxa"/>
          </w:tcPr>
          <w:p w:rsidR="00CF5200" w:rsidRPr="001F7758" w:rsidRDefault="00CF5200" w:rsidP="00DC02E3">
            <w:pPr>
              <w:jc w:val="both"/>
              <w:rPr>
                <w:rFonts w:ascii="Tahoma" w:hAnsi="Tahoma" w:cs="Tahoma"/>
                <w:sz w:val="14"/>
                <w:szCs w:val="14"/>
                <w:lang w:val="es-MX"/>
              </w:rPr>
            </w:pPr>
            <w:r w:rsidRPr="001F7758">
              <w:rPr>
                <w:rFonts w:ascii="Tahoma" w:hAnsi="Tahoma" w:cs="Tahoma"/>
                <w:sz w:val="14"/>
                <w:szCs w:val="14"/>
                <w:lang w:val="es-MX"/>
              </w:rPr>
              <w:t>ASUNTO</w:t>
            </w:r>
          </w:p>
        </w:tc>
        <w:tc>
          <w:tcPr>
            <w:tcW w:w="6735" w:type="dxa"/>
          </w:tcPr>
          <w:p w:rsidR="00CF5200" w:rsidRPr="001F7758" w:rsidRDefault="00C11480" w:rsidP="00DC02E3">
            <w:pPr>
              <w:rPr>
                <w:rFonts w:ascii="Tahoma" w:hAnsi="Tahoma" w:cs="Tahoma"/>
                <w:b/>
                <w:sz w:val="14"/>
                <w:szCs w:val="14"/>
                <w:lang w:val="es-MX"/>
              </w:rPr>
            </w:pPr>
            <w:r w:rsidRPr="001F7758">
              <w:rPr>
                <w:rFonts w:ascii="Tahoma" w:hAnsi="Tahoma" w:cs="Tahoma"/>
                <w:b/>
                <w:sz w:val="14"/>
                <w:szCs w:val="14"/>
                <w:lang w:val="es-MX"/>
              </w:rPr>
              <w:t xml:space="preserve">DECLARA INEFICAZ LLAMAMIENTO EN GARANTIA – SEÑALA FECHA PARA AUDIENCIA DE INICIO (Art. 180 del CPACA) - RECONOCE PERSONERIA </w:t>
            </w:r>
          </w:p>
        </w:tc>
      </w:tr>
    </w:tbl>
    <w:p w:rsidR="00CF5200" w:rsidRPr="00C11480" w:rsidRDefault="00CF5200" w:rsidP="00CF5200">
      <w:pPr>
        <w:jc w:val="both"/>
        <w:rPr>
          <w:rFonts w:ascii="Tahoma" w:hAnsi="Tahoma" w:cs="Tahoma"/>
          <w:sz w:val="16"/>
          <w:szCs w:val="16"/>
        </w:rPr>
      </w:pPr>
    </w:p>
    <w:p w:rsidR="00CF5200" w:rsidRPr="00C11480" w:rsidRDefault="00CF5200" w:rsidP="00CF5200">
      <w:pPr>
        <w:pStyle w:val="Sinespaciado"/>
        <w:jc w:val="both"/>
        <w:rPr>
          <w:rFonts w:ascii="Tahoma" w:hAnsi="Tahoma" w:cs="Tahoma"/>
          <w:sz w:val="16"/>
          <w:szCs w:val="16"/>
        </w:rPr>
      </w:pPr>
      <w:r w:rsidRPr="00C11480">
        <w:rPr>
          <w:rFonts w:ascii="Tahoma" w:hAnsi="Tahoma" w:cs="Tahoma"/>
          <w:sz w:val="16"/>
          <w:szCs w:val="16"/>
        </w:rPr>
        <w:t>La presente demanda pretende que se declare administrativamente responsables al DISTRITO CAPITAL y al INSTITUTO DE DESARROLLO URBANO-IDU, por los perjuicios ocasionados a los demandantes con el accidente de tránsito que sufrió el señor JHON ALEJANDRO BUSTAMANTE ACERO, el 24 de abril de 2012, en la avenida carrera 68 con 12-76 de la ciudad de Bogotá D.C.</w:t>
      </w:r>
    </w:p>
    <w:p w:rsidR="00CF5200" w:rsidRPr="00C11480" w:rsidRDefault="00CF5200" w:rsidP="00CF5200">
      <w:pPr>
        <w:pStyle w:val="Sinespaciado"/>
        <w:jc w:val="both"/>
        <w:rPr>
          <w:rFonts w:ascii="Tahoma" w:hAnsi="Tahoma" w:cs="Tahoma"/>
          <w:sz w:val="16"/>
          <w:szCs w:val="16"/>
        </w:rPr>
      </w:pPr>
    </w:p>
    <w:p w:rsidR="00CF5200" w:rsidRPr="00C11480" w:rsidRDefault="00CF5200" w:rsidP="00CF5200">
      <w:pPr>
        <w:pStyle w:val="Sinespaciado"/>
        <w:jc w:val="both"/>
        <w:rPr>
          <w:rFonts w:ascii="Tahoma" w:hAnsi="Tahoma" w:cs="Tahoma"/>
          <w:sz w:val="16"/>
          <w:szCs w:val="16"/>
          <w:lang w:val="es-ES_tradnl"/>
        </w:rPr>
      </w:pPr>
      <w:r w:rsidRPr="00C11480">
        <w:rPr>
          <w:rFonts w:ascii="Tahoma" w:hAnsi="Tahoma" w:cs="Tahoma"/>
          <w:sz w:val="16"/>
          <w:szCs w:val="16"/>
          <w:lang w:val="es-ES_tradnl"/>
        </w:rPr>
        <w:t>Con auto del 26 de febrero de 2016</w:t>
      </w:r>
      <w:r w:rsidRPr="00C11480">
        <w:rPr>
          <w:rStyle w:val="Refdenotaalpie"/>
          <w:rFonts w:ascii="Tahoma" w:hAnsi="Tahoma" w:cs="Tahoma"/>
          <w:sz w:val="16"/>
          <w:szCs w:val="16"/>
          <w:lang w:val="es-ES_tradnl"/>
        </w:rPr>
        <w:footnoteReference w:id="1"/>
      </w:r>
      <w:r w:rsidRPr="00C11480">
        <w:rPr>
          <w:rFonts w:ascii="Tahoma" w:hAnsi="Tahoma" w:cs="Tahoma"/>
          <w:sz w:val="16"/>
          <w:szCs w:val="16"/>
          <w:lang w:val="es-ES_tradnl"/>
        </w:rPr>
        <w:t xml:space="preserve"> se decidió </w:t>
      </w:r>
      <w:r w:rsidRPr="00C11480">
        <w:rPr>
          <w:rFonts w:ascii="Tahoma" w:hAnsi="Tahoma" w:cs="Tahoma"/>
          <w:b/>
          <w:sz w:val="16"/>
          <w:szCs w:val="16"/>
          <w:lang w:val="es-ES_tradnl"/>
        </w:rPr>
        <w:t>llamamiento en garantía</w:t>
      </w:r>
      <w:r w:rsidRPr="00C11480">
        <w:rPr>
          <w:rFonts w:ascii="Tahoma" w:hAnsi="Tahoma" w:cs="Tahoma"/>
          <w:sz w:val="16"/>
          <w:szCs w:val="16"/>
          <w:lang w:val="es-ES_tradnl"/>
        </w:rPr>
        <w:t xml:space="preserve"> propuesto por el demandado, citando a la UNION TEMPORAL DE MANTENIMIENTO VIAL DE BOGOTA integrada por la sociedad AGUILAR CONSTRUCCIONES S.A. y CONCAY S.A. y negando el llamamiento con respecto a la COMPAÑÍA ASEGURADORA DE FIANZAS </w:t>
      </w:r>
      <w:proofErr w:type="gramStart"/>
      <w:r w:rsidRPr="00C11480">
        <w:rPr>
          <w:rFonts w:ascii="Tahoma" w:hAnsi="Tahoma" w:cs="Tahoma"/>
          <w:sz w:val="16"/>
          <w:szCs w:val="16"/>
          <w:lang w:val="es-ES_tradnl"/>
        </w:rPr>
        <w:t>S.A..</w:t>
      </w:r>
      <w:proofErr w:type="gramEnd"/>
      <w:r w:rsidRPr="00C11480">
        <w:rPr>
          <w:rFonts w:ascii="Tahoma" w:hAnsi="Tahoma" w:cs="Tahoma"/>
          <w:sz w:val="16"/>
          <w:szCs w:val="16"/>
          <w:lang w:val="es-ES_tradnl"/>
        </w:rPr>
        <w:t xml:space="preserve"> </w:t>
      </w:r>
    </w:p>
    <w:p w:rsidR="00CF5200" w:rsidRPr="00C11480" w:rsidRDefault="00CF5200" w:rsidP="00CF5200">
      <w:pPr>
        <w:pStyle w:val="Sinespaciado"/>
        <w:jc w:val="both"/>
        <w:rPr>
          <w:rFonts w:ascii="Tahoma" w:hAnsi="Tahoma" w:cs="Tahoma"/>
          <w:sz w:val="16"/>
          <w:szCs w:val="16"/>
          <w:lang w:val="es-ES_tradnl"/>
        </w:rPr>
      </w:pPr>
    </w:p>
    <w:p w:rsidR="00CF5200" w:rsidRPr="00C11480" w:rsidRDefault="00CF5200" w:rsidP="00CF5200">
      <w:pPr>
        <w:pStyle w:val="Sinespaciado"/>
        <w:jc w:val="both"/>
        <w:rPr>
          <w:rFonts w:ascii="Tahoma" w:hAnsi="Tahoma" w:cs="Tahoma"/>
          <w:sz w:val="16"/>
          <w:szCs w:val="16"/>
          <w:lang w:val="es-ES_tradnl"/>
        </w:rPr>
      </w:pPr>
      <w:r w:rsidRPr="00C11480">
        <w:rPr>
          <w:rFonts w:ascii="Tahoma" w:hAnsi="Tahoma" w:cs="Tahoma"/>
          <w:sz w:val="16"/>
          <w:szCs w:val="16"/>
          <w:lang w:val="es-ES_tradnl"/>
        </w:rPr>
        <w:t>Mediante escrito radicado el 3 de marzo de 2016</w:t>
      </w:r>
      <w:r w:rsidRPr="00C11480">
        <w:rPr>
          <w:rStyle w:val="Refdenotaalpie"/>
          <w:rFonts w:ascii="Tahoma" w:hAnsi="Tahoma" w:cs="Tahoma"/>
          <w:sz w:val="16"/>
          <w:szCs w:val="16"/>
          <w:lang w:val="es-ES_tradnl"/>
        </w:rPr>
        <w:footnoteReference w:id="2"/>
      </w:r>
      <w:r w:rsidRPr="00C11480">
        <w:rPr>
          <w:rFonts w:ascii="Tahoma" w:hAnsi="Tahoma" w:cs="Tahoma"/>
          <w:sz w:val="16"/>
          <w:szCs w:val="16"/>
          <w:lang w:val="es-ES_tradnl"/>
        </w:rPr>
        <w:t xml:space="preserve"> la parte demandada interpuso recurso de reposición en subsidio de apelación contra la anterior providencia. </w:t>
      </w:r>
      <w:bookmarkStart w:id="0" w:name="_GoBack"/>
      <w:bookmarkEnd w:id="0"/>
    </w:p>
    <w:p w:rsidR="00CF5200" w:rsidRPr="00C11480" w:rsidRDefault="00CF5200" w:rsidP="00CF5200">
      <w:pPr>
        <w:pStyle w:val="Sinespaciado"/>
        <w:jc w:val="both"/>
        <w:rPr>
          <w:rFonts w:ascii="Tahoma" w:hAnsi="Tahoma" w:cs="Tahoma"/>
          <w:noProof/>
          <w:sz w:val="16"/>
          <w:szCs w:val="16"/>
        </w:rPr>
      </w:pPr>
    </w:p>
    <w:p w:rsidR="00CF5200" w:rsidRPr="00C11480" w:rsidRDefault="00CF5200" w:rsidP="00CF5200">
      <w:pPr>
        <w:pStyle w:val="Sinespaciado"/>
        <w:jc w:val="both"/>
        <w:rPr>
          <w:rFonts w:ascii="Tahoma" w:hAnsi="Tahoma" w:cs="Tahoma"/>
          <w:noProof/>
          <w:sz w:val="16"/>
          <w:szCs w:val="16"/>
        </w:rPr>
      </w:pPr>
      <w:r w:rsidRPr="00C11480">
        <w:rPr>
          <w:rFonts w:ascii="Tahoma" w:hAnsi="Tahoma" w:cs="Tahoma"/>
          <w:noProof/>
          <w:sz w:val="16"/>
          <w:szCs w:val="16"/>
        </w:rPr>
        <w:t>En providencia del 15 de abril de 2016</w:t>
      </w:r>
      <w:r w:rsidRPr="00C11480">
        <w:rPr>
          <w:rStyle w:val="Refdenotaalpie"/>
          <w:rFonts w:ascii="Tahoma" w:hAnsi="Tahoma" w:cs="Tahoma"/>
          <w:noProof/>
          <w:sz w:val="16"/>
          <w:szCs w:val="16"/>
        </w:rPr>
        <w:footnoteReference w:id="3"/>
      </w:r>
      <w:r w:rsidRPr="00C11480">
        <w:rPr>
          <w:rFonts w:ascii="Tahoma" w:hAnsi="Tahoma" w:cs="Tahoma"/>
          <w:noProof/>
          <w:sz w:val="16"/>
          <w:szCs w:val="16"/>
        </w:rPr>
        <w:t xml:space="preserve"> se rechazó recurso de </w:t>
      </w:r>
      <w:r w:rsidRPr="00C11480">
        <w:rPr>
          <w:rFonts w:ascii="Tahoma" w:hAnsi="Tahoma" w:cs="Tahoma"/>
          <w:sz w:val="16"/>
          <w:szCs w:val="16"/>
          <w:lang w:val="es-ES_tradnl"/>
        </w:rPr>
        <w:t>reposición</w:t>
      </w:r>
      <w:r w:rsidRPr="00C11480">
        <w:rPr>
          <w:rFonts w:ascii="Tahoma" w:hAnsi="Tahoma" w:cs="Tahoma"/>
          <w:noProof/>
          <w:sz w:val="16"/>
          <w:szCs w:val="16"/>
        </w:rPr>
        <w:t xml:space="preserve"> y se concedió recurso de apelación contra el auto que niega llamamiento en garantia.</w:t>
      </w:r>
    </w:p>
    <w:p w:rsidR="00CF5200" w:rsidRPr="00C11480" w:rsidRDefault="00CF5200" w:rsidP="00CF5200">
      <w:pPr>
        <w:pStyle w:val="Sinespaciado"/>
        <w:jc w:val="both"/>
        <w:rPr>
          <w:rFonts w:ascii="Tahoma" w:hAnsi="Tahoma" w:cs="Tahoma"/>
          <w:noProof/>
          <w:sz w:val="16"/>
          <w:szCs w:val="16"/>
        </w:rPr>
      </w:pPr>
    </w:p>
    <w:p w:rsidR="00CF5200" w:rsidRPr="00C11480" w:rsidRDefault="00CF5200" w:rsidP="00CF5200">
      <w:pPr>
        <w:pStyle w:val="Sinespaciado"/>
        <w:jc w:val="both"/>
        <w:rPr>
          <w:rFonts w:ascii="Tahoma" w:hAnsi="Tahoma" w:cs="Tahoma"/>
          <w:noProof/>
          <w:sz w:val="16"/>
          <w:szCs w:val="16"/>
        </w:rPr>
      </w:pPr>
      <w:r w:rsidRPr="00C11480">
        <w:rPr>
          <w:rFonts w:ascii="Tahoma" w:hAnsi="Tahoma" w:cs="Tahoma"/>
          <w:sz w:val="16"/>
          <w:szCs w:val="16"/>
          <w:lang w:val="es-ES_tradnl"/>
        </w:rPr>
        <w:t>En providencia del 20 de junio de 2016, el Tribunal Administrativo de Cundinamarca – Sección Tercera – Subsección “B” confirmó la decisión adoptada mediante providencia del 26 de febrero de 2016.</w:t>
      </w:r>
    </w:p>
    <w:p w:rsidR="00CF5200" w:rsidRPr="00C11480" w:rsidRDefault="00CF5200" w:rsidP="00CF5200">
      <w:pPr>
        <w:jc w:val="both"/>
        <w:rPr>
          <w:rFonts w:ascii="Tahoma" w:hAnsi="Tahoma" w:cs="Tahoma"/>
          <w:bCs/>
          <w:color w:val="FF0000"/>
          <w:sz w:val="16"/>
          <w:szCs w:val="16"/>
        </w:rPr>
      </w:pPr>
    </w:p>
    <w:p w:rsidR="00CF5200" w:rsidRPr="00C11480" w:rsidRDefault="00CF5200" w:rsidP="00CF5200">
      <w:pPr>
        <w:jc w:val="both"/>
        <w:rPr>
          <w:rFonts w:ascii="Tahoma" w:hAnsi="Tahoma" w:cs="Tahoma"/>
          <w:spacing w:val="-1"/>
          <w:sz w:val="16"/>
          <w:szCs w:val="16"/>
          <w:lang w:val="es-ES_tradnl"/>
        </w:rPr>
      </w:pPr>
      <w:r w:rsidRPr="00C11480">
        <w:rPr>
          <w:rFonts w:ascii="Tahoma" w:hAnsi="Tahoma" w:cs="Tahoma"/>
          <w:noProof/>
          <w:sz w:val="16"/>
          <w:szCs w:val="16"/>
          <w:lang w:val="es-MX"/>
        </w:rPr>
        <w:t>Con auto del 11 de julio de 2016 se ordenó obedecer y cumplir lo dispuesto por el Tribunal Administrativo de Cundinaqmarca y se señaló fecha para audiencia inicial el dia 1 de noviembre de 2016</w:t>
      </w:r>
      <w:r w:rsidRPr="00C11480">
        <w:rPr>
          <w:rFonts w:ascii="Tahoma" w:hAnsi="Tahoma" w:cs="Tahoma"/>
          <w:spacing w:val="-1"/>
          <w:sz w:val="16"/>
          <w:szCs w:val="16"/>
          <w:lang w:val="es-ES_tradnl"/>
        </w:rPr>
        <w:t xml:space="preserve"> a las 9:00 a.m.</w:t>
      </w:r>
    </w:p>
    <w:p w:rsidR="00CF5200" w:rsidRPr="00C11480" w:rsidRDefault="00CF5200" w:rsidP="00CF5200">
      <w:pPr>
        <w:jc w:val="both"/>
        <w:rPr>
          <w:rFonts w:ascii="Tahoma" w:hAnsi="Tahoma" w:cs="Tahoma"/>
          <w:spacing w:val="-1"/>
          <w:sz w:val="16"/>
          <w:szCs w:val="16"/>
          <w:lang w:val="es-ES_tradnl"/>
        </w:rPr>
      </w:pPr>
    </w:p>
    <w:p w:rsidR="006B1298" w:rsidRPr="00C11480" w:rsidRDefault="00CF5200" w:rsidP="00CF5200">
      <w:pPr>
        <w:jc w:val="both"/>
        <w:rPr>
          <w:rFonts w:ascii="Tahoma" w:hAnsi="Tahoma" w:cs="Tahoma"/>
          <w:spacing w:val="-1"/>
          <w:sz w:val="16"/>
          <w:szCs w:val="16"/>
          <w:lang w:val="es-ES_tradnl"/>
        </w:rPr>
      </w:pPr>
      <w:r w:rsidRPr="00C11480">
        <w:rPr>
          <w:rFonts w:ascii="Tahoma" w:hAnsi="Tahoma" w:cs="Tahoma"/>
          <w:spacing w:val="-1"/>
          <w:sz w:val="16"/>
          <w:szCs w:val="16"/>
          <w:lang w:val="es-ES_tradnl"/>
        </w:rPr>
        <w:t xml:space="preserve">En auto del 31 de octubre </w:t>
      </w:r>
      <w:r w:rsidR="006B1298" w:rsidRPr="00C11480">
        <w:rPr>
          <w:rFonts w:ascii="Tahoma" w:hAnsi="Tahoma" w:cs="Tahoma"/>
          <w:spacing w:val="-1"/>
          <w:sz w:val="16"/>
          <w:szCs w:val="16"/>
          <w:lang w:val="es-ES_tradnl"/>
        </w:rPr>
        <w:t xml:space="preserve">de 2016 se ordenó </w:t>
      </w:r>
      <w:r w:rsidR="00910F32" w:rsidRPr="00C11480">
        <w:rPr>
          <w:rFonts w:ascii="Tahoma" w:hAnsi="Tahoma" w:cs="Tahoma"/>
          <w:spacing w:val="-1"/>
          <w:sz w:val="16"/>
          <w:szCs w:val="16"/>
          <w:lang w:val="es-ES_tradnl"/>
        </w:rPr>
        <w:t xml:space="preserve">dar cumplimiento </w:t>
      </w:r>
      <w:r w:rsidR="00DE299B" w:rsidRPr="00C11480">
        <w:rPr>
          <w:rFonts w:ascii="Tahoma" w:hAnsi="Tahoma" w:cs="Tahoma"/>
          <w:spacing w:val="-1"/>
          <w:sz w:val="16"/>
          <w:szCs w:val="16"/>
          <w:lang w:val="es-ES_tradnl"/>
        </w:rPr>
        <w:t>al auto e 2016 de febrero de 2016, es decir</w:t>
      </w:r>
      <w:r w:rsidR="00756C33" w:rsidRPr="00C11480">
        <w:rPr>
          <w:rFonts w:ascii="Tahoma" w:hAnsi="Tahoma" w:cs="Tahoma"/>
          <w:spacing w:val="-1"/>
          <w:sz w:val="16"/>
          <w:szCs w:val="16"/>
          <w:lang w:val="es-ES_tradnl"/>
        </w:rPr>
        <w:t xml:space="preserve">, </w:t>
      </w:r>
      <w:r w:rsidR="00DE299B" w:rsidRPr="00C11480">
        <w:rPr>
          <w:rFonts w:ascii="Tahoma" w:hAnsi="Tahoma" w:cs="Tahoma"/>
          <w:spacing w:val="-1"/>
          <w:sz w:val="16"/>
          <w:szCs w:val="16"/>
          <w:lang w:val="es-ES_tradnl"/>
        </w:rPr>
        <w:t xml:space="preserve"> </w:t>
      </w:r>
      <w:r w:rsidR="006B1298" w:rsidRPr="00C11480">
        <w:rPr>
          <w:rFonts w:ascii="Tahoma" w:hAnsi="Tahoma" w:cs="Tahoma"/>
          <w:spacing w:val="-1"/>
          <w:sz w:val="16"/>
          <w:szCs w:val="16"/>
          <w:lang w:val="es-ES_tradnl"/>
        </w:rPr>
        <w:t xml:space="preserve">notificar al llamado en garantía </w:t>
      </w:r>
      <w:r w:rsidR="001319D7" w:rsidRPr="00C11480">
        <w:rPr>
          <w:rFonts w:ascii="Tahoma" w:hAnsi="Tahoma" w:cs="Tahoma"/>
          <w:spacing w:val="-1"/>
          <w:sz w:val="16"/>
          <w:szCs w:val="16"/>
          <w:lang w:val="es-ES_tradnl"/>
        </w:rPr>
        <w:t>UNION TEMPORAL DE MANTENIMIENTO VIAL  DE BOGOTA</w:t>
      </w:r>
      <w:r w:rsidR="00387D79" w:rsidRPr="00C11480">
        <w:rPr>
          <w:rFonts w:ascii="Tahoma" w:hAnsi="Tahoma" w:cs="Tahoma"/>
          <w:spacing w:val="-1"/>
          <w:sz w:val="16"/>
          <w:szCs w:val="16"/>
          <w:lang w:val="es-ES_tradnl"/>
        </w:rPr>
        <w:t xml:space="preserve">, </w:t>
      </w:r>
      <w:r w:rsidR="00163740" w:rsidRPr="00C11480">
        <w:rPr>
          <w:rFonts w:ascii="Tahoma" w:hAnsi="Tahoma" w:cs="Tahoma"/>
          <w:spacing w:val="-1"/>
          <w:sz w:val="16"/>
          <w:szCs w:val="16"/>
          <w:lang w:val="es-ES_tradnl"/>
        </w:rPr>
        <w:t xml:space="preserve">para lo cual </w:t>
      </w:r>
      <w:r w:rsidR="00270467" w:rsidRPr="00C11480">
        <w:rPr>
          <w:rFonts w:ascii="Tahoma" w:hAnsi="Tahoma" w:cs="Tahoma"/>
          <w:spacing w:val="-1"/>
          <w:sz w:val="16"/>
          <w:szCs w:val="16"/>
          <w:lang w:val="es-ES_tradnl"/>
        </w:rPr>
        <w:t>se dijo que la parte debía acreditar quien fungía como rep</w:t>
      </w:r>
      <w:r w:rsidR="00910F32" w:rsidRPr="00C11480">
        <w:rPr>
          <w:rFonts w:ascii="Tahoma" w:hAnsi="Tahoma" w:cs="Tahoma"/>
          <w:spacing w:val="-1"/>
          <w:sz w:val="16"/>
          <w:szCs w:val="16"/>
          <w:lang w:val="es-ES_tradnl"/>
        </w:rPr>
        <w:t>resentante dentro del contrato.</w:t>
      </w:r>
    </w:p>
    <w:p w:rsidR="006B1298" w:rsidRPr="00C11480" w:rsidRDefault="006B1298" w:rsidP="00CF5200">
      <w:pPr>
        <w:jc w:val="both"/>
        <w:rPr>
          <w:rFonts w:ascii="Tahoma" w:hAnsi="Tahoma" w:cs="Tahoma"/>
          <w:spacing w:val="-1"/>
          <w:sz w:val="16"/>
          <w:szCs w:val="16"/>
          <w:lang w:val="es-ES_tradnl"/>
        </w:rPr>
      </w:pPr>
    </w:p>
    <w:p w:rsidR="002C5B37" w:rsidRPr="00C11480" w:rsidRDefault="002C5B37" w:rsidP="002C5B37">
      <w:pPr>
        <w:jc w:val="both"/>
        <w:rPr>
          <w:rFonts w:ascii="Tahoma" w:hAnsi="Tahoma" w:cs="Tahoma"/>
          <w:i/>
          <w:sz w:val="16"/>
          <w:szCs w:val="16"/>
        </w:rPr>
      </w:pPr>
      <w:r w:rsidRPr="00C11480">
        <w:rPr>
          <w:rFonts w:ascii="Tahoma" w:hAnsi="Tahoma" w:cs="Tahoma"/>
          <w:sz w:val="16"/>
          <w:szCs w:val="16"/>
        </w:rPr>
        <w:t xml:space="preserve">En informe secretarial de </w:t>
      </w:r>
      <w:r w:rsidR="00C2247A" w:rsidRPr="00C11480">
        <w:rPr>
          <w:rFonts w:ascii="Tahoma" w:hAnsi="Tahoma" w:cs="Tahoma"/>
          <w:sz w:val="16"/>
          <w:szCs w:val="16"/>
        </w:rPr>
        <w:t xml:space="preserve">enero 13 </w:t>
      </w:r>
      <w:r w:rsidRPr="00C11480">
        <w:rPr>
          <w:rFonts w:ascii="Tahoma" w:hAnsi="Tahoma" w:cs="Tahoma"/>
          <w:sz w:val="16"/>
          <w:szCs w:val="16"/>
        </w:rPr>
        <w:t xml:space="preserve">de 2016 se anotó: </w:t>
      </w:r>
      <w:r w:rsidRPr="00C11480">
        <w:rPr>
          <w:rFonts w:ascii="Tahoma" w:hAnsi="Tahoma" w:cs="Tahoma"/>
          <w:i/>
          <w:sz w:val="16"/>
          <w:szCs w:val="16"/>
        </w:rPr>
        <w:t>“</w:t>
      </w:r>
      <w:r w:rsidR="00590A89" w:rsidRPr="00C11480">
        <w:rPr>
          <w:rFonts w:ascii="Tahoma" w:hAnsi="Tahoma" w:cs="Tahoma"/>
          <w:i/>
          <w:sz w:val="16"/>
          <w:szCs w:val="16"/>
        </w:rPr>
        <w:t>SIN QUE SE ACTOR HAYA DADO CUMPLIMIENTO A LO ORDENADO EN PROVEIDO ANTERIOR, AL DESPACHO INGRESA EL EXPEDIENTE PARA PROVEER CON PODER ALLEGADO POR IDU (NOVIEM</w:t>
      </w:r>
      <w:r w:rsidR="00E36D24" w:rsidRPr="00C11480">
        <w:rPr>
          <w:rFonts w:ascii="Tahoma" w:hAnsi="Tahoma" w:cs="Tahoma"/>
          <w:i/>
          <w:sz w:val="16"/>
          <w:szCs w:val="16"/>
        </w:rPr>
        <w:t>BRE 8 DE 2016). SÍRVASE PROVEER</w:t>
      </w:r>
      <w:r w:rsidRPr="00C11480">
        <w:rPr>
          <w:rFonts w:ascii="Tahoma" w:hAnsi="Tahoma" w:cs="Tahoma"/>
          <w:i/>
          <w:sz w:val="16"/>
          <w:szCs w:val="16"/>
        </w:rPr>
        <w:t>”.</w:t>
      </w:r>
    </w:p>
    <w:p w:rsidR="00E36D24" w:rsidRPr="00C11480" w:rsidRDefault="00E36D24" w:rsidP="002C5B37">
      <w:pPr>
        <w:jc w:val="both"/>
        <w:rPr>
          <w:rFonts w:ascii="Tahoma" w:hAnsi="Tahoma" w:cs="Tahoma"/>
          <w:i/>
          <w:sz w:val="16"/>
          <w:szCs w:val="16"/>
        </w:rPr>
      </w:pPr>
    </w:p>
    <w:p w:rsidR="002C5B37" w:rsidRPr="00C11480" w:rsidRDefault="002C5B37" w:rsidP="002C5B37">
      <w:pPr>
        <w:jc w:val="center"/>
        <w:rPr>
          <w:rFonts w:ascii="Tahoma" w:hAnsi="Tahoma" w:cs="Tahoma"/>
          <w:b/>
          <w:sz w:val="16"/>
          <w:szCs w:val="16"/>
        </w:rPr>
      </w:pPr>
      <w:r w:rsidRPr="00C11480">
        <w:rPr>
          <w:rFonts w:ascii="Tahoma" w:hAnsi="Tahoma" w:cs="Tahoma"/>
          <w:b/>
          <w:sz w:val="16"/>
          <w:szCs w:val="16"/>
        </w:rPr>
        <w:t>CONSIDERACIONES</w:t>
      </w:r>
    </w:p>
    <w:p w:rsidR="002C5B37" w:rsidRPr="00C11480" w:rsidRDefault="003309C5" w:rsidP="003309C5">
      <w:pPr>
        <w:tabs>
          <w:tab w:val="left" w:pos="3670"/>
        </w:tabs>
        <w:jc w:val="both"/>
        <w:rPr>
          <w:rFonts w:ascii="Tahoma" w:hAnsi="Tahoma" w:cs="Tahoma"/>
          <w:sz w:val="16"/>
          <w:szCs w:val="16"/>
        </w:rPr>
      </w:pPr>
      <w:r w:rsidRPr="00C11480">
        <w:rPr>
          <w:rFonts w:ascii="Tahoma" w:hAnsi="Tahoma" w:cs="Tahoma"/>
          <w:sz w:val="16"/>
          <w:szCs w:val="16"/>
        </w:rPr>
        <w:tab/>
      </w:r>
    </w:p>
    <w:p w:rsidR="002C5B37" w:rsidRPr="00C11480" w:rsidRDefault="002C5B37" w:rsidP="002D0054">
      <w:pPr>
        <w:pStyle w:val="Prrafodelista"/>
        <w:numPr>
          <w:ilvl w:val="0"/>
          <w:numId w:val="1"/>
        </w:numPr>
        <w:jc w:val="both"/>
        <w:rPr>
          <w:rFonts w:ascii="Tahoma" w:hAnsi="Tahoma" w:cs="Tahoma"/>
          <w:b/>
          <w:sz w:val="16"/>
          <w:szCs w:val="16"/>
        </w:rPr>
      </w:pPr>
      <w:r w:rsidRPr="00C11480">
        <w:rPr>
          <w:rFonts w:ascii="Tahoma" w:hAnsi="Tahoma" w:cs="Tahoma"/>
          <w:b/>
          <w:sz w:val="16"/>
          <w:szCs w:val="16"/>
        </w:rPr>
        <w:t>DE LA NOTIFICACIÓN DEL LLAMAMIENTO EN GARANTIA:</w:t>
      </w:r>
    </w:p>
    <w:p w:rsidR="00267B75" w:rsidRPr="00C11480" w:rsidRDefault="00267B75" w:rsidP="002C5B37">
      <w:pPr>
        <w:jc w:val="both"/>
        <w:rPr>
          <w:rFonts w:ascii="Tahoma" w:hAnsi="Tahoma" w:cs="Tahoma"/>
          <w:sz w:val="16"/>
          <w:szCs w:val="16"/>
        </w:rPr>
      </w:pPr>
    </w:p>
    <w:p w:rsidR="002C5B37" w:rsidRPr="00C11480" w:rsidRDefault="002C5B37" w:rsidP="002C5B37">
      <w:pPr>
        <w:jc w:val="both"/>
        <w:rPr>
          <w:rFonts w:ascii="Tahoma" w:hAnsi="Tahoma" w:cs="Tahoma"/>
          <w:i/>
          <w:sz w:val="16"/>
          <w:szCs w:val="16"/>
        </w:rPr>
      </w:pPr>
      <w:r w:rsidRPr="00C11480">
        <w:rPr>
          <w:rFonts w:ascii="Tahoma" w:hAnsi="Tahoma" w:cs="Tahoma"/>
          <w:sz w:val="16"/>
          <w:szCs w:val="16"/>
        </w:rPr>
        <w:t>El artículo 66 del Código General del Proceso dispone: “</w:t>
      </w:r>
      <w:r w:rsidRPr="00C11480">
        <w:rPr>
          <w:rFonts w:ascii="Tahoma" w:hAnsi="Tahoma" w:cs="Tahoma"/>
          <w:i/>
          <w:sz w:val="16"/>
          <w:szCs w:val="16"/>
        </w:rPr>
        <w:t xml:space="preserve">Si el juez halla procedente el llamamiento, ordenará notificar personalmente al convocado y correrle traslado del escrito por el término de la demanda inicial. </w:t>
      </w:r>
      <w:r w:rsidRPr="00C11480">
        <w:rPr>
          <w:rFonts w:ascii="Tahoma" w:hAnsi="Tahoma" w:cs="Tahoma"/>
          <w:b/>
          <w:i/>
          <w:sz w:val="16"/>
          <w:szCs w:val="16"/>
          <w:u w:val="single"/>
        </w:rPr>
        <w:t>Si la notificación no se logra dentro de los seis (6) meses siguientes, el llamamiento será ineficaz</w:t>
      </w:r>
      <w:r w:rsidRPr="00C11480">
        <w:rPr>
          <w:rFonts w:ascii="Tahoma" w:hAnsi="Tahoma" w:cs="Tahoma"/>
          <w:i/>
          <w:sz w:val="16"/>
          <w:szCs w:val="16"/>
        </w:rPr>
        <w:t>. La misma regla se aplicará en el caso contemplado en el inciso segundo del artículo anterior.</w:t>
      </w:r>
    </w:p>
    <w:p w:rsidR="002C5B37" w:rsidRPr="00C11480" w:rsidRDefault="002C5B37" w:rsidP="002C5B37">
      <w:pPr>
        <w:jc w:val="both"/>
        <w:rPr>
          <w:rFonts w:ascii="Tahoma" w:hAnsi="Tahoma" w:cs="Tahoma"/>
          <w:i/>
          <w:sz w:val="16"/>
          <w:szCs w:val="16"/>
        </w:rPr>
      </w:pPr>
      <w:r w:rsidRPr="00C11480">
        <w:rPr>
          <w:rFonts w:ascii="Tahoma" w:hAnsi="Tahoma" w:cs="Tahoma"/>
          <w:i/>
          <w:sz w:val="16"/>
          <w:szCs w:val="16"/>
        </w:rPr>
        <w:t>El llamado en garantía podrá contestar en un solo escrito la demanda y el llamamiento, y solicitar las pruebas que pretenda hacer valer.</w:t>
      </w:r>
    </w:p>
    <w:p w:rsidR="002C5B37" w:rsidRPr="00C11480" w:rsidRDefault="002C5B37" w:rsidP="002C5B37">
      <w:pPr>
        <w:jc w:val="both"/>
        <w:rPr>
          <w:rFonts w:ascii="Tahoma" w:hAnsi="Tahoma" w:cs="Tahoma"/>
          <w:i/>
          <w:sz w:val="16"/>
          <w:szCs w:val="16"/>
        </w:rPr>
      </w:pPr>
      <w:r w:rsidRPr="00C11480">
        <w:rPr>
          <w:rFonts w:ascii="Tahoma" w:hAnsi="Tahoma" w:cs="Tahoma"/>
          <w:i/>
          <w:sz w:val="16"/>
          <w:szCs w:val="16"/>
        </w:rPr>
        <w:t>En la sentencia se resolverá, cuando fuere pertinente, sobre la relación sustancial aducida y acerca de las indemnizaciones o restituciones a cargo del llamado en garantía.</w:t>
      </w:r>
    </w:p>
    <w:p w:rsidR="002C5B37" w:rsidRPr="00C11480" w:rsidRDefault="002C5B37" w:rsidP="002C5B37">
      <w:pPr>
        <w:jc w:val="both"/>
        <w:rPr>
          <w:rFonts w:ascii="Tahoma" w:hAnsi="Tahoma" w:cs="Tahoma"/>
          <w:i/>
          <w:sz w:val="16"/>
          <w:szCs w:val="16"/>
        </w:rPr>
      </w:pPr>
      <w:r w:rsidRPr="00C11480">
        <w:rPr>
          <w:rFonts w:ascii="Tahoma" w:hAnsi="Tahoma" w:cs="Tahoma"/>
          <w:i/>
          <w:sz w:val="16"/>
          <w:szCs w:val="16"/>
        </w:rPr>
        <w:t>PARÁGRAFO. No será necesario notificar personalmente el auto que admite el llamamiento cuando el llamado actúe en el proceso como parte o como representante de alguna de las partes.”</w:t>
      </w:r>
    </w:p>
    <w:p w:rsidR="002C5B37" w:rsidRPr="00C11480" w:rsidRDefault="002C5B37" w:rsidP="002C5B37">
      <w:pPr>
        <w:jc w:val="both"/>
        <w:rPr>
          <w:rFonts w:ascii="Tahoma" w:hAnsi="Tahoma" w:cs="Tahoma"/>
          <w:i/>
          <w:sz w:val="16"/>
          <w:szCs w:val="16"/>
        </w:rPr>
      </w:pPr>
    </w:p>
    <w:p w:rsidR="00A13D7B" w:rsidRPr="00C11480" w:rsidRDefault="00ED4F17" w:rsidP="002C5B37">
      <w:pPr>
        <w:jc w:val="both"/>
        <w:rPr>
          <w:rFonts w:ascii="Tahoma" w:hAnsi="Tahoma" w:cs="Tahoma"/>
          <w:spacing w:val="-1"/>
          <w:sz w:val="16"/>
          <w:szCs w:val="16"/>
          <w:lang w:val="es-ES_tradnl"/>
        </w:rPr>
      </w:pPr>
      <w:r w:rsidRPr="00C11480">
        <w:rPr>
          <w:rFonts w:ascii="Tahoma" w:hAnsi="Tahoma" w:cs="Tahoma"/>
          <w:sz w:val="16"/>
          <w:szCs w:val="16"/>
        </w:rPr>
        <w:t xml:space="preserve">Para el caso bajo estudio </w:t>
      </w:r>
      <w:r w:rsidR="00EC3A38" w:rsidRPr="00C11480">
        <w:rPr>
          <w:rFonts w:ascii="Tahoma" w:hAnsi="Tahoma" w:cs="Tahoma"/>
          <w:sz w:val="16"/>
          <w:szCs w:val="16"/>
        </w:rPr>
        <w:t xml:space="preserve">se tiene que mediante providencia del 26 de febrero de 2016 se decidió llamar en garantía </w:t>
      </w:r>
      <w:r w:rsidR="00A13D7B" w:rsidRPr="00C11480">
        <w:rPr>
          <w:rFonts w:ascii="Tahoma" w:hAnsi="Tahoma" w:cs="Tahoma"/>
          <w:sz w:val="16"/>
          <w:szCs w:val="16"/>
        </w:rPr>
        <w:t xml:space="preserve"> a la </w:t>
      </w:r>
      <w:r w:rsidR="00EC3A38" w:rsidRPr="00C11480">
        <w:rPr>
          <w:rFonts w:ascii="Tahoma" w:hAnsi="Tahoma" w:cs="Tahoma"/>
          <w:sz w:val="16"/>
          <w:szCs w:val="16"/>
        </w:rPr>
        <w:t xml:space="preserve"> </w:t>
      </w:r>
      <w:r w:rsidR="00EC3A38" w:rsidRPr="00C11480">
        <w:rPr>
          <w:rFonts w:ascii="Tahoma" w:hAnsi="Tahoma" w:cs="Tahoma"/>
          <w:spacing w:val="-1"/>
          <w:sz w:val="16"/>
          <w:szCs w:val="16"/>
          <w:lang w:val="es-ES_tradnl"/>
        </w:rPr>
        <w:t>UNION TEMPORAL DE MANTENIMIENTO VIAL  DE BOGOTA</w:t>
      </w:r>
      <w:r w:rsidR="003E40D8" w:rsidRPr="00C11480">
        <w:rPr>
          <w:rFonts w:ascii="Tahoma" w:hAnsi="Tahoma" w:cs="Tahoma"/>
          <w:spacing w:val="-1"/>
          <w:sz w:val="16"/>
          <w:szCs w:val="16"/>
          <w:lang w:val="es-ES_tradnl"/>
        </w:rPr>
        <w:t xml:space="preserve"> y negar el llamamiento de </w:t>
      </w:r>
      <w:r w:rsidR="00A13D7B" w:rsidRPr="00C11480">
        <w:rPr>
          <w:rFonts w:ascii="Tahoma" w:hAnsi="Tahoma" w:cs="Tahoma"/>
          <w:spacing w:val="-1"/>
          <w:sz w:val="16"/>
          <w:szCs w:val="16"/>
          <w:lang w:val="es-ES_tradnl"/>
        </w:rPr>
        <w:t>la</w:t>
      </w:r>
      <w:r w:rsidR="003E40D8" w:rsidRPr="00C11480">
        <w:rPr>
          <w:rFonts w:ascii="Tahoma" w:hAnsi="Tahoma" w:cs="Tahoma"/>
          <w:spacing w:val="-1"/>
          <w:sz w:val="16"/>
          <w:szCs w:val="16"/>
          <w:lang w:val="es-ES_tradnl"/>
        </w:rPr>
        <w:t xml:space="preserve"> COMPAÑÍA ASEGURADORA DE FIANZAS S.A</w:t>
      </w:r>
      <w:r w:rsidR="00A13D7B" w:rsidRPr="00C11480">
        <w:rPr>
          <w:rFonts w:ascii="Tahoma" w:hAnsi="Tahoma" w:cs="Tahoma"/>
          <w:spacing w:val="-1"/>
          <w:sz w:val="16"/>
          <w:szCs w:val="16"/>
          <w:lang w:val="es-ES_tradnl"/>
        </w:rPr>
        <w:t>.</w:t>
      </w:r>
      <w:r w:rsidRPr="00C11480">
        <w:rPr>
          <w:rFonts w:ascii="Tahoma" w:hAnsi="Tahoma" w:cs="Tahoma"/>
          <w:spacing w:val="-1"/>
          <w:sz w:val="16"/>
          <w:szCs w:val="16"/>
          <w:lang w:val="es-ES_tradnl"/>
        </w:rPr>
        <w:t xml:space="preserve">, frente a esa decisión </w:t>
      </w:r>
      <w:r w:rsidR="00A13D7B" w:rsidRPr="00C11480">
        <w:rPr>
          <w:rFonts w:ascii="Tahoma" w:hAnsi="Tahoma" w:cs="Tahoma"/>
          <w:spacing w:val="-1"/>
          <w:sz w:val="16"/>
          <w:szCs w:val="16"/>
          <w:lang w:val="es-ES_tradnl"/>
        </w:rPr>
        <w:t xml:space="preserve">el apoderado de la demandada presentó recurso de </w:t>
      </w:r>
      <w:r w:rsidR="00CC4C94" w:rsidRPr="00C11480">
        <w:rPr>
          <w:rFonts w:ascii="Tahoma" w:hAnsi="Tahoma" w:cs="Tahoma"/>
          <w:spacing w:val="-1"/>
          <w:sz w:val="16"/>
          <w:szCs w:val="16"/>
          <w:lang w:val="es-ES_tradnl"/>
        </w:rPr>
        <w:t xml:space="preserve">reposición </w:t>
      </w:r>
      <w:r w:rsidR="008818AD" w:rsidRPr="00C11480">
        <w:rPr>
          <w:rFonts w:ascii="Tahoma" w:hAnsi="Tahoma" w:cs="Tahoma"/>
          <w:spacing w:val="-1"/>
          <w:sz w:val="16"/>
          <w:szCs w:val="16"/>
          <w:lang w:val="es-ES_tradnl"/>
        </w:rPr>
        <w:t xml:space="preserve">y </w:t>
      </w:r>
      <w:r w:rsidR="00A13D7B" w:rsidRPr="00C11480">
        <w:rPr>
          <w:rFonts w:ascii="Tahoma" w:hAnsi="Tahoma" w:cs="Tahoma"/>
          <w:spacing w:val="-1"/>
          <w:sz w:val="16"/>
          <w:szCs w:val="16"/>
          <w:lang w:val="es-ES_tradnl"/>
        </w:rPr>
        <w:t xml:space="preserve">apelación en relación con el llamamiento en garantía negado. </w:t>
      </w:r>
      <w:r w:rsidR="00CC4C94" w:rsidRPr="00C11480">
        <w:rPr>
          <w:rFonts w:ascii="Tahoma" w:hAnsi="Tahoma" w:cs="Tahoma"/>
          <w:spacing w:val="-1"/>
          <w:sz w:val="16"/>
          <w:szCs w:val="16"/>
          <w:lang w:val="es-ES_tradnl"/>
        </w:rPr>
        <w:t>(</w:t>
      </w:r>
      <w:proofErr w:type="spellStart"/>
      <w:r w:rsidR="00CC4C94" w:rsidRPr="00C11480">
        <w:rPr>
          <w:rFonts w:ascii="Tahoma" w:hAnsi="Tahoma" w:cs="Tahoma"/>
          <w:spacing w:val="-1"/>
          <w:sz w:val="16"/>
          <w:szCs w:val="16"/>
          <w:lang w:val="es-ES_tradnl"/>
        </w:rPr>
        <w:t>Fl</w:t>
      </w:r>
      <w:proofErr w:type="spellEnd"/>
      <w:r w:rsidR="00CC4C94" w:rsidRPr="00C11480">
        <w:rPr>
          <w:rFonts w:ascii="Tahoma" w:hAnsi="Tahoma" w:cs="Tahoma"/>
          <w:spacing w:val="-1"/>
          <w:sz w:val="16"/>
          <w:szCs w:val="16"/>
          <w:lang w:val="es-ES_tradnl"/>
        </w:rPr>
        <w:t>. 88 c1)</w:t>
      </w:r>
      <w:r w:rsidR="00024464" w:rsidRPr="00C11480">
        <w:rPr>
          <w:rFonts w:ascii="Tahoma" w:hAnsi="Tahoma" w:cs="Tahoma"/>
          <w:spacing w:val="-1"/>
          <w:sz w:val="16"/>
          <w:szCs w:val="16"/>
          <w:lang w:val="es-ES_tradnl"/>
        </w:rPr>
        <w:t xml:space="preserve">. </w:t>
      </w:r>
    </w:p>
    <w:p w:rsidR="00A13D7B" w:rsidRPr="00C11480" w:rsidRDefault="00A13D7B" w:rsidP="002C5B37">
      <w:pPr>
        <w:jc w:val="both"/>
        <w:rPr>
          <w:rFonts w:ascii="Tahoma" w:hAnsi="Tahoma" w:cs="Tahoma"/>
          <w:spacing w:val="-1"/>
          <w:sz w:val="16"/>
          <w:szCs w:val="16"/>
          <w:lang w:val="es-ES_tradnl"/>
        </w:rPr>
      </w:pPr>
    </w:p>
    <w:p w:rsidR="00131762" w:rsidRPr="00C11480" w:rsidRDefault="00A13D7B" w:rsidP="002C5B37">
      <w:pPr>
        <w:jc w:val="both"/>
        <w:rPr>
          <w:rFonts w:ascii="Tahoma" w:hAnsi="Tahoma" w:cs="Tahoma"/>
          <w:spacing w:val="-1"/>
          <w:sz w:val="16"/>
          <w:szCs w:val="16"/>
          <w:lang w:val="es-ES_tradnl"/>
        </w:rPr>
      </w:pPr>
      <w:r w:rsidRPr="00C11480">
        <w:rPr>
          <w:rFonts w:ascii="Tahoma" w:hAnsi="Tahoma" w:cs="Tahoma"/>
          <w:spacing w:val="-1"/>
          <w:sz w:val="16"/>
          <w:szCs w:val="16"/>
          <w:lang w:val="es-ES_tradnl"/>
        </w:rPr>
        <w:t xml:space="preserve">Con auto del </w:t>
      </w:r>
      <w:r w:rsidR="008818AD" w:rsidRPr="00C11480">
        <w:rPr>
          <w:rFonts w:ascii="Tahoma" w:hAnsi="Tahoma" w:cs="Tahoma"/>
          <w:spacing w:val="-1"/>
          <w:sz w:val="16"/>
          <w:szCs w:val="16"/>
          <w:lang w:val="es-ES_tradnl"/>
        </w:rPr>
        <w:t xml:space="preserve">15 de abril de 2016 se negó el recurso de reposición y </w:t>
      </w:r>
      <w:r w:rsidR="00752612" w:rsidRPr="00C11480">
        <w:rPr>
          <w:rFonts w:ascii="Tahoma" w:hAnsi="Tahoma" w:cs="Tahoma"/>
          <w:spacing w:val="-1"/>
          <w:sz w:val="16"/>
          <w:szCs w:val="16"/>
          <w:lang w:val="es-ES_tradnl"/>
        </w:rPr>
        <w:t>se concedió el de apelac</w:t>
      </w:r>
      <w:r w:rsidR="00024464" w:rsidRPr="00C11480">
        <w:rPr>
          <w:rFonts w:ascii="Tahoma" w:hAnsi="Tahoma" w:cs="Tahoma"/>
          <w:spacing w:val="-1"/>
          <w:sz w:val="16"/>
          <w:szCs w:val="16"/>
          <w:lang w:val="es-ES_tradnl"/>
        </w:rPr>
        <w:t>ión en el efecto suspensivo</w:t>
      </w:r>
      <w:r w:rsidR="00250210" w:rsidRPr="00C11480">
        <w:rPr>
          <w:rFonts w:ascii="Tahoma" w:hAnsi="Tahoma" w:cs="Tahoma"/>
          <w:spacing w:val="-1"/>
          <w:sz w:val="16"/>
          <w:szCs w:val="16"/>
          <w:lang w:val="es-ES_tradnl"/>
        </w:rPr>
        <w:t xml:space="preserve">, por lo cual, el termino de los seis meses de notificación que trata el artículo </w:t>
      </w:r>
      <w:r w:rsidR="00220681" w:rsidRPr="00C11480">
        <w:rPr>
          <w:rFonts w:ascii="Tahoma" w:hAnsi="Tahoma" w:cs="Tahoma"/>
          <w:spacing w:val="-1"/>
          <w:sz w:val="16"/>
          <w:szCs w:val="16"/>
          <w:lang w:val="es-ES_tradnl"/>
        </w:rPr>
        <w:t xml:space="preserve">66 del CGP </w:t>
      </w:r>
      <w:r w:rsidR="00250210" w:rsidRPr="00C11480">
        <w:rPr>
          <w:rFonts w:ascii="Tahoma" w:hAnsi="Tahoma" w:cs="Tahoma"/>
          <w:spacing w:val="-1"/>
          <w:sz w:val="16"/>
          <w:szCs w:val="16"/>
          <w:lang w:val="es-ES_tradnl"/>
        </w:rPr>
        <w:t>empezó a correr u</w:t>
      </w:r>
      <w:r w:rsidR="00586DDB" w:rsidRPr="00C11480">
        <w:rPr>
          <w:rFonts w:ascii="Tahoma" w:hAnsi="Tahoma" w:cs="Tahoma"/>
          <w:spacing w:val="-1"/>
          <w:sz w:val="16"/>
          <w:szCs w:val="16"/>
          <w:lang w:val="es-ES_tradnl"/>
        </w:rPr>
        <w:t xml:space="preserve">na vez se notificó el auto de obedecimiento y cumplimiento a lo dispuesto por el superior, esto desde el </w:t>
      </w:r>
      <w:r w:rsidR="00192B5A" w:rsidRPr="00C11480">
        <w:rPr>
          <w:rFonts w:ascii="Tahoma" w:hAnsi="Tahoma" w:cs="Tahoma"/>
          <w:spacing w:val="-1"/>
          <w:sz w:val="16"/>
          <w:szCs w:val="16"/>
          <w:lang w:val="es-ES_tradnl"/>
        </w:rPr>
        <w:t>1</w:t>
      </w:r>
      <w:r w:rsidR="00131762" w:rsidRPr="00C11480">
        <w:rPr>
          <w:rFonts w:ascii="Tahoma" w:hAnsi="Tahoma" w:cs="Tahoma"/>
          <w:spacing w:val="-1"/>
          <w:sz w:val="16"/>
          <w:szCs w:val="16"/>
          <w:lang w:val="es-ES_tradnl"/>
        </w:rPr>
        <w:t>2</w:t>
      </w:r>
      <w:r w:rsidR="00192B5A" w:rsidRPr="00C11480">
        <w:rPr>
          <w:rFonts w:ascii="Tahoma" w:hAnsi="Tahoma" w:cs="Tahoma"/>
          <w:spacing w:val="-1"/>
          <w:sz w:val="16"/>
          <w:szCs w:val="16"/>
          <w:lang w:val="es-ES_tradnl"/>
        </w:rPr>
        <w:t xml:space="preserve">  de </w:t>
      </w:r>
      <w:r w:rsidR="00131762" w:rsidRPr="00C11480">
        <w:rPr>
          <w:rFonts w:ascii="Tahoma" w:hAnsi="Tahoma" w:cs="Tahoma"/>
          <w:spacing w:val="-1"/>
          <w:sz w:val="16"/>
          <w:szCs w:val="16"/>
          <w:lang w:val="es-ES_tradnl"/>
        </w:rPr>
        <w:t>julio de 2016.</w:t>
      </w:r>
    </w:p>
    <w:p w:rsidR="00131762" w:rsidRPr="00C11480" w:rsidRDefault="00131762" w:rsidP="002C5B37">
      <w:pPr>
        <w:jc w:val="both"/>
        <w:rPr>
          <w:rFonts w:ascii="Tahoma" w:hAnsi="Tahoma" w:cs="Tahoma"/>
          <w:spacing w:val="-1"/>
          <w:sz w:val="16"/>
          <w:szCs w:val="16"/>
          <w:lang w:val="es-ES_tradnl"/>
        </w:rPr>
      </w:pPr>
    </w:p>
    <w:p w:rsidR="002C5B37" w:rsidRPr="00C11480" w:rsidRDefault="00CC4C16" w:rsidP="002C5B37">
      <w:pPr>
        <w:jc w:val="both"/>
        <w:rPr>
          <w:rFonts w:ascii="Tahoma" w:hAnsi="Tahoma" w:cs="Tahoma"/>
          <w:sz w:val="16"/>
          <w:szCs w:val="16"/>
        </w:rPr>
      </w:pPr>
      <w:r w:rsidRPr="00C11480">
        <w:rPr>
          <w:rFonts w:ascii="Tahoma" w:hAnsi="Tahoma" w:cs="Tahoma"/>
          <w:spacing w:val="-1"/>
          <w:sz w:val="16"/>
          <w:szCs w:val="16"/>
          <w:lang w:val="es-ES_tradnl"/>
        </w:rPr>
        <w:t>Desde la notificación del auto que obedeció y cumplió (</w:t>
      </w:r>
      <w:proofErr w:type="spellStart"/>
      <w:r w:rsidRPr="00C11480">
        <w:rPr>
          <w:rFonts w:ascii="Tahoma" w:hAnsi="Tahoma" w:cs="Tahoma"/>
          <w:spacing w:val="-1"/>
          <w:sz w:val="16"/>
          <w:szCs w:val="16"/>
          <w:lang w:val="es-ES_tradnl"/>
        </w:rPr>
        <w:t>fl</w:t>
      </w:r>
      <w:proofErr w:type="spellEnd"/>
      <w:r w:rsidRPr="00C11480">
        <w:rPr>
          <w:rFonts w:ascii="Tahoma" w:hAnsi="Tahoma" w:cs="Tahoma"/>
          <w:spacing w:val="-1"/>
          <w:sz w:val="16"/>
          <w:szCs w:val="16"/>
          <w:lang w:val="es-ES_tradnl"/>
        </w:rPr>
        <w:t xml:space="preserve">. </w:t>
      </w:r>
      <w:r w:rsidR="00E867C5" w:rsidRPr="00C11480">
        <w:rPr>
          <w:rFonts w:ascii="Tahoma" w:hAnsi="Tahoma" w:cs="Tahoma"/>
          <w:spacing w:val="-1"/>
          <w:sz w:val="16"/>
          <w:szCs w:val="16"/>
          <w:lang w:val="es-ES_tradnl"/>
        </w:rPr>
        <w:t xml:space="preserve">119 de c1), a la fecha </w:t>
      </w:r>
      <w:r w:rsidR="00A05122" w:rsidRPr="00C11480">
        <w:rPr>
          <w:rFonts w:ascii="Tahoma" w:hAnsi="Tahoma" w:cs="Tahoma"/>
          <w:spacing w:val="-1"/>
          <w:sz w:val="16"/>
          <w:szCs w:val="16"/>
          <w:lang w:val="es-ES_tradnl"/>
        </w:rPr>
        <w:t xml:space="preserve">ya </w:t>
      </w:r>
      <w:r w:rsidR="00E867C5" w:rsidRPr="00C11480">
        <w:rPr>
          <w:rFonts w:ascii="Tahoma" w:hAnsi="Tahoma" w:cs="Tahoma"/>
          <w:spacing w:val="-1"/>
          <w:sz w:val="16"/>
          <w:szCs w:val="16"/>
          <w:lang w:val="es-ES_tradnl"/>
        </w:rPr>
        <w:t xml:space="preserve">transcurrieron los </w:t>
      </w:r>
      <w:r w:rsidR="00A05122" w:rsidRPr="00C11480">
        <w:rPr>
          <w:rFonts w:ascii="Tahoma" w:hAnsi="Tahoma" w:cs="Tahoma"/>
          <w:spacing w:val="-1"/>
          <w:sz w:val="16"/>
          <w:szCs w:val="16"/>
          <w:lang w:val="es-ES_tradnl"/>
        </w:rPr>
        <w:t xml:space="preserve">seis </w:t>
      </w:r>
      <w:r w:rsidR="00E867C5" w:rsidRPr="00C11480">
        <w:rPr>
          <w:rFonts w:ascii="Tahoma" w:hAnsi="Tahoma" w:cs="Tahoma"/>
          <w:spacing w:val="-1"/>
          <w:sz w:val="16"/>
          <w:szCs w:val="16"/>
          <w:lang w:val="es-ES_tradnl"/>
        </w:rPr>
        <w:t xml:space="preserve">meses </w:t>
      </w:r>
      <w:r w:rsidR="002C5B37" w:rsidRPr="00C11480">
        <w:rPr>
          <w:rFonts w:ascii="Tahoma" w:hAnsi="Tahoma" w:cs="Tahoma"/>
          <w:sz w:val="16"/>
          <w:szCs w:val="16"/>
        </w:rPr>
        <w:t xml:space="preserve"> sin que se lograra la notificación de la llamada en garantía </w:t>
      </w:r>
      <w:r w:rsidR="000E527C" w:rsidRPr="00C11480">
        <w:rPr>
          <w:rFonts w:ascii="Tahoma" w:hAnsi="Tahoma" w:cs="Tahoma"/>
          <w:spacing w:val="-1"/>
          <w:sz w:val="16"/>
          <w:szCs w:val="16"/>
          <w:lang w:val="es-ES_tradnl"/>
        </w:rPr>
        <w:t>UNION TEMPORAL DE MANTENIMIENTO VIAL  DE BOGOTA</w:t>
      </w:r>
      <w:r w:rsidR="002C5B37" w:rsidRPr="00C11480">
        <w:rPr>
          <w:rFonts w:ascii="Tahoma" w:hAnsi="Tahoma" w:cs="Tahoma"/>
          <w:sz w:val="16"/>
          <w:szCs w:val="16"/>
        </w:rPr>
        <w:t xml:space="preserve">, </w:t>
      </w:r>
      <w:r w:rsidR="000E527C" w:rsidRPr="00C11480">
        <w:rPr>
          <w:rFonts w:ascii="Tahoma" w:hAnsi="Tahoma" w:cs="Tahoma"/>
          <w:sz w:val="16"/>
          <w:szCs w:val="16"/>
        </w:rPr>
        <w:t xml:space="preserve">a pesar que con auto del 31 de octubre </w:t>
      </w:r>
      <w:r w:rsidR="002D0054" w:rsidRPr="00C11480">
        <w:rPr>
          <w:rFonts w:ascii="Tahoma" w:hAnsi="Tahoma" w:cs="Tahoma"/>
          <w:sz w:val="16"/>
          <w:szCs w:val="16"/>
        </w:rPr>
        <w:t xml:space="preserve">de 2016 se requirió a la parte, en consecuencia </w:t>
      </w:r>
      <w:r w:rsidR="002C5B37" w:rsidRPr="00C11480">
        <w:rPr>
          <w:rFonts w:ascii="Tahoma" w:hAnsi="Tahoma" w:cs="Tahoma"/>
          <w:sz w:val="16"/>
          <w:szCs w:val="16"/>
        </w:rPr>
        <w:t>procederá este despacho a declarar el llamamiento ineficaz de conformidad con  lo señ</w:t>
      </w:r>
      <w:r w:rsidR="002D0054" w:rsidRPr="00C11480">
        <w:rPr>
          <w:rFonts w:ascii="Tahoma" w:hAnsi="Tahoma" w:cs="Tahoma"/>
          <w:sz w:val="16"/>
          <w:szCs w:val="16"/>
        </w:rPr>
        <w:t>alado en el artículo 66 del CGP</w:t>
      </w:r>
      <w:r w:rsidR="002C5B37" w:rsidRPr="00C11480">
        <w:rPr>
          <w:rFonts w:ascii="Tahoma" w:hAnsi="Tahoma" w:cs="Tahoma"/>
          <w:sz w:val="16"/>
          <w:szCs w:val="16"/>
        </w:rPr>
        <w:t xml:space="preserve">. </w:t>
      </w:r>
    </w:p>
    <w:p w:rsidR="002D0054" w:rsidRPr="00C11480" w:rsidRDefault="002D0054" w:rsidP="002C5B37">
      <w:pPr>
        <w:jc w:val="both"/>
        <w:rPr>
          <w:rFonts w:ascii="Tahoma" w:hAnsi="Tahoma" w:cs="Tahoma"/>
          <w:sz w:val="16"/>
          <w:szCs w:val="16"/>
        </w:rPr>
      </w:pPr>
    </w:p>
    <w:p w:rsidR="00A74144" w:rsidRPr="00C11480" w:rsidRDefault="00A74144" w:rsidP="00A74144">
      <w:pPr>
        <w:pStyle w:val="Prrafodelista"/>
        <w:numPr>
          <w:ilvl w:val="0"/>
          <w:numId w:val="1"/>
        </w:numPr>
        <w:jc w:val="both"/>
        <w:rPr>
          <w:rFonts w:ascii="Tahoma" w:hAnsi="Tahoma" w:cs="Tahoma"/>
          <w:b/>
          <w:color w:val="000000"/>
          <w:spacing w:val="-5"/>
          <w:sz w:val="16"/>
          <w:szCs w:val="16"/>
          <w:lang w:val="es-ES_tradnl"/>
        </w:rPr>
      </w:pPr>
      <w:r w:rsidRPr="00C11480">
        <w:rPr>
          <w:rFonts w:ascii="Tahoma" w:hAnsi="Tahoma" w:cs="Tahoma"/>
          <w:b/>
          <w:color w:val="000000"/>
          <w:spacing w:val="-5"/>
          <w:sz w:val="16"/>
          <w:szCs w:val="16"/>
          <w:lang w:val="es-ES_tradnl"/>
        </w:rPr>
        <w:t xml:space="preserve">AUDIENCIA INICIAL: </w:t>
      </w:r>
    </w:p>
    <w:p w:rsidR="00A74144" w:rsidRPr="00C11480" w:rsidRDefault="00A74144" w:rsidP="00A74144">
      <w:pPr>
        <w:jc w:val="both"/>
        <w:rPr>
          <w:rFonts w:ascii="Tahoma" w:hAnsi="Tahoma" w:cs="Tahoma"/>
          <w:color w:val="000000"/>
          <w:spacing w:val="-5"/>
          <w:sz w:val="16"/>
          <w:szCs w:val="16"/>
          <w:lang w:val="es-ES_tradnl"/>
        </w:rPr>
      </w:pPr>
    </w:p>
    <w:p w:rsidR="00A74144" w:rsidRPr="00C11480" w:rsidRDefault="002811E0" w:rsidP="00A74144">
      <w:pPr>
        <w:jc w:val="both"/>
        <w:rPr>
          <w:rFonts w:ascii="Tahoma" w:hAnsi="Tahoma" w:cs="Tahoma"/>
          <w:i/>
          <w:sz w:val="16"/>
          <w:szCs w:val="16"/>
        </w:rPr>
      </w:pPr>
      <w:r w:rsidRPr="00C11480">
        <w:rPr>
          <w:rFonts w:ascii="Tahoma" w:hAnsi="Tahoma" w:cs="Tahoma"/>
          <w:color w:val="000000"/>
          <w:spacing w:val="-5"/>
          <w:sz w:val="16"/>
          <w:szCs w:val="16"/>
          <w:lang w:val="es-ES_tradnl"/>
        </w:rPr>
        <w:t>E</w:t>
      </w:r>
      <w:r w:rsidR="00A74144" w:rsidRPr="00C11480">
        <w:rPr>
          <w:rFonts w:ascii="Tahoma" w:hAnsi="Tahoma" w:cs="Tahoma"/>
          <w:color w:val="000000"/>
          <w:spacing w:val="-5"/>
          <w:sz w:val="16"/>
          <w:szCs w:val="16"/>
          <w:lang w:val="es-ES_tradnl"/>
        </w:rPr>
        <w:t>l artículo 80 del Código de Procedimiento Administrativo y de lo Contencioso Administrativo</w:t>
      </w:r>
      <w:r w:rsidR="00A74144" w:rsidRPr="00C11480">
        <w:rPr>
          <w:rFonts w:ascii="Tahoma" w:hAnsi="Tahoma" w:cs="Tahoma"/>
          <w:color w:val="000000"/>
          <w:spacing w:val="9"/>
          <w:sz w:val="16"/>
          <w:szCs w:val="16"/>
          <w:lang w:val="es-ES_tradnl"/>
        </w:rPr>
        <w:t xml:space="preserve"> señala: </w:t>
      </w:r>
      <w:r w:rsidR="00A74144" w:rsidRPr="00C11480">
        <w:rPr>
          <w:rFonts w:ascii="Tahoma" w:hAnsi="Tahoma" w:cs="Tahoma"/>
          <w:i/>
          <w:spacing w:val="9"/>
          <w:sz w:val="16"/>
          <w:szCs w:val="16"/>
          <w:lang w:val="es-ES_tradnl"/>
        </w:rPr>
        <w:t>“</w:t>
      </w:r>
      <w:bookmarkStart w:id="1" w:name="180"/>
      <w:bookmarkEnd w:id="1"/>
      <w:r w:rsidR="00A74144" w:rsidRPr="00C11480">
        <w:rPr>
          <w:rFonts w:ascii="Tahoma" w:hAnsi="Tahoma" w:cs="Tahoma"/>
          <w:b/>
          <w:i/>
          <w:iCs/>
          <w:sz w:val="16"/>
          <w:szCs w:val="16"/>
        </w:rPr>
        <w:t>AUDIENCIA INICIAL</w:t>
      </w:r>
      <w:r w:rsidR="00A74144" w:rsidRPr="00C11480">
        <w:rPr>
          <w:rFonts w:ascii="Tahoma" w:hAnsi="Tahoma" w:cs="Tahoma"/>
          <w:i/>
          <w:iCs/>
          <w:sz w:val="16"/>
          <w:szCs w:val="16"/>
        </w:rPr>
        <w:t xml:space="preserve">. </w:t>
      </w:r>
      <w:r w:rsidR="00A74144" w:rsidRPr="00C11480">
        <w:rPr>
          <w:rFonts w:ascii="Tahoma" w:hAnsi="Tahoma" w:cs="Tahoma"/>
          <w:b/>
          <w:i/>
          <w:sz w:val="16"/>
          <w:szCs w:val="16"/>
          <w:u w:val="single"/>
        </w:rPr>
        <w:t xml:space="preserve">Vencido el término de traslado de la demanda </w:t>
      </w:r>
      <w:r w:rsidR="00A74144" w:rsidRPr="00C11480">
        <w:rPr>
          <w:rFonts w:ascii="Tahoma" w:hAnsi="Tahoma" w:cs="Tahoma"/>
          <w:i/>
          <w:sz w:val="16"/>
          <w:szCs w:val="16"/>
        </w:rPr>
        <w:t xml:space="preserve">o de la de reconvención según el caso, </w:t>
      </w:r>
      <w:r w:rsidR="00A74144" w:rsidRPr="00C11480">
        <w:rPr>
          <w:rFonts w:ascii="Tahoma" w:hAnsi="Tahoma" w:cs="Tahoma"/>
          <w:b/>
          <w:i/>
          <w:sz w:val="16"/>
          <w:szCs w:val="16"/>
          <w:u w:val="single"/>
        </w:rPr>
        <w:t>el Juez</w:t>
      </w:r>
      <w:r w:rsidR="00A74144" w:rsidRPr="00C11480">
        <w:rPr>
          <w:rFonts w:ascii="Tahoma" w:hAnsi="Tahoma" w:cs="Tahoma"/>
          <w:i/>
          <w:sz w:val="16"/>
          <w:szCs w:val="16"/>
        </w:rPr>
        <w:t xml:space="preserve"> o Magistrado Ponente, </w:t>
      </w:r>
      <w:r w:rsidR="00A74144" w:rsidRPr="00C11480">
        <w:rPr>
          <w:rFonts w:ascii="Tahoma" w:hAnsi="Tahoma" w:cs="Tahoma"/>
          <w:b/>
          <w:i/>
          <w:sz w:val="16"/>
          <w:szCs w:val="16"/>
          <w:u w:val="single"/>
        </w:rPr>
        <w:t>convocará a una audiencia</w:t>
      </w:r>
      <w:r w:rsidR="00A74144" w:rsidRPr="00C11480">
        <w:rPr>
          <w:rFonts w:ascii="Tahoma" w:hAnsi="Tahoma" w:cs="Tahoma"/>
          <w:i/>
          <w:sz w:val="16"/>
          <w:szCs w:val="16"/>
        </w:rPr>
        <w:t xml:space="preserve"> que se sujetará a las siguientes reglas:</w:t>
      </w:r>
    </w:p>
    <w:p w:rsidR="00A74144" w:rsidRPr="00C11480" w:rsidRDefault="00A74144" w:rsidP="00A74144">
      <w:pPr>
        <w:jc w:val="both"/>
        <w:rPr>
          <w:rFonts w:ascii="Tahoma" w:hAnsi="Tahoma" w:cs="Tahoma"/>
          <w:i/>
          <w:sz w:val="16"/>
          <w:szCs w:val="16"/>
        </w:rPr>
      </w:pPr>
    </w:p>
    <w:p w:rsidR="00A74144" w:rsidRPr="00C11480" w:rsidRDefault="00A74144" w:rsidP="00A74144">
      <w:pPr>
        <w:jc w:val="both"/>
        <w:rPr>
          <w:rFonts w:ascii="Tahoma" w:hAnsi="Tahoma" w:cs="Tahoma"/>
          <w:i/>
          <w:sz w:val="16"/>
          <w:szCs w:val="16"/>
        </w:rPr>
      </w:pPr>
      <w:r w:rsidRPr="00C11480">
        <w:rPr>
          <w:rFonts w:ascii="Tahoma" w:hAnsi="Tahoma" w:cs="Tahoma"/>
          <w:i/>
          <w:sz w:val="16"/>
          <w:szCs w:val="16"/>
        </w:rPr>
        <w:t xml:space="preserve">1. </w:t>
      </w:r>
      <w:r w:rsidRPr="00C11480">
        <w:rPr>
          <w:rFonts w:ascii="Tahoma" w:hAnsi="Tahoma" w:cs="Tahoma"/>
          <w:b/>
          <w:bCs/>
          <w:i/>
          <w:sz w:val="16"/>
          <w:szCs w:val="16"/>
        </w:rPr>
        <w:t>Oportunidad</w:t>
      </w:r>
      <w:r w:rsidRPr="00C11480">
        <w:rPr>
          <w:rFonts w:ascii="Tahoma" w:hAnsi="Tahoma" w:cs="Tahoma"/>
          <w:b/>
          <w:bCs/>
          <w:i/>
          <w:sz w:val="16"/>
          <w:szCs w:val="16"/>
          <w:u w:val="single"/>
        </w:rPr>
        <w:t xml:space="preserve">. </w:t>
      </w:r>
      <w:r w:rsidRPr="00C11480">
        <w:rPr>
          <w:rFonts w:ascii="Tahoma" w:hAnsi="Tahoma" w:cs="Tahoma"/>
          <w:b/>
          <w:i/>
          <w:sz w:val="16"/>
          <w:szCs w:val="16"/>
          <w:u w:val="single"/>
        </w:rPr>
        <w:t>La audiencia se llevará a cabo</w:t>
      </w:r>
      <w:r w:rsidRPr="00C11480">
        <w:rPr>
          <w:rFonts w:ascii="Tahoma" w:hAnsi="Tahoma" w:cs="Tahoma"/>
          <w:i/>
          <w:sz w:val="16"/>
          <w:szCs w:val="16"/>
        </w:rPr>
        <w:t xml:space="preserve"> bajo la dirección del Juez o Magistrado Ponente </w:t>
      </w:r>
      <w:r w:rsidRPr="00C11480">
        <w:rPr>
          <w:rFonts w:ascii="Tahoma" w:hAnsi="Tahoma" w:cs="Tahoma"/>
          <w:b/>
          <w:i/>
          <w:sz w:val="16"/>
          <w:szCs w:val="16"/>
          <w:u w:val="single"/>
        </w:rPr>
        <w:t>dentro del mes siguiente al vencimiento del término de traslado de la demanda</w:t>
      </w:r>
      <w:r w:rsidRPr="00C11480">
        <w:rPr>
          <w:rFonts w:ascii="Tahoma" w:hAnsi="Tahoma" w:cs="Tahoma"/>
          <w:i/>
          <w:sz w:val="16"/>
          <w:szCs w:val="16"/>
        </w:rPr>
        <w:t xml:space="preserve"> o del de su prórroga o del de la de reconvención o </w:t>
      </w:r>
      <w:r w:rsidRPr="00C11480">
        <w:rPr>
          <w:rFonts w:ascii="Tahoma" w:hAnsi="Tahoma" w:cs="Tahoma"/>
          <w:i/>
          <w:sz w:val="16"/>
          <w:szCs w:val="16"/>
        </w:rPr>
        <w:lastRenderedPageBreak/>
        <w:t xml:space="preserve">del de la contestación de las excepciones o del de la contestación de la demanda de reconvención, según el caso. El auto que señale fecha y hora para la audiencia se notificará por estado y no será susceptible de recursos. </w:t>
      </w:r>
    </w:p>
    <w:p w:rsidR="00A74144" w:rsidRPr="00C11480" w:rsidRDefault="00A74144" w:rsidP="00A74144">
      <w:pPr>
        <w:jc w:val="both"/>
        <w:rPr>
          <w:rFonts w:ascii="Tahoma" w:hAnsi="Tahoma" w:cs="Tahoma"/>
          <w:i/>
          <w:sz w:val="16"/>
          <w:szCs w:val="16"/>
        </w:rPr>
      </w:pPr>
    </w:p>
    <w:p w:rsidR="00A74144" w:rsidRPr="00C11480" w:rsidRDefault="00A74144" w:rsidP="00A74144">
      <w:pPr>
        <w:jc w:val="both"/>
        <w:rPr>
          <w:rFonts w:ascii="Tahoma" w:hAnsi="Tahoma" w:cs="Tahoma"/>
          <w:i/>
          <w:sz w:val="16"/>
          <w:szCs w:val="16"/>
        </w:rPr>
      </w:pPr>
      <w:r w:rsidRPr="00C11480">
        <w:rPr>
          <w:rFonts w:ascii="Tahoma" w:hAnsi="Tahoma" w:cs="Tahoma"/>
          <w:i/>
          <w:sz w:val="16"/>
          <w:szCs w:val="16"/>
        </w:rPr>
        <w:t xml:space="preserve">2. </w:t>
      </w:r>
      <w:r w:rsidRPr="00C11480">
        <w:rPr>
          <w:rFonts w:ascii="Tahoma" w:hAnsi="Tahoma" w:cs="Tahoma"/>
          <w:b/>
          <w:bCs/>
          <w:i/>
          <w:sz w:val="16"/>
          <w:szCs w:val="16"/>
        </w:rPr>
        <w:t xml:space="preserve">Intervinientes. </w:t>
      </w:r>
      <w:r w:rsidRPr="00C11480">
        <w:rPr>
          <w:rFonts w:ascii="Tahoma" w:hAnsi="Tahoma" w:cs="Tahoma"/>
          <w:b/>
          <w:i/>
          <w:sz w:val="16"/>
          <w:szCs w:val="16"/>
          <w:u w:val="single"/>
        </w:rPr>
        <w:t>Todos los apoderados deberán concurrir obligatoriamente</w:t>
      </w:r>
      <w:r w:rsidRPr="00C11480">
        <w:rPr>
          <w:rFonts w:ascii="Tahoma" w:hAnsi="Tahoma" w:cs="Tahoma"/>
          <w:i/>
          <w:sz w:val="16"/>
          <w:szCs w:val="16"/>
        </w:rPr>
        <w:t xml:space="preserve">. También podrán asistir las partes, los terceros y el Ministerio Público. </w:t>
      </w:r>
    </w:p>
    <w:p w:rsidR="00A74144" w:rsidRPr="00C11480" w:rsidRDefault="00A74144" w:rsidP="00A74144">
      <w:pPr>
        <w:jc w:val="both"/>
        <w:rPr>
          <w:rFonts w:ascii="Tahoma" w:hAnsi="Tahoma" w:cs="Tahoma"/>
          <w:i/>
          <w:sz w:val="16"/>
          <w:szCs w:val="16"/>
        </w:rPr>
      </w:pPr>
    </w:p>
    <w:p w:rsidR="00A74144" w:rsidRPr="00C11480" w:rsidRDefault="00A74144" w:rsidP="00A74144">
      <w:pPr>
        <w:jc w:val="both"/>
        <w:rPr>
          <w:rFonts w:ascii="Tahoma" w:hAnsi="Tahoma" w:cs="Tahoma"/>
          <w:i/>
          <w:sz w:val="16"/>
          <w:szCs w:val="16"/>
        </w:rPr>
      </w:pPr>
      <w:r w:rsidRPr="00C11480">
        <w:rPr>
          <w:rFonts w:ascii="Tahoma" w:hAnsi="Tahoma" w:cs="Tahoma"/>
          <w:b/>
          <w:i/>
          <w:sz w:val="16"/>
          <w:szCs w:val="16"/>
          <w:u w:val="single"/>
        </w:rPr>
        <w:t>La inasistencia de quienes deban concurrir no impedirá la realización de la audiencia</w:t>
      </w:r>
      <w:r w:rsidRPr="00C11480">
        <w:rPr>
          <w:rFonts w:ascii="Tahoma" w:hAnsi="Tahoma" w:cs="Tahoma"/>
          <w:i/>
          <w:sz w:val="16"/>
          <w:szCs w:val="16"/>
        </w:rPr>
        <w:t>, salvo su aplazamiento por decisión del Juez o Magistrado Ponente.</w:t>
      </w:r>
    </w:p>
    <w:p w:rsidR="00A74144" w:rsidRPr="00C11480" w:rsidRDefault="00A74144" w:rsidP="00A74144">
      <w:pPr>
        <w:jc w:val="both"/>
        <w:rPr>
          <w:rFonts w:ascii="Tahoma" w:hAnsi="Tahoma" w:cs="Tahoma"/>
          <w:i/>
          <w:sz w:val="16"/>
          <w:szCs w:val="16"/>
        </w:rPr>
      </w:pPr>
    </w:p>
    <w:p w:rsidR="00A74144" w:rsidRPr="00C11480" w:rsidRDefault="00A74144" w:rsidP="00A74144">
      <w:pPr>
        <w:jc w:val="both"/>
        <w:rPr>
          <w:rFonts w:ascii="Tahoma" w:hAnsi="Tahoma" w:cs="Tahoma"/>
          <w:i/>
          <w:sz w:val="16"/>
          <w:szCs w:val="16"/>
        </w:rPr>
      </w:pPr>
      <w:r w:rsidRPr="00C11480">
        <w:rPr>
          <w:rFonts w:ascii="Tahoma" w:hAnsi="Tahoma" w:cs="Tahoma"/>
          <w:i/>
          <w:sz w:val="16"/>
          <w:szCs w:val="16"/>
        </w:rPr>
        <w:t xml:space="preserve">3. </w:t>
      </w:r>
      <w:r w:rsidRPr="00C11480">
        <w:rPr>
          <w:rFonts w:ascii="Tahoma" w:hAnsi="Tahoma" w:cs="Tahoma"/>
          <w:b/>
          <w:bCs/>
          <w:i/>
          <w:sz w:val="16"/>
          <w:szCs w:val="16"/>
        </w:rPr>
        <w:t>Aplazamiento</w:t>
      </w:r>
      <w:r w:rsidRPr="00C11480">
        <w:rPr>
          <w:rFonts w:ascii="Tahoma" w:hAnsi="Tahoma" w:cs="Tahoma"/>
          <w:b/>
          <w:bCs/>
          <w:i/>
          <w:sz w:val="16"/>
          <w:szCs w:val="16"/>
          <w:u w:val="single"/>
        </w:rPr>
        <w:t xml:space="preserve">. </w:t>
      </w:r>
      <w:r w:rsidRPr="00C11480">
        <w:rPr>
          <w:rFonts w:ascii="Tahoma" w:hAnsi="Tahoma" w:cs="Tahoma"/>
          <w:b/>
          <w:i/>
          <w:sz w:val="16"/>
          <w:szCs w:val="16"/>
          <w:u w:val="single"/>
        </w:rPr>
        <w:t>La inasistencia a esta audiencia solo podrá excusarse mediante prueba siquiera sumaria de una justa causa</w:t>
      </w:r>
      <w:r w:rsidRPr="00C11480">
        <w:rPr>
          <w:rFonts w:ascii="Tahoma" w:hAnsi="Tahoma" w:cs="Tahoma"/>
          <w:i/>
          <w:sz w:val="16"/>
          <w:szCs w:val="16"/>
        </w:rPr>
        <w:t xml:space="preserve">. </w:t>
      </w:r>
    </w:p>
    <w:p w:rsidR="00A74144" w:rsidRPr="00C11480" w:rsidRDefault="00A74144" w:rsidP="00A74144">
      <w:pPr>
        <w:jc w:val="both"/>
        <w:rPr>
          <w:rFonts w:ascii="Tahoma" w:hAnsi="Tahoma" w:cs="Tahoma"/>
          <w:i/>
          <w:sz w:val="16"/>
          <w:szCs w:val="16"/>
        </w:rPr>
      </w:pPr>
    </w:p>
    <w:p w:rsidR="00A74144" w:rsidRPr="00C11480" w:rsidRDefault="00A74144" w:rsidP="00A74144">
      <w:pPr>
        <w:jc w:val="both"/>
        <w:rPr>
          <w:rFonts w:ascii="Tahoma" w:hAnsi="Tahoma" w:cs="Tahoma"/>
          <w:i/>
          <w:sz w:val="16"/>
          <w:szCs w:val="16"/>
        </w:rPr>
      </w:pPr>
      <w:r w:rsidRPr="00C11480">
        <w:rPr>
          <w:rFonts w:ascii="Tahoma" w:hAnsi="Tahoma" w:cs="Tahoma"/>
          <w:i/>
          <w:sz w:val="16"/>
          <w:szCs w:val="16"/>
        </w:rPr>
        <w:t xml:space="preserve">Cuando se presente la excusa con anterioridad a la audiencia y el juez la acepte, fijará nueva fecha y hora para su celebración dentro de los diez (10) días siguientes, por auto que no tendrá recursos. En ningún caso podrá haber otro aplazamiento. </w:t>
      </w:r>
    </w:p>
    <w:p w:rsidR="00A74144" w:rsidRPr="00C11480" w:rsidRDefault="00A74144" w:rsidP="00A74144">
      <w:pPr>
        <w:jc w:val="both"/>
        <w:rPr>
          <w:rFonts w:ascii="Tahoma" w:hAnsi="Tahoma" w:cs="Tahoma"/>
          <w:i/>
          <w:sz w:val="16"/>
          <w:szCs w:val="16"/>
        </w:rPr>
      </w:pPr>
    </w:p>
    <w:p w:rsidR="00A74144" w:rsidRPr="00C11480" w:rsidRDefault="00A74144" w:rsidP="00A74144">
      <w:pPr>
        <w:jc w:val="both"/>
        <w:rPr>
          <w:rFonts w:ascii="Tahoma" w:hAnsi="Tahoma" w:cs="Tahoma"/>
          <w:i/>
          <w:sz w:val="16"/>
          <w:szCs w:val="16"/>
        </w:rPr>
      </w:pPr>
      <w:r w:rsidRPr="00C11480">
        <w:rPr>
          <w:rFonts w:ascii="Tahoma" w:hAnsi="Tahoma" w:cs="Tahoma"/>
          <w:i/>
          <w:sz w:val="16"/>
          <w:szCs w:val="16"/>
        </w:rPr>
        <w:t xml:space="preserve">El juez podrá admitir aquellas justificaciones que se presenten dentro de los tres (3) días siguientes a la realización de la audiencia siempre que se fundamenten en fuerza mayor o caso fortuito y solo tendrán el efecto de exonerar de las consecuencias pecuniarias adversas que se hubieren derivado de la inasistencia. </w:t>
      </w:r>
    </w:p>
    <w:p w:rsidR="00A74144" w:rsidRPr="00C11480" w:rsidRDefault="00A74144" w:rsidP="00A74144">
      <w:pPr>
        <w:jc w:val="both"/>
        <w:rPr>
          <w:rFonts w:ascii="Tahoma" w:hAnsi="Tahoma" w:cs="Tahoma"/>
          <w:i/>
          <w:sz w:val="16"/>
          <w:szCs w:val="16"/>
        </w:rPr>
      </w:pPr>
    </w:p>
    <w:p w:rsidR="00A74144" w:rsidRPr="00C11480" w:rsidRDefault="00A74144" w:rsidP="00A74144">
      <w:pPr>
        <w:jc w:val="both"/>
        <w:rPr>
          <w:rFonts w:ascii="Tahoma" w:hAnsi="Tahoma" w:cs="Tahoma"/>
          <w:i/>
          <w:sz w:val="16"/>
          <w:szCs w:val="16"/>
        </w:rPr>
      </w:pPr>
      <w:r w:rsidRPr="00C11480">
        <w:rPr>
          <w:rFonts w:ascii="Tahoma" w:hAnsi="Tahoma" w:cs="Tahoma"/>
          <w:i/>
          <w:sz w:val="16"/>
          <w:szCs w:val="16"/>
        </w:rPr>
        <w:t xml:space="preserve">En este caso, el juez resolverá sobre la justificación mediante auto que se dictará dentro de los tres (3) días siguientes a su presentación y que será susceptible del recurso de reposición. Si la acepta, adoptará las medidas pertinentes.” </w:t>
      </w:r>
    </w:p>
    <w:p w:rsidR="00A74144" w:rsidRPr="00C11480" w:rsidRDefault="00A74144" w:rsidP="00A74144">
      <w:pPr>
        <w:jc w:val="both"/>
        <w:rPr>
          <w:rFonts w:ascii="Tahoma" w:hAnsi="Tahoma" w:cs="Tahoma"/>
          <w:i/>
          <w:sz w:val="16"/>
          <w:szCs w:val="16"/>
        </w:rPr>
      </w:pPr>
    </w:p>
    <w:p w:rsidR="00A74144" w:rsidRPr="00C11480" w:rsidRDefault="00A74144" w:rsidP="00A74144">
      <w:pPr>
        <w:jc w:val="both"/>
        <w:rPr>
          <w:rFonts w:ascii="Tahoma" w:hAnsi="Tahoma" w:cs="Tahoma"/>
          <w:color w:val="000000"/>
          <w:spacing w:val="-4"/>
          <w:sz w:val="16"/>
          <w:szCs w:val="16"/>
          <w:lang w:val="es-ES_tradnl"/>
        </w:rPr>
      </w:pPr>
      <w:r w:rsidRPr="00C11480">
        <w:rPr>
          <w:rFonts w:ascii="Tahoma" w:hAnsi="Tahoma" w:cs="Tahoma"/>
          <w:i/>
          <w:sz w:val="16"/>
          <w:szCs w:val="16"/>
        </w:rPr>
        <w:t xml:space="preserve">4. </w:t>
      </w:r>
      <w:r w:rsidRPr="00C11480">
        <w:rPr>
          <w:rFonts w:ascii="Tahoma" w:hAnsi="Tahoma" w:cs="Tahoma"/>
          <w:b/>
          <w:bCs/>
          <w:i/>
          <w:sz w:val="16"/>
          <w:szCs w:val="16"/>
        </w:rPr>
        <w:t xml:space="preserve">Consecuencias de la inasistencia. </w:t>
      </w:r>
      <w:r w:rsidRPr="00C11480">
        <w:rPr>
          <w:rFonts w:ascii="Tahoma" w:hAnsi="Tahoma" w:cs="Tahoma"/>
          <w:b/>
          <w:i/>
          <w:sz w:val="16"/>
          <w:szCs w:val="16"/>
          <w:u w:val="single"/>
        </w:rPr>
        <w:t>Al apoderado que no concurra a la audiencia sin justa causa se le impondrá multa de dos (2) salarios mínimos legales mensuales vigentes.”</w:t>
      </w:r>
      <w:r w:rsidRPr="00C11480">
        <w:rPr>
          <w:rFonts w:ascii="Tahoma" w:hAnsi="Tahoma" w:cs="Tahoma"/>
          <w:color w:val="000000"/>
          <w:spacing w:val="-4"/>
          <w:sz w:val="16"/>
          <w:szCs w:val="16"/>
          <w:lang w:val="es-ES_tradnl"/>
        </w:rPr>
        <w:t>(Subrayado, negrilla y cursiva fuera de texto).</w:t>
      </w:r>
    </w:p>
    <w:p w:rsidR="00A74144" w:rsidRPr="00C11480" w:rsidRDefault="00A74144" w:rsidP="00A74144">
      <w:pPr>
        <w:jc w:val="both"/>
        <w:rPr>
          <w:rFonts w:ascii="Tahoma" w:hAnsi="Tahoma" w:cs="Tahoma"/>
          <w:i/>
          <w:sz w:val="16"/>
          <w:szCs w:val="16"/>
        </w:rPr>
      </w:pPr>
    </w:p>
    <w:p w:rsidR="00A74144" w:rsidRPr="00C11480" w:rsidRDefault="00A74144" w:rsidP="00A74144">
      <w:pPr>
        <w:shd w:val="clear" w:color="auto" w:fill="FFFFFF"/>
        <w:ind w:left="36" w:right="49"/>
        <w:jc w:val="both"/>
        <w:rPr>
          <w:rFonts w:ascii="Tahoma" w:hAnsi="Tahoma" w:cs="Tahoma"/>
          <w:color w:val="000000"/>
          <w:spacing w:val="-5"/>
          <w:sz w:val="16"/>
          <w:szCs w:val="16"/>
          <w:lang w:val="es-ES_tradnl"/>
        </w:rPr>
      </w:pPr>
      <w:r w:rsidRPr="00C11480">
        <w:rPr>
          <w:rFonts w:ascii="Tahoma" w:hAnsi="Tahoma" w:cs="Tahoma"/>
          <w:color w:val="000000"/>
          <w:spacing w:val="-3"/>
          <w:sz w:val="16"/>
          <w:szCs w:val="16"/>
          <w:lang w:val="es-ES_tradnl"/>
        </w:rPr>
        <w:t xml:space="preserve">De conformidad con lo anterior y como quiera que se venció el termino de traslado de la demanda, </w:t>
      </w:r>
      <w:r w:rsidRPr="00C11480">
        <w:rPr>
          <w:rFonts w:ascii="Tahoma" w:hAnsi="Tahoma" w:cs="Tahoma"/>
          <w:color w:val="000000"/>
          <w:spacing w:val="-4"/>
          <w:sz w:val="16"/>
          <w:szCs w:val="16"/>
          <w:lang w:val="es-ES_tradnl"/>
        </w:rPr>
        <w:t xml:space="preserve">procederá el Despacho a fijar fecha </w:t>
      </w:r>
      <w:r w:rsidRPr="00C11480">
        <w:rPr>
          <w:rFonts w:ascii="Tahoma" w:hAnsi="Tahoma" w:cs="Tahoma"/>
          <w:color w:val="000000"/>
          <w:spacing w:val="-5"/>
          <w:sz w:val="16"/>
          <w:szCs w:val="16"/>
          <w:lang w:val="es-ES_tradnl"/>
        </w:rPr>
        <w:t xml:space="preserve">para llevar a cabo la anotada audiencia de inicio establecida en el artículo 180 del Código de Procedimiento Administrativo  y de lo Contencioso Administrativo, no sin antes advertir a las partes que de conformidad con lo señalado en la norma, la asistencia es de carácter obligatorio y su inasistencia se castigara con multa de dos (2) salarios mínimos legales mensuales vigentes. Así mismo, la inasistencia no impedirá la realización de la misma.  </w:t>
      </w:r>
    </w:p>
    <w:p w:rsidR="00A74144" w:rsidRPr="00C11480" w:rsidRDefault="00A74144" w:rsidP="00A74144">
      <w:pPr>
        <w:shd w:val="clear" w:color="auto" w:fill="FFFFFF"/>
        <w:ind w:left="36" w:right="49"/>
        <w:jc w:val="both"/>
        <w:rPr>
          <w:rFonts w:ascii="Tahoma" w:hAnsi="Tahoma" w:cs="Tahoma"/>
          <w:color w:val="000000"/>
          <w:spacing w:val="-5"/>
          <w:sz w:val="16"/>
          <w:szCs w:val="16"/>
          <w:lang w:val="es-ES_tradnl"/>
        </w:rPr>
      </w:pPr>
      <w:r w:rsidRPr="00C11480">
        <w:rPr>
          <w:rFonts w:ascii="Tahoma" w:hAnsi="Tahoma" w:cs="Tahoma"/>
          <w:color w:val="000000"/>
          <w:spacing w:val="-5"/>
          <w:sz w:val="16"/>
          <w:szCs w:val="16"/>
          <w:lang w:val="es-ES_tradnl"/>
        </w:rPr>
        <w:t xml:space="preserve"> </w:t>
      </w:r>
    </w:p>
    <w:p w:rsidR="00A74144" w:rsidRPr="00C11480" w:rsidRDefault="00A74144" w:rsidP="00A74144">
      <w:pPr>
        <w:jc w:val="both"/>
        <w:rPr>
          <w:rFonts w:ascii="Tahoma" w:hAnsi="Tahoma" w:cs="Tahoma"/>
          <w:b/>
          <w:bCs/>
          <w:color w:val="000000"/>
          <w:spacing w:val="-7"/>
          <w:sz w:val="16"/>
          <w:szCs w:val="16"/>
          <w:lang w:val="es-ES_tradnl"/>
        </w:rPr>
      </w:pPr>
      <w:r w:rsidRPr="00C11480">
        <w:rPr>
          <w:rFonts w:ascii="Tahoma" w:hAnsi="Tahoma" w:cs="Tahoma"/>
          <w:color w:val="000000"/>
          <w:spacing w:val="-7"/>
          <w:sz w:val="16"/>
          <w:szCs w:val="16"/>
          <w:lang w:val="es-ES_tradnl"/>
        </w:rPr>
        <w:t xml:space="preserve">Por brevemente expuesto, se </w:t>
      </w:r>
      <w:r w:rsidRPr="00C11480">
        <w:rPr>
          <w:rFonts w:ascii="Tahoma" w:hAnsi="Tahoma" w:cs="Tahoma"/>
          <w:b/>
          <w:bCs/>
          <w:color w:val="000000"/>
          <w:spacing w:val="-7"/>
          <w:sz w:val="16"/>
          <w:szCs w:val="16"/>
          <w:lang w:val="es-ES_tradnl"/>
        </w:rPr>
        <w:t>RESUELVE:</w:t>
      </w:r>
    </w:p>
    <w:p w:rsidR="00A74144" w:rsidRPr="00C11480" w:rsidRDefault="00A74144" w:rsidP="00A74144">
      <w:pPr>
        <w:jc w:val="both"/>
        <w:rPr>
          <w:rFonts w:ascii="Tahoma" w:hAnsi="Tahoma" w:cs="Tahoma"/>
          <w:sz w:val="16"/>
          <w:szCs w:val="16"/>
          <w:highlight w:val="yellow"/>
        </w:rPr>
      </w:pPr>
    </w:p>
    <w:p w:rsidR="002811E0" w:rsidRPr="00C11480" w:rsidRDefault="00A74144" w:rsidP="002811E0">
      <w:pPr>
        <w:shd w:val="clear" w:color="auto" w:fill="FFFFFF"/>
        <w:ind w:left="22" w:right="49"/>
        <w:jc w:val="both"/>
        <w:rPr>
          <w:rFonts w:ascii="Tahoma" w:hAnsi="Tahoma" w:cs="Tahoma"/>
          <w:color w:val="000000"/>
          <w:spacing w:val="-5"/>
          <w:sz w:val="16"/>
          <w:szCs w:val="16"/>
          <w:lang w:val="es-ES_tradnl"/>
        </w:rPr>
      </w:pPr>
      <w:r w:rsidRPr="00C11480">
        <w:rPr>
          <w:rFonts w:ascii="Tahoma" w:hAnsi="Tahoma" w:cs="Tahoma"/>
          <w:b/>
          <w:color w:val="000000"/>
          <w:spacing w:val="-5"/>
          <w:sz w:val="16"/>
          <w:szCs w:val="16"/>
          <w:lang w:val="es-ES_tradnl"/>
        </w:rPr>
        <w:t xml:space="preserve">PRIMERO: </w:t>
      </w:r>
      <w:r w:rsidR="002811E0" w:rsidRPr="00C11480">
        <w:rPr>
          <w:rFonts w:ascii="Tahoma" w:hAnsi="Tahoma" w:cs="Tahoma"/>
          <w:color w:val="000000"/>
          <w:spacing w:val="-5"/>
          <w:sz w:val="16"/>
          <w:szCs w:val="16"/>
          <w:lang w:val="es-ES_tradnl"/>
        </w:rPr>
        <w:t xml:space="preserve">Declárese ineficaz el llamamiento efectuado a MERBY ANGELA GUERRERO BERNAL., de conformidad con lo anotado en la parte motiva de esta providencia. </w:t>
      </w:r>
    </w:p>
    <w:p w:rsidR="002811E0" w:rsidRPr="00C11480" w:rsidRDefault="002811E0" w:rsidP="002811E0">
      <w:pPr>
        <w:shd w:val="clear" w:color="auto" w:fill="FFFFFF"/>
        <w:tabs>
          <w:tab w:val="left" w:pos="1532"/>
        </w:tabs>
        <w:ind w:left="22" w:right="49"/>
        <w:jc w:val="both"/>
        <w:rPr>
          <w:rFonts w:ascii="Tahoma" w:hAnsi="Tahoma" w:cs="Tahoma"/>
          <w:b/>
          <w:color w:val="000000"/>
          <w:spacing w:val="-5"/>
          <w:sz w:val="16"/>
          <w:szCs w:val="16"/>
          <w:lang w:val="es-ES_tradnl"/>
        </w:rPr>
      </w:pPr>
    </w:p>
    <w:p w:rsidR="00A74144" w:rsidRPr="00BD2559" w:rsidRDefault="006974EE" w:rsidP="006974EE">
      <w:pPr>
        <w:shd w:val="clear" w:color="auto" w:fill="FFFFFF"/>
        <w:ind w:right="49"/>
        <w:jc w:val="both"/>
        <w:rPr>
          <w:rFonts w:ascii="Tahoma" w:hAnsi="Tahoma" w:cs="Tahoma"/>
          <w:spacing w:val="-1"/>
          <w:sz w:val="16"/>
          <w:szCs w:val="16"/>
          <w:lang w:val="es-ES_tradnl"/>
        </w:rPr>
      </w:pPr>
      <w:r w:rsidRPr="00C11480">
        <w:rPr>
          <w:rFonts w:ascii="Tahoma" w:hAnsi="Tahoma" w:cs="Tahoma"/>
          <w:b/>
          <w:color w:val="000000"/>
          <w:spacing w:val="-5"/>
          <w:sz w:val="16"/>
          <w:szCs w:val="16"/>
          <w:lang w:val="es-ES_tradnl"/>
        </w:rPr>
        <w:t xml:space="preserve">SEGUNDO: </w:t>
      </w:r>
      <w:r w:rsidR="00A74144" w:rsidRPr="00C11480">
        <w:rPr>
          <w:rFonts w:ascii="Tahoma" w:hAnsi="Tahoma" w:cs="Tahoma"/>
          <w:color w:val="000000"/>
          <w:spacing w:val="-5"/>
          <w:sz w:val="16"/>
          <w:szCs w:val="16"/>
          <w:lang w:val="es-ES_tradnl"/>
        </w:rPr>
        <w:t xml:space="preserve">Cítese a las partes para llevar a cabo la audiencia de inicio prevista en el artículo 180 de la ley </w:t>
      </w:r>
      <w:r w:rsidR="00A74144" w:rsidRPr="00C11480">
        <w:rPr>
          <w:rFonts w:ascii="Tahoma" w:hAnsi="Tahoma" w:cs="Tahoma"/>
          <w:color w:val="000000"/>
          <w:spacing w:val="-1"/>
          <w:sz w:val="16"/>
          <w:szCs w:val="16"/>
          <w:lang w:val="es-ES_tradnl"/>
        </w:rPr>
        <w:t xml:space="preserve">1437 de 2011, </w:t>
      </w:r>
      <w:r w:rsidR="00A74144" w:rsidRPr="00BD2559">
        <w:rPr>
          <w:rFonts w:ascii="Tahoma" w:hAnsi="Tahoma" w:cs="Tahoma"/>
          <w:color w:val="000000"/>
          <w:spacing w:val="-1"/>
          <w:sz w:val="16"/>
          <w:szCs w:val="16"/>
          <w:lang w:val="es-ES_tradnl"/>
        </w:rPr>
        <w:t>el día</w:t>
      </w:r>
      <w:r w:rsidR="00A74144" w:rsidRPr="00BD2559">
        <w:rPr>
          <w:rFonts w:ascii="Tahoma" w:hAnsi="Tahoma" w:cs="Tahoma"/>
          <w:b/>
          <w:color w:val="000000"/>
          <w:spacing w:val="-1"/>
          <w:sz w:val="16"/>
          <w:szCs w:val="16"/>
          <w:lang w:val="es-ES_tradnl"/>
        </w:rPr>
        <w:t xml:space="preserve"> </w:t>
      </w:r>
      <w:r w:rsidR="001F7758" w:rsidRPr="00BD2559">
        <w:rPr>
          <w:rFonts w:ascii="Tahoma" w:hAnsi="Tahoma" w:cs="Tahoma"/>
          <w:b/>
          <w:color w:val="000000"/>
          <w:spacing w:val="-1"/>
          <w:sz w:val="16"/>
          <w:szCs w:val="16"/>
          <w:lang w:val="es-ES_tradnl"/>
        </w:rPr>
        <w:t xml:space="preserve">24 de agosto de 2017 a </w:t>
      </w:r>
      <w:r w:rsidR="00A74144" w:rsidRPr="00BD2559">
        <w:rPr>
          <w:rFonts w:ascii="Tahoma" w:hAnsi="Tahoma" w:cs="Tahoma"/>
          <w:color w:val="000000"/>
          <w:spacing w:val="-1"/>
          <w:sz w:val="16"/>
          <w:szCs w:val="16"/>
          <w:lang w:val="es-ES_tradnl"/>
        </w:rPr>
        <w:t>las</w:t>
      </w:r>
      <w:r w:rsidR="00A74144" w:rsidRPr="00BD2559">
        <w:rPr>
          <w:rFonts w:ascii="Tahoma" w:hAnsi="Tahoma" w:cs="Tahoma"/>
          <w:b/>
          <w:color w:val="000000"/>
          <w:spacing w:val="-1"/>
          <w:sz w:val="16"/>
          <w:szCs w:val="16"/>
          <w:lang w:val="es-ES_tradnl"/>
        </w:rPr>
        <w:t xml:space="preserve"> </w:t>
      </w:r>
      <w:r w:rsidR="001F7758" w:rsidRPr="00BD2559">
        <w:rPr>
          <w:rFonts w:ascii="Tahoma" w:hAnsi="Tahoma" w:cs="Tahoma"/>
          <w:b/>
          <w:color w:val="000000"/>
          <w:spacing w:val="-1"/>
          <w:sz w:val="16"/>
          <w:szCs w:val="16"/>
          <w:lang w:val="es-ES_tradnl"/>
        </w:rPr>
        <w:t>9:00 a.m.</w:t>
      </w:r>
      <w:r w:rsidR="00A74144" w:rsidRPr="00BD2559">
        <w:rPr>
          <w:rFonts w:ascii="Tahoma" w:hAnsi="Tahoma" w:cs="Tahoma"/>
          <w:b/>
          <w:spacing w:val="-1"/>
          <w:sz w:val="16"/>
          <w:szCs w:val="16"/>
          <w:lang w:val="es-ES_tradnl"/>
        </w:rPr>
        <w:t xml:space="preserve"> </w:t>
      </w:r>
    </w:p>
    <w:p w:rsidR="00A74144" w:rsidRPr="00C11480" w:rsidRDefault="00A74144" w:rsidP="00A74144">
      <w:pPr>
        <w:shd w:val="clear" w:color="auto" w:fill="FFFFFF"/>
        <w:ind w:left="22" w:right="49"/>
        <w:jc w:val="both"/>
        <w:rPr>
          <w:rFonts w:ascii="Tahoma" w:hAnsi="Tahoma" w:cs="Tahoma"/>
          <w:spacing w:val="-1"/>
          <w:sz w:val="16"/>
          <w:szCs w:val="16"/>
          <w:highlight w:val="yellow"/>
          <w:lang w:val="es-ES_tradnl"/>
        </w:rPr>
      </w:pPr>
    </w:p>
    <w:p w:rsidR="00A74144" w:rsidRPr="00C11480" w:rsidRDefault="00A74144" w:rsidP="00A74144">
      <w:pPr>
        <w:shd w:val="clear" w:color="auto" w:fill="FFFFFF"/>
        <w:ind w:left="22" w:right="49"/>
        <w:jc w:val="both"/>
        <w:rPr>
          <w:rFonts w:ascii="Tahoma" w:hAnsi="Tahoma" w:cs="Tahoma"/>
          <w:b/>
          <w:bCs/>
          <w:i/>
          <w:color w:val="000000"/>
          <w:spacing w:val="-1"/>
          <w:sz w:val="16"/>
          <w:szCs w:val="16"/>
          <w:lang w:val="es-ES_tradnl"/>
        </w:rPr>
      </w:pPr>
      <w:r w:rsidRPr="00C11480">
        <w:rPr>
          <w:rFonts w:ascii="Tahoma" w:hAnsi="Tahoma" w:cs="Tahoma"/>
          <w:b/>
          <w:bCs/>
          <w:i/>
          <w:color w:val="000000"/>
          <w:spacing w:val="-1"/>
          <w:sz w:val="16"/>
          <w:szCs w:val="16"/>
          <w:lang w:val="es-ES_tradnl"/>
        </w:rPr>
        <w:t>Las partes deberán presentarse en el juzgado con 15 minutos de antelación a la audiencia y el apoderado de la parte actora deberá aportar un DVD para que forme parte del expediente.</w:t>
      </w:r>
    </w:p>
    <w:p w:rsidR="00A74144" w:rsidRPr="00C11480" w:rsidRDefault="00A74144" w:rsidP="00A74144">
      <w:pPr>
        <w:jc w:val="both"/>
        <w:rPr>
          <w:rFonts w:ascii="Tahoma" w:hAnsi="Tahoma" w:cs="Tahoma"/>
          <w:color w:val="000000"/>
          <w:spacing w:val="-5"/>
          <w:sz w:val="16"/>
          <w:szCs w:val="16"/>
          <w:lang w:val="es-ES_tradnl"/>
        </w:rPr>
      </w:pPr>
    </w:p>
    <w:p w:rsidR="00A74144" w:rsidRPr="00C11480" w:rsidRDefault="00A74144" w:rsidP="00A74144">
      <w:pPr>
        <w:jc w:val="both"/>
        <w:rPr>
          <w:rFonts w:ascii="Tahoma" w:hAnsi="Tahoma" w:cs="Tahoma"/>
          <w:b/>
          <w:i/>
          <w:sz w:val="16"/>
          <w:szCs w:val="16"/>
        </w:rPr>
      </w:pPr>
      <w:r w:rsidRPr="00C11480">
        <w:rPr>
          <w:rFonts w:ascii="Tahoma" w:hAnsi="Tahoma" w:cs="Tahoma"/>
          <w:b/>
          <w:color w:val="000000"/>
          <w:spacing w:val="-5"/>
          <w:sz w:val="16"/>
          <w:szCs w:val="16"/>
          <w:lang w:val="es-ES_tradnl"/>
        </w:rPr>
        <w:t xml:space="preserve">Así mismo, se advierte a las partes que antes de la práctica de la diligencia, deberán aportar los documentos que han solicitado como pruebas en las oportunidades legales, dando cumplimiento a lo estipulado en el artículo 78 </w:t>
      </w:r>
      <w:r w:rsidRPr="00C11480">
        <w:rPr>
          <w:rFonts w:ascii="Tahoma" w:hAnsi="Tahoma" w:cs="Tahoma"/>
          <w:b/>
          <w:sz w:val="16"/>
          <w:szCs w:val="16"/>
        </w:rPr>
        <w:t>numeral 10 del Código General del Proceso</w:t>
      </w:r>
      <w:r w:rsidRPr="00C11480">
        <w:rPr>
          <w:rStyle w:val="Refdenotaalpie"/>
          <w:rFonts w:ascii="Tahoma" w:hAnsi="Tahoma" w:cs="Tahoma"/>
          <w:b/>
          <w:sz w:val="16"/>
          <w:szCs w:val="16"/>
        </w:rPr>
        <w:footnoteReference w:id="4"/>
      </w:r>
      <w:r w:rsidRPr="00C11480">
        <w:rPr>
          <w:rFonts w:ascii="Tahoma" w:hAnsi="Tahoma" w:cs="Tahoma"/>
          <w:b/>
          <w:sz w:val="16"/>
          <w:szCs w:val="16"/>
        </w:rPr>
        <w:t>, y particularmente la entidad pública como parte, deberá adjuntar todos los documentos que constituyan antecedentes del caso, en especial, los pedidos en el proceso.</w:t>
      </w:r>
    </w:p>
    <w:p w:rsidR="00A74144" w:rsidRPr="00C11480" w:rsidRDefault="00A74144" w:rsidP="00A74144">
      <w:pPr>
        <w:shd w:val="clear" w:color="auto" w:fill="FFFFFF"/>
        <w:ind w:left="22" w:right="49"/>
        <w:jc w:val="both"/>
        <w:rPr>
          <w:rFonts w:ascii="Tahoma" w:hAnsi="Tahoma" w:cs="Tahoma"/>
          <w:b/>
          <w:spacing w:val="-1"/>
          <w:sz w:val="16"/>
          <w:szCs w:val="16"/>
          <w:lang w:val="es-ES_tradnl"/>
        </w:rPr>
      </w:pPr>
    </w:p>
    <w:p w:rsidR="00A74144" w:rsidRPr="00C11480" w:rsidRDefault="006974EE" w:rsidP="00A74144">
      <w:pPr>
        <w:shd w:val="clear" w:color="auto" w:fill="FFFFFF"/>
        <w:ind w:left="22" w:right="49"/>
        <w:jc w:val="both"/>
        <w:rPr>
          <w:rFonts w:ascii="Tahoma" w:hAnsi="Tahoma" w:cs="Tahoma"/>
          <w:sz w:val="16"/>
          <w:szCs w:val="16"/>
          <w:lang w:val="es-MX"/>
        </w:rPr>
      </w:pPr>
      <w:r w:rsidRPr="00C11480">
        <w:rPr>
          <w:rFonts w:ascii="Tahoma" w:hAnsi="Tahoma" w:cs="Tahoma"/>
          <w:b/>
          <w:spacing w:val="-1"/>
          <w:sz w:val="16"/>
          <w:szCs w:val="16"/>
          <w:lang w:val="es-ES_tradnl"/>
        </w:rPr>
        <w:t xml:space="preserve">TERCERO: </w:t>
      </w:r>
      <w:r w:rsidR="00A74144" w:rsidRPr="00C11480">
        <w:rPr>
          <w:rFonts w:ascii="Tahoma" w:hAnsi="Tahoma" w:cs="Tahoma"/>
          <w:b/>
          <w:spacing w:val="-1"/>
          <w:sz w:val="16"/>
          <w:szCs w:val="16"/>
          <w:lang w:val="es-ES_tradnl"/>
        </w:rPr>
        <w:t>T</w:t>
      </w:r>
      <w:proofErr w:type="spellStart"/>
      <w:r w:rsidR="00A74144" w:rsidRPr="00C11480">
        <w:rPr>
          <w:rFonts w:ascii="Tahoma" w:hAnsi="Tahoma" w:cs="Tahoma"/>
          <w:b/>
          <w:sz w:val="16"/>
          <w:szCs w:val="16"/>
          <w:lang w:val="es-MX"/>
        </w:rPr>
        <w:t>éngase</w:t>
      </w:r>
      <w:proofErr w:type="spellEnd"/>
      <w:r w:rsidR="00A74144" w:rsidRPr="00C11480">
        <w:rPr>
          <w:rFonts w:ascii="Tahoma" w:hAnsi="Tahoma" w:cs="Tahoma"/>
          <w:sz w:val="16"/>
          <w:szCs w:val="16"/>
          <w:lang w:val="es-MX"/>
        </w:rPr>
        <w:t xml:space="preserve"> como apoderada de la parte</w:t>
      </w:r>
      <w:r w:rsidRPr="00C11480">
        <w:rPr>
          <w:rFonts w:ascii="Tahoma" w:hAnsi="Tahoma" w:cs="Tahoma"/>
          <w:sz w:val="16"/>
          <w:szCs w:val="16"/>
          <w:lang w:val="es-MX"/>
        </w:rPr>
        <w:t xml:space="preserve"> demandada</w:t>
      </w:r>
      <w:r w:rsidR="00A74144" w:rsidRPr="00C11480">
        <w:rPr>
          <w:rFonts w:ascii="Tahoma" w:hAnsi="Tahoma" w:cs="Tahoma"/>
          <w:sz w:val="16"/>
          <w:szCs w:val="16"/>
          <w:lang w:val="es-MX"/>
        </w:rPr>
        <w:t xml:space="preserve"> a la abogada </w:t>
      </w:r>
      <w:r w:rsidRPr="00C11480">
        <w:rPr>
          <w:rFonts w:ascii="Tahoma" w:hAnsi="Tahoma" w:cs="Tahoma"/>
          <w:sz w:val="16"/>
          <w:szCs w:val="16"/>
          <w:lang w:val="es-MX"/>
        </w:rPr>
        <w:t xml:space="preserve">LAURA MILENA ALVAREZ PRADILLA </w:t>
      </w:r>
      <w:r w:rsidR="00A74144" w:rsidRPr="00C11480">
        <w:rPr>
          <w:rFonts w:ascii="Tahoma" w:hAnsi="Tahoma" w:cs="Tahoma"/>
          <w:sz w:val="16"/>
          <w:szCs w:val="16"/>
          <w:lang w:val="es-MX"/>
        </w:rPr>
        <w:t xml:space="preserve">identificado con c.c. </w:t>
      </w:r>
      <w:r w:rsidR="006B0AB9" w:rsidRPr="00C11480">
        <w:rPr>
          <w:rFonts w:ascii="Tahoma" w:hAnsi="Tahoma" w:cs="Tahoma"/>
          <w:sz w:val="16"/>
          <w:szCs w:val="16"/>
          <w:lang w:val="es-MX"/>
        </w:rPr>
        <w:t>37.754.473</w:t>
      </w:r>
      <w:r w:rsidR="00A74144" w:rsidRPr="00C11480">
        <w:rPr>
          <w:rFonts w:ascii="Tahoma" w:hAnsi="Tahoma" w:cs="Tahoma"/>
          <w:sz w:val="16"/>
          <w:szCs w:val="16"/>
          <w:lang w:val="es-MX"/>
        </w:rPr>
        <w:t xml:space="preserve"> de Bogotá y tarjeta profesional No.</w:t>
      </w:r>
      <w:r w:rsidR="006B0AB9" w:rsidRPr="00C11480">
        <w:rPr>
          <w:rFonts w:ascii="Tahoma" w:hAnsi="Tahoma" w:cs="Tahoma"/>
          <w:sz w:val="16"/>
          <w:szCs w:val="16"/>
          <w:lang w:val="es-MX"/>
        </w:rPr>
        <w:t xml:space="preserve"> 212.949</w:t>
      </w:r>
      <w:r w:rsidR="00A74144" w:rsidRPr="00C11480">
        <w:rPr>
          <w:rFonts w:ascii="Tahoma" w:hAnsi="Tahoma" w:cs="Tahoma"/>
          <w:sz w:val="16"/>
          <w:szCs w:val="16"/>
          <w:lang w:val="es-MX"/>
        </w:rPr>
        <w:t xml:space="preserve"> expedida por el C.S. de la J. en la forma y términos del poder visible a folio </w:t>
      </w:r>
      <w:r w:rsidR="006B0AB9" w:rsidRPr="00C11480">
        <w:rPr>
          <w:rFonts w:ascii="Tahoma" w:hAnsi="Tahoma" w:cs="Tahoma"/>
          <w:sz w:val="16"/>
          <w:szCs w:val="16"/>
          <w:lang w:val="es-MX"/>
        </w:rPr>
        <w:t>124</w:t>
      </w:r>
      <w:r w:rsidR="00A74144" w:rsidRPr="00C11480">
        <w:rPr>
          <w:rFonts w:ascii="Tahoma" w:hAnsi="Tahoma" w:cs="Tahoma"/>
          <w:sz w:val="16"/>
          <w:szCs w:val="16"/>
          <w:lang w:val="es-MX"/>
        </w:rPr>
        <w:t xml:space="preserve"> al </w:t>
      </w:r>
      <w:r w:rsidR="006B0AB9" w:rsidRPr="00C11480">
        <w:rPr>
          <w:rFonts w:ascii="Tahoma" w:hAnsi="Tahoma" w:cs="Tahoma"/>
          <w:sz w:val="16"/>
          <w:szCs w:val="16"/>
          <w:lang w:val="es-MX"/>
        </w:rPr>
        <w:t>138</w:t>
      </w:r>
      <w:r w:rsidR="00A74144" w:rsidRPr="00C11480">
        <w:rPr>
          <w:rFonts w:ascii="Tahoma" w:hAnsi="Tahoma" w:cs="Tahoma"/>
          <w:sz w:val="16"/>
          <w:szCs w:val="16"/>
          <w:lang w:val="es-MX"/>
        </w:rPr>
        <w:t xml:space="preserve"> del cuaderno principal. </w:t>
      </w:r>
    </w:p>
    <w:p w:rsidR="00A74144" w:rsidRPr="00C11480" w:rsidRDefault="00A74144" w:rsidP="00A74144">
      <w:pPr>
        <w:jc w:val="both"/>
        <w:rPr>
          <w:rFonts w:ascii="Tahoma" w:eastAsia="Calibri" w:hAnsi="Tahoma" w:cs="Tahoma"/>
          <w:color w:val="000000"/>
          <w:sz w:val="16"/>
          <w:szCs w:val="16"/>
          <w:highlight w:val="yellow"/>
          <w:lang w:val="es-ES_tradnl"/>
        </w:rPr>
      </w:pPr>
    </w:p>
    <w:p w:rsidR="00A74144" w:rsidRPr="00C11480" w:rsidRDefault="00A74144" w:rsidP="00A74144">
      <w:pPr>
        <w:rPr>
          <w:rFonts w:ascii="Tahoma" w:hAnsi="Tahoma" w:cs="Tahoma"/>
          <w:b/>
          <w:sz w:val="16"/>
          <w:szCs w:val="16"/>
          <w:lang w:val="es-ES_tradnl"/>
        </w:rPr>
      </w:pPr>
      <w:r w:rsidRPr="00C11480">
        <w:rPr>
          <w:rFonts w:ascii="Tahoma" w:hAnsi="Tahoma" w:cs="Tahoma"/>
          <w:b/>
          <w:sz w:val="16"/>
          <w:szCs w:val="16"/>
          <w:lang w:val="es-ES_tradnl"/>
        </w:rPr>
        <w:t>NOTIFÍQUESE Y CÚMPLASE,</w:t>
      </w:r>
    </w:p>
    <w:p w:rsidR="00A74144" w:rsidRPr="00C11480" w:rsidRDefault="00A74144" w:rsidP="00A74144">
      <w:pPr>
        <w:rPr>
          <w:rFonts w:ascii="Tahoma" w:hAnsi="Tahoma" w:cs="Tahoma"/>
          <w:b/>
          <w:sz w:val="16"/>
          <w:szCs w:val="16"/>
          <w:lang w:val="es-ES_tradnl"/>
        </w:rPr>
      </w:pPr>
    </w:p>
    <w:p w:rsidR="00A74144" w:rsidRPr="00C11480" w:rsidRDefault="00A74144" w:rsidP="00A74144">
      <w:pPr>
        <w:shd w:val="clear" w:color="auto" w:fill="FFFFFF"/>
        <w:ind w:left="3082"/>
        <w:rPr>
          <w:rFonts w:ascii="Tahoma" w:hAnsi="Tahoma" w:cs="Tahoma"/>
          <w:sz w:val="16"/>
          <w:szCs w:val="16"/>
        </w:rPr>
      </w:pPr>
      <w:r w:rsidRPr="00C11480">
        <w:rPr>
          <w:rFonts w:ascii="Tahoma" w:hAnsi="Tahoma" w:cs="Tahoma"/>
          <w:b/>
          <w:bCs/>
          <w:color w:val="000000"/>
          <w:spacing w:val="1"/>
          <w:sz w:val="16"/>
          <w:szCs w:val="16"/>
          <w:lang w:val="es-ES_tradnl"/>
        </w:rPr>
        <w:t>OLGA CECILIA HENAO MARÍN</w:t>
      </w:r>
    </w:p>
    <w:p w:rsidR="00A74144" w:rsidRPr="00C11480" w:rsidRDefault="00A74144" w:rsidP="00A74144">
      <w:pPr>
        <w:shd w:val="clear" w:color="auto" w:fill="FFFFFF"/>
        <w:ind w:left="4277"/>
        <w:rPr>
          <w:rFonts w:ascii="Tahoma" w:hAnsi="Tahoma" w:cs="Tahoma"/>
          <w:b/>
          <w:sz w:val="16"/>
          <w:szCs w:val="16"/>
        </w:rPr>
      </w:pPr>
      <w:r w:rsidRPr="00C11480">
        <w:rPr>
          <w:rFonts w:ascii="Tahoma" w:hAnsi="Tahoma" w:cs="Tahoma"/>
          <w:b/>
          <w:color w:val="000000"/>
          <w:spacing w:val="-6"/>
          <w:sz w:val="16"/>
          <w:szCs w:val="16"/>
          <w:lang w:val="es-ES_tradnl"/>
        </w:rPr>
        <w:t>Juez</w:t>
      </w:r>
    </w:p>
    <w:p w:rsidR="00A74144" w:rsidRPr="00C11480" w:rsidRDefault="00A74144" w:rsidP="00A74144">
      <w:pPr>
        <w:shd w:val="clear" w:color="auto" w:fill="FFFFFF"/>
        <w:rPr>
          <w:rFonts w:ascii="Tahoma" w:hAnsi="Tahoma" w:cs="Tahoma"/>
          <w:color w:val="000000"/>
          <w:spacing w:val="-4"/>
          <w:sz w:val="16"/>
          <w:szCs w:val="16"/>
          <w:lang w:val="es-ES_tradnl"/>
        </w:rPr>
      </w:pPr>
    </w:p>
    <w:p w:rsidR="00C11480" w:rsidRPr="00C11480" w:rsidRDefault="006B0AB9">
      <w:pPr>
        <w:shd w:val="clear" w:color="auto" w:fill="FFFFFF"/>
        <w:rPr>
          <w:rFonts w:ascii="Tahoma" w:hAnsi="Tahoma" w:cs="Tahoma"/>
          <w:sz w:val="12"/>
          <w:szCs w:val="16"/>
        </w:rPr>
      </w:pPr>
      <w:r w:rsidRPr="00C11480">
        <w:rPr>
          <w:rFonts w:ascii="Tahoma" w:hAnsi="Tahoma" w:cs="Tahoma"/>
          <w:color w:val="000000"/>
          <w:spacing w:val="-4"/>
          <w:sz w:val="12"/>
          <w:szCs w:val="16"/>
          <w:lang w:val="es-ES_tradnl"/>
        </w:rPr>
        <w:t>JBR</w:t>
      </w:r>
    </w:p>
    <w:sectPr w:rsidR="00C11480" w:rsidRPr="00C11480" w:rsidSect="00C11480">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274" w:rsidRDefault="00993274">
      <w:r>
        <w:separator/>
      </w:r>
    </w:p>
  </w:endnote>
  <w:endnote w:type="continuationSeparator" w:id="0">
    <w:p w:rsidR="00993274" w:rsidRDefault="0099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274" w:rsidRDefault="00993274">
      <w:r>
        <w:separator/>
      </w:r>
    </w:p>
  </w:footnote>
  <w:footnote w:type="continuationSeparator" w:id="0">
    <w:p w:rsidR="00993274" w:rsidRDefault="00993274">
      <w:r>
        <w:continuationSeparator/>
      </w:r>
    </w:p>
  </w:footnote>
  <w:footnote w:id="1">
    <w:p w:rsidR="00CF5200" w:rsidRPr="00FF5C1C" w:rsidRDefault="00CF5200" w:rsidP="00CF5200">
      <w:pPr>
        <w:pStyle w:val="Textonotapie"/>
        <w:rPr>
          <w:rFonts w:ascii="Tahoma" w:hAnsi="Tahoma" w:cs="Tahoma"/>
          <w:sz w:val="10"/>
          <w:szCs w:val="10"/>
          <w:lang w:val="es-CO"/>
        </w:rPr>
      </w:pPr>
      <w:r w:rsidRPr="008565BE">
        <w:rPr>
          <w:rStyle w:val="Refdenotaalpie"/>
          <w:rFonts w:ascii="Tahoma" w:hAnsi="Tahoma" w:cs="Tahoma"/>
          <w:sz w:val="10"/>
          <w:szCs w:val="10"/>
        </w:rPr>
        <w:footnoteRef/>
      </w:r>
      <w:r w:rsidRPr="008565BE">
        <w:rPr>
          <w:rFonts w:ascii="Tahoma" w:hAnsi="Tahoma" w:cs="Tahoma"/>
          <w:sz w:val="10"/>
          <w:szCs w:val="10"/>
        </w:rPr>
        <w:t xml:space="preserve"> </w:t>
      </w:r>
      <w:r>
        <w:rPr>
          <w:rFonts w:ascii="Tahoma" w:hAnsi="Tahoma" w:cs="Tahoma"/>
          <w:sz w:val="10"/>
          <w:szCs w:val="10"/>
          <w:lang w:val="es-CO"/>
        </w:rPr>
        <w:t>Folios 79 y 80</w:t>
      </w:r>
      <w:r w:rsidRPr="00FF5C1C">
        <w:rPr>
          <w:rFonts w:ascii="Tahoma" w:hAnsi="Tahoma" w:cs="Tahoma"/>
          <w:sz w:val="10"/>
          <w:szCs w:val="10"/>
          <w:lang w:val="es-CO"/>
        </w:rPr>
        <w:t xml:space="preserve"> del cuaderno principal. </w:t>
      </w:r>
    </w:p>
  </w:footnote>
  <w:footnote w:id="2">
    <w:p w:rsidR="00CF5200" w:rsidRPr="00FF5C1C" w:rsidRDefault="00CF5200" w:rsidP="00CF5200">
      <w:pPr>
        <w:pStyle w:val="Textonotapie"/>
        <w:rPr>
          <w:rFonts w:ascii="Tahoma" w:hAnsi="Tahoma" w:cs="Tahoma"/>
          <w:sz w:val="10"/>
          <w:szCs w:val="10"/>
          <w:lang w:val="es-CO"/>
        </w:rPr>
      </w:pPr>
      <w:r w:rsidRPr="00FF5C1C">
        <w:rPr>
          <w:rStyle w:val="Refdenotaalpie"/>
          <w:rFonts w:ascii="Tahoma" w:hAnsi="Tahoma" w:cs="Tahoma"/>
          <w:sz w:val="10"/>
          <w:szCs w:val="10"/>
        </w:rPr>
        <w:footnoteRef/>
      </w:r>
      <w:r w:rsidRPr="00FF5C1C">
        <w:rPr>
          <w:rFonts w:ascii="Tahoma" w:hAnsi="Tahoma" w:cs="Tahoma"/>
          <w:sz w:val="10"/>
          <w:szCs w:val="10"/>
        </w:rPr>
        <w:t xml:space="preserve"> </w:t>
      </w:r>
      <w:r>
        <w:rPr>
          <w:rFonts w:ascii="Tahoma" w:hAnsi="Tahoma" w:cs="Tahoma"/>
          <w:sz w:val="10"/>
          <w:szCs w:val="10"/>
          <w:lang w:val="es-CO"/>
        </w:rPr>
        <w:t>Folios 82 a 87</w:t>
      </w:r>
      <w:r w:rsidRPr="00FF5C1C">
        <w:rPr>
          <w:rFonts w:ascii="Tahoma" w:hAnsi="Tahoma" w:cs="Tahoma"/>
          <w:sz w:val="10"/>
          <w:szCs w:val="10"/>
          <w:lang w:val="es-CO"/>
        </w:rPr>
        <w:t xml:space="preserve"> del cuaderno principal. </w:t>
      </w:r>
    </w:p>
  </w:footnote>
  <w:footnote w:id="3">
    <w:p w:rsidR="00CF5200" w:rsidRPr="00FF5C1C" w:rsidRDefault="00CF5200" w:rsidP="00CF5200">
      <w:pPr>
        <w:pStyle w:val="Textonotapie"/>
        <w:rPr>
          <w:rFonts w:ascii="Tahoma" w:hAnsi="Tahoma" w:cs="Tahoma"/>
          <w:sz w:val="10"/>
          <w:szCs w:val="10"/>
          <w:lang w:val="es-CO"/>
        </w:rPr>
      </w:pPr>
      <w:r w:rsidRPr="00FF5C1C">
        <w:rPr>
          <w:rStyle w:val="Refdenotaalpie"/>
          <w:rFonts w:ascii="Tahoma" w:hAnsi="Tahoma" w:cs="Tahoma"/>
          <w:sz w:val="10"/>
          <w:szCs w:val="10"/>
        </w:rPr>
        <w:footnoteRef/>
      </w:r>
      <w:r w:rsidRPr="00FF5C1C">
        <w:rPr>
          <w:rFonts w:ascii="Tahoma" w:hAnsi="Tahoma" w:cs="Tahoma"/>
          <w:sz w:val="10"/>
          <w:szCs w:val="10"/>
        </w:rPr>
        <w:t xml:space="preserve"> </w:t>
      </w:r>
      <w:r>
        <w:rPr>
          <w:rFonts w:ascii="Tahoma" w:hAnsi="Tahoma" w:cs="Tahoma"/>
          <w:sz w:val="10"/>
          <w:szCs w:val="10"/>
          <w:lang w:val="es-CO"/>
        </w:rPr>
        <w:t>Folio 88</w:t>
      </w:r>
      <w:r w:rsidRPr="00FF5C1C">
        <w:rPr>
          <w:rFonts w:ascii="Tahoma" w:hAnsi="Tahoma" w:cs="Tahoma"/>
          <w:sz w:val="10"/>
          <w:szCs w:val="10"/>
          <w:lang w:val="es-CO"/>
        </w:rPr>
        <w:t xml:space="preserve"> del cuaderno principal.</w:t>
      </w:r>
    </w:p>
  </w:footnote>
  <w:footnote w:id="4">
    <w:p w:rsidR="00A74144" w:rsidRPr="008517DC" w:rsidRDefault="00A74144" w:rsidP="00A74144">
      <w:pPr>
        <w:pStyle w:val="Textonotapie"/>
        <w:rPr>
          <w:sz w:val="18"/>
          <w:lang w:val="es-CO"/>
        </w:rPr>
      </w:pPr>
      <w:r w:rsidRPr="008517DC">
        <w:rPr>
          <w:rStyle w:val="Refdenotaalpie"/>
          <w:sz w:val="18"/>
        </w:rPr>
        <w:footnoteRef/>
      </w:r>
      <w:r w:rsidRPr="008517DC">
        <w:rPr>
          <w:sz w:val="18"/>
        </w:rPr>
        <w:t xml:space="preserve"> </w:t>
      </w:r>
      <w:r w:rsidRPr="008517DC">
        <w:rPr>
          <w:i/>
          <w:sz w:val="16"/>
          <w:szCs w:val="18"/>
        </w:rPr>
        <w:t>“</w:t>
      </w:r>
      <w:r w:rsidRPr="008517DC">
        <w:rPr>
          <w:i/>
          <w:sz w:val="14"/>
          <w:szCs w:val="18"/>
        </w:rPr>
        <w:t>Artículo 78. Deberes de las partes y sus apoderados. (…)10. Abstenerse de solicitarle al juez la consecución de documentos que directamente o por medio del ejercicio del derecho de petición hubiere podido conseguir.”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B37" w:rsidRPr="00E82F01" w:rsidRDefault="004A2471" w:rsidP="002C5B37">
    <w:pPr>
      <w:pStyle w:val="Encabezado"/>
      <w:jc w:val="right"/>
      <w:rPr>
        <w:rFonts w:ascii="Tahoma" w:hAnsi="Tahoma" w:cs="Tahoma"/>
        <w:color w:val="000000"/>
        <w:sz w:val="14"/>
        <w:szCs w:val="14"/>
        <w:lang w:val="es-ES_tradnl"/>
      </w:rPr>
    </w:pPr>
    <w:r>
      <w:rPr>
        <w:rFonts w:ascii="Tahoma" w:hAnsi="Tahoma" w:cs="Tahoma"/>
        <w:color w:val="000000"/>
        <w:sz w:val="14"/>
        <w:szCs w:val="14"/>
        <w:lang w:val="es-ES_tradnl"/>
      </w:rPr>
      <w:t>Expediente No. 2014</w:t>
    </w:r>
    <w:r w:rsidR="002C5B37">
      <w:rPr>
        <w:rFonts w:ascii="Tahoma" w:hAnsi="Tahoma" w:cs="Tahoma"/>
        <w:color w:val="000000"/>
        <w:sz w:val="14"/>
        <w:szCs w:val="14"/>
        <w:lang w:val="es-ES_tradnl"/>
      </w:rPr>
      <w:t>-0</w:t>
    </w:r>
    <w:r>
      <w:rPr>
        <w:rFonts w:ascii="Tahoma" w:hAnsi="Tahoma" w:cs="Tahoma"/>
        <w:color w:val="000000"/>
        <w:sz w:val="14"/>
        <w:szCs w:val="14"/>
        <w:lang w:val="es-ES_tradnl"/>
      </w:rPr>
      <w:t>238</w:t>
    </w:r>
  </w:p>
  <w:p w:rsidR="002C5B37" w:rsidRPr="009B001F" w:rsidRDefault="002C5B37" w:rsidP="002C5B37">
    <w:pPr>
      <w:pStyle w:val="Encabezado"/>
      <w:jc w:val="right"/>
      <w:rPr>
        <w:rFonts w:ascii="Tahoma" w:eastAsia="Calibri" w:hAnsi="Tahoma" w:cs="Tahoma"/>
        <w:color w:val="000000"/>
        <w:sz w:val="10"/>
        <w:szCs w:val="10"/>
        <w:lang w:val="es-MX"/>
      </w:rPr>
    </w:pPr>
    <w:r w:rsidRPr="009B001F">
      <w:rPr>
        <w:rFonts w:ascii="Tahoma" w:eastAsia="Calibri" w:hAnsi="Tahoma" w:cs="Tahoma"/>
        <w:color w:val="000000"/>
        <w:sz w:val="10"/>
        <w:szCs w:val="10"/>
        <w:lang w:val="es-MX"/>
      </w:rPr>
      <w:t xml:space="preserve">DECLARA INEFICAZ LLAMAMIENTO EN GARANTIA – </w:t>
    </w:r>
    <w:r w:rsidR="004A2471" w:rsidRPr="004A2471">
      <w:rPr>
        <w:rFonts w:ascii="Tahoma" w:eastAsia="Calibri" w:hAnsi="Tahoma" w:cs="Tahoma"/>
        <w:color w:val="000000"/>
        <w:sz w:val="10"/>
        <w:szCs w:val="10"/>
        <w:lang w:val="es-MX"/>
      </w:rPr>
      <w:t xml:space="preserve">SEÑALA FECHA PARA AUDIENCIA DE INICIO (Art. 180 del CPACA) </w:t>
    </w:r>
    <w:r w:rsidR="004A2471">
      <w:rPr>
        <w:rFonts w:ascii="Tahoma" w:eastAsia="Calibri" w:hAnsi="Tahoma" w:cs="Tahoma"/>
        <w:color w:val="000000"/>
        <w:sz w:val="10"/>
        <w:szCs w:val="10"/>
        <w:lang w:val="es-MX"/>
      </w:rPr>
      <w:t xml:space="preserve">- RECONOCE PERSONERIA </w:t>
    </w:r>
    <w:r w:rsidRPr="009B001F">
      <w:rPr>
        <w:rFonts w:ascii="Tahoma" w:eastAsia="Calibri" w:hAnsi="Tahoma" w:cs="Tahoma"/>
        <w:color w:val="000000"/>
        <w:sz w:val="10"/>
        <w:szCs w:val="10"/>
        <w:lang w:val="es-MX"/>
      </w:rPr>
      <w:t xml:space="preserve"> </w:t>
    </w:r>
  </w:p>
  <w:p w:rsidR="002C5B37" w:rsidRPr="00E82F01" w:rsidRDefault="002C5B37" w:rsidP="002C5B37">
    <w:pPr>
      <w:pStyle w:val="Encabezado"/>
      <w:jc w:val="right"/>
      <w:rPr>
        <w:rFonts w:ascii="Tahoma" w:hAnsi="Tahoma" w:cs="Tahoma"/>
        <w:sz w:val="14"/>
        <w:szCs w:val="14"/>
        <w:lang w:val="es-MX"/>
      </w:rPr>
    </w:pPr>
    <w:r w:rsidRPr="00E82F01">
      <w:rPr>
        <w:rFonts w:ascii="Tahoma" w:hAnsi="Tahoma" w:cs="Tahoma"/>
        <w:sz w:val="14"/>
        <w:szCs w:val="14"/>
        <w:lang w:val="es-MX"/>
      </w:rPr>
      <w:t xml:space="preserve">Página </w:t>
    </w:r>
    <w:r w:rsidRPr="00E82F01">
      <w:rPr>
        <w:rFonts w:ascii="Tahoma" w:hAnsi="Tahoma" w:cs="Tahoma"/>
        <w:sz w:val="14"/>
        <w:szCs w:val="14"/>
        <w:lang w:val="es-MX"/>
      </w:rPr>
      <w:fldChar w:fldCharType="begin"/>
    </w:r>
    <w:r w:rsidRPr="00E82F01">
      <w:rPr>
        <w:rFonts w:ascii="Tahoma" w:hAnsi="Tahoma" w:cs="Tahoma"/>
        <w:sz w:val="14"/>
        <w:szCs w:val="14"/>
        <w:lang w:val="es-MX"/>
      </w:rPr>
      <w:instrText xml:space="preserve"> PAGE  \* Arabic  \* MERGEFORMAT </w:instrText>
    </w:r>
    <w:r w:rsidRPr="00E82F01">
      <w:rPr>
        <w:rFonts w:ascii="Tahoma" w:hAnsi="Tahoma" w:cs="Tahoma"/>
        <w:sz w:val="14"/>
        <w:szCs w:val="14"/>
        <w:lang w:val="es-MX"/>
      </w:rPr>
      <w:fldChar w:fldCharType="separate"/>
    </w:r>
    <w:r w:rsidR="002A006D">
      <w:rPr>
        <w:rFonts w:ascii="Tahoma" w:hAnsi="Tahoma" w:cs="Tahoma"/>
        <w:noProof/>
        <w:sz w:val="14"/>
        <w:szCs w:val="14"/>
        <w:lang w:val="es-MX"/>
      </w:rPr>
      <w:t>2</w:t>
    </w:r>
    <w:r w:rsidRPr="00E82F01">
      <w:rPr>
        <w:rFonts w:ascii="Tahoma" w:hAnsi="Tahoma" w:cs="Tahoma"/>
        <w:sz w:val="14"/>
        <w:szCs w:val="14"/>
        <w:lang w:val="es-MX"/>
      </w:rPr>
      <w:fldChar w:fldCharType="end"/>
    </w:r>
    <w:r w:rsidRPr="00E82F01">
      <w:rPr>
        <w:rFonts w:ascii="Tahoma" w:hAnsi="Tahoma" w:cs="Tahoma"/>
        <w:sz w:val="14"/>
        <w:szCs w:val="14"/>
        <w:lang w:val="es-MX"/>
      </w:rPr>
      <w:t xml:space="preserve"> de </w:t>
    </w:r>
    <w:r w:rsidRPr="00E82F01">
      <w:rPr>
        <w:sz w:val="14"/>
        <w:szCs w:val="14"/>
      </w:rPr>
      <w:fldChar w:fldCharType="begin"/>
    </w:r>
    <w:r w:rsidRPr="00E82F01">
      <w:rPr>
        <w:sz w:val="14"/>
        <w:szCs w:val="14"/>
      </w:rPr>
      <w:instrText xml:space="preserve"> NUMPAGES  \* Arabic  \* MERGEFORMAT </w:instrText>
    </w:r>
    <w:r w:rsidRPr="00E82F01">
      <w:rPr>
        <w:sz w:val="14"/>
        <w:szCs w:val="14"/>
      </w:rPr>
      <w:fldChar w:fldCharType="separate"/>
    </w:r>
    <w:r w:rsidR="002A006D" w:rsidRPr="002A006D">
      <w:rPr>
        <w:rFonts w:ascii="Tahoma" w:hAnsi="Tahoma" w:cs="Tahoma"/>
        <w:noProof/>
        <w:sz w:val="14"/>
        <w:szCs w:val="14"/>
        <w:lang w:val="es-MX"/>
      </w:rPr>
      <w:t>2</w:t>
    </w:r>
    <w:r w:rsidRPr="00E82F01">
      <w:rPr>
        <w:rFonts w:ascii="Tahoma" w:hAnsi="Tahoma" w:cs="Tahoma"/>
        <w:noProof/>
        <w:sz w:val="14"/>
        <w:szCs w:val="14"/>
        <w:lang w:val="es-MX"/>
      </w:rPr>
      <w:fldChar w:fldCharType="end"/>
    </w:r>
  </w:p>
  <w:p w:rsidR="002C5B37" w:rsidRPr="00A84FCE" w:rsidRDefault="002C5B37">
    <w:pPr>
      <w:pStyle w:val="Encabezado"/>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B37" w:rsidRPr="001F7758" w:rsidRDefault="002C5B37" w:rsidP="002C5B37">
    <w:pPr>
      <w:tabs>
        <w:tab w:val="center" w:pos="4252"/>
        <w:tab w:val="right" w:pos="8504"/>
      </w:tabs>
      <w:jc w:val="center"/>
      <w:rPr>
        <w:b/>
        <w:i/>
        <w:sz w:val="12"/>
        <w:szCs w:val="12"/>
      </w:rPr>
    </w:pPr>
    <w:r w:rsidRPr="001F7758">
      <w:rPr>
        <w:b/>
        <w:i/>
        <w:noProof/>
        <w:sz w:val="12"/>
        <w:szCs w:val="12"/>
        <w:lang w:val="es-CO" w:eastAsia="es-CO"/>
      </w:rPr>
      <w:drawing>
        <wp:inline distT="0" distB="0" distL="0" distR="0" wp14:anchorId="0DA3CEBA" wp14:editId="603E7C87">
          <wp:extent cx="666750" cy="647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rsidR="002C5B37" w:rsidRPr="001F7758" w:rsidRDefault="002C5B37" w:rsidP="002C5B37">
    <w:pPr>
      <w:tabs>
        <w:tab w:val="center" w:pos="4252"/>
        <w:tab w:val="right" w:pos="8504"/>
      </w:tabs>
      <w:jc w:val="center"/>
      <w:rPr>
        <w:rFonts w:ascii="Tahoma" w:hAnsi="Tahoma" w:cs="Tahoma"/>
        <w:b/>
        <w:sz w:val="12"/>
        <w:szCs w:val="12"/>
        <w:lang w:val="es-MX"/>
      </w:rPr>
    </w:pPr>
    <w:r w:rsidRPr="001F7758">
      <w:rPr>
        <w:rFonts w:ascii="Tahoma" w:hAnsi="Tahoma" w:cs="Tahoma"/>
        <w:b/>
        <w:sz w:val="12"/>
        <w:szCs w:val="12"/>
        <w:lang w:val="es-MX"/>
      </w:rPr>
      <w:t>JUZGADO TREINTA Y CUATRO ADMINISTRATIVO</w:t>
    </w:r>
  </w:p>
  <w:p w:rsidR="002C5B37" w:rsidRPr="001F7758" w:rsidRDefault="002C5B37" w:rsidP="002C5B37">
    <w:pPr>
      <w:tabs>
        <w:tab w:val="center" w:pos="4252"/>
        <w:tab w:val="right" w:pos="8504"/>
      </w:tabs>
      <w:jc w:val="center"/>
      <w:rPr>
        <w:rFonts w:ascii="Tahoma" w:hAnsi="Tahoma" w:cs="Tahoma"/>
        <w:b/>
        <w:sz w:val="12"/>
        <w:szCs w:val="12"/>
        <w:lang w:val="es-MX"/>
      </w:rPr>
    </w:pPr>
    <w:r w:rsidRPr="001F7758">
      <w:rPr>
        <w:rFonts w:ascii="Tahoma" w:hAnsi="Tahoma" w:cs="Tahoma"/>
        <w:b/>
        <w:sz w:val="12"/>
        <w:szCs w:val="12"/>
        <w:lang w:val="es-MX"/>
      </w:rPr>
      <w:t>ORAL DE BOGOTÁ</w:t>
    </w:r>
  </w:p>
  <w:p w:rsidR="002C5B37" w:rsidRPr="001F7758" w:rsidRDefault="002C5B37" w:rsidP="002C5B37">
    <w:pPr>
      <w:tabs>
        <w:tab w:val="center" w:pos="4252"/>
        <w:tab w:val="right" w:pos="8504"/>
      </w:tabs>
      <w:jc w:val="center"/>
      <w:rPr>
        <w:rFonts w:ascii="Tahoma" w:hAnsi="Tahoma" w:cs="Tahoma"/>
        <w:b/>
        <w:sz w:val="12"/>
        <w:szCs w:val="12"/>
        <w:lang w:val="es-MX"/>
      </w:rPr>
    </w:pPr>
    <w:r w:rsidRPr="001F7758">
      <w:rPr>
        <w:rFonts w:ascii="Tahoma" w:hAnsi="Tahoma" w:cs="Tahoma"/>
        <w:b/>
        <w:sz w:val="12"/>
        <w:szCs w:val="12"/>
        <w:lang w:val="es-MX"/>
      </w:rPr>
      <w:t>Sección Tercera</w:t>
    </w:r>
  </w:p>
  <w:p w:rsidR="002C5B37" w:rsidRDefault="002C5B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E2E40"/>
    <w:multiLevelType w:val="hybridMultilevel"/>
    <w:tmpl w:val="D49A9E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BAC3005"/>
    <w:multiLevelType w:val="hybridMultilevel"/>
    <w:tmpl w:val="E1A643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B37"/>
    <w:rsid w:val="00024464"/>
    <w:rsid w:val="000E527C"/>
    <w:rsid w:val="00130C92"/>
    <w:rsid w:val="00131762"/>
    <w:rsid w:val="001319D7"/>
    <w:rsid w:val="00163740"/>
    <w:rsid w:val="00192B5A"/>
    <w:rsid w:val="001C3273"/>
    <w:rsid w:val="001F7758"/>
    <w:rsid w:val="00217941"/>
    <w:rsid w:val="00220681"/>
    <w:rsid w:val="00237B0E"/>
    <w:rsid w:val="00250210"/>
    <w:rsid w:val="00267B75"/>
    <w:rsid w:val="00270467"/>
    <w:rsid w:val="002811E0"/>
    <w:rsid w:val="002A006D"/>
    <w:rsid w:val="002A228A"/>
    <w:rsid w:val="002C5B37"/>
    <w:rsid w:val="002D0054"/>
    <w:rsid w:val="003309C5"/>
    <w:rsid w:val="00387D79"/>
    <w:rsid w:val="003B65F3"/>
    <w:rsid w:val="003E40D8"/>
    <w:rsid w:val="00403EF2"/>
    <w:rsid w:val="00412F3C"/>
    <w:rsid w:val="004A2471"/>
    <w:rsid w:val="004A2B3B"/>
    <w:rsid w:val="005729A0"/>
    <w:rsid w:val="00586DDB"/>
    <w:rsid w:val="00590A89"/>
    <w:rsid w:val="00627DBA"/>
    <w:rsid w:val="006974EE"/>
    <w:rsid w:val="006B0AB9"/>
    <w:rsid w:val="006B1298"/>
    <w:rsid w:val="00752612"/>
    <w:rsid w:val="00756C33"/>
    <w:rsid w:val="007F3A87"/>
    <w:rsid w:val="008079AB"/>
    <w:rsid w:val="00835210"/>
    <w:rsid w:val="00867F6F"/>
    <w:rsid w:val="00876D5B"/>
    <w:rsid w:val="008818AD"/>
    <w:rsid w:val="008F4BE6"/>
    <w:rsid w:val="00910F32"/>
    <w:rsid w:val="009923DE"/>
    <w:rsid w:val="00993274"/>
    <w:rsid w:val="00A05122"/>
    <w:rsid w:val="00A13D7B"/>
    <w:rsid w:val="00A74144"/>
    <w:rsid w:val="00BD2559"/>
    <w:rsid w:val="00BE5FB0"/>
    <w:rsid w:val="00C11480"/>
    <w:rsid w:val="00C2247A"/>
    <w:rsid w:val="00CA0CDD"/>
    <w:rsid w:val="00CB1CF4"/>
    <w:rsid w:val="00CC4C16"/>
    <w:rsid w:val="00CC4C94"/>
    <w:rsid w:val="00CF5200"/>
    <w:rsid w:val="00D32C7D"/>
    <w:rsid w:val="00DE299B"/>
    <w:rsid w:val="00DF7580"/>
    <w:rsid w:val="00E36D24"/>
    <w:rsid w:val="00E867C5"/>
    <w:rsid w:val="00EC3A38"/>
    <w:rsid w:val="00ED4F17"/>
    <w:rsid w:val="00EF5E83"/>
    <w:rsid w:val="00F464A1"/>
    <w:rsid w:val="00F51B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B37"/>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C5B37"/>
    <w:pPr>
      <w:widowControl/>
      <w:tabs>
        <w:tab w:val="center" w:pos="4419"/>
        <w:tab w:val="right" w:pos="8838"/>
      </w:tabs>
      <w:autoSpaceDE/>
      <w:autoSpaceDN/>
      <w:adjustRightInd/>
    </w:pPr>
    <w:rPr>
      <w:rFonts w:ascii="Times New Roman" w:hAnsi="Times New Roman" w:cs="Times New Roman"/>
      <w:sz w:val="24"/>
      <w:szCs w:val="24"/>
      <w:lang w:val="es-CO"/>
    </w:rPr>
  </w:style>
  <w:style w:type="character" w:customStyle="1" w:styleId="EncabezadoCar">
    <w:name w:val="Encabezado Car"/>
    <w:basedOn w:val="Fuentedeprrafopredeter"/>
    <w:link w:val="Encabezado"/>
    <w:rsid w:val="002C5B37"/>
    <w:rPr>
      <w:rFonts w:ascii="Times New Roman" w:eastAsia="Times New Roman" w:hAnsi="Times New Roman" w:cs="Times New Roman"/>
      <w:sz w:val="24"/>
      <w:szCs w:val="24"/>
      <w:lang w:val="es-CO" w:eastAsia="es-ES"/>
    </w:rPr>
  </w:style>
  <w:style w:type="character" w:styleId="Refdenotaalpie">
    <w:name w:val="footnote reference"/>
    <w:basedOn w:val="Fuentedeprrafopredeter"/>
    <w:semiHidden/>
    <w:unhideWhenUsed/>
    <w:rsid w:val="002C5B37"/>
    <w:rPr>
      <w:rFonts w:ascii="Times New Roman" w:hAnsi="Times New Roman" w:cs="Times New Roman" w:hint="default"/>
      <w:vertAlign w:val="superscript"/>
    </w:rPr>
  </w:style>
  <w:style w:type="paragraph" w:styleId="Textodeglobo">
    <w:name w:val="Balloon Text"/>
    <w:basedOn w:val="Normal"/>
    <w:link w:val="TextodegloboCar"/>
    <w:uiPriority w:val="99"/>
    <w:semiHidden/>
    <w:unhideWhenUsed/>
    <w:rsid w:val="002C5B37"/>
    <w:rPr>
      <w:rFonts w:ascii="Tahoma" w:hAnsi="Tahoma" w:cs="Tahoma"/>
      <w:sz w:val="16"/>
      <w:szCs w:val="16"/>
    </w:rPr>
  </w:style>
  <w:style w:type="character" w:customStyle="1" w:styleId="TextodegloboCar">
    <w:name w:val="Texto de globo Car"/>
    <w:basedOn w:val="Fuentedeprrafopredeter"/>
    <w:link w:val="Textodeglobo"/>
    <w:uiPriority w:val="99"/>
    <w:semiHidden/>
    <w:rsid w:val="002C5B37"/>
    <w:rPr>
      <w:rFonts w:ascii="Tahoma" w:eastAsia="Times New Roman" w:hAnsi="Tahoma" w:cs="Tahoma"/>
      <w:sz w:val="16"/>
      <w:szCs w:val="16"/>
      <w:lang w:eastAsia="es-ES"/>
    </w:rPr>
  </w:style>
  <w:style w:type="paragraph" w:styleId="Sinespaciado">
    <w:name w:val="No Spacing"/>
    <w:uiPriority w:val="1"/>
    <w:qFormat/>
    <w:rsid w:val="00CF5200"/>
    <w:pPr>
      <w:spacing w:after="0" w:line="240" w:lineRule="auto"/>
    </w:pPr>
    <w:rPr>
      <w:lang w:val="es-CO"/>
    </w:rPr>
  </w:style>
  <w:style w:type="paragraph" w:styleId="Textonotapie">
    <w:name w:val="footnote text"/>
    <w:aliases w:val="Ref. de nota al pie1,Pie de Página,FC,Texto de nota al pie,Ref. de nota al pie 2,Footnote Text Char Char Char Char Char,Footnote Text Char Char Char Char,Footnote reference,FA Fu,Footnote Text Cha,Footnote Text Char Char Char,Car,C"/>
    <w:basedOn w:val="Normal"/>
    <w:link w:val="TextonotapieCar"/>
    <w:uiPriority w:val="99"/>
    <w:unhideWhenUsed/>
    <w:rsid w:val="00CF5200"/>
    <w:pPr>
      <w:widowControl/>
      <w:autoSpaceDE/>
      <w:autoSpaceDN/>
      <w:adjustRightInd/>
    </w:pPr>
    <w:rPr>
      <w:rFonts w:ascii="Times New Roman" w:hAnsi="Times New Roman" w:cs="Times New Roman"/>
    </w:rPr>
  </w:style>
  <w:style w:type="character" w:customStyle="1" w:styleId="TextonotapieCar">
    <w:name w:val="Texto nota pie Car"/>
    <w:aliases w:val="Ref. de nota al pie1 Car,Pie de Página Car,FC Car,Texto de nota al pie Car,Ref. de nota al pie 2 Car,Footnote Text Char Char Char Char Char Car,Footnote Text Char Char Char Char Car,Footnote reference Car,FA Fu Car,Car Car,C Car"/>
    <w:basedOn w:val="Fuentedeprrafopredeter"/>
    <w:link w:val="Textonotapie"/>
    <w:uiPriority w:val="99"/>
    <w:rsid w:val="00CF520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2D0054"/>
    <w:pPr>
      <w:ind w:left="720"/>
      <w:contextualSpacing/>
    </w:pPr>
  </w:style>
  <w:style w:type="paragraph" w:styleId="Piedepgina">
    <w:name w:val="footer"/>
    <w:basedOn w:val="Normal"/>
    <w:link w:val="PiedepginaCar"/>
    <w:uiPriority w:val="99"/>
    <w:unhideWhenUsed/>
    <w:rsid w:val="006B0AB9"/>
    <w:pPr>
      <w:tabs>
        <w:tab w:val="center" w:pos="4252"/>
        <w:tab w:val="right" w:pos="8504"/>
      </w:tabs>
    </w:pPr>
  </w:style>
  <w:style w:type="character" w:customStyle="1" w:styleId="PiedepginaCar">
    <w:name w:val="Pie de página Car"/>
    <w:basedOn w:val="Fuentedeprrafopredeter"/>
    <w:link w:val="Piedepgina"/>
    <w:uiPriority w:val="99"/>
    <w:rsid w:val="006B0AB9"/>
    <w:rPr>
      <w:rFonts w:ascii="Arial" w:eastAsia="Times New Roman" w:hAnsi="Arial" w:cs="Arial"/>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B37"/>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C5B37"/>
    <w:pPr>
      <w:widowControl/>
      <w:tabs>
        <w:tab w:val="center" w:pos="4419"/>
        <w:tab w:val="right" w:pos="8838"/>
      </w:tabs>
      <w:autoSpaceDE/>
      <w:autoSpaceDN/>
      <w:adjustRightInd/>
    </w:pPr>
    <w:rPr>
      <w:rFonts w:ascii="Times New Roman" w:hAnsi="Times New Roman" w:cs="Times New Roman"/>
      <w:sz w:val="24"/>
      <w:szCs w:val="24"/>
      <w:lang w:val="es-CO"/>
    </w:rPr>
  </w:style>
  <w:style w:type="character" w:customStyle="1" w:styleId="EncabezadoCar">
    <w:name w:val="Encabezado Car"/>
    <w:basedOn w:val="Fuentedeprrafopredeter"/>
    <w:link w:val="Encabezado"/>
    <w:rsid w:val="002C5B37"/>
    <w:rPr>
      <w:rFonts w:ascii="Times New Roman" w:eastAsia="Times New Roman" w:hAnsi="Times New Roman" w:cs="Times New Roman"/>
      <w:sz w:val="24"/>
      <w:szCs w:val="24"/>
      <w:lang w:val="es-CO" w:eastAsia="es-ES"/>
    </w:rPr>
  </w:style>
  <w:style w:type="character" w:styleId="Refdenotaalpie">
    <w:name w:val="footnote reference"/>
    <w:basedOn w:val="Fuentedeprrafopredeter"/>
    <w:semiHidden/>
    <w:unhideWhenUsed/>
    <w:rsid w:val="002C5B37"/>
    <w:rPr>
      <w:rFonts w:ascii="Times New Roman" w:hAnsi="Times New Roman" w:cs="Times New Roman" w:hint="default"/>
      <w:vertAlign w:val="superscript"/>
    </w:rPr>
  </w:style>
  <w:style w:type="paragraph" w:styleId="Textodeglobo">
    <w:name w:val="Balloon Text"/>
    <w:basedOn w:val="Normal"/>
    <w:link w:val="TextodegloboCar"/>
    <w:uiPriority w:val="99"/>
    <w:semiHidden/>
    <w:unhideWhenUsed/>
    <w:rsid w:val="002C5B37"/>
    <w:rPr>
      <w:rFonts w:ascii="Tahoma" w:hAnsi="Tahoma" w:cs="Tahoma"/>
      <w:sz w:val="16"/>
      <w:szCs w:val="16"/>
    </w:rPr>
  </w:style>
  <w:style w:type="character" w:customStyle="1" w:styleId="TextodegloboCar">
    <w:name w:val="Texto de globo Car"/>
    <w:basedOn w:val="Fuentedeprrafopredeter"/>
    <w:link w:val="Textodeglobo"/>
    <w:uiPriority w:val="99"/>
    <w:semiHidden/>
    <w:rsid w:val="002C5B37"/>
    <w:rPr>
      <w:rFonts w:ascii="Tahoma" w:eastAsia="Times New Roman" w:hAnsi="Tahoma" w:cs="Tahoma"/>
      <w:sz w:val="16"/>
      <w:szCs w:val="16"/>
      <w:lang w:eastAsia="es-ES"/>
    </w:rPr>
  </w:style>
  <w:style w:type="paragraph" w:styleId="Sinespaciado">
    <w:name w:val="No Spacing"/>
    <w:uiPriority w:val="1"/>
    <w:qFormat/>
    <w:rsid w:val="00CF5200"/>
    <w:pPr>
      <w:spacing w:after="0" w:line="240" w:lineRule="auto"/>
    </w:pPr>
    <w:rPr>
      <w:lang w:val="es-CO"/>
    </w:rPr>
  </w:style>
  <w:style w:type="paragraph" w:styleId="Textonotapie">
    <w:name w:val="footnote text"/>
    <w:aliases w:val="Ref. de nota al pie1,Pie de Página,FC,Texto de nota al pie,Ref. de nota al pie 2,Footnote Text Char Char Char Char Char,Footnote Text Char Char Char Char,Footnote reference,FA Fu,Footnote Text Cha,Footnote Text Char Char Char,Car,C"/>
    <w:basedOn w:val="Normal"/>
    <w:link w:val="TextonotapieCar"/>
    <w:uiPriority w:val="99"/>
    <w:unhideWhenUsed/>
    <w:rsid w:val="00CF5200"/>
    <w:pPr>
      <w:widowControl/>
      <w:autoSpaceDE/>
      <w:autoSpaceDN/>
      <w:adjustRightInd/>
    </w:pPr>
    <w:rPr>
      <w:rFonts w:ascii="Times New Roman" w:hAnsi="Times New Roman" w:cs="Times New Roman"/>
    </w:rPr>
  </w:style>
  <w:style w:type="character" w:customStyle="1" w:styleId="TextonotapieCar">
    <w:name w:val="Texto nota pie Car"/>
    <w:aliases w:val="Ref. de nota al pie1 Car,Pie de Página Car,FC Car,Texto de nota al pie Car,Ref. de nota al pie 2 Car,Footnote Text Char Char Char Char Char Car,Footnote Text Char Char Char Char Car,Footnote reference Car,FA Fu Car,Car Car,C Car"/>
    <w:basedOn w:val="Fuentedeprrafopredeter"/>
    <w:link w:val="Textonotapie"/>
    <w:uiPriority w:val="99"/>
    <w:rsid w:val="00CF520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2D0054"/>
    <w:pPr>
      <w:ind w:left="720"/>
      <w:contextualSpacing/>
    </w:pPr>
  </w:style>
  <w:style w:type="paragraph" w:styleId="Piedepgina">
    <w:name w:val="footer"/>
    <w:basedOn w:val="Normal"/>
    <w:link w:val="PiedepginaCar"/>
    <w:uiPriority w:val="99"/>
    <w:unhideWhenUsed/>
    <w:rsid w:val="006B0AB9"/>
    <w:pPr>
      <w:tabs>
        <w:tab w:val="center" w:pos="4252"/>
        <w:tab w:val="right" w:pos="8504"/>
      </w:tabs>
    </w:pPr>
  </w:style>
  <w:style w:type="character" w:customStyle="1" w:styleId="PiedepginaCar">
    <w:name w:val="Pie de página Car"/>
    <w:basedOn w:val="Fuentedeprrafopredeter"/>
    <w:link w:val="Piedepgina"/>
    <w:uiPriority w:val="99"/>
    <w:rsid w:val="006B0AB9"/>
    <w:rPr>
      <w:rFonts w:ascii="Arial" w:eastAsia="Times New Roman" w:hAnsi="Arial" w:cs="Arial"/>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1337</Words>
  <Characters>7359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2017-02-10T17:03:00Z</cp:lastPrinted>
  <dcterms:created xsi:type="dcterms:W3CDTF">2017-02-10T17:02:00Z</dcterms:created>
  <dcterms:modified xsi:type="dcterms:W3CDTF">2017-02-10T17:05:00Z</dcterms:modified>
</cp:coreProperties>
</file>