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25"/>
      </w:tblGrid>
      <w:tr w:rsidR="009F121C" w:rsidRPr="00D225FF" w:rsidTr="00B623D1">
        <w:trPr>
          <w:trHeight w:val="185"/>
        </w:trPr>
        <w:tc>
          <w:tcPr>
            <w:tcW w:w="1985" w:type="dxa"/>
            <w:tcBorders>
              <w:top w:val="single" w:sz="4" w:space="0" w:color="auto"/>
              <w:left w:val="single" w:sz="4" w:space="0" w:color="auto"/>
              <w:bottom w:val="single" w:sz="4" w:space="0" w:color="auto"/>
              <w:right w:val="single" w:sz="4" w:space="0" w:color="auto"/>
            </w:tcBorders>
            <w:vAlign w:val="center"/>
            <w:hideMark/>
          </w:tcPr>
          <w:p w:rsidR="009F121C" w:rsidRPr="00D225FF" w:rsidRDefault="009F121C" w:rsidP="00B623D1">
            <w:pPr>
              <w:keepNext/>
              <w:jc w:val="both"/>
              <w:outlineLvl w:val="0"/>
              <w:rPr>
                <w:rFonts w:ascii="Tahoma" w:hAnsi="Tahoma" w:cs="Tahoma"/>
                <w:sz w:val="16"/>
                <w:szCs w:val="16"/>
                <w:lang w:val="es-MX"/>
              </w:rPr>
            </w:pPr>
            <w:r w:rsidRPr="00D225FF">
              <w:rPr>
                <w:rFonts w:ascii="Tahoma" w:hAnsi="Tahoma" w:cs="Tahoma"/>
                <w:sz w:val="16"/>
                <w:szCs w:val="16"/>
                <w:lang w:val="es-MX"/>
              </w:rPr>
              <w:t>CIUDAD Y FECHA</w:t>
            </w:r>
          </w:p>
        </w:tc>
        <w:tc>
          <w:tcPr>
            <w:tcW w:w="6825" w:type="dxa"/>
            <w:tcBorders>
              <w:top w:val="single" w:sz="4" w:space="0" w:color="auto"/>
              <w:left w:val="single" w:sz="4" w:space="0" w:color="auto"/>
              <w:bottom w:val="single" w:sz="4" w:space="0" w:color="auto"/>
              <w:right w:val="single" w:sz="4" w:space="0" w:color="auto"/>
            </w:tcBorders>
            <w:hideMark/>
          </w:tcPr>
          <w:p w:rsidR="009F121C" w:rsidRPr="00D225FF" w:rsidRDefault="009F121C" w:rsidP="006E733C">
            <w:pPr>
              <w:keepNext/>
              <w:jc w:val="both"/>
              <w:outlineLvl w:val="0"/>
              <w:rPr>
                <w:rFonts w:ascii="Tahoma" w:hAnsi="Tahoma" w:cs="Tahoma"/>
                <w:b/>
                <w:sz w:val="16"/>
                <w:szCs w:val="16"/>
                <w:lang w:val="es-MX"/>
              </w:rPr>
            </w:pPr>
            <w:r w:rsidRPr="00D225FF">
              <w:rPr>
                <w:rFonts w:ascii="Tahoma" w:hAnsi="Tahoma" w:cs="Tahoma"/>
                <w:b/>
                <w:sz w:val="16"/>
                <w:szCs w:val="16"/>
                <w:lang w:val="es-MX"/>
              </w:rPr>
              <w:t xml:space="preserve">Bogotá D. C.,  </w:t>
            </w:r>
            <w:r w:rsidR="006E733C">
              <w:rPr>
                <w:rFonts w:ascii="Tahoma" w:hAnsi="Tahoma" w:cs="Tahoma"/>
                <w:b/>
                <w:sz w:val="16"/>
                <w:szCs w:val="16"/>
                <w:lang w:val="es-MX"/>
              </w:rPr>
              <w:t>veintiséis (26)</w:t>
            </w:r>
            <w:r w:rsidR="003E7C1B" w:rsidRPr="00D225FF">
              <w:rPr>
                <w:rFonts w:ascii="Tahoma" w:hAnsi="Tahoma" w:cs="Tahoma"/>
                <w:b/>
                <w:sz w:val="16"/>
                <w:szCs w:val="16"/>
                <w:lang w:val="es-MX"/>
              </w:rPr>
              <w:t xml:space="preserve"> de julio </w:t>
            </w:r>
            <w:r w:rsidRPr="00D225FF">
              <w:rPr>
                <w:rFonts w:ascii="Tahoma" w:hAnsi="Tahoma" w:cs="Tahoma"/>
                <w:b/>
                <w:sz w:val="16"/>
                <w:szCs w:val="16"/>
                <w:lang w:val="es-MX"/>
              </w:rPr>
              <w:t>de dos mil diecisiete (2017)</w:t>
            </w:r>
          </w:p>
        </w:tc>
      </w:tr>
      <w:tr w:rsidR="009F121C" w:rsidRPr="00D225FF" w:rsidTr="00B623D1">
        <w:trPr>
          <w:trHeight w:val="197"/>
        </w:trPr>
        <w:tc>
          <w:tcPr>
            <w:tcW w:w="1985" w:type="dxa"/>
            <w:tcBorders>
              <w:top w:val="single" w:sz="4" w:space="0" w:color="auto"/>
              <w:left w:val="single" w:sz="4" w:space="0" w:color="auto"/>
              <w:bottom w:val="single" w:sz="4" w:space="0" w:color="auto"/>
              <w:right w:val="single" w:sz="4" w:space="0" w:color="auto"/>
            </w:tcBorders>
            <w:vAlign w:val="center"/>
            <w:hideMark/>
          </w:tcPr>
          <w:p w:rsidR="009F121C" w:rsidRPr="00D225FF" w:rsidRDefault="009F121C" w:rsidP="00B623D1">
            <w:pPr>
              <w:keepNext/>
              <w:jc w:val="both"/>
              <w:outlineLvl w:val="0"/>
              <w:rPr>
                <w:rFonts w:ascii="Tahoma" w:hAnsi="Tahoma" w:cs="Tahoma"/>
                <w:sz w:val="16"/>
                <w:szCs w:val="16"/>
                <w:lang w:val="es-MX"/>
              </w:rPr>
            </w:pPr>
            <w:r w:rsidRPr="00D225FF">
              <w:rPr>
                <w:rFonts w:ascii="Tahoma" w:hAnsi="Tahoma" w:cs="Tahoma"/>
                <w:sz w:val="16"/>
                <w:szCs w:val="16"/>
                <w:lang w:val="es-MX"/>
              </w:rPr>
              <w:t>REFERENCIA</w:t>
            </w:r>
          </w:p>
        </w:tc>
        <w:tc>
          <w:tcPr>
            <w:tcW w:w="6825" w:type="dxa"/>
            <w:tcBorders>
              <w:top w:val="single" w:sz="4" w:space="0" w:color="auto"/>
              <w:left w:val="single" w:sz="4" w:space="0" w:color="auto"/>
              <w:bottom w:val="single" w:sz="4" w:space="0" w:color="auto"/>
              <w:right w:val="single" w:sz="4" w:space="0" w:color="auto"/>
            </w:tcBorders>
            <w:hideMark/>
          </w:tcPr>
          <w:p w:rsidR="009F121C" w:rsidRPr="00D225FF" w:rsidRDefault="009F121C" w:rsidP="00B623D1">
            <w:pPr>
              <w:rPr>
                <w:rFonts w:ascii="Tahoma" w:hAnsi="Tahoma" w:cs="Tahoma"/>
                <w:b/>
                <w:sz w:val="16"/>
                <w:szCs w:val="16"/>
                <w:lang w:val="es-MX"/>
              </w:rPr>
            </w:pPr>
            <w:r w:rsidRPr="00D225FF">
              <w:rPr>
                <w:rFonts w:ascii="Tahoma" w:hAnsi="Tahoma" w:cs="Tahoma"/>
                <w:b/>
                <w:sz w:val="16"/>
                <w:szCs w:val="16"/>
                <w:lang w:val="es-MX"/>
              </w:rPr>
              <w:t>Expediente No. 11001333603420130052900</w:t>
            </w:r>
          </w:p>
        </w:tc>
      </w:tr>
      <w:tr w:rsidR="009F121C" w:rsidRPr="00D225FF" w:rsidTr="00B623D1">
        <w:trPr>
          <w:trHeight w:val="198"/>
        </w:trPr>
        <w:tc>
          <w:tcPr>
            <w:tcW w:w="1985" w:type="dxa"/>
            <w:tcBorders>
              <w:top w:val="single" w:sz="4" w:space="0" w:color="auto"/>
              <w:left w:val="single" w:sz="4" w:space="0" w:color="auto"/>
              <w:bottom w:val="single" w:sz="4" w:space="0" w:color="auto"/>
              <w:right w:val="single" w:sz="4" w:space="0" w:color="auto"/>
            </w:tcBorders>
            <w:vAlign w:val="center"/>
            <w:hideMark/>
          </w:tcPr>
          <w:p w:rsidR="009F121C" w:rsidRPr="00D225FF" w:rsidRDefault="009F121C" w:rsidP="00B623D1">
            <w:pPr>
              <w:keepNext/>
              <w:jc w:val="both"/>
              <w:outlineLvl w:val="0"/>
              <w:rPr>
                <w:rFonts w:ascii="Tahoma" w:hAnsi="Tahoma" w:cs="Tahoma"/>
                <w:sz w:val="16"/>
                <w:szCs w:val="16"/>
                <w:lang w:val="es-MX"/>
              </w:rPr>
            </w:pPr>
            <w:r w:rsidRPr="00D225FF">
              <w:rPr>
                <w:rFonts w:ascii="Tahoma" w:hAnsi="Tahoma" w:cs="Tahoma"/>
                <w:sz w:val="16"/>
                <w:szCs w:val="16"/>
                <w:lang w:val="es-MX"/>
              </w:rPr>
              <w:t>DEMANDANTE</w:t>
            </w:r>
          </w:p>
        </w:tc>
        <w:tc>
          <w:tcPr>
            <w:tcW w:w="6825" w:type="dxa"/>
            <w:tcBorders>
              <w:top w:val="single" w:sz="4" w:space="0" w:color="auto"/>
              <w:left w:val="single" w:sz="4" w:space="0" w:color="auto"/>
              <w:bottom w:val="single" w:sz="4" w:space="0" w:color="auto"/>
              <w:right w:val="single" w:sz="4" w:space="0" w:color="auto"/>
            </w:tcBorders>
            <w:hideMark/>
          </w:tcPr>
          <w:p w:rsidR="009F121C" w:rsidRPr="00D225FF" w:rsidRDefault="009F121C" w:rsidP="00B623D1">
            <w:pPr>
              <w:rPr>
                <w:rFonts w:ascii="Tahoma" w:hAnsi="Tahoma" w:cs="Tahoma"/>
                <w:b/>
                <w:sz w:val="16"/>
                <w:szCs w:val="16"/>
                <w:lang w:val="es-MX"/>
              </w:rPr>
            </w:pPr>
            <w:r w:rsidRPr="00D225FF">
              <w:rPr>
                <w:rFonts w:ascii="Tahoma" w:hAnsi="Tahoma" w:cs="Tahoma"/>
                <w:b/>
                <w:sz w:val="16"/>
                <w:szCs w:val="16"/>
                <w:lang w:val="es-MX"/>
              </w:rPr>
              <w:t xml:space="preserve">INGRID VIVIANA RUIZ Y OTROS </w:t>
            </w:r>
          </w:p>
        </w:tc>
      </w:tr>
      <w:tr w:rsidR="009F121C" w:rsidRPr="00D225FF" w:rsidTr="00B623D1">
        <w:trPr>
          <w:trHeight w:val="147"/>
        </w:trPr>
        <w:tc>
          <w:tcPr>
            <w:tcW w:w="1985" w:type="dxa"/>
            <w:tcBorders>
              <w:top w:val="single" w:sz="4" w:space="0" w:color="auto"/>
              <w:left w:val="single" w:sz="4" w:space="0" w:color="auto"/>
              <w:bottom w:val="single" w:sz="4" w:space="0" w:color="auto"/>
              <w:right w:val="single" w:sz="4" w:space="0" w:color="auto"/>
            </w:tcBorders>
            <w:vAlign w:val="center"/>
            <w:hideMark/>
          </w:tcPr>
          <w:p w:rsidR="009F121C" w:rsidRPr="00D225FF" w:rsidRDefault="009F121C" w:rsidP="00B623D1">
            <w:pPr>
              <w:keepNext/>
              <w:jc w:val="both"/>
              <w:outlineLvl w:val="0"/>
              <w:rPr>
                <w:rFonts w:ascii="Tahoma" w:hAnsi="Tahoma" w:cs="Tahoma"/>
                <w:sz w:val="16"/>
                <w:szCs w:val="16"/>
                <w:lang w:val="es-MX"/>
              </w:rPr>
            </w:pPr>
            <w:r w:rsidRPr="00D225FF">
              <w:rPr>
                <w:rFonts w:ascii="Tahoma" w:hAnsi="Tahoma" w:cs="Tahoma"/>
                <w:sz w:val="16"/>
                <w:szCs w:val="16"/>
                <w:lang w:val="es-MX"/>
              </w:rPr>
              <w:t>DEMANDADO</w:t>
            </w:r>
          </w:p>
        </w:tc>
        <w:tc>
          <w:tcPr>
            <w:tcW w:w="6825" w:type="dxa"/>
            <w:tcBorders>
              <w:top w:val="single" w:sz="4" w:space="0" w:color="auto"/>
              <w:left w:val="single" w:sz="4" w:space="0" w:color="auto"/>
              <w:bottom w:val="single" w:sz="4" w:space="0" w:color="auto"/>
              <w:right w:val="single" w:sz="4" w:space="0" w:color="auto"/>
            </w:tcBorders>
            <w:hideMark/>
          </w:tcPr>
          <w:p w:rsidR="009F121C" w:rsidRPr="00D225FF" w:rsidRDefault="009F121C" w:rsidP="00B623D1">
            <w:pPr>
              <w:rPr>
                <w:rFonts w:ascii="Tahoma" w:hAnsi="Tahoma" w:cs="Tahoma"/>
                <w:b/>
                <w:sz w:val="16"/>
                <w:szCs w:val="16"/>
                <w:lang w:val="es-MX"/>
              </w:rPr>
            </w:pPr>
            <w:r w:rsidRPr="00D225FF">
              <w:rPr>
                <w:rFonts w:ascii="Tahoma" w:hAnsi="Tahoma" w:cs="Tahoma"/>
                <w:b/>
                <w:sz w:val="16"/>
                <w:szCs w:val="16"/>
                <w:lang w:val="es-ES"/>
              </w:rPr>
              <w:t xml:space="preserve">NACION – FISCALIA GENERAL DE LA NACION </w:t>
            </w:r>
          </w:p>
        </w:tc>
      </w:tr>
      <w:tr w:rsidR="009F121C" w:rsidRPr="00D225FF" w:rsidTr="00B623D1">
        <w:trPr>
          <w:trHeight w:val="202"/>
        </w:trPr>
        <w:tc>
          <w:tcPr>
            <w:tcW w:w="1985" w:type="dxa"/>
            <w:tcBorders>
              <w:top w:val="single" w:sz="4" w:space="0" w:color="auto"/>
              <w:left w:val="single" w:sz="4" w:space="0" w:color="auto"/>
              <w:bottom w:val="single" w:sz="4" w:space="0" w:color="auto"/>
              <w:right w:val="single" w:sz="4" w:space="0" w:color="auto"/>
            </w:tcBorders>
            <w:vAlign w:val="center"/>
            <w:hideMark/>
          </w:tcPr>
          <w:p w:rsidR="009F121C" w:rsidRPr="00D225FF" w:rsidRDefault="009F121C" w:rsidP="00B623D1">
            <w:pPr>
              <w:keepNext/>
              <w:jc w:val="both"/>
              <w:outlineLvl w:val="0"/>
              <w:rPr>
                <w:rFonts w:ascii="Tahoma" w:hAnsi="Tahoma" w:cs="Tahoma"/>
                <w:sz w:val="16"/>
                <w:szCs w:val="16"/>
                <w:lang w:val="es-MX"/>
              </w:rPr>
            </w:pPr>
            <w:r w:rsidRPr="00D225FF">
              <w:rPr>
                <w:rFonts w:ascii="Tahoma" w:hAnsi="Tahoma" w:cs="Tahoma"/>
                <w:sz w:val="16"/>
                <w:szCs w:val="16"/>
                <w:lang w:val="es-MX"/>
              </w:rPr>
              <w:t>MEDIO DE CONTROL</w:t>
            </w:r>
          </w:p>
        </w:tc>
        <w:tc>
          <w:tcPr>
            <w:tcW w:w="6825" w:type="dxa"/>
            <w:tcBorders>
              <w:top w:val="single" w:sz="4" w:space="0" w:color="auto"/>
              <w:left w:val="single" w:sz="4" w:space="0" w:color="auto"/>
              <w:bottom w:val="single" w:sz="4" w:space="0" w:color="auto"/>
              <w:right w:val="single" w:sz="4" w:space="0" w:color="auto"/>
            </w:tcBorders>
            <w:hideMark/>
          </w:tcPr>
          <w:p w:rsidR="009F121C" w:rsidRPr="00D225FF" w:rsidRDefault="009F121C" w:rsidP="00B623D1">
            <w:pPr>
              <w:rPr>
                <w:rFonts w:ascii="Tahoma" w:hAnsi="Tahoma" w:cs="Tahoma"/>
                <w:b/>
                <w:sz w:val="16"/>
                <w:szCs w:val="16"/>
                <w:lang w:val="es-MX"/>
              </w:rPr>
            </w:pPr>
            <w:r w:rsidRPr="00D225FF">
              <w:rPr>
                <w:rFonts w:ascii="Tahoma" w:hAnsi="Tahoma" w:cs="Tahoma"/>
                <w:b/>
                <w:sz w:val="16"/>
                <w:szCs w:val="16"/>
                <w:lang w:val="es-MX"/>
              </w:rPr>
              <w:t>REPARACIÓN DIRECTA</w:t>
            </w:r>
          </w:p>
        </w:tc>
      </w:tr>
      <w:tr w:rsidR="009F121C" w:rsidRPr="00D225FF" w:rsidTr="00B623D1">
        <w:trPr>
          <w:trHeight w:val="144"/>
        </w:trPr>
        <w:tc>
          <w:tcPr>
            <w:tcW w:w="1985" w:type="dxa"/>
            <w:tcBorders>
              <w:top w:val="single" w:sz="4" w:space="0" w:color="auto"/>
              <w:left w:val="single" w:sz="4" w:space="0" w:color="auto"/>
              <w:bottom w:val="single" w:sz="4" w:space="0" w:color="auto"/>
              <w:right w:val="single" w:sz="4" w:space="0" w:color="auto"/>
            </w:tcBorders>
            <w:vAlign w:val="center"/>
            <w:hideMark/>
          </w:tcPr>
          <w:p w:rsidR="009F121C" w:rsidRPr="00D225FF" w:rsidRDefault="009F121C" w:rsidP="00B623D1">
            <w:pPr>
              <w:keepNext/>
              <w:jc w:val="both"/>
              <w:outlineLvl w:val="0"/>
              <w:rPr>
                <w:rFonts w:ascii="Tahoma" w:hAnsi="Tahoma" w:cs="Tahoma"/>
                <w:sz w:val="16"/>
                <w:szCs w:val="16"/>
                <w:lang w:val="es-MX"/>
              </w:rPr>
            </w:pPr>
            <w:r w:rsidRPr="00D225FF">
              <w:rPr>
                <w:rFonts w:ascii="Tahoma" w:hAnsi="Tahoma" w:cs="Tahoma"/>
                <w:sz w:val="16"/>
                <w:szCs w:val="16"/>
                <w:lang w:val="es-MX"/>
              </w:rPr>
              <w:t>ASUNTO</w:t>
            </w:r>
          </w:p>
        </w:tc>
        <w:tc>
          <w:tcPr>
            <w:tcW w:w="6825" w:type="dxa"/>
            <w:tcBorders>
              <w:top w:val="single" w:sz="4" w:space="0" w:color="auto"/>
              <w:left w:val="single" w:sz="4" w:space="0" w:color="auto"/>
              <w:bottom w:val="single" w:sz="4" w:space="0" w:color="auto"/>
              <w:right w:val="single" w:sz="4" w:space="0" w:color="auto"/>
            </w:tcBorders>
            <w:hideMark/>
          </w:tcPr>
          <w:p w:rsidR="009F121C" w:rsidRPr="00D225FF" w:rsidRDefault="003E7C1B" w:rsidP="00D225FF">
            <w:pPr>
              <w:rPr>
                <w:rFonts w:ascii="Tahoma" w:hAnsi="Tahoma" w:cs="Tahoma"/>
                <w:b/>
                <w:color w:val="000000"/>
                <w:sz w:val="16"/>
                <w:szCs w:val="16"/>
              </w:rPr>
            </w:pPr>
            <w:r w:rsidRPr="00D225FF">
              <w:rPr>
                <w:rFonts w:ascii="Tahoma" w:hAnsi="Tahoma" w:cs="Tahoma"/>
                <w:b/>
                <w:color w:val="000000"/>
                <w:sz w:val="16"/>
                <w:szCs w:val="16"/>
              </w:rPr>
              <w:t>APRUEBA LIQUIDAC</w:t>
            </w:r>
            <w:r w:rsidR="00D225FF" w:rsidRPr="00D225FF">
              <w:rPr>
                <w:rFonts w:ascii="Tahoma" w:hAnsi="Tahoma" w:cs="Tahoma"/>
                <w:b/>
                <w:color w:val="000000"/>
                <w:sz w:val="16"/>
                <w:szCs w:val="16"/>
              </w:rPr>
              <w:t>IÓ</w:t>
            </w:r>
            <w:r w:rsidRPr="00D225FF">
              <w:rPr>
                <w:rFonts w:ascii="Tahoma" w:hAnsi="Tahoma" w:cs="Tahoma"/>
                <w:b/>
                <w:color w:val="000000"/>
                <w:sz w:val="16"/>
                <w:szCs w:val="16"/>
              </w:rPr>
              <w:t>N DE</w:t>
            </w:r>
            <w:r w:rsidR="00D225FF" w:rsidRPr="00D225FF">
              <w:rPr>
                <w:rFonts w:ascii="Tahoma" w:hAnsi="Tahoma" w:cs="Tahoma"/>
                <w:b/>
                <w:color w:val="000000"/>
                <w:sz w:val="16"/>
                <w:szCs w:val="16"/>
              </w:rPr>
              <w:t xml:space="preserve"> COSTAS-ACEPTA RENUNCIA – REQUIERE A DEMANDADA</w:t>
            </w:r>
          </w:p>
        </w:tc>
      </w:tr>
    </w:tbl>
    <w:p w:rsidR="009F121C" w:rsidRPr="00D225FF" w:rsidRDefault="009F121C" w:rsidP="009F121C">
      <w:pPr>
        <w:tabs>
          <w:tab w:val="left" w:pos="1650"/>
        </w:tabs>
        <w:jc w:val="both"/>
        <w:rPr>
          <w:rFonts w:ascii="Tahoma" w:hAnsi="Tahoma" w:cs="Tahoma"/>
          <w:sz w:val="16"/>
          <w:szCs w:val="16"/>
          <w:lang w:val="es-ES"/>
        </w:rPr>
      </w:pPr>
      <w:r w:rsidRPr="00D225FF">
        <w:rPr>
          <w:rFonts w:ascii="Tahoma" w:hAnsi="Tahoma" w:cs="Tahoma"/>
          <w:sz w:val="16"/>
          <w:szCs w:val="16"/>
          <w:lang w:val="es-ES"/>
        </w:rPr>
        <w:tab/>
      </w:r>
    </w:p>
    <w:p w:rsidR="009F121C" w:rsidRPr="00D225FF" w:rsidRDefault="009F121C" w:rsidP="009F121C">
      <w:pPr>
        <w:jc w:val="both"/>
        <w:rPr>
          <w:rFonts w:ascii="Tahoma" w:hAnsi="Tahoma" w:cs="Tahoma"/>
          <w:spacing w:val="1"/>
          <w:sz w:val="16"/>
          <w:szCs w:val="16"/>
        </w:rPr>
      </w:pPr>
      <w:r w:rsidRPr="00D225FF">
        <w:rPr>
          <w:rFonts w:ascii="Tahoma" w:hAnsi="Tahoma" w:cs="Tahoma"/>
          <w:spacing w:val="1"/>
          <w:sz w:val="16"/>
          <w:szCs w:val="16"/>
        </w:rPr>
        <w:t xml:space="preserve">Con la presente demanda se pretende que se declare administrativamente responsable a la Fiscalía General de la Nación por los perjuicios morales y daño en la vida en relación causados a los demandantes por la prescripción de la acción penal contra las señoras </w:t>
      </w:r>
      <w:proofErr w:type="spellStart"/>
      <w:r w:rsidRPr="00D225FF">
        <w:rPr>
          <w:rFonts w:ascii="Tahoma" w:hAnsi="Tahoma" w:cs="Tahoma"/>
          <w:spacing w:val="1"/>
          <w:sz w:val="16"/>
          <w:szCs w:val="16"/>
        </w:rPr>
        <w:t>Lyrys</w:t>
      </w:r>
      <w:proofErr w:type="spellEnd"/>
      <w:r w:rsidRPr="00D225FF">
        <w:rPr>
          <w:rFonts w:ascii="Tahoma" w:hAnsi="Tahoma" w:cs="Tahoma"/>
          <w:spacing w:val="1"/>
          <w:sz w:val="16"/>
          <w:szCs w:val="16"/>
        </w:rPr>
        <w:t xml:space="preserve"> Arelis </w:t>
      </w:r>
      <w:proofErr w:type="spellStart"/>
      <w:r w:rsidRPr="00D225FF">
        <w:rPr>
          <w:rFonts w:ascii="Tahoma" w:hAnsi="Tahoma" w:cs="Tahoma"/>
          <w:spacing w:val="1"/>
          <w:sz w:val="16"/>
          <w:szCs w:val="16"/>
        </w:rPr>
        <w:t>Esguerra</w:t>
      </w:r>
      <w:proofErr w:type="spellEnd"/>
      <w:r w:rsidRPr="00D225FF">
        <w:rPr>
          <w:rFonts w:ascii="Tahoma" w:hAnsi="Tahoma" w:cs="Tahoma"/>
          <w:spacing w:val="1"/>
          <w:sz w:val="16"/>
          <w:szCs w:val="16"/>
        </w:rPr>
        <w:t xml:space="preserve"> Cárdenas y Alejandra Elizabeth Becerra Reyes por el fallecimiento del neonato Julián David Trujillo Ruiz.</w:t>
      </w:r>
    </w:p>
    <w:p w:rsidR="009F121C" w:rsidRPr="00D225FF" w:rsidRDefault="009F121C" w:rsidP="009F121C">
      <w:pPr>
        <w:jc w:val="both"/>
        <w:rPr>
          <w:rFonts w:ascii="Tahoma" w:hAnsi="Tahoma" w:cs="Tahoma"/>
          <w:sz w:val="16"/>
          <w:szCs w:val="16"/>
        </w:rPr>
      </w:pPr>
    </w:p>
    <w:p w:rsidR="009F121C" w:rsidRPr="00D225FF" w:rsidRDefault="009F121C" w:rsidP="009F121C">
      <w:pPr>
        <w:jc w:val="both"/>
        <w:rPr>
          <w:rFonts w:ascii="Tahoma" w:hAnsi="Tahoma" w:cs="Tahoma"/>
          <w:bCs/>
          <w:sz w:val="16"/>
          <w:szCs w:val="16"/>
        </w:rPr>
      </w:pPr>
      <w:r w:rsidRPr="00D225FF">
        <w:rPr>
          <w:rFonts w:ascii="Tahoma" w:hAnsi="Tahoma" w:cs="Tahoma"/>
          <w:bCs/>
          <w:sz w:val="16"/>
          <w:szCs w:val="16"/>
        </w:rPr>
        <w:t>El 9 de Marzo de 2016 se profirió fallo de primera instancia</w:t>
      </w:r>
      <w:r w:rsidRPr="00D225FF">
        <w:rPr>
          <w:rFonts w:ascii="Tahoma" w:hAnsi="Tahoma" w:cs="Tahoma"/>
          <w:bCs/>
          <w:sz w:val="16"/>
          <w:szCs w:val="16"/>
          <w:vertAlign w:val="superscript"/>
        </w:rPr>
        <w:footnoteReference w:id="1"/>
      </w:r>
      <w:r w:rsidRPr="00D225FF">
        <w:rPr>
          <w:rFonts w:ascii="Tahoma" w:hAnsi="Tahoma" w:cs="Tahoma"/>
          <w:bCs/>
          <w:sz w:val="16"/>
          <w:szCs w:val="16"/>
        </w:rPr>
        <w:t xml:space="preserve"> negando las pretensiones de la demanda.</w:t>
      </w:r>
    </w:p>
    <w:p w:rsidR="009F121C" w:rsidRPr="00D225FF" w:rsidRDefault="009F121C" w:rsidP="009F121C">
      <w:pPr>
        <w:jc w:val="both"/>
        <w:rPr>
          <w:rFonts w:ascii="Tahoma" w:hAnsi="Tahoma" w:cs="Tahoma"/>
          <w:bCs/>
          <w:sz w:val="16"/>
          <w:szCs w:val="16"/>
        </w:rPr>
      </w:pPr>
    </w:p>
    <w:p w:rsidR="009F121C" w:rsidRPr="00D225FF" w:rsidRDefault="009F121C" w:rsidP="009F121C">
      <w:pPr>
        <w:jc w:val="both"/>
        <w:rPr>
          <w:rFonts w:ascii="Tahoma" w:hAnsi="Tahoma" w:cs="Tahoma"/>
          <w:bCs/>
          <w:sz w:val="16"/>
          <w:szCs w:val="16"/>
        </w:rPr>
      </w:pPr>
      <w:r w:rsidRPr="00D225FF">
        <w:rPr>
          <w:rFonts w:ascii="Tahoma" w:hAnsi="Tahoma" w:cs="Tahoma"/>
          <w:bCs/>
          <w:sz w:val="16"/>
          <w:szCs w:val="16"/>
        </w:rPr>
        <w:t xml:space="preserve">Mediante memorial radicado el 31 de Marzo de 2016 el apoderado de la parte actora interpuso recurso de apelación en contra del fallo de primera instancia. </w:t>
      </w:r>
    </w:p>
    <w:p w:rsidR="009F121C" w:rsidRPr="00D225FF" w:rsidRDefault="009F121C" w:rsidP="009F121C">
      <w:pPr>
        <w:pStyle w:val="Textoindependiente2"/>
        <w:spacing w:after="0" w:line="240" w:lineRule="auto"/>
        <w:jc w:val="both"/>
        <w:rPr>
          <w:rFonts w:ascii="Tahoma" w:hAnsi="Tahoma" w:cs="Tahoma"/>
          <w:spacing w:val="1"/>
          <w:sz w:val="16"/>
          <w:szCs w:val="16"/>
          <w:highlight w:val="yellow"/>
          <w:lang w:val="es-ES_tradnl"/>
        </w:rPr>
      </w:pPr>
    </w:p>
    <w:p w:rsidR="009F121C" w:rsidRPr="00D225FF" w:rsidRDefault="009F121C" w:rsidP="009F121C">
      <w:pPr>
        <w:pStyle w:val="Textoindependiente2"/>
        <w:spacing w:after="0" w:line="240" w:lineRule="auto"/>
        <w:jc w:val="both"/>
        <w:rPr>
          <w:rFonts w:ascii="Tahoma" w:hAnsi="Tahoma" w:cs="Tahoma"/>
          <w:spacing w:val="1"/>
          <w:sz w:val="16"/>
          <w:szCs w:val="16"/>
          <w:lang w:val="es-ES_tradnl"/>
        </w:rPr>
      </w:pPr>
      <w:r w:rsidRPr="00D225FF">
        <w:rPr>
          <w:rFonts w:ascii="Tahoma" w:hAnsi="Tahoma" w:cs="Tahoma"/>
          <w:spacing w:val="1"/>
          <w:sz w:val="16"/>
          <w:szCs w:val="16"/>
          <w:lang w:val="es-ES_tradnl"/>
        </w:rPr>
        <w:t>En auto de 27 de abril de 2016 se concedió recurso de apelación.</w:t>
      </w:r>
    </w:p>
    <w:p w:rsidR="009F121C" w:rsidRPr="00D225FF" w:rsidRDefault="009F121C" w:rsidP="009F121C">
      <w:pPr>
        <w:pStyle w:val="Textoindependiente2"/>
        <w:spacing w:after="0" w:line="240" w:lineRule="auto"/>
        <w:jc w:val="both"/>
        <w:rPr>
          <w:rFonts w:ascii="Tahoma" w:hAnsi="Tahoma" w:cs="Tahoma"/>
          <w:spacing w:val="1"/>
          <w:sz w:val="16"/>
          <w:szCs w:val="16"/>
          <w:lang w:val="es-ES_tradnl"/>
        </w:rPr>
      </w:pPr>
    </w:p>
    <w:p w:rsidR="009F121C" w:rsidRPr="00D225FF" w:rsidRDefault="009F121C" w:rsidP="009F121C">
      <w:pPr>
        <w:jc w:val="both"/>
        <w:rPr>
          <w:rFonts w:ascii="Tahoma" w:hAnsi="Tahoma" w:cs="Tahoma"/>
          <w:noProof/>
          <w:sz w:val="16"/>
          <w:szCs w:val="16"/>
        </w:rPr>
      </w:pPr>
      <w:r w:rsidRPr="00D225FF">
        <w:rPr>
          <w:rFonts w:ascii="Tahoma" w:hAnsi="Tahoma" w:cs="Tahoma"/>
          <w:noProof/>
          <w:sz w:val="16"/>
          <w:szCs w:val="16"/>
        </w:rPr>
        <w:t xml:space="preserve">En providencia del  30 de noviembre de 2016, el Tribunal Administrativo de Cundinamarca-Sección Tercera-Subsección “B” MP: CARLOS ALBERTO VARGAS BAUTISTA, </w:t>
      </w:r>
      <w:r w:rsidRPr="00D225FF">
        <w:rPr>
          <w:rFonts w:ascii="Tahoma" w:hAnsi="Tahoma" w:cs="Tahoma"/>
          <w:b/>
          <w:noProof/>
          <w:sz w:val="16"/>
          <w:szCs w:val="16"/>
        </w:rPr>
        <w:t>REVOCÓ</w:t>
      </w:r>
      <w:r w:rsidRPr="00D225FF">
        <w:rPr>
          <w:rFonts w:ascii="Tahoma" w:hAnsi="Tahoma" w:cs="Tahoma"/>
          <w:noProof/>
          <w:sz w:val="16"/>
          <w:szCs w:val="16"/>
        </w:rPr>
        <w:t xml:space="preserve"> la sentencia de primera instancia proferida por este despacho, quedando así:</w:t>
      </w:r>
    </w:p>
    <w:p w:rsidR="009F121C" w:rsidRPr="00D225FF" w:rsidRDefault="009F121C" w:rsidP="009F121C">
      <w:pPr>
        <w:jc w:val="both"/>
        <w:rPr>
          <w:rFonts w:asciiTheme="minorHAnsi" w:hAnsiTheme="minorHAnsi" w:cs="Tahoma"/>
          <w:noProof/>
          <w:sz w:val="16"/>
          <w:szCs w:val="16"/>
          <w:highlight w:val="yellow"/>
        </w:rPr>
      </w:pPr>
    </w:p>
    <w:p w:rsidR="009F121C" w:rsidRPr="00D225FF" w:rsidRDefault="009F121C" w:rsidP="009F121C">
      <w:pPr>
        <w:ind w:left="708"/>
        <w:jc w:val="both"/>
        <w:rPr>
          <w:rFonts w:asciiTheme="minorHAnsi" w:hAnsiTheme="minorHAnsi" w:cs="Tahoma"/>
          <w:i/>
          <w:noProof/>
          <w:sz w:val="16"/>
          <w:szCs w:val="16"/>
        </w:rPr>
      </w:pPr>
      <w:r w:rsidRPr="00D225FF">
        <w:rPr>
          <w:rFonts w:asciiTheme="minorHAnsi" w:hAnsiTheme="minorHAnsi" w:cs="Tahoma"/>
          <w:i/>
          <w:noProof/>
          <w:sz w:val="16"/>
          <w:szCs w:val="16"/>
        </w:rPr>
        <w:t>“PRIMERO.- REVOCAR la sentencia del 9 de marzo de 2016, proferida por el Juzgado Treinta y Cuatro (34) Administrativo de Oralidad del Circuito Judicial de Bogotá.</w:t>
      </w:r>
    </w:p>
    <w:p w:rsidR="009F121C" w:rsidRPr="00D225FF" w:rsidRDefault="009F121C" w:rsidP="009F121C">
      <w:pPr>
        <w:ind w:left="708"/>
        <w:jc w:val="both"/>
        <w:rPr>
          <w:rFonts w:asciiTheme="minorHAnsi" w:hAnsiTheme="minorHAnsi" w:cs="Tahoma"/>
          <w:i/>
          <w:noProof/>
          <w:sz w:val="16"/>
          <w:szCs w:val="16"/>
        </w:rPr>
      </w:pPr>
      <w:r w:rsidRPr="00D225FF">
        <w:rPr>
          <w:rFonts w:asciiTheme="minorHAnsi" w:hAnsiTheme="minorHAnsi" w:cs="Tahoma"/>
          <w:i/>
          <w:noProof/>
          <w:sz w:val="16"/>
          <w:szCs w:val="16"/>
        </w:rPr>
        <w:t>SEGUNDO: DECLARAR la responsabilidad patrimonial de la Nación - Fiscalía General de la Nación por defectuoso funcionamiento de la administración de justicia, de conformidad con lo expuesto en el acápite de esta sentencia.</w:t>
      </w:r>
    </w:p>
    <w:p w:rsidR="009F121C" w:rsidRPr="00D225FF" w:rsidRDefault="009F121C" w:rsidP="009F121C">
      <w:pPr>
        <w:ind w:left="708"/>
        <w:jc w:val="both"/>
        <w:rPr>
          <w:rFonts w:asciiTheme="minorHAnsi" w:hAnsiTheme="minorHAnsi" w:cs="Tahoma"/>
          <w:i/>
          <w:noProof/>
          <w:sz w:val="16"/>
          <w:szCs w:val="16"/>
        </w:rPr>
      </w:pPr>
      <w:r w:rsidRPr="00D225FF">
        <w:rPr>
          <w:rFonts w:asciiTheme="minorHAnsi" w:hAnsiTheme="minorHAnsi" w:cs="Tahoma"/>
          <w:i/>
          <w:noProof/>
          <w:sz w:val="16"/>
          <w:szCs w:val="16"/>
        </w:rPr>
        <w:t>TERCERO: CONDENAR a la Nación ~ Fiscalía General de la Nación aVpagar a los demandantes por concepto de perjuicios morales, los siguientes:</w:t>
      </w:r>
    </w:p>
    <w:p w:rsidR="009F121C" w:rsidRPr="00D225FF" w:rsidRDefault="009F121C" w:rsidP="009F121C">
      <w:pPr>
        <w:ind w:left="708"/>
        <w:jc w:val="both"/>
        <w:rPr>
          <w:rFonts w:asciiTheme="minorHAnsi" w:hAnsiTheme="minorHAnsi" w:cs="Tahoma"/>
          <w:i/>
          <w:noProof/>
          <w:sz w:val="16"/>
          <w:szCs w:val="16"/>
        </w:rPr>
      </w:pPr>
    </w:p>
    <w:tbl>
      <w:tblPr>
        <w:tblW w:w="0" w:type="auto"/>
        <w:tblInd w:w="748" w:type="dxa"/>
        <w:tblLayout w:type="fixed"/>
        <w:tblCellMar>
          <w:left w:w="40" w:type="dxa"/>
          <w:right w:w="40" w:type="dxa"/>
        </w:tblCellMar>
        <w:tblLook w:val="04A0" w:firstRow="1" w:lastRow="0" w:firstColumn="1" w:lastColumn="0" w:noHBand="0" w:noVBand="1"/>
      </w:tblPr>
      <w:tblGrid>
        <w:gridCol w:w="4253"/>
        <w:gridCol w:w="1752"/>
        <w:gridCol w:w="1536"/>
      </w:tblGrid>
      <w:tr w:rsidR="009F121C" w:rsidRPr="00D225FF" w:rsidTr="00B623D1">
        <w:tc>
          <w:tcPr>
            <w:tcW w:w="4253"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Ingrid Viviana Ruiz</w:t>
            </w:r>
          </w:p>
        </w:tc>
        <w:tc>
          <w:tcPr>
            <w:tcW w:w="1752" w:type="dxa"/>
            <w:vMerge w:val="restart"/>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74" w:lineRule="exact"/>
              <w:ind w:firstLine="245"/>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Padres del menor fallecido</w:t>
            </w:r>
          </w:p>
        </w:tc>
        <w:tc>
          <w:tcPr>
            <w:tcW w:w="1536"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20 SMMLV</w:t>
            </w:r>
          </w:p>
        </w:tc>
      </w:tr>
      <w:tr w:rsidR="009F121C" w:rsidRPr="00D225FF" w:rsidTr="00B623D1">
        <w:tc>
          <w:tcPr>
            <w:tcW w:w="4253" w:type="dxa"/>
            <w:tcBorders>
              <w:top w:val="single" w:sz="6" w:space="0" w:color="auto"/>
              <w:left w:val="single" w:sz="6" w:space="0" w:color="auto"/>
              <w:bottom w:val="single" w:sz="6" w:space="0" w:color="auto"/>
              <w:right w:val="single" w:sz="6" w:space="0" w:color="auto"/>
            </w:tcBorders>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José Alejandro Trujillo Montano</w:t>
            </w:r>
          </w:p>
          <w:p w:rsidR="009F121C" w:rsidRPr="00D225FF" w:rsidRDefault="009F121C" w:rsidP="00B623D1">
            <w:pPr>
              <w:rPr>
                <w:rStyle w:val="FontStyle53"/>
                <w:rFonts w:asciiTheme="minorHAnsi" w:hAnsiTheme="minorHAnsi" w:cs="Tahoma"/>
                <w:sz w:val="16"/>
                <w:szCs w:val="16"/>
                <w:lang w:val="es-ES_tradnl" w:eastAsia="es-ES_tradnl"/>
              </w:rPr>
            </w:pPr>
          </w:p>
        </w:tc>
        <w:tc>
          <w:tcPr>
            <w:tcW w:w="1752" w:type="dxa"/>
            <w:vMerge/>
            <w:tcBorders>
              <w:top w:val="single" w:sz="6" w:space="0" w:color="auto"/>
              <w:left w:val="single" w:sz="6" w:space="0" w:color="auto"/>
              <w:bottom w:val="single" w:sz="6" w:space="0" w:color="auto"/>
              <w:right w:val="single" w:sz="6" w:space="0" w:color="auto"/>
            </w:tcBorders>
            <w:vAlign w:val="center"/>
            <w:hideMark/>
          </w:tcPr>
          <w:p w:rsidR="009F121C" w:rsidRPr="00D225FF" w:rsidRDefault="009F121C" w:rsidP="00B623D1">
            <w:pPr>
              <w:rPr>
                <w:rStyle w:val="FontStyle53"/>
                <w:rFonts w:asciiTheme="minorHAnsi" w:hAnsiTheme="minorHAnsi" w:cs="Tahoma"/>
                <w:sz w:val="16"/>
                <w:szCs w:val="16"/>
                <w:lang w:val="es-ES_tradnl" w:eastAsia="es-ES_tradnl"/>
              </w:rPr>
            </w:pPr>
          </w:p>
        </w:tc>
        <w:tc>
          <w:tcPr>
            <w:tcW w:w="1536"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20 SMMLV</w:t>
            </w:r>
          </w:p>
        </w:tc>
      </w:tr>
      <w:tr w:rsidR="009F121C" w:rsidRPr="00D225FF" w:rsidTr="00B623D1">
        <w:tc>
          <w:tcPr>
            <w:tcW w:w="4253"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David Santiago Trujillo Ruiz</w:t>
            </w:r>
          </w:p>
        </w:tc>
        <w:tc>
          <w:tcPr>
            <w:tcW w:w="1752" w:type="dxa"/>
            <w:vMerge w:val="restart"/>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2"/>
              <w:widowControl/>
              <w:spacing w:line="274" w:lineRule="exact"/>
              <w:ind w:firstLine="72"/>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Hermanos del menor fallecido</w:t>
            </w:r>
          </w:p>
        </w:tc>
        <w:tc>
          <w:tcPr>
            <w:tcW w:w="1536"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10 SMMLV</w:t>
            </w:r>
          </w:p>
        </w:tc>
      </w:tr>
      <w:tr w:rsidR="009F121C" w:rsidRPr="00D225FF" w:rsidTr="00B623D1">
        <w:tc>
          <w:tcPr>
            <w:tcW w:w="4253" w:type="dxa"/>
            <w:tcBorders>
              <w:top w:val="single" w:sz="6" w:space="0" w:color="auto"/>
              <w:left w:val="single" w:sz="6" w:space="0" w:color="auto"/>
              <w:bottom w:val="single" w:sz="6" w:space="0" w:color="auto"/>
              <w:right w:val="single" w:sz="6" w:space="0" w:color="auto"/>
            </w:tcBorders>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Thomas Alejandro Trujillo Ruiz</w:t>
            </w:r>
          </w:p>
          <w:p w:rsidR="009F121C" w:rsidRPr="00D225FF" w:rsidRDefault="009F121C" w:rsidP="00B623D1">
            <w:pPr>
              <w:rPr>
                <w:rStyle w:val="FontStyle53"/>
                <w:rFonts w:asciiTheme="minorHAnsi" w:hAnsiTheme="minorHAnsi" w:cs="Tahoma"/>
                <w:sz w:val="16"/>
                <w:szCs w:val="16"/>
                <w:lang w:val="es-ES_tradnl" w:eastAsia="es-ES_tradnl"/>
              </w:rPr>
            </w:pPr>
          </w:p>
        </w:tc>
        <w:tc>
          <w:tcPr>
            <w:tcW w:w="1752" w:type="dxa"/>
            <w:vMerge/>
            <w:tcBorders>
              <w:top w:val="single" w:sz="6" w:space="0" w:color="auto"/>
              <w:left w:val="single" w:sz="6" w:space="0" w:color="auto"/>
              <w:bottom w:val="single" w:sz="6" w:space="0" w:color="auto"/>
              <w:right w:val="single" w:sz="6" w:space="0" w:color="auto"/>
            </w:tcBorders>
            <w:vAlign w:val="center"/>
            <w:hideMark/>
          </w:tcPr>
          <w:p w:rsidR="009F121C" w:rsidRPr="00D225FF" w:rsidRDefault="009F121C" w:rsidP="00B623D1">
            <w:pPr>
              <w:rPr>
                <w:rStyle w:val="FontStyle53"/>
                <w:rFonts w:asciiTheme="minorHAnsi" w:hAnsiTheme="minorHAnsi" w:cs="Tahoma"/>
                <w:sz w:val="16"/>
                <w:szCs w:val="16"/>
                <w:lang w:val="es-ES_tradnl" w:eastAsia="es-ES_tradnl"/>
              </w:rPr>
            </w:pPr>
          </w:p>
        </w:tc>
        <w:tc>
          <w:tcPr>
            <w:tcW w:w="1536"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10 SMMLV</w:t>
            </w:r>
          </w:p>
        </w:tc>
      </w:tr>
      <w:tr w:rsidR="009F121C" w:rsidRPr="00D225FF" w:rsidTr="00B623D1">
        <w:tc>
          <w:tcPr>
            <w:tcW w:w="4253" w:type="dxa"/>
            <w:tcBorders>
              <w:top w:val="single" w:sz="6" w:space="0" w:color="auto"/>
              <w:left w:val="single" w:sz="6" w:space="0" w:color="auto"/>
              <w:bottom w:val="single" w:sz="6" w:space="0" w:color="auto"/>
              <w:right w:val="single" w:sz="6" w:space="0" w:color="auto"/>
            </w:tcBorders>
            <w:vAlign w:val="bottom"/>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María del Carmen Ruiz Salazar</w:t>
            </w:r>
          </w:p>
        </w:tc>
        <w:tc>
          <w:tcPr>
            <w:tcW w:w="1752" w:type="dxa"/>
            <w:vMerge w:val="restart"/>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76" w:lineRule="exact"/>
              <w:ind w:firstLine="175"/>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Abuelos del menor fallecido</w:t>
            </w:r>
          </w:p>
        </w:tc>
        <w:tc>
          <w:tcPr>
            <w:tcW w:w="1536" w:type="dxa"/>
            <w:tcBorders>
              <w:top w:val="single" w:sz="6" w:space="0" w:color="auto"/>
              <w:left w:val="single" w:sz="6" w:space="0" w:color="auto"/>
              <w:bottom w:val="single" w:sz="6" w:space="0" w:color="auto"/>
              <w:right w:val="single" w:sz="6" w:space="0" w:color="auto"/>
            </w:tcBorders>
            <w:vAlign w:val="bottom"/>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5 SMMLV</w:t>
            </w:r>
          </w:p>
        </w:tc>
      </w:tr>
      <w:tr w:rsidR="009F121C" w:rsidRPr="00D225FF" w:rsidTr="00B623D1">
        <w:tc>
          <w:tcPr>
            <w:tcW w:w="4253" w:type="dxa"/>
            <w:tcBorders>
              <w:top w:val="single" w:sz="6" w:space="0" w:color="auto"/>
              <w:left w:val="single" w:sz="6" w:space="0" w:color="auto"/>
              <w:bottom w:val="single" w:sz="6" w:space="0" w:color="auto"/>
              <w:right w:val="single" w:sz="6" w:space="0" w:color="auto"/>
            </w:tcBorders>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Germán Trujillo Restrepo</w:t>
            </w:r>
          </w:p>
          <w:p w:rsidR="009F121C" w:rsidRPr="00D225FF" w:rsidRDefault="009F121C" w:rsidP="00B623D1">
            <w:pPr>
              <w:rPr>
                <w:rStyle w:val="FontStyle53"/>
                <w:rFonts w:asciiTheme="minorHAnsi" w:hAnsiTheme="minorHAnsi" w:cs="Tahoma"/>
                <w:sz w:val="16"/>
                <w:szCs w:val="16"/>
                <w:lang w:val="es-ES_tradnl" w:eastAsia="es-ES_tradnl"/>
              </w:rPr>
            </w:pPr>
          </w:p>
        </w:tc>
        <w:tc>
          <w:tcPr>
            <w:tcW w:w="1752" w:type="dxa"/>
            <w:vMerge/>
            <w:tcBorders>
              <w:top w:val="single" w:sz="6" w:space="0" w:color="auto"/>
              <w:left w:val="single" w:sz="6" w:space="0" w:color="auto"/>
              <w:bottom w:val="single" w:sz="6" w:space="0" w:color="auto"/>
              <w:right w:val="single" w:sz="6" w:space="0" w:color="auto"/>
            </w:tcBorders>
            <w:vAlign w:val="center"/>
            <w:hideMark/>
          </w:tcPr>
          <w:p w:rsidR="009F121C" w:rsidRPr="00D225FF" w:rsidRDefault="009F121C" w:rsidP="00B623D1">
            <w:pPr>
              <w:rPr>
                <w:rStyle w:val="FontStyle53"/>
                <w:rFonts w:asciiTheme="minorHAnsi" w:hAnsiTheme="minorHAnsi" w:cs="Tahoma"/>
                <w:sz w:val="16"/>
                <w:szCs w:val="16"/>
                <w:lang w:val="es-ES_tradnl" w:eastAsia="es-ES_tradnl"/>
              </w:rPr>
            </w:pPr>
          </w:p>
        </w:tc>
        <w:tc>
          <w:tcPr>
            <w:tcW w:w="1536"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5 SMMLV</w:t>
            </w:r>
          </w:p>
        </w:tc>
      </w:tr>
      <w:tr w:rsidR="009F121C" w:rsidRPr="00D225FF" w:rsidTr="00B623D1">
        <w:trPr>
          <w:trHeight w:val="488"/>
        </w:trPr>
        <w:tc>
          <w:tcPr>
            <w:tcW w:w="4253" w:type="dxa"/>
            <w:tcBorders>
              <w:top w:val="single" w:sz="6" w:space="0" w:color="auto"/>
              <w:left w:val="single" w:sz="6" w:space="0" w:color="auto"/>
              <w:bottom w:val="single" w:sz="6" w:space="0" w:color="auto"/>
              <w:right w:val="single" w:sz="6" w:space="0" w:color="auto"/>
            </w:tcBorders>
          </w:tcPr>
          <w:p w:rsidR="009F121C" w:rsidRPr="00D225FF" w:rsidRDefault="009F121C" w:rsidP="00B623D1">
            <w:pPr>
              <w:pStyle w:val="Style42"/>
              <w:widowControl/>
              <w:spacing w:line="286" w:lineRule="exact"/>
              <w:ind w:right="924"/>
              <w:rPr>
                <w:rStyle w:val="FontStyle53"/>
                <w:rFonts w:asciiTheme="minorHAnsi" w:hAnsiTheme="minorHAnsi" w:cs="Tahoma"/>
                <w:sz w:val="16"/>
                <w:szCs w:val="16"/>
                <w:lang w:val="es-ES_tradnl" w:eastAsia="es-ES_tradnl"/>
              </w:rPr>
            </w:pPr>
            <w:proofErr w:type="spellStart"/>
            <w:r w:rsidRPr="00D225FF">
              <w:rPr>
                <w:rStyle w:val="FontStyle53"/>
                <w:rFonts w:asciiTheme="minorHAnsi" w:hAnsiTheme="minorHAnsi" w:cs="Tahoma"/>
                <w:sz w:val="16"/>
                <w:szCs w:val="16"/>
                <w:lang w:val="es-ES_tradnl" w:eastAsia="es-ES_tradnl"/>
              </w:rPr>
              <w:t>Marleny</w:t>
            </w:r>
            <w:proofErr w:type="spellEnd"/>
            <w:r w:rsidRPr="00D225FF">
              <w:rPr>
                <w:rStyle w:val="FontStyle53"/>
                <w:rFonts w:asciiTheme="minorHAnsi" w:hAnsiTheme="minorHAnsi" w:cs="Tahoma"/>
                <w:sz w:val="16"/>
                <w:szCs w:val="16"/>
                <w:lang w:val="es-ES_tradnl" w:eastAsia="es-ES_tradnl"/>
              </w:rPr>
              <w:t xml:space="preserve"> de Jesús Montano Restrepo</w:t>
            </w:r>
          </w:p>
        </w:tc>
        <w:tc>
          <w:tcPr>
            <w:tcW w:w="1752" w:type="dxa"/>
            <w:vMerge/>
            <w:tcBorders>
              <w:top w:val="single" w:sz="6" w:space="0" w:color="auto"/>
              <w:left w:val="single" w:sz="6" w:space="0" w:color="auto"/>
              <w:bottom w:val="single" w:sz="6" w:space="0" w:color="auto"/>
              <w:right w:val="single" w:sz="6" w:space="0" w:color="auto"/>
            </w:tcBorders>
            <w:vAlign w:val="center"/>
            <w:hideMark/>
          </w:tcPr>
          <w:p w:rsidR="009F121C" w:rsidRPr="00D225FF" w:rsidRDefault="009F121C" w:rsidP="00B623D1">
            <w:pPr>
              <w:rPr>
                <w:rStyle w:val="FontStyle53"/>
                <w:rFonts w:asciiTheme="minorHAnsi" w:hAnsiTheme="minorHAnsi" w:cs="Tahoma"/>
                <w:sz w:val="16"/>
                <w:szCs w:val="16"/>
                <w:lang w:val="es-ES_tradnl" w:eastAsia="es-ES_tradnl"/>
              </w:rPr>
            </w:pPr>
          </w:p>
        </w:tc>
        <w:tc>
          <w:tcPr>
            <w:tcW w:w="1536" w:type="dxa"/>
            <w:tcBorders>
              <w:top w:val="single" w:sz="6" w:space="0" w:color="auto"/>
              <w:left w:val="single" w:sz="6" w:space="0" w:color="auto"/>
              <w:bottom w:val="single" w:sz="6" w:space="0" w:color="auto"/>
              <w:right w:val="single" w:sz="6" w:space="0" w:color="auto"/>
            </w:tcBorders>
            <w:hideMark/>
          </w:tcPr>
          <w:p w:rsidR="009F121C" w:rsidRPr="00D225FF" w:rsidRDefault="009F121C" w:rsidP="00B623D1">
            <w:pPr>
              <w:pStyle w:val="Style43"/>
              <w:widowControl/>
              <w:spacing w:line="240" w:lineRule="auto"/>
              <w:ind w:firstLine="0"/>
              <w:rPr>
                <w:rStyle w:val="FontStyle53"/>
                <w:rFonts w:asciiTheme="minorHAnsi" w:hAnsiTheme="minorHAnsi" w:cs="Tahoma"/>
                <w:sz w:val="16"/>
                <w:szCs w:val="16"/>
                <w:lang w:val="es-ES_tradnl" w:eastAsia="es-ES_tradnl"/>
              </w:rPr>
            </w:pPr>
            <w:r w:rsidRPr="00D225FF">
              <w:rPr>
                <w:rStyle w:val="FontStyle53"/>
                <w:rFonts w:asciiTheme="minorHAnsi" w:hAnsiTheme="minorHAnsi" w:cs="Tahoma"/>
                <w:sz w:val="16"/>
                <w:szCs w:val="16"/>
                <w:lang w:val="es-ES_tradnl" w:eastAsia="es-ES_tradnl"/>
              </w:rPr>
              <w:t>5 SMMLV</w:t>
            </w:r>
          </w:p>
        </w:tc>
      </w:tr>
    </w:tbl>
    <w:p w:rsidR="009F121C" w:rsidRPr="00D225FF" w:rsidRDefault="009F121C" w:rsidP="009F121C">
      <w:pPr>
        <w:pStyle w:val="Style7"/>
        <w:widowControl/>
        <w:spacing w:line="240" w:lineRule="exact"/>
        <w:ind w:left="1135" w:right="485"/>
        <w:rPr>
          <w:rFonts w:asciiTheme="minorHAnsi" w:hAnsiTheme="minorHAnsi" w:cs="Tahoma"/>
          <w:sz w:val="16"/>
          <w:szCs w:val="16"/>
        </w:rPr>
      </w:pPr>
    </w:p>
    <w:p w:rsidR="009F121C" w:rsidRPr="00D225FF" w:rsidRDefault="009F121C" w:rsidP="009F121C">
      <w:pPr>
        <w:ind w:left="708"/>
        <w:jc w:val="both"/>
        <w:rPr>
          <w:rFonts w:asciiTheme="minorHAnsi" w:hAnsiTheme="minorHAnsi" w:cs="Tahoma"/>
          <w:i/>
          <w:noProof/>
          <w:sz w:val="16"/>
          <w:szCs w:val="16"/>
        </w:rPr>
      </w:pPr>
      <w:r w:rsidRPr="00D225FF">
        <w:rPr>
          <w:rFonts w:asciiTheme="minorHAnsi" w:hAnsiTheme="minorHAnsi" w:cs="Tahoma"/>
          <w:i/>
          <w:noProof/>
          <w:sz w:val="16"/>
          <w:szCs w:val="16"/>
        </w:rPr>
        <w:t>CUARTO: CONDENAR en costas en primera y segunda instancia a la parte demandada - Nación - Fiscalía General de la Nación, por secretaria del Juzgado de primera instancia liquídense, y el valor en esta instancia corresponde a la suma de un cincuenta y un mil setecientos nueve pesos m/cte ($51709) a favor de la parte actora.</w:t>
      </w:r>
    </w:p>
    <w:p w:rsidR="009F121C" w:rsidRPr="00D225FF" w:rsidRDefault="009F121C" w:rsidP="009F121C">
      <w:pPr>
        <w:ind w:left="708"/>
        <w:jc w:val="both"/>
        <w:rPr>
          <w:rFonts w:asciiTheme="minorHAnsi" w:hAnsiTheme="minorHAnsi" w:cs="Tahoma"/>
          <w:i/>
          <w:noProof/>
          <w:sz w:val="16"/>
          <w:szCs w:val="16"/>
          <w:highlight w:val="yellow"/>
        </w:rPr>
      </w:pPr>
      <w:r w:rsidRPr="00D225FF">
        <w:rPr>
          <w:rFonts w:asciiTheme="minorHAnsi" w:hAnsiTheme="minorHAnsi" w:cs="Tahoma"/>
          <w:i/>
          <w:noProof/>
          <w:sz w:val="16"/>
          <w:szCs w:val="16"/>
        </w:rPr>
        <w:t>QUINTO: Negar las demás pretensiones de la demanda.”</w:t>
      </w:r>
    </w:p>
    <w:p w:rsidR="009F121C" w:rsidRPr="00D225FF" w:rsidRDefault="009F121C" w:rsidP="009F121C">
      <w:pPr>
        <w:jc w:val="both"/>
        <w:rPr>
          <w:rFonts w:ascii="Tahoma" w:hAnsi="Tahoma" w:cs="Tahoma"/>
          <w:bCs/>
          <w:sz w:val="16"/>
          <w:szCs w:val="16"/>
          <w:highlight w:val="green"/>
          <w:lang w:val="es-MX"/>
        </w:rPr>
      </w:pPr>
    </w:p>
    <w:p w:rsidR="009F121C" w:rsidRPr="00D225FF" w:rsidRDefault="009F121C" w:rsidP="009F121C">
      <w:pPr>
        <w:jc w:val="both"/>
        <w:rPr>
          <w:rFonts w:ascii="Tahoma" w:hAnsi="Tahoma" w:cs="Tahoma"/>
          <w:spacing w:val="1"/>
          <w:sz w:val="16"/>
          <w:szCs w:val="16"/>
          <w:lang w:val="es-ES_tradnl"/>
        </w:rPr>
      </w:pPr>
      <w:r w:rsidRPr="00D225FF">
        <w:rPr>
          <w:rFonts w:ascii="Tahoma" w:hAnsi="Tahoma" w:cs="Tahoma"/>
          <w:spacing w:val="1"/>
          <w:sz w:val="16"/>
          <w:szCs w:val="16"/>
          <w:lang w:val="es-ES_tradnl"/>
        </w:rPr>
        <w:t xml:space="preserve">Mediante auto del </w:t>
      </w:r>
      <w:r w:rsidR="004B271A" w:rsidRPr="00D225FF">
        <w:rPr>
          <w:rFonts w:ascii="Tahoma" w:hAnsi="Tahoma" w:cs="Tahoma"/>
          <w:spacing w:val="1"/>
          <w:sz w:val="16"/>
          <w:szCs w:val="16"/>
          <w:lang w:val="es-ES_tradnl"/>
        </w:rPr>
        <w:t xml:space="preserve">6 de marzo de </w:t>
      </w:r>
      <w:r w:rsidRPr="00D225FF">
        <w:rPr>
          <w:rFonts w:ascii="Tahoma" w:hAnsi="Tahoma" w:cs="Tahoma"/>
          <w:spacing w:val="1"/>
          <w:sz w:val="16"/>
          <w:szCs w:val="16"/>
          <w:lang w:val="es-ES_tradnl"/>
        </w:rPr>
        <w:t>2017 se obedeció y cumplió lo ordenado por el H. Tribunal Administrativo de Cundinamarca</w:t>
      </w:r>
      <w:r w:rsidRPr="00D225FF">
        <w:rPr>
          <w:rStyle w:val="Refdenotaalpie"/>
          <w:rFonts w:ascii="Tahoma" w:hAnsi="Tahoma" w:cs="Tahoma"/>
          <w:spacing w:val="1"/>
          <w:sz w:val="16"/>
          <w:szCs w:val="16"/>
          <w:lang w:val="es-ES_tradnl"/>
        </w:rPr>
        <w:footnoteReference w:id="2"/>
      </w:r>
      <w:r w:rsidRPr="00D225FF">
        <w:rPr>
          <w:rFonts w:ascii="Tahoma" w:hAnsi="Tahoma" w:cs="Tahoma"/>
          <w:spacing w:val="1"/>
          <w:sz w:val="16"/>
          <w:szCs w:val="16"/>
          <w:lang w:val="es-ES_tradnl"/>
        </w:rPr>
        <w:t xml:space="preserve">. </w:t>
      </w:r>
    </w:p>
    <w:p w:rsidR="009F121C" w:rsidRPr="00D225FF" w:rsidRDefault="009F121C" w:rsidP="009F121C">
      <w:pPr>
        <w:jc w:val="both"/>
        <w:rPr>
          <w:rFonts w:ascii="Tahoma" w:hAnsi="Tahoma" w:cs="Tahoma"/>
          <w:spacing w:val="1"/>
          <w:sz w:val="16"/>
          <w:szCs w:val="16"/>
          <w:highlight w:val="green"/>
          <w:lang w:val="es-ES_tradnl"/>
        </w:rPr>
      </w:pPr>
    </w:p>
    <w:p w:rsidR="009F121C" w:rsidRPr="00D225FF" w:rsidRDefault="009F121C" w:rsidP="009F121C">
      <w:pPr>
        <w:jc w:val="both"/>
        <w:rPr>
          <w:rFonts w:ascii="Tahoma" w:hAnsi="Tahoma" w:cs="Tahoma"/>
          <w:spacing w:val="1"/>
          <w:sz w:val="16"/>
          <w:szCs w:val="16"/>
          <w:lang w:val="es-ES_tradnl"/>
        </w:rPr>
      </w:pPr>
      <w:r w:rsidRPr="00D225FF">
        <w:rPr>
          <w:rFonts w:ascii="Tahoma" w:hAnsi="Tahoma" w:cs="Tahoma"/>
          <w:spacing w:val="1"/>
          <w:sz w:val="16"/>
          <w:szCs w:val="16"/>
          <w:lang w:val="es-ES_tradnl"/>
        </w:rPr>
        <w:t xml:space="preserve">El </w:t>
      </w:r>
      <w:r w:rsidR="004B271A" w:rsidRPr="00D225FF">
        <w:rPr>
          <w:rFonts w:ascii="Tahoma" w:hAnsi="Tahoma" w:cs="Tahoma"/>
          <w:spacing w:val="1"/>
          <w:sz w:val="16"/>
          <w:szCs w:val="16"/>
          <w:lang w:val="es-ES_tradnl"/>
        </w:rPr>
        <w:t>27</w:t>
      </w:r>
      <w:r w:rsidRPr="00D225FF">
        <w:rPr>
          <w:rFonts w:ascii="Tahoma" w:hAnsi="Tahoma" w:cs="Tahoma"/>
          <w:spacing w:val="1"/>
          <w:sz w:val="16"/>
          <w:szCs w:val="16"/>
          <w:lang w:val="es-ES_tradnl"/>
        </w:rPr>
        <w:t xml:space="preserve"> de marzo de 2017, la secretaría de este despacho liquidó las costas en el presente proceso</w:t>
      </w:r>
      <w:r w:rsidR="004B271A" w:rsidRPr="00D225FF">
        <w:rPr>
          <w:rStyle w:val="Refdenotaalpie"/>
          <w:rFonts w:ascii="Tahoma" w:hAnsi="Tahoma" w:cs="Tahoma"/>
          <w:spacing w:val="1"/>
          <w:sz w:val="16"/>
          <w:szCs w:val="16"/>
          <w:lang w:val="es-ES_tradnl"/>
        </w:rPr>
        <w:footnoteReference w:id="3"/>
      </w:r>
      <w:r w:rsidRPr="00D225FF">
        <w:rPr>
          <w:rFonts w:ascii="Tahoma" w:hAnsi="Tahoma" w:cs="Tahoma"/>
          <w:spacing w:val="1"/>
          <w:sz w:val="16"/>
          <w:szCs w:val="16"/>
          <w:lang w:val="es-ES_tradnl"/>
        </w:rPr>
        <w:t xml:space="preserve">. </w:t>
      </w:r>
    </w:p>
    <w:p w:rsidR="009F121C" w:rsidRPr="00D225FF" w:rsidRDefault="009F121C" w:rsidP="009F121C">
      <w:pPr>
        <w:jc w:val="both"/>
        <w:rPr>
          <w:rFonts w:ascii="Tahoma" w:hAnsi="Tahoma" w:cs="Tahoma"/>
          <w:spacing w:val="1"/>
          <w:sz w:val="16"/>
          <w:szCs w:val="16"/>
          <w:lang w:val="es-ES_tradnl"/>
        </w:rPr>
      </w:pPr>
    </w:p>
    <w:p w:rsidR="009F121C" w:rsidRPr="00D225FF" w:rsidRDefault="009F121C" w:rsidP="009F121C">
      <w:pPr>
        <w:jc w:val="both"/>
        <w:rPr>
          <w:rFonts w:ascii="Tahoma" w:hAnsi="Tahoma" w:cs="Tahoma"/>
          <w:spacing w:val="1"/>
          <w:sz w:val="16"/>
          <w:szCs w:val="16"/>
          <w:lang w:val="es-ES_tradnl"/>
        </w:rPr>
      </w:pPr>
      <w:r w:rsidRPr="00D225FF">
        <w:rPr>
          <w:rFonts w:ascii="Tahoma" w:hAnsi="Tahoma" w:cs="Tahoma"/>
          <w:spacing w:val="1"/>
          <w:sz w:val="16"/>
          <w:szCs w:val="16"/>
          <w:lang w:val="es-ES_tradnl"/>
        </w:rPr>
        <w:t xml:space="preserve">En informe secretarial de </w:t>
      </w:r>
      <w:r w:rsidR="00D663BC" w:rsidRPr="00D225FF">
        <w:rPr>
          <w:rFonts w:ascii="Tahoma" w:hAnsi="Tahoma" w:cs="Tahoma"/>
          <w:spacing w:val="1"/>
          <w:sz w:val="16"/>
          <w:szCs w:val="16"/>
          <w:lang w:val="es-ES_tradnl"/>
        </w:rPr>
        <w:t>31</w:t>
      </w:r>
      <w:r w:rsidRPr="00D225FF">
        <w:rPr>
          <w:rFonts w:ascii="Tahoma" w:hAnsi="Tahoma" w:cs="Tahoma"/>
          <w:spacing w:val="1"/>
          <w:sz w:val="16"/>
          <w:szCs w:val="16"/>
          <w:lang w:val="es-ES_tradnl"/>
        </w:rPr>
        <w:t xml:space="preserve"> de marzo de 2017 se anotó: “</w:t>
      </w:r>
      <w:r w:rsidRPr="00D225FF">
        <w:rPr>
          <w:rFonts w:ascii="Tahoma" w:hAnsi="Tahoma" w:cs="Tahoma"/>
          <w:i/>
          <w:spacing w:val="1"/>
          <w:sz w:val="16"/>
          <w:szCs w:val="16"/>
          <w:lang w:val="es-ES_tradnl"/>
        </w:rPr>
        <w:t>LIQUIDACIÓN DE COSTAS EFECTUADA.SÍRVASE PROVEER</w:t>
      </w:r>
      <w:r w:rsidRPr="00D225FF">
        <w:rPr>
          <w:rFonts w:ascii="Tahoma" w:hAnsi="Tahoma" w:cs="Tahoma"/>
          <w:spacing w:val="1"/>
          <w:sz w:val="16"/>
          <w:szCs w:val="16"/>
          <w:lang w:val="es-ES_tradnl"/>
        </w:rPr>
        <w:t>”</w:t>
      </w:r>
    </w:p>
    <w:p w:rsidR="00D663BC" w:rsidRPr="00D225FF" w:rsidRDefault="00D663BC" w:rsidP="009F121C">
      <w:pPr>
        <w:jc w:val="both"/>
        <w:rPr>
          <w:rFonts w:ascii="Tahoma" w:hAnsi="Tahoma" w:cs="Tahoma"/>
          <w:spacing w:val="1"/>
          <w:sz w:val="16"/>
          <w:szCs w:val="16"/>
          <w:lang w:val="es-ES_tradnl"/>
        </w:rPr>
      </w:pPr>
    </w:p>
    <w:p w:rsidR="00D663BC" w:rsidRPr="00D225FF" w:rsidRDefault="00D663BC" w:rsidP="009F121C">
      <w:pPr>
        <w:jc w:val="both"/>
        <w:rPr>
          <w:rFonts w:ascii="Tahoma" w:hAnsi="Tahoma" w:cs="Tahoma"/>
          <w:spacing w:val="1"/>
          <w:sz w:val="16"/>
          <w:szCs w:val="16"/>
          <w:lang w:val="es-ES_tradnl"/>
        </w:rPr>
      </w:pPr>
      <w:r w:rsidRPr="00D225FF">
        <w:rPr>
          <w:rFonts w:ascii="Tahoma" w:hAnsi="Tahoma" w:cs="Tahoma"/>
          <w:spacing w:val="1"/>
          <w:sz w:val="16"/>
          <w:szCs w:val="16"/>
          <w:lang w:val="es-ES_tradnl"/>
        </w:rPr>
        <w:t xml:space="preserve">El 15 de mayo de 2017 el apoderado de la demanda </w:t>
      </w:r>
      <w:r w:rsidR="00C410FA" w:rsidRPr="00D225FF">
        <w:rPr>
          <w:rFonts w:ascii="Tahoma" w:hAnsi="Tahoma" w:cs="Tahoma"/>
          <w:spacing w:val="1"/>
          <w:sz w:val="16"/>
          <w:szCs w:val="16"/>
          <w:lang w:val="es-ES_tradnl"/>
        </w:rPr>
        <w:t>FISCALIA GENRAL DE LA NACIÓN radicó renuncia de poder. (</w:t>
      </w:r>
      <w:proofErr w:type="spellStart"/>
      <w:proofErr w:type="gramStart"/>
      <w:r w:rsidR="00C410FA" w:rsidRPr="00D225FF">
        <w:rPr>
          <w:rFonts w:ascii="Tahoma" w:hAnsi="Tahoma" w:cs="Tahoma"/>
          <w:spacing w:val="1"/>
          <w:sz w:val="16"/>
          <w:szCs w:val="16"/>
          <w:lang w:val="es-ES_tradnl"/>
        </w:rPr>
        <w:t>fl</w:t>
      </w:r>
      <w:proofErr w:type="spellEnd"/>
      <w:proofErr w:type="gramEnd"/>
      <w:r w:rsidR="00C410FA" w:rsidRPr="00D225FF">
        <w:rPr>
          <w:rFonts w:ascii="Tahoma" w:hAnsi="Tahoma" w:cs="Tahoma"/>
          <w:spacing w:val="1"/>
          <w:sz w:val="16"/>
          <w:szCs w:val="16"/>
          <w:lang w:val="es-ES_tradnl"/>
        </w:rPr>
        <w:t xml:space="preserve"> </w:t>
      </w:r>
      <w:r w:rsidR="00733626" w:rsidRPr="00D225FF">
        <w:rPr>
          <w:rFonts w:ascii="Tahoma" w:hAnsi="Tahoma" w:cs="Tahoma"/>
          <w:spacing w:val="1"/>
          <w:sz w:val="16"/>
          <w:szCs w:val="16"/>
          <w:lang w:val="es-ES_tradnl"/>
        </w:rPr>
        <w:t xml:space="preserve">253 a 255 </w:t>
      </w:r>
      <w:proofErr w:type="spellStart"/>
      <w:r w:rsidR="00733626" w:rsidRPr="00D225FF">
        <w:rPr>
          <w:rFonts w:ascii="Tahoma" w:hAnsi="Tahoma" w:cs="Tahoma"/>
          <w:spacing w:val="1"/>
          <w:sz w:val="16"/>
          <w:szCs w:val="16"/>
          <w:lang w:val="es-ES_tradnl"/>
        </w:rPr>
        <w:t>cp</w:t>
      </w:r>
      <w:proofErr w:type="spellEnd"/>
      <w:r w:rsidR="00733626" w:rsidRPr="00D225FF">
        <w:rPr>
          <w:rFonts w:ascii="Tahoma" w:hAnsi="Tahoma" w:cs="Tahoma"/>
          <w:spacing w:val="1"/>
          <w:sz w:val="16"/>
          <w:szCs w:val="16"/>
          <w:lang w:val="es-ES_tradnl"/>
        </w:rPr>
        <w:t>)</w:t>
      </w:r>
    </w:p>
    <w:p w:rsidR="009F121C" w:rsidRPr="00D225FF" w:rsidRDefault="009F121C" w:rsidP="009F121C">
      <w:pPr>
        <w:jc w:val="both"/>
        <w:rPr>
          <w:rFonts w:ascii="Tahoma" w:hAnsi="Tahoma" w:cs="Tahoma"/>
          <w:bCs/>
          <w:sz w:val="16"/>
          <w:szCs w:val="16"/>
          <w:lang w:val="es-MX"/>
        </w:rPr>
      </w:pPr>
    </w:p>
    <w:p w:rsidR="009F121C" w:rsidRPr="00D225FF" w:rsidRDefault="009F121C" w:rsidP="009F121C">
      <w:pPr>
        <w:jc w:val="center"/>
        <w:rPr>
          <w:rFonts w:ascii="Tahoma" w:hAnsi="Tahoma" w:cs="Tahoma"/>
          <w:sz w:val="16"/>
          <w:szCs w:val="16"/>
          <w:lang w:val="es-MX"/>
        </w:rPr>
      </w:pPr>
      <w:r w:rsidRPr="00D225FF">
        <w:rPr>
          <w:rFonts w:ascii="Tahoma" w:hAnsi="Tahoma" w:cs="Tahoma"/>
          <w:b/>
          <w:sz w:val="16"/>
          <w:szCs w:val="16"/>
          <w:lang w:val="es-MX"/>
        </w:rPr>
        <w:t>CONSIDERACIONES</w:t>
      </w:r>
      <w:r w:rsidRPr="00D225FF">
        <w:rPr>
          <w:rFonts w:ascii="Tahoma" w:hAnsi="Tahoma" w:cs="Tahoma"/>
          <w:sz w:val="16"/>
          <w:szCs w:val="16"/>
          <w:lang w:val="es-MX"/>
        </w:rPr>
        <w:t>:</w:t>
      </w:r>
    </w:p>
    <w:p w:rsidR="009F121C" w:rsidRPr="00D225FF" w:rsidRDefault="009F121C" w:rsidP="009F121C">
      <w:pPr>
        <w:jc w:val="center"/>
        <w:rPr>
          <w:rFonts w:ascii="Tahoma" w:hAnsi="Tahoma" w:cs="Tahoma"/>
          <w:b/>
          <w:sz w:val="16"/>
          <w:szCs w:val="16"/>
          <w:lang w:val="es-MX"/>
        </w:rPr>
      </w:pPr>
    </w:p>
    <w:p w:rsidR="00733626" w:rsidRPr="00D225FF" w:rsidRDefault="00733626" w:rsidP="00733626">
      <w:pPr>
        <w:pStyle w:val="Prrafodelista"/>
        <w:numPr>
          <w:ilvl w:val="0"/>
          <w:numId w:val="1"/>
        </w:numPr>
        <w:jc w:val="both"/>
        <w:rPr>
          <w:rFonts w:ascii="Tahoma" w:hAnsi="Tahoma" w:cs="Tahoma"/>
          <w:b/>
          <w:sz w:val="16"/>
          <w:szCs w:val="16"/>
          <w:lang w:val="es-MX"/>
        </w:rPr>
      </w:pPr>
      <w:r w:rsidRPr="00D225FF">
        <w:rPr>
          <w:rFonts w:ascii="Tahoma" w:hAnsi="Tahoma" w:cs="Tahoma"/>
          <w:b/>
          <w:sz w:val="16"/>
          <w:szCs w:val="16"/>
          <w:lang w:val="es-MX"/>
        </w:rPr>
        <w:t>De la liquidación de costas.</w:t>
      </w:r>
    </w:p>
    <w:p w:rsidR="00733626" w:rsidRPr="00D225FF" w:rsidRDefault="00733626" w:rsidP="00733626">
      <w:pPr>
        <w:pStyle w:val="Prrafodelista"/>
        <w:jc w:val="both"/>
        <w:rPr>
          <w:rFonts w:ascii="Tahoma" w:hAnsi="Tahoma" w:cs="Tahoma"/>
          <w:sz w:val="16"/>
          <w:szCs w:val="16"/>
          <w:lang w:val="es-MX"/>
        </w:rPr>
      </w:pPr>
    </w:p>
    <w:p w:rsidR="009F121C" w:rsidRPr="00D225FF" w:rsidRDefault="009F121C" w:rsidP="009F121C">
      <w:pPr>
        <w:jc w:val="both"/>
        <w:rPr>
          <w:rFonts w:ascii="Tahoma" w:hAnsi="Tahoma" w:cs="Tahoma"/>
          <w:sz w:val="16"/>
          <w:szCs w:val="16"/>
        </w:rPr>
      </w:pPr>
      <w:r w:rsidRPr="00D225FF">
        <w:rPr>
          <w:rFonts w:ascii="Tahoma" w:hAnsi="Tahoma" w:cs="Tahoma"/>
          <w:sz w:val="16"/>
          <w:szCs w:val="16"/>
        </w:rPr>
        <w:t xml:space="preserve">El artículo 188 del CPACA señala lo siguiente: </w:t>
      </w:r>
      <w:r w:rsidRPr="00D225FF">
        <w:rPr>
          <w:rFonts w:asciiTheme="minorHAnsi" w:hAnsiTheme="minorHAnsi" w:cs="Tahoma"/>
          <w:sz w:val="16"/>
          <w:szCs w:val="16"/>
        </w:rPr>
        <w:t>“</w:t>
      </w:r>
      <w:r w:rsidRPr="00D225FF">
        <w:rPr>
          <w:rFonts w:asciiTheme="minorHAnsi" w:hAnsiTheme="minorHAnsi" w:cs="Tahoma"/>
          <w:i/>
          <w:sz w:val="16"/>
          <w:szCs w:val="16"/>
        </w:rPr>
        <w:t xml:space="preserve">Salvo en los procesos en que se ventile un interés público, la sentencia dispondrá sobre la condena en costas, cuya liquidación y ejecución se </w:t>
      </w:r>
      <w:r w:rsidRPr="00D225FF">
        <w:rPr>
          <w:rFonts w:asciiTheme="minorHAnsi" w:hAnsiTheme="minorHAnsi" w:cs="Tahoma"/>
          <w:b/>
          <w:i/>
          <w:sz w:val="16"/>
          <w:szCs w:val="16"/>
        </w:rPr>
        <w:t>regirán por las normas del Código de Procedimiento Civil</w:t>
      </w:r>
      <w:r w:rsidRPr="00D225FF">
        <w:rPr>
          <w:rFonts w:asciiTheme="minorHAnsi" w:hAnsiTheme="minorHAnsi" w:cs="Tahoma"/>
          <w:sz w:val="16"/>
          <w:szCs w:val="16"/>
        </w:rPr>
        <w:t>”</w:t>
      </w:r>
      <w:r w:rsidRPr="00D225FF">
        <w:rPr>
          <w:rFonts w:ascii="Tahoma" w:hAnsi="Tahoma" w:cs="Tahoma"/>
          <w:sz w:val="16"/>
          <w:szCs w:val="16"/>
        </w:rPr>
        <w:t xml:space="preserve"> (negritas fuera de texto)</w:t>
      </w:r>
    </w:p>
    <w:p w:rsidR="009F121C" w:rsidRPr="00D225FF" w:rsidRDefault="009F121C" w:rsidP="009F121C">
      <w:pPr>
        <w:jc w:val="both"/>
        <w:rPr>
          <w:rFonts w:ascii="Tahoma" w:hAnsi="Tahoma" w:cs="Tahoma"/>
          <w:sz w:val="16"/>
          <w:szCs w:val="16"/>
        </w:rPr>
      </w:pPr>
    </w:p>
    <w:p w:rsidR="009F121C" w:rsidRPr="00D225FF" w:rsidRDefault="009F121C" w:rsidP="009F121C">
      <w:pPr>
        <w:jc w:val="both"/>
        <w:rPr>
          <w:rFonts w:ascii="Tahoma" w:hAnsi="Tahoma" w:cs="Tahoma"/>
          <w:sz w:val="16"/>
          <w:szCs w:val="16"/>
        </w:rPr>
      </w:pPr>
      <w:r w:rsidRPr="00D225FF">
        <w:rPr>
          <w:rFonts w:ascii="Tahoma" w:hAnsi="Tahoma" w:cs="Tahoma"/>
          <w:sz w:val="16"/>
          <w:szCs w:val="16"/>
        </w:rPr>
        <w:t>Como el Código de Procedimiento Civil fue sustituido por el Código General del Proceso, es este compendio normativo al que nos referiremos.</w:t>
      </w:r>
    </w:p>
    <w:p w:rsidR="009F121C" w:rsidRPr="00D225FF" w:rsidRDefault="009F121C" w:rsidP="009F121C">
      <w:pPr>
        <w:jc w:val="both"/>
        <w:rPr>
          <w:rFonts w:ascii="Tahoma" w:hAnsi="Tahoma" w:cs="Tahoma"/>
          <w:sz w:val="16"/>
          <w:szCs w:val="16"/>
          <w:lang w:eastAsia="es-CO"/>
        </w:rPr>
      </w:pPr>
      <w:r w:rsidRPr="00D225FF">
        <w:rPr>
          <w:rFonts w:ascii="Tahoma" w:hAnsi="Tahoma" w:cs="Tahoma"/>
          <w:sz w:val="16"/>
          <w:szCs w:val="16"/>
        </w:rPr>
        <w:t>El artículo 366 de dicho código señala</w:t>
      </w:r>
      <w:r w:rsidRPr="00D225FF">
        <w:rPr>
          <w:rFonts w:asciiTheme="minorHAnsi" w:hAnsiTheme="minorHAnsi" w:cs="Tahoma"/>
          <w:sz w:val="16"/>
          <w:szCs w:val="16"/>
        </w:rPr>
        <w:t xml:space="preserve">: </w:t>
      </w:r>
      <w:r w:rsidRPr="00D225FF">
        <w:rPr>
          <w:rFonts w:asciiTheme="minorHAnsi" w:hAnsiTheme="minorHAnsi" w:cs="Tahoma"/>
          <w:sz w:val="16"/>
          <w:szCs w:val="16"/>
          <w:lang w:eastAsia="es-CO"/>
        </w:rPr>
        <w:t>“</w:t>
      </w:r>
      <w:r w:rsidRPr="00D225FF">
        <w:rPr>
          <w:rFonts w:asciiTheme="minorHAnsi" w:hAnsiTheme="minorHAnsi" w:cs="Tahoma"/>
          <w:b/>
          <w:i/>
          <w:sz w:val="16"/>
          <w:szCs w:val="16"/>
          <w:lang w:eastAsia="es-CO"/>
        </w:rPr>
        <w:t>Las costas y agencias en derecho serán liquidadas de manera concentrada en el juzgado que haya conocido del proceso en primera o única instancia, inmediatamente quede ejecutoriada la providencia que le ponga fin al proceso</w:t>
      </w:r>
      <w:r w:rsidRPr="00D225FF">
        <w:rPr>
          <w:rFonts w:asciiTheme="minorHAnsi" w:hAnsiTheme="minorHAnsi" w:cs="Tahoma"/>
          <w:i/>
          <w:sz w:val="16"/>
          <w:szCs w:val="16"/>
          <w:lang w:eastAsia="es-CO"/>
        </w:rPr>
        <w:t xml:space="preserve"> o notificado el auto de obedecimiento a lo dispuesto por el superior, con sujeción a las siguientes reglas: 1. </w:t>
      </w:r>
      <w:r w:rsidRPr="00D225FF">
        <w:rPr>
          <w:rFonts w:asciiTheme="minorHAnsi" w:hAnsiTheme="minorHAnsi" w:cs="Tahoma"/>
          <w:b/>
          <w:i/>
          <w:sz w:val="16"/>
          <w:szCs w:val="16"/>
          <w:lang w:eastAsia="es-CO"/>
        </w:rPr>
        <w:t xml:space="preserve">El secretario hará la </w:t>
      </w:r>
      <w:r w:rsidRPr="00D225FF">
        <w:rPr>
          <w:rFonts w:asciiTheme="minorHAnsi" w:hAnsiTheme="minorHAnsi" w:cs="Tahoma"/>
          <w:b/>
          <w:i/>
          <w:sz w:val="16"/>
          <w:szCs w:val="16"/>
          <w:lang w:eastAsia="es-CO"/>
        </w:rPr>
        <w:lastRenderedPageBreak/>
        <w:t>liquidación y corresponderá al juez aprobarla o rehacerla.</w:t>
      </w:r>
      <w:r w:rsidRPr="00D225FF">
        <w:rPr>
          <w:rFonts w:asciiTheme="minorHAnsi" w:hAnsiTheme="minorHAnsi" w:cs="Tahoma"/>
          <w:i/>
          <w:sz w:val="16"/>
          <w:szCs w:val="16"/>
          <w:lang w:eastAsia="es-CO"/>
        </w:rPr>
        <w:t> 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 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  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 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 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 6. 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w:t>
      </w:r>
      <w:r w:rsidRPr="00D225FF">
        <w:rPr>
          <w:rFonts w:ascii="Tahoma" w:hAnsi="Tahoma" w:cs="Tahoma"/>
          <w:i/>
          <w:sz w:val="16"/>
          <w:szCs w:val="16"/>
          <w:lang w:eastAsia="es-CO"/>
        </w:rPr>
        <w:t xml:space="preserve">.” </w:t>
      </w:r>
      <w:r w:rsidRPr="00D225FF">
        <w:rPr>
          <w:rFonts w:ascii="Tahoma" w:hAnsi="Tahoma" w:cs="Tahoma"/>
          <w:sz w:val="16"/>
          <w:szCs w:val="16"/>
          <w:lang w:eastAsia="es-CO"/>
        </w:rPr>
        <w:t>(Negrita fuera de texto).</w:t>
      </w:r>
    </w:p>
    <w:p w:rsidR="009F121C" w:rsidRPr="00D225FF" w:rsidRDefault="009F121C" w:rsidP="009F121C">
      <w:pPr>
        <w:jc w:val="both"/>
        <w:rPr>
          <w:rFonts w:ascii="Tahoma" w:hAnsi="Tahoma" w:cs="Tahoma"/>
          <w:sz w:val="16"/>
          <w:szCs w:val="16"/>
        </w:rPr>
      </w:pPr>
      <w:r w:rsidRPr="00D225FF">
        <w:rPr>
          <w:rFonts w:ascii="Tahoma" w:hAnsi="Tahoma" w:cs="Tahoma"/>
          <w:sz w:val="16"/>
          <w:szCs w:val="16"/>
        </w:rPr>
        <w:br/>
        <w:t>En vista de que quedó ejecutoriada la sentencia de primera y segunda instancia y la secretaria del despacho efectuó la respectiva liquidaci</w:t>
      </w:r>
      <w:r w:rsidR="00C926A9" w:rsidRPr="00D225FF">
        <w:rPr>
          <w:rFonts w:ascii="Tahoma" w:hAnsi="Tahoma" w:cs="Tahoma"/>
          <w:sz w:val="16"/>
          <w:szCs w:val="16"/>
        </w:rPr>
        <w:t>ón de costas,</w:t>
      </w:r>
      <w:r w:rsidRPr="00D225FF">
        <w:rPr>
          <w:rFonts w:ascii="Tahoma" w:hAnsi="Tahoma" w:cs="Tahoma"/>
          <w:sz w:val="16"/>
          <w:szCs w:val="16"/>
        </w:rPr>
        <w:t xml:space="preserve"> procederá el juzgado a aprobarlas. </w:t>
      </w:r>
    </w:p>
    <w:p w:rsidR="009F121C" w:rsidRPr="00D225FF" w:rsidRDefault="009F121C" w:rsidP="009F121C">
      <w:pPr>
        <w:jc w:val="both"/>
        <w:rPr>
          <w:rFonts w:ascii="Tahoma" w:hAnsi="Tahoma" w:cs="Tahoma"/>
          <w:b/>
          <w:sz w:val="16"/>
          <w:szCs w:val="16"/>
          <w:lang w:val="es-MX"/>
        </w:rPr>
      </w:pPr>
    </w:p>
    <w:p w:rsidR="00C926A9" w:rsidRPr="00D225FF" w:rsidRDefault="00C926A9" w:rsidP="00C926A9">
      <w:pPr>
        <w:pStyle w:val="Prrafodelista"/>
        <w:numPr>
          <w:ilvl w:val="0"/>
          <w:numId w:val="1"/>
        </w:numPr>
        <w:jc w:val="both"/>
        <w:rPr>
          <w:rFonts w:ascii="Tahoma" w:hAnsi="Tahoma" w:cs="Tahoma"/>
          <w:b/>
          <w:sz w:val="16"/>
          <w:szCs w:val="16"/>
          <w:lang w:val="es-MX"/>
        </w:rPr>
      </w:pPr>
      <w:r w:rsidRPr="00D225FF">
        <w:rPr>
          <w:rFonts w:ascii="Tahoma" w:hAnsi="Tahoma" w:cs="Tahoma"/>
          <w:b/>
          <w:sz w:val="16"/>
          <w:szCs w:val="16"/>
          <w:lang w:val="es-MX"/>
        </w:rPr>
        <w:t>De la representación de la demandada.</w:t>
      </w:r>
    </w:p>
    <w:p w:rsidR="00C926A9" w:rsidRPr="00D225FF" w:rsidRDefault="00C926A9" w:rsidP="00C926A9">
      <w:pPr>
        <w:jc w:val="both"/>
        <w:rPr>
          <w:rFonts w:ascii="Tahoma" w:hAnsi="Tahoma" w:cs="Tahoma"/>
          <w:b/>
          <w:sz w:val="16"/>
          <w:szCs w:val="16"/>
          <w:lang w:val="es-MX"/>
        </w:rPr>
      </w:pPr>
    </w:p>
    <w:p w:rsidR="00C926A9" w:rsidRPr="00537883" w:rsidRDefault="00C926A9" w:rsidP="00932A0E">
      <w:pPr>
        <w:jc w:val="both"/>
        <w:rPr>
          <w:rFonts w:asciiTheme="minorHAnsi" w:hAnsiTheme="minorHAnsi" w:cs="Tahoma"/>
          <w:i/>
          <w:sz w:val="16"/>
          <w:szCs w:val="16"/>
          <w:lang w:eastAsia="es-CO"/>
        </w:rPr>
      </w:pPr>
      <w:r w:rsidRPr="00D225FF">
        <w:rPr>
          <w:rFonts w:ascii="Tahoma" w:hAnsi="Tahoma" w:cs="Tahoma"/>
          <w:spacing w:val="-3"/>
          <w:sz w:val="16"/>
          <w:szCs w:val="16"/>
          <w:lang w:eastAsia="es-CO"/>
        </w:rPr>
        <w:t xml:space="preserve">El artículo 76 del Código General del Proceso señala: </w:t>
      </w:r>
      <w:r w:rsidRPr="00537883">
        <w:rPr>
          <w:rFonts w:asciiTheme="minorHAnsi" w:hAnsiTheme="minorHAnsi" w:cs="Tahoma"/>
          <w:i/>
          <w:sz w:val="16"/>
          <w:szCs w:val="16"/>
          <w:lang w:eastAsia="es-CO"/>
        </w:rPr>
        <w:t>“El poder termina con la radicación en secretaría del escrito en virtud del cual se revoque o se designe otro apoderado, a menos que el nuevo poder se hubiese otorgado para recursos o gestiones determinadas dentro del proceso.</w:t>
      </w:r>
    </w:p>
    <w:p w:rsidR="00C926A9" w:rsidRPr="00537883" w:rsidRDefault="00C926A9" w:rsidP="00C926A9">
      <w:pPr>
        <w:shd w:val="clear" w:color="auto" w:fill="FFFFFF"/>
        <w:jc w:val="both"/>
        <w:rPr>
          <w:rFonts w:asciiTheme="minorHAnsi" w:hAnsiTheme="minorHAnsi" w:cs="Tahoma"/>
          <w:i/>
          <w:sz w:val="16"/>
          <w:szCs w:val="16"/>
          <w:lang w:eastAsia="es-CO"/>
        </w:rPr>
      </w:pPr>
      <w:r w:rsidRPr="00537883">
        <w:rPr>
          <w:rFonts w:asciiTheme="minorHAnsi" w:hAnsiTheme="minorHAnsi" w:cs="Tahoma"/>
          <w:i/>
          <w:sz w:val="16"/>
          <w:szCs w:val="16"/>
          <w:lang w:eastAsia="es-CO"/>
        </w:rPr>
        <w:t>El auto que admite la revocación no tendrá recursos. Dentro de los treinta (30) días siguientes a la notificación de dicha providencia, el apoderado a quien se le haya revocado el poder podrá pedir al juez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podrá demandarse ante el juez laboral.</w:t>
      </w:r>
    </w:p>
    <w:p w:rsidR="00C926A9" w:rsidRPr="00537883" w:rsidRDefault="00C926A9" w:rsidP="00C926A9">
      <w:pPr>
        <w:shd w:val="clear" w:color="auto" w:fill="FFFFFF"/>
        <w:jc w:val="both"/>
        <w:rPr>
          <w:rFonts w:asciiTheme="minorHAnsi" w:hAnsiTheme="minorHAnsi" w:cs="Tahoma"/>
          <w:i/>
          <w:sz w:val="16"/>
          <w:szCs w:val="16"/>
          <w:lang w:eastAsia="es-CO"/>
        </w:rPr>
      </w:pPr>
      <w:r w:rsidRPr="00537883">
        <w:rPr>
          <w:rFonts w:asciiTheme="minorHAnsi" w:hAnsiTheme="minorHAnsi" w:cs="Tahoma"/>
          <w:i/>
          <w:sz w:val="16"/>
          <w:szCs w:val="16"/>
          <w:lang w:eastAsia="es-CO"/>
        </w:rPr>
        <w:t>Igual derecho tienen los herederos y el cónyuge sobreviviente del apoderado fallecido.</w:t>
      </w:r>
    </w:p>
    <w:p w:rsidR="00C926A9" w:rsidRPr="00537883" w:rsidRDefault="00C926A9" w:rsidP="00C926A9">
      <w:pPr>
        <w:shd w:val="clear" w:color="auto" w:fill="FFFFFF"/>
        <w:jc w:val="both"/>
        <w:rPr>
          <w:rFonts w:asciiTheme="minorHAnsi" w:hAnsiTheme="minorHAnsi" w:cs="Tahoma"/>
          <w:b/>
          <w:i/>
          <w:sz w:val="16"/>
          <w:szCs w:val="16"/>
          <w:lang w:eastAsia="es-CO"/>
        </w:rPr>
      </w:pPr>
      <w:r w:rsidRPr="00537883">
        <w:rPr>
          <w:rFonts w:asciiTheme="minorHAnsi" w:hAnsiTheme="minorHAnsi" w:cs="Tahoma"/>
          <w:b/>
          <w:i/>
          <w:sz w:val="16"/>
          <w:szCs w:val="16"/>
          <w:lang w:eastAsia="es-CO"/>
        </w:rPr>
        <w:t>La renuncia no pone término al poder sino cinco (5) días después de presentado el memorial de renuncia en el juzgado, acompañado de la comunicación enviada al poderdante en tal sentido.</w:t>
      </w:r>
    </w:p>
    <w:p w:rsidR="00C926A9" w:rsidRPr="00537883" w:rsidRDefault="00C926A9" w:rsidP="00C926A9">
      <w:pPr>
        <w:shd w:val="clear" w:color="auto" w:fill="FFFFFF"/>
        <w:jc w:val="both"/>
        <w:rPr>
          <w:rFonts w:asciiTheme="minorHAnsi" w:hAnsiTheme="minorHAnsi" w:cs="Tahoma"/>
          <w:i/>
          <w:sz w:val="16"/>
          <w:szCs w:val="16"/>
          <w:lang w:eastAsia="es-CO"/>
        </w:rPr>
      </w:pPr>
      <w:r w:rsidRPr="00537883">
        <w:rPr>
          <w:rFonts w:asciiTheme="minorHAnsi" w:hAnsiTheme="minorHAnsi" w:cs="Tahoma"/>
          <w:i/>
          <w:sz w:val="16"/>
          <w:szCs w:val="16"/>
          <w:lang w:eastAsia="es-CO"/>
        </w:rPr>
        <w:t>La muerte del mandante o la extinción de las personas jurídicas no ponen fin al mandato judicial si ya se ha presentado la demanda, pero el poder podrá ser revocado por los herederos o sucesores.</w:t>
      </w:r>
    </w:p>
    <w:p w:rsidR="00C926A9" w:rsidRPr="00D225FF" w:rsidRDefault="00C926A9" w:rsidP="00C926A9">
      <w:pPr>
        <w:shd w:val="clear" w:color="auto" w:fill="FFFFFF"/>
        <w:jc w:val="both"/>
        <w:rPr>
          <w:rFonts w:ascii="Tahoma" w:hAnsi="Tahoma" w:cs="Tahoma"/>
          <w:i/>
          <w:sz w:val="16"/>
          <w:szCs w:val="16"/>
          <w:lang w:eastAsia="es-CO"/>
        </w:rPr>
      </w:pPr>
      <w:r w:rsidRPr="00537883">
        <w:rPr>
          <w:rFonts w:asciiTheme="minorHAnsi" w:hAnsiTheme="minorHAnsi" w:cs="Tahoma"/>
          <w:i/>
          <w:sz w:val="16"/>
          <w:szCs w:val="16"/>
          <w:lang w:eastAsia="es-CO"/>
        </w:rPr>
        <w:t>Tampoco termina el poder por la cesación de las funciones de quien lo confirió como representante de una persona natural o jurídica, mientras no sea revocado por quien corresponda.</w:t>
      </w:r>
      <w:r w:rsidRPr="00D225FF">
        <w:rPr>
          <w:rFonts w:ascii="Tahoma" w:hAnsi="Tahoma" w:cs="Tahoma"/>
          <w:i/>
          <w:sz w:val="16"/>
          <w:szCs w:val="16"/>
          <w:lang w:eastAsia="es-CO"/>
        </w:rPr>
        <w:t>” (</w:t>
      </w:r>
      <w:r w:rsidRPr="00D225FF">
        <w:rPr>
          <w:rFonts w:ascii="Tahoma" w:hAnsi="Tahoma" w:cs="Tahoma"/>
          <w:b/>
          <w:i/>
          <w:sz w:val="16"/>
          <w:szCs w:val="16"/>
          <w:lang w:eastAsia="es-CO"/>
        </w:rPr>
        <w:t>Negritas fuera de texto</w:t>
      </w:r>
      <w:r w:rsidRPr="00D225FF">
        <w:rPr>
          <w:rFonts w:ascii="Tahoma" w:hAnsi="Tahoma" w:cs="Tahoma"/>
          <w:i/>
          <w:sz w:val="16"/>
          <w:szCs w:val="16"/>
          <w:lang w:eastAsia="es-CO"/>
        </w:rPr>
        <w:t>)</w:t>
      </w:r>
    </w:p>
    <w:p w:rsidR="00C926A9" w:rsidRPr="00D225FF" w:rsidRDefault="00C926A9" w:rsidP="00C926A9">
      <w:pPr>
        <w:jc w:val="both"/>
        <w:rPr>
          <w:rFonts w:ascii="Tahoma" w:hAnsi="Tahoma" w:cs="Tahoma"/>
          <w:spacing w:val="-3"/>
          <w:sz w:val="16"/>
          <w:szCs w:val="16"/>
        </w:rPr>
      </w:pPr>
    </w:p>
    <w:p w:rsidR="00C926A9" w:rsidRPr="00D225FF" w:rsidRDefault="00C926A9" w:rsidP="00C926A9">
      <w:pPr>
        <w:jc w:val="both"/>
        <w:rPr>
          <w:rFonts w:ascii="Tahoma" w:hAnsi="Tahoma" w:cs="Tahoma"/>
          <w:sz w:val="16"/>
          <w:szCs w:val="16"/>
        </w:rPr>
      </w:pPr>
      <w:r w:rsidRPr="00D225FF">
        <w:rPr>
          <w:rFonts w:ascii="Tahoma" w:hAnsi="Tahoma" w:cs="Tahoma"/>
          <w:sz w:val="16"/>
          <w:szCs w:val="16"/>
        </w:rPr>
        <w:t xml:space="preserve">Teniendo en cuenta la renuncia de poder presentada el </w:t>
      </w:r>
      <w:r w:rsidR="002A56B2" w:rsidRPr="00D225FF">
        <w:rPr>
          <w:rFonts w:ascii="Tahoma" w:hAnsi="Tahoma" w:cs="Tahoma"/>
          <w:sz w:val="16"/>
          <w:szCs w:val="16"/>
        </w:rPr>
        <w:t xml:space="preserve">15 de mayo de </w:t>
      </w:r>
      <w:r w:rsidRPr="00D225FF">
        <w:rPr>
          <w:rFonts w:ascii="Tahoma" w:hAnsi="Tahoma" w:cs="Tahoma"/>
          <w:sz w:val="16"/>
          <w:szCs w:val="16"/>
        </w:rPr>
        <w:t xml:space="preserve">2017 por el apoderado de la </w:t>
      </w:r>
      <w:r w:rsidR="00412557" w:rsidRPr="00D225FF">
        <w:rPr>
          <w:rFonts w:ascii="Tahoma" w:hAnsi="Tahoma" w:cs="Tahoma"/>
          <w:sz w:val="16"/>
          <w:szCs w:val="16"/>
        </w:rPr>
        <w:t xml:space="preserve">Fiscalía General de la Nación </w:t>
      </w:r>
      <w:r w:rsidRPr="00D225FF">
        <w:rPr>
          <w:rFonts w:ascii="Tahoma" w:hAnsi="Tahoma" w:cs="Tahoma"/>
          <w:sz w:val="16"/>
          <w:szCs w:val="16"/>
        </w:rPr>
        <w:t xml:space="preserve">y </w:t>
      </w:r>
      <w:r w:rsidR="00412557" w:rsidRPr="00D225FF">
        <w:rPr>
          <w:rFonts w:ascii="Tahoma" w:hAnsi="Tahoma" w:cs="Tahoma"/>
          <w:sz w:val="16"/>
          <w:szCs w:val="16"/>
        </w:rPr>
        <w:t>la Resolución Nº 0251 de 21 de abril de 2017</w:t>
      </w:r>
      <w:r w:rsidR="00203A51" w:rsidRPr="00D225FF">
        <w:rPr>
          <w:rFonts w:ascii="Tahoma" w:hAnsi="Tahoma" w:cs="Tahoma"/>
          <w:sz w:val="16"/>
          <w:szCs w:val="16"/>
        </w:rPr>
        <w:t xml:space="preserve"> por medio de la cual se reubica </w:t>
      </w:r>
      <w:r w:rsidR="00FF47E2" w:rsidRPr="00D225FF">
        <w:rPr>
          <w:rFonts w:ascii="Tahoma" w:hAnsi="Tahoma" w:cs="Tahoma"/>
          <w:sz w:val="16"/>
          <w:szCs w:val="16"/>
        </w:rPr>
        <w:t xml:space="preserve">a la abogada </w:t>
      </w:r>
      <w:r w:rsidR="00FF47E2" w:rsidRPr="00D225FF">
        <w:rPr>
          <w:rFonts w:ascii="Tahoma" w:hAnsi="Tahoma" w:cs="Tahoma"/>
          <w:b/>
          <w:sz w:val="16"/>
          <w:szCs w:val="16"/>
        </w:rPr>
        <w:t>DIANA ALEXANDRA GUTIERREZ HERNANDEZ</w:t>
      </w:r>
      <w:r w:rsidR="00FF47E2" w:rsidRPr="00D225FF">
        <w:rPr>
          <w:rFonts w:ascii="Tahoma" w:hAnsi="Tahoma" w:cs="Tahoma"/>
          <w:sz w:val="16"/>
          <w:szCs w:val="16"/>
        </w:rPr>
        <w:t xml:space="preserve"> </w:t>
      </w:r>
      <w:r w:rsidR="003F0028" w:rsidRPr="00D225FF">
        <w:rPr>
          <w:rFonts w:ascii="Tahoma" w:hAnsi="Tahoma" w:cs="Tahoma"/>
          <w:sz w:val="16"/>
          <w:szCs w:val="16"/>
        </w:rPr>
        <w:t>que</w:t>
      </w:r>
      <w:r w:rsidR="007C5C01" w:rsidRPr="00D225FF">
        <w:rPr>
          <w:rFonts w:ascii="Tahoma" w:hAnsi="Tahoma" w:cs="Tahoma"/>
          <w:sz w:val="16"/>
          <w:szCs w:val="16"/>
        </w:rPr>
        <w:t xml:space="preserve"> dispuso</w:t>
      </w:r>
      <w:r w:rsidR="003E0E87" w:rsidRPr="00D225FF">
        <w:rPr>
          <w:rFonts w:ascii="Tahoma" w:hAnsi="Tahoma" w:cs="Tahoma"/>
          <w:sz w:val="16"/>
          <w:szCs w:val="16"/>
        </w:rPr>
        <w:t xml:space="preserve"> en su numeral tercero de la parte resolutiva que se remita copia al Despacho de la Dirección Jurídica</w:t>
      </w:r>
      <w:r w:rsidR="006918A4" w:rsidRPr="00D225FF">
        <w:rPr>
          <w:rFonts w:ascii="Tahoma" w:hAnsi="Tahoma" w:cs="Tahoma"/>
          <w:sz w:val="16"/>
          <w:szCs w:val="16"/>
        </w:rPr>
        <w:t xml:space="preserve"> </w:t>
      </w:r>
      <w:r w:rsidR="003E0E87" w:rsidRPr="00D225FF">
        <w:rPr>
          <w:rFonts w:ascii="Tahoma" w:hAnsi="Tahoma" w:cs="Tahoma"/>
          <w:sz w:val="16"/>
          <w:szCs w:val="16"/>
        </w:rPr>
        <w:t xml:space="preserve"> </w:t>
      </w:r>
      <w:r w:rsidR="007C5C01" w:rsidRPr="00D225FF">
        <w:rPr>
          <w:rFonts w:ascii="Tahoma" w:hAnsi="Tahoma" w:cs="Tahoma"/>
          <w:sz w:val="16"/>
          <w:szCs w:val="16"/>
        </w:rPr>
        <w:t xml:space="preserve">para lo fines pertinentes, entiende el Despacho que </w:t>
      </w:r>
      <w:r w:rsidR="00932A0E" w:rsidRPr="00D225FF">
        <w:rPr>
          <w:rFonts w:ascii="Tahoma" w:hAnsi="Tahoma" w:cs="Tahoma"/>
          <w:sz w:val="16"/>
          <w:szCs w:val="16"/>
        </w:rPr>
        <w:t>este hace</w:t>
      </w:r>
      <w:r w:rsidR="007C5C01" w:rsidRPr="00D225FF">
        <w:rPr>
          <w:rFonts w:ascii="Tahoma" w:hAnsi="Tahoma" w:cs="Tahoma"/>
          <w:sz w:val="16"/>
          <w:szCs w:val="16"/>
        </w:rPr>
        <w:t xml:space="preserve"> la</w:t>
      </w:r>
      <w:r w:rsidR="00932A0E" w:rsidRPr="00D225FF">
        <w:rPr>
          <w:rFonts w:ascii="Tahoma" w:hAnsi="Tahoma" w:cs="Tahoma"/>
          <w:sz w:val="16"/>
          <w:szCs w:val="16"/>
        </w:rPr>
        <w:t>s</w:t>
      </w:r>
      <w:r w:rsidR="007C5C01" w:rsidRPr="00D225FF">
        <w:rPr>
          <w:rFonts w:ascii="Tahoma" w:hAnsi="Tahoma" w:cs="Tahoma"/>
          <w:sz w:val="16"/>
          <w:szCs w:val="16"/>
        </w:rPr>
        <w:t xml:space="preserve"> veces de </w:t>
      </w:r>
      <w:r w:rsidRPr="00D225FF">
        <w:rPr>
          <w:rFonts w:ascii="Tahoma" w:hAnsi="Tahoma" w:cs="Tahoma"/>
          <w:sz w:val="16"/>
          <w:szCs w:val="16"/>
        </w:rPr>
        <w:t>comunicac</w:t>
      </w:r>
      <w:r w:rsidR="00B11E56">
        <w:rPr>
          <w:rFonts w:ascii="Tahoma" w:hAnsi="Tahoma" w:cs="Tahoma"/>
          <w:sz w:val="16"/>
          <w:szCs w:val="16"/>
        </w:rPr>
        <w:t>ión radicada ante su poderdante y</w:t>
      </w:r>
      <w:r w:rsidRPr="00D225FF">
        <w:rPr>
          <w:rFonts w:ascii="Tahoma" w:hAnsi="Tahoma" w:cs="Tahoma"/>
          <w:sz w:val="16"/>
          <w:szCs w:val="16"/>
        </w:rPr>
        <w:t xml:space="preserve"> </w:t>
      </w:r>
      <w:r w:rsidR="003F0028" w:rsidRPr="00D225FF">
        <w:rPr>
          <w:rFonts w:ascii="Tahoma" w:hAnsi="Tahoma" w:cs="Tahoma"/>
          <w:sz w:val="16"/>
          <w:szCs w:val="16"/>
        </w:rPr>
        <w:t xml:space="preserve">en consecuencia </w:t>
      </w:r>
      <w:r w:rsidRPr="00D225FF">
        <w:rPr>
          <w:rFonts w:ascii="Tahoma" w:hAnsi="Tahoma" w:cs="Tahoma"/>
          <w:sz w:val="16"/>
          <w:szCs w:val="16"/>
        </w:rPr>
        <w:t>procederá el Despacho a aceptarla y a</w:t>
      </w:r>
      <w:r w:rsidR="003F0028" w:rsidRPr="00D225FF">
        <w:rPr>
          <w:rFonts w:ascii="Tahoma" w:hAnsi="Tahoma" w:cs="Tahoma"/>
          <w:sz w:val="16"/>
          <w:szCs w:val="16"/>
        </w:rPr>
        <w:t xml:space="preserve"> requerir a la entidad para que conferir poder a nuevo abogado</w:t>
      </w:r>
      <w:r w:rsidRPr="00D225FF">
        <w:rPr>
          <w:rFonts w:ascii="Tahoma" w:hAnsi="Tahoma" w:cs="Tahoma"/>
          <w:sz w:val="16"/>
          <w:szCs w:val="16"/>
        </w:rPr>
        <w:t>.</w:t>
      </w:r>
    </w:p>
    <w:p w:rsidR="00C926A9" w:rsidRPr="00D225FF" w:rsidRDefault="00C926A9" w:rsidP="00C926A9">
      <w:pPr>
        <w:jc w:val="both"/>
        <w:rPr>
          <w:rFonts w:ascii="Tahoma" w:hAnsi="Tahoma" w:cs="Tahoma"/>
          <w:sz w:val="16"/>
          <w:szCs w:val="16"/>
          <w:lang w:val="es-MX"/>
        </w:rPr>
      </w:pPr>
    </w:p>
    <w:p w:rsidR="009F121C" w:rsidRPr="00D225FF" w:rsidRDefault="009F121C" w:rsidP="009F121C">
      <w:pPr>
        <w:jc w:val="both"/>
        <w:rPr>
          <w:rFonts w:ascii="Tahoma" w:hAnsi="Tahoma" w:cs="Tahoma"/>
          <w:b/>
          <w:sz w:val="16"/>
          <w:szCs w:val="16"/>
          <w:lang w:val="es-ES"/>
        </w:rPr>
      </w:pPr>
      <w:r w:rsidRPr="00D225FF">
        <w:rPr>
          <w:rFonts w:ascii="Tahoma" w:hAnsi="Tahoma" w:cs="Tahoma"/>
          <w:sz w:val="16"/>
          <w:szCs w:val="16"/>
          <w:lang w:val="es-ES"/>
        </w:rPr>
        <w:t>En mérito de lo expuesto, se</w:t>
      </w:r>
      <w:r w:rsidRPr="00D225FF">
        <w:rPr>
          <w:rFonts w:ascii="Tahoma" w:hAnsi="Tahoma" w:cs="Tahoma"/>
          <w:b/>
          <w:sz w:val="16"/>
          <w:szCs w:val="16"/>
          <w:lang w:val="es-ES"/>
        </w:rPr>
        <w:t xml:space="preserve"> RESUELVE:</w:t>
      </w:r>
    </w:p>
    <w:p w:rsidR="009F121C" w:rsidRPr="00D225FF" w:rsidRDefault="009F121C" w:rsidP="009F121C">
      <w:pPr>
        <w:jc w:val="both"/>
        <w:rPr>
          <w:rFonts w:ascii="Tahoma" w:hAnsi="Tahoma" w:cs="Tahoma"/>
          <w:b/>
          <w:sz w:val="16"/>
          <w:szCs w:val="16"/>
          <w:lang w:val="es-ES"/>
        </w:rPr>
      </w:pPr>
    </w:p>
    <w:p w:rsidR="009F121C" w:rsidRPr="00D225FF" w:rsidRDefault="009F121C" w:rsidP="009F121C">
      <w:pPr>
        <w:jc w:val="both"/>
        <w:rPr>
          <w:rFonts w:ascii="Tahoma" w:hAnsi="Tahoma" w:cs="Tahoma"/>
          <w:sz w:val="16"/>
          <w:szCs w:val="16"/>
          <w:lang w:val="es-MX"/>
        </w:rPr>
      </w:pPr>
      <w:r w:rsidRPr="00D225FF">
        <w:rPr>
          <w:rFonts w:ascii="Tahoma" w:hAnsi="Tahoma" w:cs="Tahoma"/>
          <w:b/>
          <w:sz w:val="16"/>
          <w:szCs w:val="16"/>
          <w:lang w:val="es-MX"/>
        </w:rPr>
        <w:t xml:space="preserve">PRIMERO: </w:t>
      </w:r>
      <w:r w:rsidRPr="00D225FF">
        <w:rPr>
          <w:rFonts w:ascii="Tahoma" w:hAnsi="Tahoma" w:cs="Tahoma"/>
          <w:sz w:val="16"/>
          <w:szCs w:val="16"/>
        </w:rPr>
        <w:t xml:space="preserve">Apruébese la liquidación de costas elaborada por la Secretaría del Juzgado, visible a folio </w:t>
      </w:r>
      <w:r w:rsidR="003E7C1B" w:rsidRPr="00D225FF">
        <w:rPr>
          <w:rFonts w:ascii="Tahoma" w:hAnsi="Tahoma" w:cs="Tahoma"/>
          <w:sz w:val="16"/>
          <w:szCs w:val="16"/>
        </w:rPr>
        <w:t>251</w:t>
      </w:r>
      <w:r w:rsidRPr="00D225FF">
        <w:rPr>
          <w:rFonts w:ascii="Tahoma" w:hAnsi="Tahoma" w:cs="Tahoma"/>
          <w:sz w:val="16"/>
          <w:szCs w:val="16"/>
        </w:rPr>
        <w:t xml:space="preserve"> del cuaderno principal de conformidad con lo preceptuado por el 366 del Código General Del Proceso</w:t>
      </w:r>
    </w:p>
    <w:p w:rsidR="009F121C" w:rsidRPr="00D225FF" w:rsidRDefault="009F121C" w:rsidP="009F121C">
      <w:pPr>
        <w:jc w:val="both"/>
        <w:rPr>
          <w:rFonts w:ascii="Tahoma" w:hAnsi="Tahoma" w:cs="Tahoma"/>
          <w:sz w:val="16"/>
          <w:szCs w:val="16"/>
          <w:lang w:val="es-MX"/>
        </w:rPr>
      </w:pPr>
    </w:p>
    <w:p w:rsidR="009F121C" w:rsidRPr="00D225FF" w:rsidRDefault="009F121C" w:rsidP="009F121C">
      <w:pPr>
        <w:jc w:val="both"/>
        <w:rPr>
          <w:rFonts w:ascii="Tahoma" w:hAnsi="Tahoma" w:cs="Tahoma"/>
          <w:sz w:val="16"/>
          <w:szCs w:val="16"/>
          <w:lang w:val="es-MX"/>
        </w:rPr>
      </w:pPr>
      <w:r w:rsidRPr="00D225FF">
        <w:rPr>
          <w:rFonts w:ascii="Tahoma" w:hAnsi="Tahoma" w:cs="Tahoma"/>
          <w:b/>
          <w:sz w:val="16"/>
          <w:szCs w:val="16"/>
          <w:lang w:val="es-MX"/>
        </w:rPr>
        <w:t xml:space="preserve">SEGUNDO: </w:t>
      </w:r>
      <w:r w:rsidRPr="00D225FF">
        <w:rPr>
          <w:rFonts w:ascii="Tahoma" w:hAnsi="Tahoma" w:cs="Tahoma"/>
          <w:sz w:val="16"/>
          <w:szCs w:val="16"/>
          <w:lang w:val="es-MX"/>
        </w:rPr>
        <w:t>Por la Secretaría, a costa de la parte interesada, expídase las copias necesarias.</w:t>
      </w:r>
    </w:p>
    <w:p w:rsidR="00932A0E" w:rsidRPr="00D225FF" w:rsidRDefault="00932A0E" w:rsidP="009F121C">
      <w:pPr>
        <w:jc w:val="both"/>
        <w:rPr>
          <w:rFonts w:ascii="Tahoma" w:hAnsi="Tahoma" w:cs="Tahoma"/>
          <w:sz w:val="16"/>
          <w:szCs w:val="16"/>
          <w:lang w:val="es-MX"/>
        </w:rPr>
      </w:pPr>
    </w:p>
    <w:p w:rsidR="00932A0E" w:rsidRPr="00D225FF" w:rsidRDefault="00932A0E" w:rsidP="00932A0E">
      <w:pPr>
        <w:jc w:val="both"/>
        <w:rPr>
          <w:rFonts w:ascii="Tahoma" w:hAnsi="Tahoma" w:cs="Tahoma"/>
          <w:sz w:val="16"/>
          <w:szCs w:val="16"/>
          <w:lang w:val="es-MX"/>
        </w:rPr>
      </w:pPr>
      <w:r w:rsidRPr="00D225FF">
        <w:rPr>
          <w:rFonts w:ascii="Tahoma" w:hAnsi="Tahoma" w:cs="Tahoma"/>
          <w:b/>
          <w:sz w:val="16"/>
          <w:szCs w:val="16"/>
          <w:lang w:val="es-MX"/>
        </w:rPr>
        <w:t xml:space="preserve">TERCERO: Acéptese </w:t>
      </w:r>
      <w:r w:rsidRPr="00D225FF">
        <w:rPr>
          <w:rFonts w:ascii="Tahoma" w:hAnsi="Tahoma" w:cs="Tahoma"/>
          <w:sz w:val="16"/>
          <w:szCs w:val="16"/>
          <w:lang w:val="es-MX"/>
        </w:rPr>
        <w:t>la renuncia de</w:t>
      </w:r>
      <w:r w:rsidR="00A12E32" w:rsidRPr="00D225FF">
        <w:rPr>
          <w:rFonts w:ascii="Tahoma" w:hAnsi="Tahoma" w:cs="Tahoma"/>
          <w:sz w:val="16"/>
          <w:szCs w:val="16"/>
          <w:lang w:val="es-MX"/>
        </w:rPr>
        <w:t xml:space="preserve"> </w:t>
      </w:r>
      <w:r w:rsidRPr="00D225FF">
        <w:rPr>
          <w:rFonts w:ascii="Tahoma" w:hAnsi="Tahoma" w:cs="Tahoma"/>
          <w:sz w:val="16"/>
          <w:szCs w:val="16"/>
          <w:lang w:val="es-MX"/>
        </w:rPr>
        <w:t>l</w:t>
      </w:r>
      <w:r w:rsidR="00A12E32" w:rsidRPr="00D225FF">
        <w:rPr>
          <w:rFonts w:ascii="Tahoma" w:hAnsi="Tahoma" w:cs="Tahoma"/>
          <w:sz w:val="16"/>
          <w:szCs w:val="16"/>
          <w:lang w:val="es-MX"/>
        </w:rPr>
        <w:t xml:space="preserve">a abogada DIANA ALEXANDRA GUTIERREZ HERNADEZ </w:t>
      </w:r>
      <w:r w:rsidRPr="00D225FF">
        <w:rPr>
          <w:rFonts w:ascii="Tahoma" w:hAnsi="Tahoma" w:cs="Tahoma"/>
          <w:spacing w:val="-5"/>
          <w:sz w:val="16"/>
          <w:szCs w:val="16"/>
          <w:lang w:val="es-ES_tradnl"/>
        </w:rPr>
        <w:t xml:space="preserve">identificado con cedula de ciudadanía No. </w:t>
      </w:r>
      <w:r w:rsidR="00A12E32" w:rsidRPr="00D225FF">
        <w:rPr>
          <w:rFonts w:ascii="Tahoma" w:hAnsi="Tahoma" w:cs="Tahoma"/>
          <w:spacing w:val="-5"/>
          <w:sz w:val="16"/>
          <w:szCs w:val="16"/>
          <w:lang w:val="es-ES_tradnl"/>
        </w:rPr>
        <w:t>51.911.611</w:t>
      </w:r>
      <w:r w:rsidRPr="00D225FF">
        <w:rPr>
          <w:rFonts w:ascii="Tahoma" w:hAnsi="Tahoma" w:cs="Tahoma"/>
          <w:spacing w:val="-5"/>
          <w:sz w:val="16"/>
          <w:szCs w:val="16"/>
          <w:lang w:val="es-ES_tradnl"/>
        </w:rPr>
        <w:t xml:space="preserve"> y con Tarjeta Profesional No. </w:t>
      </w:r>
      <w:r w:rsidR="00A12E32" w:rsidRPr="00D225FF">
        <w:rPr>
          <w:rFonts w:ascii="Tahoma" w:hAnsi="Tahoma" w:cs="Tahoma"/>
          <w:spacing w:val="-5"/>
          <w:sz w:val="16"/>
          <w:szCs w:val="16"/>
          <w:lang w:val="es-ES_tradnl"/>
        </w:rPr>
        <w:t>63.674</w:t>
      </w:r>
      <w:r w:rsidRPr="00D225FF">
        <w:rPr>
          <w:rFonts w:ascii="Tahoma" w:hAnsi="Tahoma" w:cs="Tahoma"/>
          <w:spacing w:val="-5"/>
          <w:sz w:val="16"/>
          <w:szCs w:val="16"/>
          <w:lang w:val="es-ES_tradnl"/>
        </w:rPr>
        <w:t xml:space="preserve"> expedida por el C.S de la Judicatura, como apoderado judicial de la parte demandada NACIÓN – </w:t>
      </w:r>
      <w:r w:rsidR="00A12E32" w:rsidRPr="00D225FF">
        <w:rPr>
          <w:rFonts w:ascii="Tahoma" w:hAnsi="Tahoma" w:cs="Tahoma"/>
          <w:spacing w:val="-5"/>
          <w:sz w:val="16"/>
          <w:szCs w:val="16"/>
          <w:lang w:val="es-ES_tradnl"/>
        </w:rPr>
        <w:t xml:space="preserve">FISCALIA GENRAL DE LA NACION </w:t>
      </w:r>
      <w:r w:rsidRPr="00D225FF">
        <w:rPr>
          <w:rFonts w:ascii="Tahoma" w:hAnsi="Tahoma" w:cs="Tahoma"/>
          <w:spacing w:val="-5"/>
          <w:sz w:val="16"/>
          <w:szCs w:val="16"/>
          <w:lang w:val="es-ES_tradnl"/>
        </w:rPr>
        <w:t xml:space="preserve">de conformidad con lo manifestado en el memorial del </w:t>
      </w:r>
      <w:r w:rsidR="00BC46A8" w:rsidRPr="00D225FF">
        <w:rPr>
          <w:rFonts w:ascii="Tahoma" w:hAnsi="Tahoma" w:cs="Tahoma"/>
          <w:spacing w:val="-5"/>
          <w:sz w:val="16"/>
          <w:szCs w:val="16"/>
          <w:lang w:val="es-ES_tradnl"/>
        </w:rPr>
        <w:t>1</w:t>
      </w:r>
      <w:r w:rsidRPr="00D225FF">
        <w:rPr>
          <w:rFonts w:ascii="Tahoma" w:hAnsi="Tahoma" w:cs="Tahoma"/>
          <w:spacing w:val="-5"/>
          <w:sz w:val="16"/>
          <w:szCs w:val="16"/>
          <w:lang w:val="es-ES_tradnl"/>
        </w:rPr>
        <w:t>5 de</w:t>
      </w:r>
      <w:r w:rsidR="00BC46A8" w:rsidRPr="00D225FF">
        <w:rPr>
          <w:rFonts w:ascii="Tahoma" w:hAnsi="Tahoma" w:cs="Tahoma"/>
          <w:spacing w:val="-5"/>
          <w:sz w:val="16"/>
          <w:szCs w:val="16"/>
          <w:lang w:val="es-ES_tradnl"/>
        </w:rPr>
        <w:t xml:space="preserve"> mayo</w:t>
      </w:r>
      <w:r w:rsidRPr="00D225FF">
        <w:rPr>
          <w:rFonts w:ascii="Tahoma" w:hAnsi="Tahoma" w:cs="Tahoma"/>
          <w:spacing w:val="-5"/>
          <w:sz w:val="16"/>
          <w:szCs w:val="16"/>
          <w:lang w:val="es-ES_tradnl"/>
        </w:rPr>
        <w:t xml:space="preserve"> de 2017.</w:t>
      </w:r>
    </w:p>
    <w:p w:rsidR="00932A0E" w:rsidRPr="00D225FF" w:rsidRDefault="00932A0E" w:rsidP="00932A0E">
      <w:pPr>
        <w:jc w:val="both"/>
        <w:rPr>
          <w:rFonts w:ascii="Tahoma" w:hAnsi="Tahoma" w:cs="Tahoma"/>
          <w:sz w:val="16"/>
          <w:szCs w:val="16"/>
          <w:lang w:val="es-MX"/>
        </w:rPr>
      </w:pPr>
    </w:p>
    <w:p w:rsidR="00932A0E" w:rsidRPr="00D225FF" w:rsidRDefault="00BC46A8" w:rsidP="00932A0E">
      <w:pPr>
        <w:jc w:val="both"/>
        <w:rPr>
          <w:rFonts w:ascii="Tahoma" w:hAnsi="Tahoma" w:cs="Tahoma"/>
          <w:sz w:val="16"/>
          <w:szCs w:val="16"/>
          <w:lang w:val="es-MX"/>
        </w:rPr>
      </w:pPr>
      <w:r w:rsidRPr="00D225FF">
        <w:rPr>
          <w:rFonts w:ascii="Tahoma" w:hAnsi="Tahoma" w:cs="Tahoma"/>
          <w:b/>
          <w:sz w:val="16"/>
          <w:szCs w:val="16"/>
          <w:lang w:val="es-MX"/>
        </w:rPr>
        <w:t>CAURTO:</w:t>
      </w:r>
      <w:r w:rsidR="003E7C1B" w:rsidRPr="00D225FF">
        <w:rPr>
          <w:rFonts w:ascii="Tahoma" w:hAnsi="Tahoma" w:cs="Tahoma"/>
          <w:b/>
          <w:sz w:val="16"/>
          <w:szCs w:val="16"/>
          <w:lang w:val="es-MX"/>
        </w:rPr>
        <w:t xml:space="preserve"> </w:t>
      </w:r>
      <w:r w:rsidR="00932A0E" w:rsidRPr="00D225FF">
        <w:rPr>
          <w:rFonts w:ascii="Tahoma" w:hAnsi="Tahoma" w:cs="Tahoma"/>
          <w:spacing w:val="-5"/>
          <w:sz w:val="16"/>
          <w:szCs w:val="16"/>
          <w:lang w:val="es-ES_tradnl"/>
        </w:rPr>
        <w:t xml:space="preserve">Notifíquese personalmente al demandado esta decisión, y requiérasele para </w:t>
      </w:r>
      <w:r w:rsidR="003E7C1B" w:rsidRPr="00D225FF">
        <w:rPr>
          <w:rFonts w:ascii="Tahoma" w:hAnsi="Tahoma" w:cs="Tahoma"/>
          <w:spacing w:val="-5"/>
          <w:sz w:val="16"/>
          <w:szCs w:val="16"/>
          <w:lang w:val="es-ES_tradnl"/>
        </w:rPr>
        <w:t>que acredite su nuevo apoderado.</w:t>
      </w:r>
    </w:p>
    <w:p w:rsidR="00932A0E" w:rsidRPr="00D225FF" w:rsidRDefault="00932A0E" w:rsidP="009F121C">
      <w:pPr>
        <w:jc w:val="both"/>
        <w:rPr>
          <w:rFonts w:ascii="Tahoma" w:hAnsi="Tahoma" w:cs="Tahoma"/>
          <w:b/>
          <w:sz w:val="16"/>
          <w:szCs w:val="16"/>
          <w:highlight w:val="green"/>
          <w:lang w:val="es-MX"/>
        </w:rPr>
      </w:pPr>
    </w:p>
    <w:p w:rsidR="009F121C" w:rsidRPr="00D225FF" w:rsidRDefault="009F121C" w:rsidP="009F121C">
      <w:pPr>
        <w:jc w:val="both"/>
        <w:rPr>
          <w:rFonts w:ascii="Tahoma" w:hAnsi="Tahoma" w:cs="Tahoma"/>
          <w:b/>
          <w:bCs/>
          <w:sz w:val="16"/>
          <w:szCs w:val="16"/>
          <w:lang w:val="es-ES"/>
        </w:rPr>
      </w:pPr>
    </w:p>
    <w:p w:rsidR="009F121C" w:rsidRPr="00D225FF" w:rsidRDefault="009F121C" w:rsidP="009F121C">
      <w:pPr>
        <w:jc w:val="both"/>
        <w:rPr>
          <w:rFonts w:ascii="Tahoma" w:hAnsi="Tahoma" w:cs="Tahoma"/>
          <w:b/>
          <w:bCs/>
          <w:sz w:val="16"/>
          <w:szCs w:val="16"/>
          <w:lang w:val="es-ES"/>
        </w:rPr>
      </w:pPr>
      <w:r w:rsidRPr="00D225FF">
        <w:rPr>
          <w:rFonts w:ascii="Tahoma" w:hAnsi="Tahoma" w:cs="Tahoma"/>
          <w:b/>
          <w:bCs/>
          <w:sz w:val="16"/>
          <w:szCs w:val="16"/>
          <w:lang w:val="es-ES"/>
        </w:rPr>
        <w:t>NOTIFÍQUESE Y CUMPLASE</w:t>
      </w:r>
    </w:p>
    <w:p w:rsidR="009F121C" w:rsidRPr="00D225FF" w:rsidRDefault="009F121C" w:rsidP="009F121C">
      <w:pPr>
        <w:jc w:val="both"/>
        <w:rPr>
          <w:rFonts w:ascii="Tahoma" w:hAnsi="Tahoma" w:cs="Tahoma"/>
          <w:b/>
          <w:bCs/>
          <w:sz w:val="16"/>
          <w:szCs w:val="16"/>
          <w:lang w:val="es-ES"/>
        </w:rPr>
      </w:pPr>
    </w:p>
    <w:p w:rsidR="009F121C" w:rsidRPr="00D225FF" w:rsidRDefault="009F121C" w:rsidP="009F121C">
      <w:pPr>
        <w:ind w:left="360"/>
        <w:jc w:val="center"/>
        <w:rPr>
          <w:rFonts w:ascii="Tahoma" w:hAnsi="Tahoma" w:cs="Tahoma"/>
          <w:b/>
          <w:bCs/>
          <w:sz w:val="16"/>
          <w:szCs w:val="16"/>
          <w:lang w:val="es-ES"/>
        </w:rPr>
      </w:pPr>
    </w:p>
    <w:p w:rsidR="009F121C" w:rsidRPr="00D225FF" w:rsidRDefault="009F121C" w:rsidP="009F121C">
      <w:pPr>
        <w:ind w:left="360"/>
        <w:jc w:val="center"/>
        <w:rPr>
          <w:rFonts w:ascii="Tahoma" w:hAnsi="Tahoma" w:cs="Tahoma"/>
          <w:b/>
          <w:bCs/>
          <w:sz w:val="16"/>
          <w:szCs w:val="16"/>
          <w:lang w:val="es-ES"/>
        </w:rPr>
      </w:pPr>
      <w:r w:rsidRPr="00D225FF">
        <w:rPr>
          <w:rFonts w:ascii="Tahoma" w:hAnsi="Tahoma" w:cs="Tahoma"/>
          <w:b/>
          <w:bCs/>
          <w:sz w:val="16"/>
          <w:szCs w:val="16"/>
          <w:lang w:val="es-ES"/>
        </w:rPr>
        <w:t>OLGA CECILIA HENAO MARÍN</w:t>
      </w:r>
    </w:p>
    <w:p w:rsidR="009F121C" w:rsidRPr="00D225FF" w:rsidRDefault="009F121C" w:rsidP="009F121C">
      <w:pPr>
        <w:ind w:left="360"/>
        <w:jc w:val="center"/>
        <w:rPr>
          <w:rFonts w:ascii="Tahoma" w:hAnsi="Tahoma" w:cs="Tahoma"/>
          <w:bCs/>
          <w:sz w:val="16"/>
          <w:szCs w:val="16"/>
          <w:lang w:val="es-ES"/>
        </w:rPr>
      </w:pPr>
      <w:r w:rsidRPr="00D225FF">
        <w:rPr>
          <w:rFonts w:ascii="Tahoma" w:hAnsi="Tahoma" w:cs="Tahoma"/>
          <w:bCs/>
          <w:sz w:val="16"/>
          <w:szCs w:val="16"/>
          <w:lang w:val="es-ES"/>
        </w:rPr>
        <w:t>Juez</w:t>
      </w:r>
    </w:p>
    <w:p w:rsidR="009F121C" w:rsidRPr="00D225FF" w:rsidRDefault="009F121C" w:rsidP="009F121C">
      <w:pPr>
        <w:ind w:left="360"/>
        <w:jc w:val="center"/>
        <w:rPr>
          <w:rFonts w:ascii="Tahoma" w:hAnsi="Tahoma" w:cs="Tahoma"/>
          <w:bCs/>
          <w:sz w:val="16"/>
          <w:szCs w:val="16"/>
          <w:lang w:val="es-ES"/>
        </w:rPr>
      </w:pPr>
    </w:p>
    <w:p w:rsidR="009F121C" w:rsidRPr="00E007C1" w:rsidRDefault="003E7C1B" w:rsidP="009F121C">
      <w:pPr>
        <w:jc w:val="both"/>
        <w:rPr>
          <w:rFonts w:ascii="Tahoma" w:hAnsi="Tahoma" w:cs="Tahoma"/>
          <w:sz w:val="10"/>
          <w:szCs w:val="16"/>
          <w:lang w:val="es-ES"/>
        </w:rPr>
      </w:pPr>
      <w:r w:rsidRPr="00E007C1">
        <w:rPr>
          <w:rFonts w:ascii="Tahoma" w:hAnsi="Tahoma" w:cs="Tahoma"/>
          <w:bCs/>
          <w:sz w:val="10"/>
          <w:szCs w:val="16"/>
          <w:lang w:val="es-ES"/>
        </w:rPr>
        <w:t>JBR</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862389" w:rsidRPr="00C47C8D" w:rsidTr="00E37CDA">
        <w:trPr>
          <w:trHeight w:val="1404"/>
        </w:trPr>
        <w:tc>
          <w:tcPr>
            <w:tcW w:w="5954" w:type="dxa"/>
          </w:tcPr>
          <w:p w:rsidR="00862389" w:rsidRPr="00C47C8D" w:rsidRDefault="00862389" w:rsidP="00E37CDA">
            <w:pPr>
              <w:jc w:val="center"/>
              <w:rPr>
                <w:rFonts w:ascii="Gill Sans MT" w:hAnsi="Gill Sans MT"/>
                <w:b/>
                <w:sz w:val="16"/>
                <w:szCs w:val="16"/>
              </w:rPr>
            </w:pPr>
          </w:p>
          <w:p w:rsidR="00862389" w:rsidRPr="00C47C8D" w:rsidRDefault="00862389" w:rsidP="00E37CDA">
            <w:pPr>
              <w:jc w:val="center"/>
              <w:rPr>
                <w:rFonts w:ascii="Agency FB" w:hAnsi="Agency FB"/>
                <w:sz w:val="16"/>
                <w:szCs w:val="16"/>
              </w:rPr>
            </w:pPr>
            <w:r w:rsidRPr="00C47C8D">
              <w:rPr>
                <w:rFonts w:ascii="Agency FB" w:hAnsi="Agency FB"/>
                <w:sz w:val="16"/>
                <w:szCs w:val="16"/>
              </w:rPr>
              <w:t>JUZGADO TREINTA Y CUATRO ADMINISTRATIVO CIRCUITO DE BOGOTA -  SECCION TERCERA</w:t>
            </w:r>
          </w:p>
          <w:p w:rsidR="00862389" w:rsidRPr="00C47C8D" w:rsidRDefault="00862389" w:rsidP="00E37CDA">
            <w:pPr>
              <w:jc w:val="center"/>
              <w:rPr>
                <w:rFonts w:ascii="Agency FB" w:hAnsi="Agency FB"/>
                <w:sz w:val="16"/>
                <w:szCs w:val="16"/>
              </w:rPr>
            </w:pPr>
          </w:p>
          <w:p w:rsidR="00862389" w:rsidRPr="00C47C8D" w:rsidRDefault="00862389" w:rsidP="00E37CDA">
            <w:pPr>
              <w:jc w:val="both"/>
              <w:rPr>
                <w:rFonts w:ascii="Gill Sans MT" w:hAnsi="Gill Sans MT"/>
                <w:sz w:val="16"/>
                <w:szCs w:val="16"/>
              </w:rPr>
            </w:pPr>
            <w:r w:rsidRPr="00C47C8D">
              <w:rPr>
                <w:rFonts w:ascii="Agency FB" w:hAnsi="Agency FB" w:cs="Tahoma"/>
                <w:b/>
                <w:noProof/>
                <w:sz w:val="16"/>
                <w:szCs w:val="16"/>
                <w:lang w:eastAsia="es-CO"/>
              </w:rPr>
              <w:drawing>
                <wp:anchor distT="0" distB="0" distL="114300" distR="114300" simplePos="0" relativeHeight="251659264" behindDoc="0" locked="0" layoutInCell="1" allowOverlap="1" wp14:anchorId="0BAFCC14" wp14:editId="7234D6D5">
                  <wp:simplePos x="0" y="0"/>
                  <wp:positionH relativeFrom="margin">
                    <wp:posOffset>1374140</wp:posOffset>
                  </wp:positionH>
                  <wp:positionV relativeFrom="paragraph">
                    <wp:posOffset>178435</wp:posOffset>
                  </wp:positionV>
                  <wp:extent cx="815340" cy="485775"/>
                  <wp:effectExtent l="0" t="0" r="3810" b="9525"/>
                  <wp:wrapSquare wrapText="bothSides"/>
                  <wp:docPr id="1" name="Imagen 1"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9"/>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7C8D">
              <w:rPr>
                <w:rFonts w:ascii="Agency FB" w:hAnsi="Agency FB"/>
                <w:sz w:val="16"/>
                <w:szCs w:val="16"/>
              </w:rPr>
              <w:t xml:space="preserve">Por anotación en ESTADO notifico a las partes la providencia anterior, hoy </w:t>
            </w:r>
            <w:r>
              <w:rPr>
                <w:rFonts w:ascii="Agency FB" w:hAnsi="Agency FB"/>
                <w:b/>
                <w:sz w:val="16"/>
                <w:szCs w:val="16"/>
              </w:rPr>
              <w:t>____________________________</w:t>
            </w:r>
            <w:r w:rsidRPr="00C47C8D">
              <w:rPr>
                <w:rFonts w:ascii="Agency FB" w:hAnsi="Agency FB"/>
                <w:sz w:val="16"/>
                <w:szCs w:val="16"/>
              </w:rPr>
              <w:t>a las</w:t>
            </w:r>
            <w:r w:rsidRPr="00C47C8D">
              <w:rPr>
                <w:rFonts w:ascii="Gill Sans MT" w:hAnsi="Gill Sans MT"/>
                <w:sz w:val="16"/>
                <w:szCs w:val="16"/>
              </w:rPr>
              <w:t xml:space="preserve"> 8:00 a.m.</w:t>
            </w:r>
          </w:p>
          <w:p w:rsidR="00862389" w:rsidRPr="00C47C8D" w:rsidRDefault="00862389" w:rsidP="00E37CDA">
            <w:pPr>
              <w:rPr>
                <w:sz w:val="16"/>
                <w:szCs w:val="16"/>
              </w:rPr>
            </w:pPr>
          </w:p>
        </w:tc>
      </w:tr>
    </w:tbl>
    <w:p w:rsidR="005729A0" w:rsidRPr="00D225FF" w:rsidRDefault="005729A0">
      <w:pPr>
        <w:rPr>
          <w:rFonts w:ascii="Tahoma" w:hAnsi="Tahoma" w:cs="Tahoma"/>
          <w:sz w:val="16"/>
          <w:szCs w:val="16"/>
        </w:rPr>
      </w:pPr>
      <w:bookmarkStart w:id="0" w:name="_GoBack"/>
      <w:bookmarkEnd w:id="0"/>
    </w:p>
    <w:sectPr w:rsidR="005729A0" w:rsidRPr="00D225FF" w:rsidSect="00A65522">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38" w:rsidRDefault="00776538" w:rsidP="009F121C">
      <w:r>
        <w:separator/>
      </w:r>
    </w:p>
  </w:endnote>
  <w:endnote w:type="continuationSeparator" w:id="0">
    <w:p w:rsidR="00776538" w:rsidRDefault="00776538" w:rsidP="009F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38" w:rsidRDefault="00776538" w:rsidP="009F121C">
      <w:r>
        <w:separator/>
      </w:r>
    </w:p>
  </w:footnote>
  <w:footnote w:type="continuationSeparator" w:id="0">
    <w:p w:rsidR="00776538" w:rsidRDefault="00776538" w:rsidP="009F121C">
      <w:r>
        <w:continuationSeparator/>
      </w:r>
    </w:p>
  </w:footnote>
  <w:footnote w:id="1">
    <w:p w:rsidR="009F121C" w:rsidRDefault="009F121C" w:rsidP="009F121C">
      <w:pPr>
        <w:pStyle w:val="Textonotapie"/>
      </w:pPr>
      <w:r>
        <w:rPr>
          <w:rStyle w:val="Refdenotaalpie"/>
          <w:sz w:val="12"/>
          <w:szCs w:val="12"/>
        </w:rPr>
        <w:footnoteRef/>
      </w:r>
      <w:r>
        <w:rPr>
          <w:sz w:val="12"/>
          <w:szCs w:val="12"/>
        </w:rPr>
        <w:t xml:space="preserve"> Folios 146-149 del Cuaderno Principal. </w:t>
      </w:r>
    </w:p>
  </w:footnote>
  <w:footnote w:id="2">
    <w:p w:rsidR="009F121C" w:rsidRPr="00A10590" w:rsidRDefault="009F121C" w:rsidP="009F121C">
      <w:pPr>
        <w:pStyle w:val="Textonotapie"/>
      </w:pPr>
      <w:r w:rsidRPr="00A10590">
        <w:rPr>
          <w:rStyle w:val="Refdenotaalpie"/>
          <w:rFonts w:ascii="Arial" w:hAnsi="Arial" w:cs="Arial"/>
          <w:sz w:val="12"/>
          <w:szCs w:val="16"/>
        </w:rPr>
        <w:footnoteRef/>
      </w:r>
      <w:r w:rsidRPr="00A10590">
        <w:rPr>
          <w:rFonts w:ascii="Arial" w:hAnsi="Arial" w:cs="Arial"/>
          <w:sz w:val="12"/>
          <w:szCs w:val="16"/>
        </w:rPr>
        <w:t xml:space="preserve"> Folio</w:t>
      </w:r>
      <w:r w:rsidR="004B271A">
        <w:rPr>
          <w:rFonts w:ascii="Arial" w:hAnsi="Arial" w:cs="Arial"/>
          <w:sz w:val="12"/>
          <w:szCs w:val="16"/>
        </w:rPr>
        <w:t>247</w:t>
      </w:r>
      <w:r w:rsidRPr="00A10590">
        <w:rPr>
          <w:rFonts w:ascii="Arial" w:hAnsi="Arial" w:cs="Arial"/>
          <w:sz w:val="12"/>
          <w:szCs w:val="16"/>
        </w:rPr>
        <w:t xml:space="preserve"> del cuaderno principal.</w:t>
      </w:r>
    </w:p>
  </w:footnote>
  <w:footnote w:id="3">
    <w:p w:rsidR="004B271A" w:rsidRPr="00E007C1" w:rsidRDefault="004B271A">
      <w:pPr>
        <w:pStyle w:val="Textonotapie"/>
        <w:rPr>
          <w:sz w:val="14"/>
          <w:lang w:val="es-ES"/>
        </w:rPr>
      </w:pPr>
      <w:r w:rsidRPr="00E007C1">
        <w:rPr>
          <w:rStyle w:val="Refdenotaalpie"/>
          <w:sz w:val="16"/>
        </w:rPr>
        <w:footnoteRef/>
      </w:r>
      <w:r w:rsidRPr="00E007C1">
        <w:t xml:space="preserve"> </w:t>
      </w:r>
      <w:r w:rsidRPr="00E007C1">
        <w:rPr>
          <w:sz w:val="14"/>
          <w:lang w:val="es-ES"/>
        </w:rPr>
        <w:t>Folio 251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1B" w:rsidRPr="00534938" w:rsidRDefault="00B11E56" w:rsidP="0008321B">
    <w:pPr>
      <w:pStyle w:val="Encabezado"/>
      <w:jc w:val="right"/>
      <w:rPr>
        <w:rFonts w:ascii="Tahoma" w:hAnsi="Tahoma" w:cs="Tahoma"/>
        <w:sz w:val="14"/>
        <w:szCs w:val="14"/>
      </w:rPr>
    </w:pPr>
    <w:r>
      <w:rPr>
        <w:rFonts w:ascii="Tahoma" w:hAnsi="Tahoma" w:cs="Tahoma"/>
        <w:sz w:val="14"/>
        <w:szCs w:val="14"/>
      </w:rPr>
      <w:t>Expediente: RD 201</w:t>
    </w:r>
    <w:r w:rsidR="00537883">
      <w:rPr>
        <w:rFonts w:ascii="Tahoma" w:hAnsi="Tahoma" w:cs="Tahoma"/>
        <w:sz w:val="14"/>
        <w:szCs w:val="14"/>
      </w:rPr>
      <w:t>3-0529</w:t>
    </w:r>
  </w:p>
  <w:p w:rsidR="00537883" w:rsidRPr="00537883" w:rsidRDefault="00537883" w:rsidP="0021567F">
    <w:pPr>
      <w:pStyle w:val="Encabezado"/>
      <w:jc w:val="right"/>
      <w:rPr>
        <w:rFonts w:ascii="Tahoma" w:hAnsi="Tahoma" w:cs="Tahoma"/>
        <w:sz w:val="14"/>
        <w:szCs w:val="14"/>
      </w:rPr>
    </w:pPr>
    <w:r w:rsidRPr="00537883">
      <w:rPr>
        <w:rFonts w:ascii="Tahoma" w:hAnsi="Tahoma" w:cs="Tahoma"/>
        <w:color w:val="000000"/>
        <w:sz w:val="16"/>
        <w:szCs w:val="16"/>
      </w:rPr>
      <w:t>APRUEBA LIQUIDACIÓN DE COSTAS-ACEPTA RENUNCIA – REQUIERE A DEMANDADA</w:t>
    </w:r>
  </w:p>
  <w:p w:rsidR="005A7305" w:rsidRPr="00534938" w:rsidRDefault="00B11E56" w:rsidP="0021567F">
    <w:pPr>
      <w:pStyle w:val="Encabezado"/>
      <w:jc w:val="right"/>
      <w:rPr>
        <w:rFonts w:ascii="Tahoma" w:hAnsi="Tahoma" w:cs="Tahoma"/>
        <w:sz w:val="14"/>
        <w:szCs w:val="14"/>
      </w:rPr>
    </w:pPr>
    <w:r w:rsidRPr="00534938">
      <w:rPr>
        <w:rFonts w:ascii="Tahoma" w:hAnsi="Tahoma" w:cs="Tahoma"/>
        <w:sz w:val="14"/>
        <w:szCs w:val="14"/>
      </w:rPr>
      <w:t xml:space="preserve">Página 2 de </w:t>
    </w:r>
    <w:r w:rsidRPr="00534938">
      <w:rPr>
        <w:rFonts w:ascii="Tahoma" w:hAnsi="Tahoma" w:cs="Tahoma"/>
        <w:sz w:val="14"/>
        <w:szCs w:val="14"/>
      </w:rPr>
      <w:fldChar w:fldCharType="begin"/>
    </w:r>
    <w:r w:rsidRPr="00534938">
      <w:rPr>
        <w:rFonts w:ascii="Tahoma" w:hAnsi="Tahoma" w:cs="Tahoma"/>
        <w:sz w:val="14"/>
        <w:szCs w:val="14"/>
      </w:rPr>
      <w:instrText xml:space="preserve"> NUMPAGES  \* Arabic  \* MERGEFORMAT </w:instrText>
    </w:r>
    <w:r w:rsidRPr="00534938">
      <w:rPr>
        <w:rFonts w:ascii="Tahoma" w:hAnsi="Tahoma" w:cs="Tahoma"/>
        <w:sz w:val="14"/>
        <w:szCs w:val="14"/>
      </w:rPr>
      <w:fldChar w:fldCharType="separate"/>
    </w:r>
    <w:r w:rsidR="003C7740">
      <w:rPr>
        <w:rFonts w:ascii="Tahoma" w:hAnsi="Tahoma" w:cs="Tahoma"/>
        <w:noProof/>
        <w:sz w:val="14"/>
        <w:szCs w:val="14"/>
      </w:rPr>
      <w:t>2</w:t>
    </w:r>
    <w:r w:rsidRPr="00534938">
      <w:rPr>
        <w:rFonts w:ascii="Tahoma" w:hAnsi="Tahoma" w:cs="Tahoma"/>
        <w:sz w:val="14"/>
        <w:szCs w:val="14"/>
      </w:rPr>
      <w:fldChar w:fldCharType="end"/>
    </w:r>
  </w:p>
  <w:p w:rsidR="005E558E" w:rsidRPr="00534938" w:rsidRDefault="00776538" w:rsidP="0021567F">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5" w:rsidRPr="00F86ECB" w:rsidRDefault="00B11E56" w:rsidP="0021567F">
    <w:pPr>
      <w:pStyle w:val="Encabezado"/>
      <w:jc w:val="center"/>
      <w:rPr>
        <w:rFonts w:ascii="Arial" w:hAnsi="Arial" w:cs="Arial"/>
        <w:b/>
        <w:i/>
        <w:sz w:val="12"/>
        <w:szCs w:val="12"/>
      </w:rPr>
    </w:pPr>
    <w:r w:rsidRPr="00F86ECB">
      <w:rPr>
        <w:rFonts w:ascii="Arial" w:hAnsi="Arial" w:cs="Arial"/>
        <w:b/>
        <w:i/>
        <w:noProof/>
        <w:sz w:val="12"/>
        <w:szCs w:val="12"/>
        <w:lang w:eastAsia="es-CO"/>
      </w:rPr>
      <w:drawing>
        <wp:inline distT="0" distB="0" distL="0" distR="0" wp14:anchorId="0DE3571B" wp14:editId="65916A18">
          <wp:extent cx="666750" cy="61912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p w:rsidR="005A7305" w:rsidRPr="00F86ECB" w:rsidRDefault="00B11E56" w:rsidP="0021567F">
    <w:pPr>
      <w:pStyle w:val="Encabezado"/>
      <w:jc w:val="center"/>
      <w:rPr>
        <w:rFonts w:ascii="Tahoma" w:hAnsi="Tahoma" w:cs="Tahoma"/>
        <w:b/>
        <w:sz w:val="12"/>
        <w:szCs w:val="12"/>
        <w:lang w:val="es-MX"/>
      </w:rPr>
    </w:pPr>
    <w:r w:rsidRPr="00F86ECB">
      <w:rPr>
        <w:rFonts w:ascii="Tahoma" w:hAnsi="Tahoma" w:cs="Tahoma"/>
        <w:b/>
        <w:sz w:val="12"/>
        <w:szCs w:val="12"/>
        <w:lang w:val="es-MX"/>
      </w:rPr>
      <w:t>JUZGADO TREINTA Y CUATRO ADMINISTRATIVO</w:t>
    </w:r>
  </w:p>
  <w:p w:rsidR="005A7305" w:rsidRPr="00F86ECB" w:rsidRDefault="00B11E56" w:rsidP="0021567F">
    <w:pPr>
      <w:pStyle w:val="Encabezado"/>
      <w:jc w:val="center"/>
      <w:rPr>
        <w:rFonts w:ascii="Tahoma" w:hAnsi="Tahoma" w:cs="Tahoma"/>
        <w:b/>
        <w:sz w:val="12"/>
        <w:szCs w:val="12"/>
        <w:lang w:val="es-MX"/>
      </w:rPr>
    </w:pPr>
    <w:r w:rsidRPr="00F86ECB">
      <w:rPr>
        <w:rFonts w:ascii="Tahoma" w:hAnsi="Tahoma" w:cs="Tahoma"/>
        <w:b/>
        <w:sz w:val="12"/>
        <w:szCs w:val="12"/>
        <w:lang w:val="es-MX"/>
      </w:rPr>
      <w:t>ORAL DE BOGOTÁ</w:t>
    </w:r>
  </w:p>
  <w:p w:rsidR="005A7305" w:rsidRPr="00F86ECB" w:rsidRDefault="00B11E56" w:rsidP="0021567F">
    <w:pPr>
      <w:pStyle w:val="Encabezado"/>
      <w:jc w:val="center"/>
      <w:rPr>
        <w:rFonts w:ascii="Tahoma" w:hAnsi="Tahoma" w:cs="Tahoma"/>
        <w:b/>
        <w:sz w:val="12"/>
        <w:szCs w:val="12"/>
        <w:lang w:val="es-MX"/>
      </w:rPr>
    </w:pPr>
    <w:r w:rsidRPr="00F86ECB">
      <w:rPr>
        <w:rFonts w:ascii="Tahoma" w:hAnsi="Tahoma" w:cs="Tahoma"/>
        <w:b/>
        <w:sz w:val="12"/>
        <w:szCs w:val="12"/>
        <w:lang w:val="es-MX"/>
      </w:rPr>
      <w:t>Sección Tercera</w:t>
    </w:r>
  </w:p>
  <w:p w:rsidR="005A7305" w:rsidRDefault="007765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959A2"/>
    <w:multiLevelType w:val="hybridMultilevel"/>
    <w:tmpl w:val="FF445D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1C"/>
    <w:rsid w:val="00064ECD"/>
    <w:rsid w:val="001C3273"/>
    <w:rsid w:val="00203A51"/>
    <w:rsid w:val="002A56B2"/>
    <w:rsid w:val="003B65F3"/>
    <w:rsid w:val="003C7740"/>
    <w:rsid w:val="003E0E87"/>
    <w:rsid w:val="003E7C1B"/>
    <w:rsid w:val="003F0028"/>
    <w:rsid w:val="00412557"/>
    <w:rsid w:val="004B271A"/>
    <w:rsid w:val="00537883"/>
    <w:rsid w:val="005729A0"/>
    <w:rsid w:val="00627DBA"/>
    <w:rsid w:val="006918A4"/>
    <w:rsid w:val="006E733C"/>
    <w:rsid w:val="006F021A"/>
    <w:rsid w:val="00733626"/>
    <w:rsid w:val="00776538"/>
    <w:rsid w:val="007C5C01"/>
    <w:rsid w:val="007F3A87"/>
    <w:rsid w:val="00835210"/>
    <w:rsid w:val="00862389"/>
    <w:rsid w:val="00876D5B"/>
    <w:rsid w:val="00900B60"/>
    <w:rsid w:val="00932A0E"/>
    <w:rsid w:val="009F121C"/>
    <w:rsid w:val="00A12E32"/>
    <w:rsid w:val="00AD507D"/>
    <w:rsid w:val="00B11E56"/>
    <w:rsid w:val="00BC46A8"/>
    <w:rsid w:val="00C410FA"/>
    <w:rsid w:val="00C926A9"/>
    <w:rsid w:val="00CC0E40"/>
    <w:rsid w:val="00D225FF"/>
    <w:rsid w:val="00D663BC"/>
    <w:rsid w:val="00DF7580"/>
    <w:rsid w:val="00E007C1"/>
    <w:rsid w:val="00F17DD3"/>
    <w:rsid w:val="00FF47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1C"/>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F121C"/>
    <w:pPr>
      <w:tabs>
        <w:tab w:val="center" w:pos="4419"/>
        <w:tab w:val="right" w:pos="8838"/>
      </w:tabs>
    </w:pPr>
  </w:style>
  <w:style w:type="character" w:customStyle="1" w:styleId="EncabezadoCar">
    <w:name w:val="Encabezado Car"/>
    <w:basedOn w:val="Fuentedeprrafopredeter"/>
    <w:link w:val="Encabezado"/>
    <w:uiPriority w:val="99"/>
    <w:rsid w:val="009F121C"/>
    <w:rPr>
      <w:rFonts w:ascii="Times New Roman" w:eastAsia="Times New Roman"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9F121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9F121C"/>
    <w:rPr>
      <w:sz w:val="20"/>
      <w:szCs w:val="20"/>
      <w:lang w:val="es-CO"/>
    </w:rPr>
  </w:style>
  <w:style w:type="character" w:styleId="Refdenotaalpie">
    <w:name w:val="footnote reference"/>
    <w:aliases w:val="Pie de Página,FC,Texto de nota al pie,Ref. de nota al pie 2"/>
    <w:basedOn w:val="Fuentedeprrafopredeter"/>
    <w:uiPriority w:val="99"/>
    <w:unhideWhenUsed/>
    <w:rsid w:val="009F121C"/>
    <w:rPr>
      <w:vertAlign w:val="superscript"/>
    </w:rPr>
  </w:style>
  <w:style w:type="paragraph" w:styleId="Textodeglobo">
    <w:name w:val="Balloon Text"/>
    <w:basedOn w:val="Normal"/>
    <w:link w:val="TextodegloboCar"/>
    <w:uiPriority w:val="99"/>
    <w:semiHidden/>
    <w:unhideWhenUsed/>
    <w:rsid w:val="009F121C"/>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21C"/>
    <w:rPr>
      <w:rFonts w:ascii="Tahoma" w:eastAsia="Times New Roman" w:hAnsi="Tahoma" w:cs="Tahoma"/>
      <w:sz w:val="16"/>
      <w:szCs w:val="16"/>
      <w:lang w:val="es-CO" w:eastAsia="es-ES"/>
    </w:rPr>
  </w:style>
  <w:style w:type="paragraph" w:styleId="Textoindependiente2">
    <w:name w:val="Body Text 2"/>
    <w:basedOn w:val="Normal"/>
    <w:link w:val="Textoindependiente2Car"/>
    <w:uiPriority w:val="99"/>
    <w:rsid w:val="009F121C"/>
    <w:pPr>
      <w:spacing w:after="120" w:line="480" w:lineRule="auto"/>
    </w:pPr>
  </w:style>
  <w:style w:type="character" w:customStyle="1" w:styleId="Textoindependiente2Car">
    <w:name w:val="Texto independiente 2 Car"/>
    <w:basedOn w:val="Fuentedeprrafopredeter"/>
    <w:link w:val="Textoindependiente2"/>
    <w:uiPriority w:val="99"/>
    <w:rsid w:val="009F121C"/>
    <w:rPr>
      <w:rFonts w:ascii="Times New Roman" w:eastAsia="Times New Roman" w:hAnsi="Times New Roman" w:cs="Times New Roman"/>
      <w:sz w:val="24"/>
      <w:szCs w:val="24"/>
      <w:lang w:val="es-CO" w:eastAsia="es-ES"/>
    </w:rPr>
  </w:style>
  <w:style w:type="paragraph" w:customStyle="1" w:styleId="Style7">
    <w:name w:val="Style7"/>
    <w:basedOn w:val="Normal"/>
    <w:uiPriority w:val="99"/>
    <w:rsid w:val="009F121C"/>
    <w:pPr>
      <w:widowControl w:val="0"/>
      <w:autoSpaceDE w:val="0"/>
      <w:autoSpaceDN w:val="0"/>
      <w:adjustRightInd w:val="0"/>
      <w:spacing w:line="415" w:lineRule="exact"/>
      <w:jc w:val="both"/>
    </w:pPr>
    <w:rPr>
      <w:rFonts w:ascii="Arial" w:eastAsiaTheme="minorEastAsia" w:hAnsi="Arial" w:cs="Arial"/>
      <w:lang w:val="es-ES"/>
    </w:rPr>
  </w:style>
  <w:style w:type="paragraph" w:customStyle="1" w:styleId="Style42">
    <w:name w:val="Style42"/>
    <w:basedOn w:val="Normal"/>
    <w:uiPriority w:val="99"/>
    <w:rsid w:val="009F121C"/>
    <w:pPr>
      <w:widowControl w:val="0"/>
      <w:autoSpaceDE w:val="0"/>
      <w:autoSpaceDN w:val="0"/>
      <w:adjustRightInd w:val="0"/>
      <w:spacing w:line="281" w:lineRule="exact"/>
    </w:pPr>
    <w:rPr>
      <w:rFonts w:ascii="Arial" w:eastAsiaTheme="minorEastAsia" w:hAnsi="Arial" w:cs="Arial"/>
      <w:lang w:val="es-ES"/>
    </w:rPr>
  </w:style>
  <w:style w:type="paragraph" w:customStyle="1" w:styleId="Style43">
    <w:name w:val="Style43"/>
    <w:basedOn w:val="Normal"/>
    <w:uiPriority w:val="99"/>
    <w:rsid w:val="009F121C"/>
    <w:pPr>
      <w:widowControl w:val="0"/>
      <w:autoSpaceDE w:val="0"/>
      <w:autoSpaceDN w:val="0"/>
      <w:adjustRightInd w:val="0"/>
      <w:spacing w:line="281" w:lineRule="exact"/>
      <w:ind w:firstLine="170"/>
    </w:pPr>
    <w:rPr>
      <w:rFonts w:ascii="Arial" w:eastAsiaTheme="minorEastAsia" w:hAnsi="Arial" w:cs="Arial"/>
      <w:lang w:val="es-ES"/>
    </w:rPr>
  </w:style>
  <w:style w:type="character" w:customStyle="1" w:styleId="FontStyle53">
    <w:name w:val="Font Style53"/>
    <w:basedOn w:val="Fuentedeprrafopredeter"/>
    <w:uiPriority w:val="99"/>
    <w:rsid w:val="009F121C"/>
    <w:rPr>
      <w:rFonts w:ascii="Arial" w:hAnsi="Arial" w:cs="Arial" w:hint="default"/>
      <w:sz w:val="22"/>
      <w:szCs w:val="22"/>
    </w:rPr>
  </w:style>
  <w:style w:type="paragraph" w:styleId="Prrafodelista">
    <w:name w:val="List Paragraph"/>
    <w:basedOn w:val="Normal"/>
    <w:uiPriority w:val="34"/>
    <w:qFormat/>
    <w:rsid w:val="00733626"/>
    <w:pPr>
      <w:ind w:left="720"/>
      <w:contextualSpacing/>
    </w:pPr>
  </w:style>
  <w:style w:type="paragraph" w:styleId="Piedepgina">
    <w:name w:val="footer"/>
    <w:basedOn w:val="Normal"/>
    <w:link w:val="PiedepginaCar"/>
    <w:uiPriority w:val="99"/>
    <w:unhideWhenUsed/>
    <w:rsid w:val="00537883"/>
    <w:pPr>
      <w:tabs>
        <w:tab w:val="center" w:pos="4252"/>
        <w:tab w:val="right" w:pos="8504"/>
      </w:tabs>
    </w:pPr>
  </w:style>
  <w:style w:type="character" w:customStyle="1" w:styleId="PiedepginaCar">
    <w:name w:val="Pie de página Car"/>
    <w:basedOn w:val="Fuentedeprrafopredeter"/>
    <w:link w:val="Piedepgina"/>
    <w:uiPriority w:val="99"/>
    <w:rsid w:val="00537883"/>
    <w:rPr>
      <w:rFonts w:ascii="Times New Roman" w:eastAsia="Times New Roman" w:hAnsi="Times New Roman" w:cs="Times New Roman"/>
      <w:sz w:val="24"/>
      <w:szCs w:val="24"/>
      <w:lang w:val="es-CO" w:eastAsia="es-ES"/>
    </w:rPr>
  </w:style>
  <w:style w:type="table" w:styleId="Tablaconcuadrcula">
    <w:name w:val="Table Grid"/>
    <w:basedOn w:val="Tablanormal"/>
    <w:uiPriority w:val="39"/>
    <w:rsid w:val="0086238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1C"/>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F121C"/>
    <w:pPr>
      <w:tabs>
        <w:tab w:val="center" w:pos="4419"/>
        <w:tab w:val="right" w:pos="8838"/>
      </w:tabs>
    </w:pPr>
  </w:style>
  <w:style w:type="character" w:customStyle="1" w:styleId="EncabezadoCar">
    <w:name w:val="Encabezado Car"/>
    <w:basedOn w:val="Fuentedeprrafopredeter"/>
    <w:link w:val="Encabezado"/>
    <w:uiPriority w:val="99"/>
    <w:rsid w:val="009F121C"/>
    <w:rPr>
      <w:rFonts w:ascii="Times New Roman" w:eastAsia="Times New Roman"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9F121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9F121C"/>
    <w:rPr>
      <w:sz w:val="20"/>
      <w:szCs w:val="20"/>
      <w:lang w:val="es-CO"/>
    </w:rPr>
  </w:style>
  <w:style w:type="character" w:styleId="Refdenotaalpie">
    <w:name w:val="footnote reference"/>
    <w:aliases w:val="Pie de Página,FC,Texto de nota al pie,Ref. de nota al pie 2"/>
    <w:basedOn w:val="Fuentedeprrafopredeter"/>
    <w:uiPriority w:val="99"/>
    <w:unhideWhenUsed/>
    <w:rsid w:val="009F121C"/>
    <w:rPr>
      <w:vertAlign w:val="superscript"/>
    </w:rPr>
  </w:style>
  <w:style w:type="paragraph" w:styleId="Textodeglobo">
    <w:name w:val="Balloon Text"/>
    <w:basedOn w:val="Normal"/>
    <w:link w:val="TextodegloboCar"/>
    <w:uiPriority w:val="99"/>
    <w:semiHidden/>
    <w:unhideWhenUsed/>
    <w:rsid w:val="009F121C"/>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21C"/>
    <w:rPr>
      <w:rFonts w:ascii="Tahoma" w:eastAsia="Times New Roman" w:hAnsi="Tahoma" w:cs="Tahoma"/>
      <w:sz w:val="16"/>
      <w:szCs w:val="16"/>
      <w:lang w:val="es-CO" w:eastAsia="es-ES"/>
    </w:rPr>
  </w:style>
  <w:style w:type="paragraph" w:styleId="Textoindependiente2">
    <w:name w:val="Body Text 2"/>
    <w:basedOn w:val="Normal"/>
    <w:link w:val="Textoindependiente2Car"/>
    <w:uiPriority w:val="99"/>
    <w:rsid w:val="009F121C"/>
    <w:pPr>
      <w:spacing w:after="120" w:line="480" w:lineRule="auto"/>
    </w:pPr>
  </w:style>
  <w:style w:type="character" w:customStyle="1" w:styleId="Textoindependiente2Car">
    <w:name w:val="Texto independiente 2 Car"/>
    <w:basedOn w:val="Fuentedeprrafopredeter"/>
    <w:link w:val="Textoindependiente2"/>
    <w:uiPriority w:val="99"/>
    <w:rsid w:val="009F121C"/>
    <w:rPr>
      <w:rFonts w:ascii="Times New Roman" w:eastAsia="Times New Roman" w:hAnsi="Times New Roman" w:cs="Times New Roman"/>
      <w:sz w:val="24"/>
      <w:szCs w:val="24"/>
      <w:lang w:val="es-CO" w:eastAsia="es-ES"/>
    </w:rPr>
  </w:style>
  <w:style w:type="paragraph" w:customStyle="1" w:styleId="Style7">
    <w:name w:val="Style7"/>
    <w:basedOn w:val="Normal"/>
    <w:uiPriority w:val="99"/>
    <w:rsid w:val="009F121C"/>
    <w:pPr>
      <w:widowControl w:val="0"/>
      <w:autoSpaceDE w:val="0"/>
      <w:autoSpaceDN w:val="0"/>
      <w:adjustRightInd w:val="0"/>
      <w:spacing w:line="415" w:lineRule="exact"/>
      <w:jc w:val="both"/>
    </w:pPr>
    <w:rPr>
      <w:rFonts w:ascii="Arial" w:eastAsiaTheme="minorEastAsia" w:hAnsi="Arial" w:cs="Arial"/>
      <w:lang w:val="es-ES"/>
    </w:rPr>
  </w:style>
  <w:style w:type="paragraph" w:customStyle="1" w:styleId="Style42">
    <w:name w:val="Style42"/>
    <w:basedOn w:val="Normal"/>
    <w:uiPriority w:val="99"/>
    <w:rsid w:val="009F121C"/>
    <w:pPr>
      <w:widowControl w:val="0"/>
      <w:autoSpaceDE w:val="0"/>
      <w:autoSpaceDN w:val="0"/>
      <w:adjustRightInd w:val="0"/>
      <w:spacing w:line="281" w:lineRule="exact"/>
    </w:pPr>
    <w:rPr>
      <w:rFonts w:ascii="Arial" w:eastAsiaTheme="minorEastAsia" w:hAnsi="Arial" w:cs="Arial"/>
      <w:lang w:val="es-ES"/>
    </w:rPr>
  </w:style>
  <w:style w:type="paragraph" w:customStyle="1" w:styleId="Style43">
    <w:name w:val="Style43"/>
    <w:basedOn w:val="Normal"/>
    <w:uiPriority w:val="99"/>
    <w:rsid w:val="009F121C"/>
    <w:pPr>
      <w:widowControl w:val="0"/>
      <w:autoSpaceDE w:val="0"/>
      <w:autoSpaceDN w:val="0"/>
      <w:adjustRightInd w:val="0"/>
      <w:spacing w:line="281" w:lineRule="exact"/>
      <w:ind w:firstLine="170"/>
    </w:pPr>
    <w:rPr>
      <w:rFonts w:ascii="Arial" w:eastAsiaTheme="minorEastAsia" w:hAnsi="Arial" w:cs="Arial"/>
      <w:lang w:val="es-ES"/>
    </w:rPr>
  </w:style>
  <w:style w:type="character" w:customStyle="1" w:styleId="FontStyle53">
    <w:name w:val="Font Style53"/>
    <w:basedOn w:val="Fuentedeprrafopredeter"/>
    <w:uiPriority w:val="99"/>
    <w:rsid w:val="009F121C"/>
    <w:rPr>
      <w:rFonts w:ascii="Arial" w:hAnsi="Arial" w:cs="Arial" w:hint="default"/>
      <w:sz w:val="22"/>
      <w:szCs w:val="22"/>
    </w:rPr>
  </w:style>
  <w:style w:type="paragraph" w:styleId="Prrafodelista">
    <w:name w:val="List Paragraph"/>
    <w:basedOn w:val="Normal"/>
    <w:uiPriority w:val="34"/>
    <w:qFormat/>
    <w:rsid w:val="00733626"/>
    <w:pPr>
      <w:ind w:left="720"/>
      <w:contextualSpacing/>
    </w:pPr>
  </w:style>
  <w:style w:type="paragraph" w:styleId="Piedepgina">
    <w:name w:val="footer"/>
    <w:basedOn w:val="Normal"/>
    <w:link w:val="PiedepginaCar"/>
    <w:uiPriority w:val="99"/>
    <w:unhideWhenUsed/>
    <w:rsid w:val="00537883"/>
    <w:pPr>
      <w:tabs>
        <w:tab w:val="center" w:pos="4252"/>
        <w:tab w:val="right" w:pos="8504"/>
      </w:tabs>
    </w:pPr>
  </w:style>
  <w:style w:type="character" w:customStyle="1" w:styleId="PiedepginaCar">
    <w:name w:val="Pie de página Car"/>
    <w:basedOn w:val="Fuentedeprrafopredeter"/>
    <w:link w:val="Piedepgina"/>
    <w:uiPriority w:val="99"/>
    <w:rsid w:val="00537883"/>
    <w:rPr>
      <w:rFonts w:ascii="Times New Roman" w:eastAsia="Times New Roman" w:hAnsi="Times New Roman" w:cs="Times New Roman"/>
      <w:sz w:val="24"/>
      <w:szCs w:val="24"/>
      <w:lang w:val="es-CO" w:eastAsia="es-ES"/>
    </w:rPr>
  </w:style>
  <w:style w:type="table" w:styleId="Tablaconcuadrcula">
    <w:name w:val="Table Grid"/>
    <w:basedOn w:val="Tablanormal"/>
    <w:uiPriority w:val="39"/>
    <w:rsid w:val="0086238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163A-1E37-423A-9102-3F8CD1BB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1466</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6</cp:revision>
  <cp:lastPrinted>2017-07-25T14:33:00Z</cp:lastPrinted>
  <dcterms:created xsi:type="dcterms:W3CDTF">2017-07-25T14:25:00Z</dcterms:created>
  <dcterms:modified xsi:type="dcterms:W3CDTF">2017-07-25T14:34:00Z</dcterms:modified>
</cp:coreProperties>
</file>