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557"/>
      </w:tblGrid>
      <w:tr w:rsidR="00A66F20" w:rsidRPr="00FE57C6" w:rsidTr="00C616B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20" w:rsidRPr="00FE57C6" w:rsidRDefault="00A66F20" w:rsidP="00FE57C6">
            <w:pPr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FE57C6">
              <w:rPr>
                <w:rFonts w:ascii="Tahoma" w:hAnsi="Tahoma" w:cs="Tahoma"/>
                <w:b/>
                <w:sz w:val="16"/>
                <w:szCs w:val="16"/>
                <w:lang w:val="es-MX"/>
              </w:rPr>
              <w:t>CIUDAD Y FECHA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20" w:rsidRPr="00FE57C6" w:rsidRDefault="00A66F20" w:rsidP="00EE2887">
            <w:pPr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FE57C6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Bogotá D. C., </w:t>
            </w:r>
            <w:r w:rsidR="00EE2887">
              <w:rPr>
                <w:rFonts w:ascii="Tahoma" w:hAnsi="Tahoma" w:cs="Tahoma"/>
                <w:b/>
                <w:sz w:val="16"/>
                <w:szCs w:val="16"/>
                <w:lang w:val="es-MX"/>
              </w:rPr>
              <w:t>trece (13)</w:t>
            </w:r>
            <w:r w:rsidRPr="00FE57C6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 de </w:t>
            </w:r>
            <w:r w:rsidR="00FE57C6">
              <w:rPr>
                <w:rFonts w:ascii="Tahoma" w:hAnsi="Tahoma" w:cs="Tahoma"/>
                <w:b/>
                <w:sz w:val="16"/>
                <w:szCs w:val="16"/>
                <w:lang w:val="es-MX"/>
              </w:rPr>
              <w:t>diciembre</w:t>
            </w:r>
            <w:r w:rsidRPr="00FE57C6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 de dos mil diecisiete (2017) </w:t>
            </w:r>
          </w:p>
        </w:tc>
      </w:tr>
      <w:tr w:rsidR="00FE57C6" w:rsidRPr="00FE57C6" w:rsidTr="00C616B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6" w:rsidRPr="00FE57C6" w:rsidRDefault="00FE57C6" w:rsidP="00FE57C6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FE57C6">
              <w:rPr>
                <w:rFonts w:ascii="Tahoma" w:hAnsi="Tahoma" w:cs="Tahoma"/>
                <w:b/>
                <w:sz w:val="16"/>
                <w:szCs w:val="16"/>
                <w:lang w:val="es-MX"/>
              </w:rPr>
              <w:t>REFERENCIA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6" w:rsidRPr="00FE57C6" w:rsidRDefault="00FE57C6" w:rsidP="00FE57C6">
            <w:pPr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FE57C6">
              <w:rPr>
                <w:rFonts w:ascii="Tahoma" w:hAnsi="Tahoma" w:cs="Tahoma"/>
                <w:b/>
                <w:sz w:val="16"/>
                <w:szCs w:val="16"/>
                <w:lang w:val="es-MX"/>
              </w:rPr>
              <w:t>Expediente No. 11001333603420150068900</w:t>
            </w:r>
          </w:p>
        </w:tc>
      </w:tr>
      <w:tr w:rsidR="00FE57C6" w:rsidRPr="00FE57C6" w:rsidTr="00C616B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6" w:rsidRPr="00FE57C6" w:rsidRDefault="00FE57C6" w:rsidP="00FE57C6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FE57C6">
              <w:rPr>
                <w:rFonts w:ascii="Tahoma" w:hAnsi="Tahoma" w:cs="Tahoma"/>
                <w:b/>
                <w:sz w:val="16"/>
                <w:szCs w:val="16"/>
                <w:lang w:val="es-MX"/>
              </w:rPr>
              <w:t>DEMANDANTE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6" w:rsidRPr="00FE57C6" w:rsidRDefault="00FE57C6" w:rsidP="00FE57C6">
            <w:pPr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FE57C6">
              <w:rPr>
                <w:rFonts w:ascii="Tahoma" w:hAnsi="Tahoma" w:cs="Tahoma"/>
                <w:b/>
                <w:sz w:val="16"/>
                <w:szCs w:val="16"/>
                <w:lang w:val="es-MX"/>
              </w:rPr>
              <w:t>BLANCA ROSA GUEVARA OSPINA y OTRO</w:t>
            </w:r>
          </w:p>
        </w:tc>
      </w:tr>
      <w:tr w:rsidR="00FE57C6" w:rsidRPr="00FE57C6" w:rsidTr="00C616B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6" w:rsidRPr="00FE57C6" w:rsidRDefault="00FE57C6" w:rsidP="00FE57C6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FE57C6">
              <w:rPr>
                <w:rFonts w:ascii="Tahoma" w:hAnsi="Tahoma" w:cs="Tahoma"/>
                <w:b/>
                <w:sz w:val="16"/>
                <w:szCs w:val="16"/>
                <w:lang w:val="es-MX"/>
              </w:rPr>
              <w:t>DEMANDADO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6" w:rsidRPr="00FE57C6" w:rsidRDefault="00FE57C6" w:rsidP="00FE57C6">
            <w:pPr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FE57C6">
              <w:rPr>
                <w:rFonts w:ascii="Tahoma" w:hAnsi="Tahoma" w:cs="Tahoma"/>
                <w:b/>
                <w:sz w:val="16"/>
                <w:szCs w:val="16"/>
                <w:lang w:val="es-MX"/>
              </w:rPr>
              <w:t>NACIÓN- MINISTERIO DE DEFENSA- EJÉRCITO NACIONAL</w:t>
            </w:r>
          </w:p>
        </w:tc>
      </w:tr>
      <w:tr w:rsidR="00A66F20" w:rsidRPr="00FE57C6" w:rsidTr="00C616B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20" w:rsidRPr="00FE57C6" w:rsidRDefault="00A66F20" w:rsidP="00FE57C6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FE57C6">
              <w:rPr>
                <w:rFonts w:ascii="Tahoma" w:hAnsi="Tahoma" w:cs="Tahoma"/>
                <w:b/>
                <w:sz w:val="16"/>
                <w:szCs w:val="16"/>
                <w:lang w:val="es-MX"/>
              </w:rPr>
              <w:t>MEDIO DE CONTROL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20" w:rsidRPr="00FE57C6" w:rsidRDefault="00A66F20" w:rsidP="00FE57C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FE57C6">
              <w:rPr>
                <w:rFonts w:ascii="Tahoma" w:hAnsi="Tahoma" w:cs="Tahoma"/>
                <w:b/>
                <w:sz w:val="16"/>
                <w:szCs w:val="16"/>
              </w:rPr>
              <w:t>REPARACIÓN DIRECTA</w:t>
            </w:r>
          </w:p>
        </w:tc>
      </w:tr>
      <w:tr w:rsidR="00A66F20" w:rsidRPr="00FE57C6" w:rsidTr="00C616B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20" w:rsidRPr="00FE57C6" w:rsidRDefault="00A66F20" w:rsidP="00FE57C6">
            <w:pPr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FE57C6">
              <w:rPr>
                <w:rFonts w:ascii="Tahoma" w:hAnsi="Tahoma" w:cs="Tahoma"/>
                <w:b/>
                <w:sz w:val="16"/>
                <w:szCs w:val="16"/>
                <w:lang w:val="es-MX"/>
              </w:rPr>
              <w:t>ASUNTO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20" w:rsidRPr="00FE57C6" w:rsidRDefault="00A66F20" w:rsidP="00FE57C6">
            <w:pPr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bookmarkStart w:id="0" w:name="_GoBack"/>
            <w:r w:rsidRPr="00FE57C6">
              <w:rPr>
                <w:rFonts w:ascii="Tahoma" w:eastAsia="Calibri" w:hAnsi="Tahoma" w:cs="Tahoma"/>
                <w:b/>
                <w:sz w:val="16"/>
                <w:szCs w:val="16"/>
                <w:lang w:val="es-MX"/>
              </w:rPr>
              <w:t>DECIDE EXCUSA DE INASISTENCIA A LA AUDIENCIA INICIAL</w:t>
            </w:r>
            <w:bookmarkEnd w:id="0"/>
          </w:p>
        </w:tc>
      </w:tr>
    </w:tbl>
    <w:p w:rsidR="00A66F20" w:rsidRPr="00FE57C6" w:rsidRDefault="00A66F20" w:rsidP="00FE57C6">
      <w:pPr>
        <w:jc w:val="both"/>
        <w:rPr>
          <w:rFonts w:ascii="Tahoma" w:hAnsi="Tahoma" w:cs="Tahoma"/>
          <w:bCs/>
          <w:sz w:val="16"/>
          <w:szCs w:val="16"/>
        </w:rPr>
      </w:pPr>
    </w:p>
    <w:p w:rsidR="00FE57C6" w:rsidRPr="00FE57C6" w:rsidRDefault="00FE57C6" w:rsidP="00FE57C6">
      <w:pPr>
        <w:shd w:val="clear" w:color="auto" w:fill="FFFFFF"/>
        <w:jc w:val="both"/>
        <w:rPr>
          <w:rFonts w:ascii="Tahoma" w:hAnsi="Tahoma" w:cs="Tahoma"/>
          <w:bCs/>
          <w:sz w:val="16"/>
          <w:szCs w:val="16"/>
        </w:rPr>
      </w:pPr>
      <w:r w:rsidRPr="00FE57C6">
        <w:rPr>
          <w:rFonts w:ascii="Tahoma" w:hAnsi="Tahoma" w:cs="Tahoma"/>
          <w:bCs/>
          <w:sz w:val="16"/>
          <w:szCs w:val="16"/>
        </w:rPr>
        <w:t>La presente demanda pretende que se declare responsable LA NACIÓN – MINISTERIO DE DEFENSA – EJERCITO NACIONAL de los perjuicios causados a los demandantes por la presunta retención ilegal y posterior ejecución extrajudicial del joven YAMID ALVEIRO CHAVARRIA GUEVARA a manos de miembros adscritos al Ejército Nacional.</w:t>
      </w:r>
    </w:p>
    <w:p w:rsidR="00FE57C6" w:rsidRPr="00FE57C6" w:rsidRDefault="00FE57C6" w:rsidP="00FE57C6">
      <w:pPr>
        <w:shd w:val="clear" w:color="auto" w:fill="FFFFFF"/>
        <w:jc w:val="both"/>
        <w:rPr>
          <w:rFonts w:ascii="Tahoma" w:hAnsi="Tahoma" w:cs="Tahoma"/>
          <w:bCs/>
          <w:sz w:val="16"/>
          <w:szCs w:val="16"/>
        </w:rPr>
      </w:pPr>
    </w:p>
    <w:p w:rsidR="00FE57C6" w:rsidRPr="00FE57C6" w:rsidRDefault="00FE57C6" w:rsidP="00FE57C6">
      <w:pPr>
        <w:shd w:val="clear" w:color="auto" w:fill="FFFFFF"/>
        <w:jc w:val="both"/>
        <w:rPr>
          <w:rFonts w:ascii="Tahoma" w:hAnsi="Tahoma" w:cs="Tahoma"/>
          <w:bCs/>
          <w:sz w:val="16"/>
          <w:szCs w:val="16"/>
        </w:rPr>
      </w:pPr>
      <w:r w:rsidRPr="00FE57C6">
        <w:rPr>
          <w:rFonts w:ascii="Tahoma" w:hAnsi="Tahoma" w:cs="Tahoma"/>
          <w:bCs/>
          <w:sz w:val="16"/>
          <w:szCs w:val="16"/>
        </w:rPr>
        <w:t>El día 12 de octubre de 2017 se llevó a cabo audiencia inicial, diligencia a la que no asistió la apoderada de la parte demandada Nación-Ministerio de Defensa-Ejercito Nacional.</w:t>
      </w:r>
    </w:p>
    <w:p w:rsidR="00FE57C6" w:rsidRPr="00FE57C6" w:rsidRDefault="00FE57C6" w:rsidP="00FE57C6">
      <w:pPr>
        <w:shd w:val="clear" w:color="auto" w:fill="FFFFFF"/>
        <w:jc w:val="both"/>
        <w:rPr>
          <w:rFonts w:ascii="Tahoma" w:hAnsi="Tahoma" w:cs="Tahoma"/>
          <w:bCs/>
          <w:sz w:val="16"/>
          <w:szCs w:val="16"/>
        </w:rPr>
      </w:pPr>
    </w:p>
    <w:p w:rsidR="00A66F20" w:rsidRPr="00FE57C6" w:rsidRDefault="00FE57C6" w:rsidP="00FE57C6">
      <w:pPr>
        <w:shd w:val="clear" w:color="auto" w:fill="FFFFFF"/>
        <w:jc w:val="both"/>
        <w:rPr>
          <w:rFonts w:ascii="Tahoma" w:hAnsi="Tahoma" w:cs="Tahoma"/>
          <w:bCs/>
          <w:sz w:val="16"/>
          <w:szCs w:val="16"/>
        </w:rPr>
      </w:pPr>
      <w:r w:rsidRPr="00FE57C6">
        <w:rPr>
          <w:rFonts w:ascii="Tahoma" w:hAnsi="Tahoma" w:cs="Tahoma"/>
          <w:bCs/>
          <w:sz w:val="16"/>
          <w:szCs w:val="16"/>
        </w:rPr>
        <w:t xml:space="preserve">Con escrito radicado el 17 de octubre de 2017, la apoderada de la entidad demandada presentó excusa por no asistir a la audiencia inicial. </w:t>
      </w:r>
    </w:p>
    <w:p w:rsidR="00FE57C6" w:rsidRPr="00FE57C6" w:rsidRDefault="00FE57C6" w:rsidP="00FE57C6">
      <w:pPr>
        <w:shd w:val="clear" w:color="auto" w:fill="FFFFFF"/>
        <w:jc w:val="both"/>
        <w:rPr>
          <w:rFonts w:ascii="Tahoma" w:hAnsi="Tahoma" w:cs="Tahoma"/>
          <w:bCs/>
          <w:sz w:val="16"/>
          <w:szCs w:val="16"/>
        </w:rPr>
      </w:pPr>
    </w:p>
    <w:p w:rsidR="00FE57C6" w:rsidRPr="00FE57C6" w:rsidRDefault="00FE57C6" w:rsidP="00FE57C6">
      <w:pPr>
        <w:shd w:val="clear" w:color="auto" w:fill="FFFFFF"/>
        <w:jc w:val="both"/>
        <w:rPr>
          <w:rFonts w:ascii="Tahoma" w:hAnsi="Tahoma" w:cs="Tahoma"/>
          <w:bCs/>
          <w:i/>
          <w:sz w:val="16"/>
          <w:szCs w:val="16"/>
        </w:rPr>
      </w:pPr>
      <w:r w:rsidRPr="00FE57C6">
        <w:rPr>
          <w:rFonts w:ascii="Tahoma" w:hAnsi="Tahoma" w:cs="Tahoma"/>
          <w:bCs/>
          <w:sz w:val="16"/>
          <w:szCs w:val="16"/>
        </w:rPr>
        <w:t xml:space="preserve">En informe secretarial de octubre 20 de 2017 se anotó: </w:t>
      </w:r>
      <w:r w:rsidRPr="00FE57C6">
        <w:rPr>
          <w:rFonts w:ascii="Tahoma" w:hAnsi="Tahoma" w:cs="Tahoma"/>
          <w:bCs/>
          <w:i/>
          <w:sz w:val="16"/>
          <w:szCs w:val="16"/>
        </w:rPr>
        <w:t>“EXCUSA POR INASISTENCIA A AUDIENCIA POR MINISTERIO DE DEFENSA (OCTUBRE 17 DE 2017). SÍRVASE PROVEER”.</w:t>
      </w:r>
    </w:p>
    <w:p w:rsidR="00A66F20" w:rsidRPr="00FE57C6" w:rsidRDefault="00A66F20" w:rsidP="00FE57C6">
      <w:pPr>
        <w:jc w:val="both"/>
        <w:rPr>
          <w:rFonts w:ascii="Tahoma" w:hAnsi="Tahoma" w:cs="Tahoma"/>
          <w:bCs/>
          <w:sz w:val="16"/>
          <w:szCs w:val="16"/>
          <w:highlight w:val="yellow"/>
        </w:rPr>
      </w:pPr>
    </w:p>
    <w:p w:rsidR="00A66F20" w:rsidRPr="00FE57C6" w:rsidRDefault="00A66F20" w:rsidP="00FE57C6">
      <w:pPr>
        <w:pStyle w:val="Sinespaciado"/>
        <w:jc w:val="center"/>
        <w:rPr>
          <w:rFonts w:ascii="Tahoma" w:hAnsi="Tahoma" w:cs="Tahoma"/>
          <w:b/>
          <w:sz w:val="16"/>
          <w:szCs w:val="16"/>
          <w:lang w:val="es-ES_tradnl"/>
        </w:rPr>
      </w:pPr>
      <w:r w:rsidRPr="00FE57C6">
        <w:rPr>
          <w:rFonts w:ascii="Tahoma" w:hAnsi="Tahoma" w:cs="Tahoma"/>
          <w:b/>
          <w:sz w:val="16"/>
          <w:szCs w:val="16"/>
          <w:lang w:val="es-ES_tradnl"/>
        </w:rPr>
        <w:t>CONSIDERACIONES:</w:t>
      </w:r>
    </w:p>
    <w:p w:rsidR="00A66F20" w:rsidRPr="00FE57C6" w:rsidRDefault="00A66F20" w:rsidP="00FE57C6">
      <w:pPr>
        <w:pStyle w:val="Sinespaciado"/>
        <w:rPr>
          <w:rFonts w:ascii="Tahoma" w:hAnsi="Tahoma" w:cs="Tahoma"/>
          <w:b/>
          <w:sz w:val="16"/>
          <w:szCs w:val="16"/>
          <w:lang w:val="es-ES_tradnl"/>
        </w:rPr>
      </w:pPr>
    </w:p>
    <w:p w:rsidR="00A66F20" w:rsidRPr="00FE57C6" w:rsidRDefault="00A66F20" w:rsidP="00FE57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sz w:val="16"/>
          <w:szCs w:val="16"/>
        </w:rPr>
      </w:pPr>
      <w:r w:rsidRPr="00FE57C6">
        <w:rPr>
          <w:rFonts w:ascii="Tahoma" w:hAnsi="Tahoma" w:cs="Tahoma"/>
          <w:bCs/>
          <w:sz w:val="16"/>
          <w:szCs w:val="16"/>
        </w:rPr>
        <w:t xml:space="preserve">El artículo 180 del CPACA señala: “(…) </w:t>
      </w:r>
      <w:r w:rsidRPr="00FE57C6">
        <w:rPr>
          <w:rFonts w:ascii="Tahoma" w:hAnsi="Tahoma" w:cs="Tahoma"/>
          <w:bCs/>
          <w:i/>
          <w:sz w:val="16"/>
          <w:szCs w:val="16"/>
        </w:rPr>
        <w:t>Audiencia</w:t>
      </w:r>
      <w:r w:rsidRPr="00FE57C6">
        <w:rPr>
          <w:rFonts w:ascii="Tahoma" w:hAnsi="Tahoma" w:cs="Tahoma"/>
          <w:bCs/>
          <w:i/>
          <w:iCs/>
          <w:sz w:val="16"/>
          <w:szCs w:val="16"/>
        </w:rPr>
        <w:t xml:space="preserve"> inicial.</w:t>
      </w:r>
      <w:r w:rsidRPr="00FE57C6">
        <w:rPr>
          <w:rStyle w:val="apple-converted-space"/>
          <w:rFonts w:ascii="Tahoma" w:eastAsia="Calibri" w:hAnsi="Tahoma" w:cs="Tahoma"/>
          <w:i/>
          <w:iCs/>
          <w:sz w:val="16"/>
          <w:szCs w:val="16"/>
        </w:rPr>
        <w:t> </w:t>
      </w:r>
      <w:r w:rsidRPr="00FE57C6">
        <w:rPr>
          <w:rFonts w:ascii="Tahoma" w:hAnsi="Tahoma" w:cs="Tahoma"/>
          <w:i/>
          <w:sz w:val="16"/>
          <w:szCs w:val="16"/>
        </w:rPr>
        <w:t>Vencido el término de traslado de la demanda o de la de reconvención según el caso, el Juez o Magistrado Ponente, convocará a una audiencia que se sujetará a las siguientes reglas: (…)</w:t>
      </w:r>
    </w:p>
    <w:p w:rsidR="00A66F20" w:rsidRPr="00FE57C6" w:rsidRDefault="00A66F20" w:rsidP="00FE57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sz w:val="16"/>
          <w:szCs w:val="16"/>
        </w:rPr>
      </w:pPr>
      <w:r w:rsidRPr="00FE57C6">
        <w:rPr>
          <w:rFonts w:ascii="Tahoma" w:hAnsi="Tahoma" w:cs="Tahoma"/>
          <w:i/>
          <w:sz w:val="16"/>
          <w:szCs w:val="16"/>
        </w:rPr>
        <w:t>2.</w:t>
      </w:r>
      <w:r w:rsidRPr="00FE57C6">
        <w:rPr>
          <w:rStyle w:val="apple-converted-space"/>
          <w:rFonts w:ascii="Tahoma" w:eastAsia="Calibri" w:hAnsi="Tahoma" w:cs="Tahoma"/>
          <w:i/>
          <w:sz w:val="16"/>
          <w:szCs w:val="16"/>
        </w:rPr>
        <w:t> </w:t>
      </w:r>
      <w:r w:rsidRPr="00FE57C6">
        <w:rPr>
          <w:rFonts w:ascii="Tahoma" w:hAnsi="Tahoma" w:cs="Tahoma"/>
          <w:bCs/>
          <w:i/>
          <w:sz w:val="16"/>
          <w:szCs w:val="16"/>
        </w:rPr>
        <w:t>Intervinientes.</w:t>
      </w:r>
      <w:r w:rsidRPr="00FE57C6">
        <w:rPr>
          <w:rStyle w:val="apple-converted-space"/>
          <w:rFonts w:ascii="Tahoma" w:eastAsia="Calibri" w:hAnsi="Tahoma" w:cs="Tahoma"/>
          <w:bCs/>
          <w:i/>
          <w:sz w:val="16"/>
          <w:szCs w:val="16"/>
        </w:rPr>
        <w:t> </w:t>
      </w:r>
      <w:r w:rsidRPr="00FE57C6">
        <w:rPr>
          <w:rFonts w:ascii="Tahoma" w:hAnsi="Tahoma" w:cs="Tahoma"/>
          <w:b/>
          <w:i/>
          <w:sz w:val="16"/>
          <w:szCs w:val="16"/>
        </w:rPr>
        <w:t>Todos los apoderados deberán concurrir obligatoriamente</w:t>
      </w:r>
      <w:r w:rsidRPr="00FE57C6">
        <w:rPr>
          <w:rFonts w:ascii="Tahoma" w:hAnsi="Tahoma" w:cs="Tahoma"/>
          <w:i/>
          <w:sz w:val="16"/>
          <w:szCs w:val="16"/>
        </w:rPr>
        <w:t xml:space="preserve">. También podrán asistir las partes, los terceros y el Ministerio Público. </w:t>
      </w:r>
      <w:r w:rsidRPr="00FE57C6">
        <w:rPr>
          <w:rFonts w:ascii="Tahoma" w:hAnsi="Tahoma" w:cs="Tahoma"/>
          <w:b/>
          <w:i/>
          <w:sz w:val="16"/>
          <w:szCs w:val="16"/>
        </w:rPr>
        <w:t>La inasistencia de quienes deban concurrir no impedirá la realización de la audiencia, salvo su aplazamiento por decisión del Juez o Magistrado Ponente.</w:t>
      </w:r>
    </w:p>
    <w:p w:rsidR="00A66F20" w:rsidRPr="00FE57C6" w:rsidRDefault="00A66F20" w:rsidP="00FE57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sz w:val="16"/>
          <w:szCs w:val="16"/>
        </w:rPr>
      </w:pPr>
    </w:p>
    <w:p w:rsidR="00A66F20" w:rsidRPr="00FE57C6" w:rsidRDefault="00A66F20" w:rsidP="00FE57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sz w:val="16"/>
          <w:szCs w:val="16"/>
        </w:rPr>
      </w:pPr>
      <w:r w:rsidRPr="00FE57C6">
        <w:rPr>
          <w:rFonts w:ascii="Tahoma" w:hAnsi="Tahoma" w:cs="Tahoma"/>
          <w:i/>
          <w:sz w:val="16"/>
          <w:szCs w:val="16"/>
        </w:rPr>
        <w:t>3.</w:t>
      </w:r>
      <w:r w:rsidRPr="00FE57C6">
        <w:rPr>
          <w:rStyle w:val="apple-converted-space"/>
          <w:rFonts w:ascii="Tahoma" w:eastAsia="Calibri" w:hAnsi="Tahoma" w:cs="Tahoma"/>
          <w:i/>
          <w:sz w:val="16"/>
          <w:szCs w:val="16"/>
        </w:rPr>
        <w:t> </w:t>
      </w:r>
      <w:r w:rsidRPr="00FE57C6">
        <w:rPr>
          <w:rFonts w:ascii="Tahoma" w:hAnsi="Tahoma" w:cs="Tahoma"/>
          <w:bCs/>
          <w:i/>
          <w:sz w:val="16"/>
          <w:szCs w:val="16"/>
        </w:rPr>
        <w:t>Aplazamiento.</w:t>
      </w:r>
      <w:r w:rsidRPr="00FE57C6">
        <w:rPr>
          <w:rStyle w:val="apple-converted-space"/>
          <w:rFonts w:ascii="Tahoma" w:eastAsia="Calibri" w:hAnsi="Tahoma" w:cs="Tahoma"/>
          <w:bCs/>
          <w:i/>
          <w:sz w:val="16"/>
          <w:szCs w:val="16"/>
        </w:rPr>
        <w:t> </w:t>
      </w:r>
      <w:r w:rsidRPr="00FE57C6">
        <w:rPr>
          <w:rFonts w:ascii="Tahoma" w:hAnsi="Tahoma" w:cs="Tahoma"/>
          <w:b/>
          <w:i/>
          <w:sz w:val="16"/>
          <w:szCs w:val="16"/>
        </w:rPr>
        <w:t xml:space="preserve">La inasistencia a esta audiencia solo podrá excusarse mediante prueba siquiera sumaria de una justa causa. </w:t>
      </w:r>
      <w:r w:rsidRPr="00FE57C6">
        <w:rPr>
          <w:rFonts w:ascii="Tahoma" w:hAnsi="Tahoma" w:cs="Tahoma"/>
          <w:i/>
          <w:sz w:val="16"/>
          <w:szCs w:val="16"/>
        </w:rPr>
        <w:t xml:space="preserve">Cuando se presente la excusa con anterioridad a la audiencia y el juez la acepte, fijará nueva fecha y hora para su celebración dentro de los diez (10) días siguientes, por auto que no tendrá recursos. En ningún caso podrá haber otro aplazamiento. </w:t>
      </w:r>
      <w:r w:rsidRPr="00FE57C6">
        <w:rPr>
          <w:rFonts w:ascii="Tahoma" w:hAnsi="Tahoma" w:cs="Tahoma"/>
          <w:b/>
          <w:i/>
          <w:sz w:val="16"/>
          <w:szCs w:val="16"/>
        </w:rPr>
        <w:t>El juez podrá admitir aquellas justificaciones que se presenten dentro de los tres (3) días siguientes a la realización de la audiencia siempre que se fundamenten en fuerza mayor o caso fortuito y solo tendrán el efecto de exonerar de las consecuencias pecuniarias adversas que se hubieren derivado de la inasistencia.</w:t>
      </w:r>
    </w:p>
    <w:p w:rsidR="00A66F20" w:rsidRPr="00FE57C6" w:rsidRDefault="00A66F20" w:rsidP="00FE57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i/>
          <w:sz w:val="16"/>
          <w:szCs w:val="16"/>
        </w:rPr>
      </w:pPr>
    </w:p>
    <w:p w:rsidR="00A66F20" w:rsidRPr="00FE57C6" w:rsidRDefault="00A66F20" w:rsidP="00FE57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FE57C6">
        <w:rPr>
          <w:rFonts w:ascii="Tahoma" w:hAnsi="Tahoma" w:cs="Tahoma"/>
          <w:i/>
          <w:sz w:val="16"/>
          <w:szCs w:val="16"/>
        </w:rPr>
        <w:t>4.</w:t>
      </w:r>
      <w:r w:rsidRPr="00FE57C6">
        <w:rPr>
          <w:rStyle w:val="apple-converted-space"/>
          <w:rFonts w:ascii="Tahoma" w:eastAsia="Calibri" w:hAnsi="Tahoma" w:cs="Tahoma"/>
          <w:i/>
          <w:sz w:val="16"/>
          <w:szCs w:val="16"/>
        </w:rPr>
        <w:t> </w:t>
      </w:r>
      <w:r w:rsidRPr="00FE57C6">
        <w:rPr>
          <w:rFonts w:ascii="Tahoma" w:hAnsi="Tahoma" w:cs="Tahoma"/>
          <w:bCs/>
          <w:i/>
          <w:sz w:val="16"/>
          <w:szCs w:val="16"/>
        </w:rPr>
        <w:t>Consecuencias de la inasistencia.</w:t>
      </w:r>
      <w:r w:rsidRPr="00FE57C6">
        <w:rPr>
          <w:rStyle w:val="apple-converted-space"/>
          <w:rFonts w:ascii="Tahoma" w:eastAsia="Calibri" w:hAnsi="Tahoma" w:cs="Tahoma"/>
          <w:bCs/>
          <w:i/>
          <w:sz w:val="16"/>
          <w:szCs w:val="16"/>
        </w:rPr>
        <w:t> </w:t>
      </w:r>
      <w:r w:rsidRPr="00FE57C6">
        <w:rPr>
          <w:rFonts w:ascii="Tahoma" w:hAnsi="Tahoma" w:cs="Tahoma"/>
          <w:b/>
          <w:i/>
          <w:sz w:val="16"/>
          <w:szCs w:val="16"/>
        </w:rPr>
        <w:t>Al apoderado que no concurra a la audiencia sin justa causa se le impondrá multa de dos (2) salarios mínimos legales mensuales vigentes. (…)” (</w:t>
      </w:r>
      <w:r w:rsidRPr="00FE57C6">
        <w:rPr>
          <w:rFonts w:ascii="Tahoma" w:hAnsi="Tahoma" w:cs="Tahoma"/>
          <w:sz w:val="16"/>
          <w:szCs w:val="16"/>
        </w:rPr>
        <w:t>negrita fuera de texto)</w:t>
      </w:r>
    </w:p>
    <w:p w:rsidR="00A66F20" w:rsidRPr="00FE57C6" w:rsidRDefault="00A66F20" w:rsidP="00FE57C6">
      <w:pPr>
        <w:pStyle w:val="Sinespaciado"/>
        <w:rPr>
          <w:rFonts w:ascii="Tahoma" w:hAnsi="Tahoma" w:cs="Tahoma"/>
          <w:b/>
          <w:sz w:val="16"/>
          <w:szCs w:val="16"/>
          <w:lang w:val="es-ES_tradnl"/>
        </w:rPr>
      </w:pPr>
    </w:p>
    <w:p w:rsidR="00A66F20" w:rsidRPr="00FE57C6" w:rsidRDefault="00FE57C6" w:rsidP="00FE57C6">
      <w:pPr>
        <w:jc w:val="both"/>
        <w:rPr>
          <w:rFonts w:ascii="Tahoma" w:hAnsi="Tahoma" w:cs="Tahoma"/>
          <w:sz w:val="16"/>
          <w:szCs w:val="16"/>
        </w:rPr>
      </w:pPr>
      <w:r w:rsidRPr="00FE57C6">
        <w:rPr>
          <w:rFonts w:ascii="Tahoma" w:hAnsi="Tahoma" w:cs="Tahoma"/>
          <w:sz w:val="16"/>
          <w:szCs w:val="16"/>
        </w:rPr>
        <w:t xml:space="preserve">En vista de la excusa presentada por la apoderada de la parte demandada NACIÓN-MINISTERIO DE DEFENSA-EJERCITO NACIONAL, el despacho procederá a aceptarla </w:t>
      </w:r>
      <w:r>
        <w:rPr>
          <w:rFonts w:ascii="Tahoma" w:hAnsi="Tahoma" w:cs="Tahoma"/>
          <w:sz w:val="16"/>
          <w:szCs w:val="16"/>
        </w:rPr>
        <w:t>y por consiguiente revocará la</w:t>
      </w:r>
      <w:r w:rsidR="00A66F20" w:rsidRPr="00FE57C6">
        <w:rPr>
          <w:rFonts w:ascii="Tahoma" w:hAnsi="Tahoma" w:cs="Tahoma"/>
          <w:sz w:val="16"/>
          <w:szCs w:val="16"/>
        </w:rPr>
        <w:t xml:space="preserve"> sanción impuesta en la audiencia inicial del </w:t>
      </w:r>
      <w:r w:rsidRPr="00FE57C6">
        <w:rPr>
          <w:rFonts w:ascii="Tahoma" w:hAnsi="Tahoma" w:cs="Tahoma"/>
          <w:sz w:val="16"/>
          <w:szCs w:val="16"/>
        </w:rPr>
        <w:t>12 de octubre de 2017</w:t>
      </w:r>
      <w:r w:rsidR="00A66F20" w:rsidRPr="00FE57C6">
        <w:rPr>
          <w:rFonts w:ascii="Tahoma" w:hAnsi="Tahoma" w:cs="Tahoma"/>
          <w:sz w:val="16"/>
          <w:szCs w:val="16"/>
        </w:rPr>
        <w:t>, no sin antes advertirle a la apoderada que la excusa sólo la exonera de la sanción pecuniaria y que ello no implica que la audiencia se deba reprogramar o la exima de otra decisión que se haya proferido dentro de la diligencia, de conformidad con la normatividad citada.</w:t>
      </w:r>
    </w:p>
    <w:p w:rsidR="00A66F20" w:rsidRPr="00FE57C6" w:rsidRDefault="00A66F20" w:rsidP="00FE57C6">
      <w:pPr>
        <w:jc w:val="both"/>
        <w:rPr>
          <w:rFonts w:ascii="Tahoma" w:hAnsi="Tahoma" w:cs="Tahoma"/>
          <w:sz w:val="16"/>
          <w:szCs w:val="16"/>
        </w:rPr>
      </w:pPr>
    </w:p>
    <w:p w:rsidR="00A66F20" w:rsidRPr="00FE57C6" w:rsidRDefault="00A66F20" w:rsidP="00FE57C6">
      <w:pPr>
        <w:jc w:val="both"/>
        <w:rPr>
          <w:rFonts w:ascii="Tahoma" w:hAnsi="Tahoma" w:cs="Tahoma"/>
          <w:b/>
          <w:sz w:val="16"/>
          <w:szCs w:val="16"/>
        </w:rPr>
      </w:pPr>
      <w:r w:rsidRPr="00FE57C6">
        <w:rPr>
          <w:rFonts w:ascii="Tahoma" w:hAnsi="Tahoma" w:cs="Tahoma"/>
          <w:sz w:val="16"/>
          <w:szCs w:val="16"/>
        </w:rPr>
        <w:t xml:space="preserve">Por lo anterior se </w:t>
      </w:r>
      <w:r w:rsidRPr="00FE57C6">
        <w:rPr>
          <w:rFonts w:ascii="Tahoma" w:hAnsi="Tahoma" w:cs="Tahoma"/>
          <w:b/>
          <w:sz w:val="16"/>
          <w:szCs w:val="16"/>
        </w:rPr>
        <w:t>RESUELVE:</w:t>
      </w:r>
    </w:p>
    <w:p w:rsidR="00A66F20" w:rsidRPr="00FE57C6" w:rsidRDefault="00A66F20" w:rsidP="00FE57C6">
      <w:pPr>
        <w:jc w:val="both"/>
        <w:rPr>
          <w:rFonts w:ascii="Tahoma" w:hAnsi="Tahoma" w:cs="Tahoma"/>
          <w:b/>
          <w:sz w:val="16"/>
          <w:szCs w:val="16"/>
        </w:rPr>
      </w:pPr>
    </w:p>
    <w:p w:rsidR="00A66F20" w:rsidRPr="00FE57C6" w:rsidRDefault="00A66F20" w:rsidP="00FE57C6">
      <w:pPr>
        <w:jc w:val="both"/>
        <w:rPr>
          <w:rFonts w:ascii="Tahoma" w:hAnsi="Tahoma" w:cs="Tahoma"/>
          <w:sz w:val="16"/>
          <w:szCs w:val="16"/>
        </w:rPr>
      </w:pPr>
      <w:r w:rsidRPr="00FE57C6">
        <w:rPr>
          <w:rFonts w:ascii="Tahoma" w:hAnsi="Tahoma" w:cs="Tahoma"/>
          <w:b/>
          <w:sz w:val="16"/>
          <w:szCs w:val="16"/>
        </w:rPr>
        <w:t>Primero:</w:t>
      </w:r>
      <w:r w:rsidRPr="00FE57C6">
        <w:rPr>
          <w:rFonts w:ascii="Tahoma" w:hAnsi="Tahoma" w:cs="Tahoma"/>
          <w:sz w:val="16"/>
          <w:szCs w:val="16"/>
        </w:rPr>
        <w:t xml:space="preserve"> Acéptese la excusa presentada por la apoderada de la parte demandada  </w:t>
      </w:r>
      <w:r w:rsidR="00FE57C6" w:rsidRPr="00FE57C6">
        <w:rPr>
          <w:rFonts w:ascii="Tahoma" w:hAnsi="Tahoma" w:cs="Tahoma"/>
          <w:sz w:val="16"/>
          <w:szCs w:val="16"/>
        </w:rPr>
        <w:t>NACIÓN-MINISTERIO DE DEFENSA-EJERCITO NACIONAL</w:t>
      </w:r>
      <w:r w:rsidRPr="00FE57C6">
        <w:rPr>
          <w:rFonts w:ascii="Tahoma" w:hAnsi="Tahoma" w:cs="Tahoma"/>
          <w:sz w:val="16"/>
          <w:szCs w:val="16"/>
        </w:rPr>
        <w:t>,  de conformidad con lo señalado en la parte motiva de la presente providencia.</w:t>
      </w:r>
    </w:p>
    <w:p w:rsidR="00A66F20" w:rsidRPr="00FE57C6" w:rsidRDefault="00A66F20" w:rsidP="00FE57C6">
      <w:pPr>
        <w:jc w:val="both"/>
        <w:rPr>
          <w:rFonts w:ascii="Tahoma" w:hAnsi="Tahoma" w:cs="Tahoma"/>
          <w:b/>
          <w:sz w:val="16"/>
          <w:szCs w:val="16"/>
        </w:rPr>
      </w:pPr>
    </w:p>
    <w:p w:rsidR="00A66F20" w:rsidRPr="00FE57C6" w:rsidRDefault="00A66F20" w:rsidP="00FE57C6">
      <w:pPr>
        <w:jc w:val="both"/>
        <w:rPr>
          <w:rFonts w:ascii="Tahoma" w:hAnsi="Tahoma" w:cs="Tahoma"/>
          <w:sz w:val="16"/>
          <w:szCs w:val="16"/>
        </w:rPr>
      </w:pPr>
      <w:r w:rsidRPr="00FE57C6">
        <w:rPr>
          <w:rFonts w:ascii="Tahoma" w:hAnsi="Tahoma" w:cs="Tahoma"/>
          <w:b/>
          <w:sz w:val="16"/>
          <w:szCs w:val="16"/>
        </w:rPr>
        <w:t>Segundo:</w:t>
      </w:r>
      <w:r w:rsidRPr="00FE57C6">
        <w:rPr>
          <w:rFonts w:ascii="Tahoma" w:hAnsi="Tahoma" w:cs="Tahoma"/>
          <w:sz w:val="16"/>
          <w:szCs w:val="16"/>
        </w:rPr>
        <w:t xml:space="preserve"> Revóquese la sanción impuesta a la apoderada de la parte demandada </w:t>
      </w:r>
      <w:r w:rsidR="00FE57C6" w:rsidRPr="00FE57C6">
        <w:rPr>
          <w:rFonts w:ascii="Tahoma" w:hAnsi="Tahoma" w:cs="Tahoma"/>
          <w:sz w:val="16"/>
          <w:szCs w:val="16"/>
        </w:rPr>
        <w:t>NACIÓN-MINISTERIO DE DEFENSA-EJERCITO NACIONAL</w:t>
      </w:r>
      <w:r w:rsidRPr="00FE57C6">
        <w:rPr>
          <w:rFonts w:ascii="Tahoma" w:hAnsi="Tahoma" w:cs="Tahoma"/>
          <w:sz w:val="16"/>
          <w:szCs w:val="16"/>
        </w:rPr>
        <w:t xml:space="preserve">, impuesta en audiencia inicial dentro del expediente de la referencia celebrada el </w:t>
      </w:r>
      <w:r w:rsidR="00FE57C6" w:rsidRPr="00FE57C6">
        <w:rPr>
          <w:rFonts w:ascii="Tahoma" w:hAnsi="Tahoma" w:cs="Tahoma"/>
          <w:sz w:val="16"/>
          <w:szCs w:val="16"/>
        </w:rPr>
        <w:t>12 de octubre de 2017</w:t>
      </w:r>
      <w:r w:rsidRPr="00FE57C6">
        <w:rPr>
          <w:rFonts w:ascii="Tahoma" w:hAnsi="Tahoma" w:cs="Tahoma"/>
          <w:sz w:val="16"/>
          <w:szCs w:val="16"/>
        </w:rPr>
        <w:t>,  por las razones expuestas en la parte motiva de la presente providencia.</w:t>
      </w:r>
      <w:r w:rsidR="00FE57C6" w:rsidRPr="00FE57C6">
        <w:rPr>
          <w:rFonts w:ascii="Tahoma" w:hAnsi="Tahoma" w:cs="Tahoma"/>
          <w:sz w:val="16"/>
          <w:szCs w:val="16"/>
        </w:rPr>
        <w:t xml:space="preserve">  </w:t>
      </w:r>
    </w:p>
    <w:p w:rsidR="00A66F20" w:rsidRPr="00FE57C6" w:rsidRDefault="00A66F20" w:rsidP="00FE57C6">
      <w:pPr>
        <w:pStyle w:val="Sinespaciado"/>
        <w:rPr>
          <w:rFonts w:ascii="Tahoma" w:hAnsi="Tahoma" w:cs="Tahoma"/>
          <w:b/>
          <w:sz w:val="16"/>
          <w:szCs w:val="16"/>
        </w:rPr>
      </w:pPr>
    </w:p>
    <w:p w:rsidR="00A66F20" w:rsidRPr="00FE57C6" w:rsidRDefault="00A66F20" w:rsidP="00FE57C6">
      <w:pPr>
        <w:pStyle w:val="Sinespaciado"/>
        <w:rPr>
          <w:rFonts w:ascii="Tahoma" w:hAnsi="Tahoma" w:cs="Tahoma"/>
          <w:b/>
          <w:sz w:val="16"/>
          <w:szCs w:val="16"/>
          <w:lang w:val="es-ES_tradnl"/>
        </w:rPr>
      </w:pPr>
      <w:r w:rsidRPr="00FE57C6">
        <w:rPr>
          <w:rFonts w:ascii="Tahoma" w:hAnsi="Tahoma" w:cs="Tahoma"/>
          <w:b/>
          <w:sz w:val="16"/>
          <w:szCs w:val="16"/>
          <w:lang w:val="es-ES_tradnl"/>
        </w:rPr>
        <w:t>NOTIFÍQUESE Y CÚMPLASE,</w:t>
      </w:r>
    </w:p>
    <w:p w:rsidR="00A66F20" w:rsidRPr="00FE57C6" w:rsidRDefault="00A66F20" w:rsidP="00FE57C6">
      <w:pPr>
        <w:pStyle w:val="Sinespaciado"/>
        <w:rPr>
          <w:rFonts w:ascii="Tahoma" w:hAnsi="Tahoma" w:cs="Tahoma"/>
          <w:b/>
          <w:sz w:val="16"/>
          <w:szCs w:val="16"/>
          <w:lang w:val="es-ES_tradnl"/>
        </w:rPr>
      </w:pPr>
    </w:p>
    <w:p w:rsidR="00A66F20" w:rsidRPr="00FE57C6" w:rsidRDefault="00A66F20" w:rsidP="00FE57C6">
      <w:pPr>
        <w:pStyle w:val="Sinespaciado"/>
        <w:rPr>
          <w:rFonts w:ascii="Tahoma" w:hAnsi="Tahoma" w:cs="Tahoma"/>
          <w:b/>
          <w:sz w:val="16"/>
          <w:szCs w:val="16"/>
        </w:rPr>
      </w:pPr>
    </w:p>
    <w:p w:rsidR="00A66F20" w:rsidRPr="00FE57C6" w:rsidRDefault="00A66F20" w:rsidP="00FE57C6">
      <w:pPr>
        <w:shd w:val="clear" w:color="auto" w:fill="FFFFFF"/>
        <w:ind w:left="3082"/>
        <w:rPr>
          <w:rFonts w:ascii="Tahoma" w:hAnsi="Tahoma" w:cs="Tahoma"/>
          <w:sz w:val="16"/>
          <w:szCs w:val="16"/>
        </w:rPr>
      </w:pPr>
      <w:r w:rsidRPr="00FE57C6">
        <w:rPr>
          <w:rFonts w:ascii="Tahoma" w:hAnsi="Tahoma" w:cs="Tahoma"/>
          <w:b/>
          <w:bCs/>
          <w:spacing w:val="1"/>
          <w:sz w:val="16"/>
          <w:szCs w:val="16"/>
          <w:lang w:val="es-ES_tradnl"/>
        </w:rPr>
        <w:t>OLGA CECILIA HENAO MARÍN</w:t>
      </w:r>
    </w:p>
    <w:p w:rsidR="00A66F20" w:rsidRPr="00FE57C6" w:rsidRDefault="00A66F20" w:rsidP="00FE57C6">
      <w:pPr>
        <w:shd w:val="clear" w:color="auto" w:fill="FFFFFF"/>
        <w:ind w:left="4277"/>
        <w:rPr>
          <w:rFonts w:ascii="Tahoma" w:hAnsi="Tahoma" w:cs="Tahoma"/>
          <w:sz w:val="16"/>
          <w:szCs w:val="16"/>
        </w:rPr>
      </w:pPr>
      <w:r w:rsidRPr="00FE57C6">
        <w:rPr>
          <w:rFonts w:ascii="Tahoma" w:hAnsi="Tahoma" w:cs="Tahoma"/>
          <w:spacing w:val="-6"/>
          <w:sz w:val="16"/>
          <w:szCs w:val="16"/>
          <w:lang w:val="es-ES_tradnl"/>
        </w:rPr>
        <w:t>Juez</w:t>
      </w:r>
    </w:p>
    <w:p w:rsidR="00A66F20" w:rsidRPr="00FE57C6" w:rsidRDefault="00A66F20" w:rsidP="00FE57C6">
      <w:pPr>
        <w:shd w:val="clear" w:color="auto" w:fill="FFFFFF"/>
        <w:rPr>
          <w:rFonts w:ascii="Tahoma" w:hAnsi="Tahoma" w:cs="Tahoma"/>
          <w:sz w:val="12"/>
          <w:szCs w:val="12"/>
        </w:rPr>
      </w:pPr>
      <w:r w:rsidRPr="00FE57C6">
        <w:rPr>
          <w:rFonts w:ascii="Tahoma" w:hAnsi="Tahoma" w:cs="Tahoma"/>
          <w:spacing w:val="-4"/>
          <w:sz w:val="12"/>
          <w:szCs w:val="12"/>
          <w:lang w:val="es-ES_tradnl"/>
        </w:rPr>
        <w:t>SLDR</w:t>
      </w:r>
    </w:p>
    <w:p w:rsidR="00A66F20" w:rsidRPr="00FE57C6" w:rsidRDefault="00A66F20" w:rsidP="00FE57C6">
      <w:pPr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0" w:type="auto"/>
        <w:tblInd w:w="13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664ED" w:rsidRPr="00C47C8D" w:rsidTr="00AC1439">
        <w:trPr>
          <w:trHeight w:val="1404"/>
        </w:trPr>
        <w:tc>
          <w:tcPr>
            <w:tcW w:w="5954" w:type="dxa"/>
          </w:tcPr>
          <w:p w:rsidR="005664ED" w:rsidRPr="00C47C8D" w:rsidRDefault="005664ED" w:rsidP="00AC1439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  <w:p w:rsidR="005664ED" w:rsidRPr="00C47C8D" w:rsidRDefault="005664ED" w:rsidP="00AC1439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C47C8D">
              <w:rPr>
                <w:rFonts w:ascii="Agency FB" w:hAnsi="Agency FB"/>
                <w:sz w:val="16"/>
                <w:szCs w:val="16"/>
              </w:rPr>
              <w:t>JUZGADO TREINTA Y CUATRO ADMINISTRATIVO CIRCUITO DE BOGOTA -  SECCION TERCERA</w:t>
            </w:r>
          </w:p>
          <w:p w:rsidR="005664ED" w:rsidRPr="00C47C8D" w:rsidRDefault="005664ED" w:rsidP="00AC1439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:rsidR="005664ED" w:rsidRPr="00C47C8D" w:rsidRDefault="005664ED" w:rsidP="00AC1439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  <w:r w:rsidRPr="00C47C8D">
              <w:rPr>
                <w:rFonts w:ascii="Agency FB" w:hAnsi="Agency FB" w:cs="Tahoma"/>
                <w:b/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14BC9A4" wp14:editId="238353EC">
                  <wp:simplePos x="0" y="0"/>
                  <wp:positionH relativeFrom="margin">
                    <wp:posOffset>1374140</wp:posOffset>
                  </wp:positionH>
                  <wp:positionV relativeFrom="paragraph">
                    <wp:posOffset>178435</wp:posOffset>
                  </wp:positionV>
                  <wp:extent cx="815340" cy="485775"/>
                  <wp:effectExtent l="0" t="0" r="3810" b="9525"/>
                  <wp:wrapSquare wrapText="bothSides"/>
                  <wp:docPr id="2" name="Imagen 2" descr="C:\Users\rcortesr\Documents\VILMA\ORGANIZACION\SOPORTE - INSUMOS\fir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cortesr\Documents\VILMA\ORGANIZACION\SOPORTE - INSUMOS\fir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7C8D">
              <w:rPr>
                <w:rFonts w:ascii="Agency FB" w:hAnsi="Agency FB"/>
                <w:sz w:val="16"/>
                <w:szCs w:val="16"/>
              </w:rPr>
              <w:t xml:space="preserve">Por anotación en ESTADO notifico a las partes la providencia anterior, hoy </w:t>
            </w:r>
            <w:r>
              <w:rPr>
                <w:rFonts w:ascii="Agency FB" w:hAnsi="Agency FB"/>
                <w:b/>
                <w:sz w:val="16"/>
                <w:szCs w:val="16"/>
              </w:rPr>
              <w:t>____________________________</w:t>
            </w:r>
            <w:r w:rsidRPr="00C47C8D">
              <w:rPr>
                <w:rFonts w:ascii="Agency FB" w:hAnsi="Agency FB"/>
                <w:sz w:val="16"/>
                <w:szCs w:val="16"/>
              </w:rPr>
              <w:t>a las</w:t>
            </w:r>
            <w:r w:rsidRPr="00C47C8D">
              <w:rPr>
                <w:rFonts w:ascii="Gill Sans MT" w:hAnsi="Gill Sans MT"/>
                <w:sz w:val="16"/>
                <w:szCs w:val="16"/>
              </w:rPr>
              <w:t xml:space="preserve"> 8:00 a.m.</w:t>
            </w:r>
          </w:p>
          <w:p w:rsidR="005664ED" w:rsidRPr="00C47C8D" w:rsidRDefault="005664ED" w:rsidP="00AC1439">
            <w:pPr>
              <w:rPr>
                <w:sz w:val="16"/>
                <w:szCs w:val="16"/>
              </w:rPr>
            </w:pPr>
          </w:p>
        </w:tc>
      </w:tr>
    </w:tbl>
    <w:p w:rsidR="005664ED" w:rsidRDefault="005664ED" w:rsidP="005664ED"/>
    <w:p w:rsidR="00A50FF4" w:rsidRPr="00FE57C6" w:rsidRDefault="00A50FF4" w:rsidP="00FE57C6">
      <w:pPr>
        <w:rPr>
          <w:rFonts w:ascii="Tahoma" w:hAnsi="Tahoma" w:cs="Tahoma"/>
          <w:sz w:val="16"/>
          <w:szCs w:val="16"/>
        </w:rPr>
      </w:pPr>
    </w:p>
    <w:sectPr w:rsidR="00A50FF4" w:rsidRPr="00FE57C6" w:rsidSect="009F3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8722" w:code="14"/>
      <w:pgMar w:top="1701" w:right="1701" w:bottom="1985" w:left="1701" w:header="85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D2" w:rsidRDefault="00A265D2" w:rsidP="00A66F20">
      <w:r>
        <w:separator/>
      </w:r>
    </w:p>
  </w:endnote>
  <w:endnote w:type="continuationSeparator" w:id="0">
    <w:p w:rsidR="00A265D2" w:rsidRDefault="00A265D2" w:rsidP="00A6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2F" w:rsidRPr="002416A1" w:rsidRDefault="00A265D2" w:rsidP="009F37AE">
    <w:pPr>
      <w:pStyle w:val="Piedepgina"/>
      <w:jc w:val="right"/>
      <w:rPr>
        <w:rFonts w:ascii="Tahoma" w:hAnsi="Tahoma" w:cs="Tahoma"/>
        <w:sz w:val="18"/>
        <w:szCs w:val="18"/>
        <w:lang w:val="es-MX"/>
      </w:rPr>
    </w:pPr>
    <w:r w:rsidRPr="002416A1">
      <w:rPr>
        <w:rFonts w:ascii="Tahoma" w:hAnsi="Tahoma" w:cs="Tahoma"/>
        <w:sz w:val="18"/>
        <w:szCs w:val="18"/>
        <w:lang w:val="es-MX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2F" w:rsidRPr="00116394" w:rsidRDefault="00A265D2" w:rsidP="009F37AE">
    <w:pPr>
      <w:pStyle w:val="Piedepgina"/>
      <w:jc w:val="right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D2" w:rsidRDefault="00A265D2" w:rsidP="00A66F20">
      <w:r>
        <w:separator/>
      </w:r>
    </w:p>
  </w:footnote>
  <w:footnote w:type="continuationSeparator" w:id="0">
    <w:p w:rsidR="00A265D2" w:rsidRDefault="00A265D2" w:rsidP="00A66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2F" w:rsidRPr="00116394" w:rsidRDefault="00A265D2" w:rsidP="009F37AE">
    <w:pPr>
      <w:pStyle w:val="Piedepgina"/>
      <w:jc w:val="right"/>
      <w:rPr>
        <w:rFonts w:ascii="Tahoma" w:hAnsi="Tahoma" w:cs="Tahoma"/>
        <w:bCs/>
        <w:sz w:val="18"/>
        <w:szCs w:val="18"/>
      </w:rPr>
    </w:pPr>
    <w:r w:rsidRPr="002416A1">
      <w:rPr>
        <w:rFonts w:ascii="Tahoma" w:hAnsi="Tahoma" w:cs="Tahoma"/>
        <w:sz w:val="18"/>
        <w:szCs w:val="18"/>
        <w:lang w:val="es-MX"/>
      </w:rPr>
      <w:t>Expediente No.</w:t>
    </w:r>
    <w:r w:rsidRPr="00116394">
      <w:rPr>
        <w:rFonts w:ascii="Tahoma" w:hAnsi="Tahoma" w:cs="Tahoma"/>
        <w:b/>
        <w:bCs/>
        <w:sz w:val="18"/>
        <w:szCs w:val="18"/>
      </w:rPr>
      <w:t xml:space="preserve"> </w:t>
    </w:r>
    <w:r w:rsidRPr="00116394">
      <w:rPr>
        <w:rFonts w:ascii="Tahoma" w:hAnsi="Tahoma" w:cs="Tahoma"/>
        <w:bCs/>
        <w:sz w:val="18"/>
        <w:szCs w:val="18"/>
      </w:rPr>
      <w:fldChar w:fldCharType="begin"/>
    </w:r>
    <w:r w:rsidRPr="00116394">
      <w:rPr>
        <w:rFonts w:ascii="Tahoma" w:hAnsi="Tahoma" w:cs="Tahoma"/>
        <w:bCs/>
        <w:sz w:val="18"/>
        <w:szCs w:val="18"/>
      </w:rPr>
      <w:instrText xml:space="preserve"> MERGEFIELD "No_DE_EXPEDIENTE" </w:instrText>
    </w:r>
    <w:r w:rsidRPr="00116394">
      <w:rPr>
        <w:rFonts w:ascii="Tahoma" w:hAnsi="Tahoma" w:cs="Tahoma"/>
        <w:bCs/>
        <w:sz w:val="18"/>
        <w:szCs w:val="18"/>
      </w:rPr>
      <w:fldChar w:fldCharType="separate"/>
    </w:r>
    <w:r w:rsidR="00602D08">
      <w:rPr>
        <w:rFonts w:ascii="Tahoma" w:hAnsi="Tahoma" w:cs="Tahoma"/>
        <w:bCs/>
        <w:noProof/>
        <w:sz w:val="18"/>
        <w:szCs w:val="18"/>
      </w:rPr>
      <w:t>«No_DE_EXPEDIENTE»</w:t>
    </w:r>
    <w:r w:rsidRPr="00116394">
      <w:rPr>
        <w:rFonts w:ascii="Tahoma" w:hAnsi="Tahoma" w:cs="Tahoma"/>
        <w:bCs/>
        <w:sz w:val="18"/>
        <w:szCs w:val="18"/>
      </w:rPr>
      <w:fldChar w:fldCharType="end"/>
    </w:r>
  </w:p>
  <w:p w:rsidR="000F002F" w:rsidRDefault="00A265D2" w:rsidP="009F37AE">
    <w:pPr>
      <w:pStyle w:val="Encabezado"/>
      <w:jc w:val="right"/>
    </w:pPr>
    <w:r w:rsidRPr="002416A1">
      <w:rPr>
        <w:rStyle w:val="Nmerodepgina"/>
        <w:rFonts w:ascii="Tahoma" w:hAnsi="Tahoma" w:cs="Tahoma"/>
        <w:sz w:val="18"/>
        <w:szCs w:val="18"/>
      </w:rPr>
      <w:t xml:space="preserve">Páginas </w:t>
    </w:r>
    <w:r w:rsidRPr="002416A1">
      <w:rPr>
        <w:rStyle w:val="Nmerodepgina"/>
        <w:rFonts w:ascii="Tahoma" w:hAnsi="Tahoma" w:cs="Tahoma"/>
        <w:sz w:val="18"/>
        <w:szCs w:val="18"/>
      </w:rPr>
      <w:fldChar w:fldCharType="begin"/>
    </w:r>
    <w:r w:rsidRPr="002416A1">
      <w:rPr>
        <w:rStyle w:val="Nmerodepgina"/>
        <w:rFonts w:ascii="Tahoma" w:hAnsi="Tahoma" w:cs="Tahoma"/>
        <w:sz w:val="18"/>
        <w:szCs w:val="18"/>
      </w:rPr>
      <w:instrText xml:space="preserve"> PAGE </w:instrText>
    </w:r>
    <w:r w:rsidRPr="002416A1">
      <w:rPr>
        <w:rStyle w:val="Nmerodepgina"/>
        <w:rFonts w:ascii="Tahoma" w:hAnsi="Tahoma" w:cs="Tahoma"/>
        <w:sz w:val="18"/>
        <w:szCs w:val="18"/>
      </w:rPr>
      <w:fldChar w:fldCharType="separate"/>
    </w:r>
    <w:r>
      <w:rPr>
        <w:rStyle w:val="Nmerodepgina"/>
        <w:rFonts w:ascii="Tahoma" w:hAnsi="Tahoma" w:cs="Tahoma"/>
        <w:noProof/>
        <w:sz w:val="18"/>
        <w:szCs w:val="18"/>
      </w:rPr>
      <w:t>2</w:t>
    </w:r>
    <w:r w:rsidRPr="002416A1">
      <w:rPr>
        <w:rStyle w:val="Nmerodepgina"/>
        <w:rFonts w:ascii="Tahoma" w:hAnsi="Tahoma" w:cs="Tahoma"/>
        <w:sz w:val="18"/>
        <w:szCs w:val="18"/>
      </w:rPr>
      <w:fldChar w:fldCharType="end"/>
    </w:r>
    <w:r w:rsidRPr="002416A1">
      <w:rPr>
        <w:rStyle w:val="Nmerodepgina"/>
        <w:rFonts w:ascii="Tahoma" w:hAnsi="Tahoma" w:cs="Tahoma"/>
        <w:sz w:val="18"/>
        <w:szCs w:val="18"/>
      </w:rPr>
      <w:t xml:space="preserve"> de</w:t>
    </w:r>
    <w:r>
      <w:rPr>
        <w:rStyle w:val="Nmerodepgina"/>
        <w:rFonts w:ascii="Tahoma" w:hAnsi="Tahoma" w:cs="Tahoma"/>
        <w:sz w:val="18"/>
        <w:szCs w:val="18"/>
      </w:rPr>
      <w:t xml:space="preserve"> </w:t>
    </w:r>
    <w:r w:rsidRPr="002416A1">
      <w:rPr>
        <w:rStyle w:val="Nmerodepgina"/>
        <w:rFonts w:ascii="Tahoma" w:hAnsi="Tahoma" w:cs="Tahoma"/>
        <w:sz w:val="18"/>
        <w:szCs w:val="18"/>
      </w:rPr>
      <w:fldChar w:fldCharType="begin"/>
    </w:r>
    <w:r w:rsidRPr="002416A1">
      <w:rPr>
        <w:rStyle w:val="Nmerodepgina"/>
        <w:rFonts w:ascii="Tahoma" w:hAnsi="Tahoma" w:cs="Tahoma"/>
        <w:sz w:val="18"/>
        <w:szCs w:val="18"/>
      </w:rPr>
      <w:instrText xml:space="preserve"> NUMPAGES </w:instrText>
    </w:r>
    <w:r w:rsidRPr="002416A1">
      <w:rPr>
        <w:rStyle w:val="Nmerodepgina"/>
        <w:rFonts w:ascii="Tahoma" w:hAnsi="Tahoma" w:cs="Tahoma"/>
        <w:sz w:val="18"/>
        <w:szCs w:val="18"/>
      </w:rPr>
      <w:fldChar w:fldCharType="separate"/>
    </w:r>
    <w:r w:rsidR="00602D08">
      <w:rPr>
        <w:rStyle w:val="Nmerodepgina"/>
        <w:rFonts w:ascii="Tahoma" w:hAnsi="Tahoma" w:cs="Tahoma"/>
        <w:noProof/>
        <w:sz w:val="18"/>
        <w:szCs w:val="18"/>
      </w:rPr>
      <w:t>1</w:t>
    </w:r>
    <w:r w:rsidRPr="002416A1">
      <w:rPr>
        <w:rStyle w:val="Nmerodepgina"/>
        <w:rFonts w:ascii="Tahoma" w:hAnsi="Tahoma" w:cs="Tahoma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2F" w:rsidRPr="00EB6EC7" w:rsidRDefault="00A265D2" w:rsidP="009F37AE">
    <w:pPr>
      <w:pStyle w:val="Encabezado"/>
      <w:jc w:val="right"/>
      <w:rPr>
        <w:rFonts w:ascii="Tahoma" w:hAnsi="Tahoma" w:cs="Tahoma"/>
        <w:sz w:val="14"/>
        <w:szCs w:val="12"/>
        <w:lang w:val="es-MX"/>
      </w:rPr>
    </w:pPr>
    <w:r>
      <w:rPr>
        <w:rFonts w:ascii="Tahoma" w:hAnsi="Tahoma" w:cs="Tahoma"/>
        <w:sz w:val="14"/>
        <w:szCs w:val="12"/>
        <w:lang w:val="es-MX"/>
      </w:rPr>
      <w:t xml:space="preserve">Expediente No. </w:t>
    </w:r>
    <w:r>
      <w:rPr>
        <w:rFonts w:ascii="Tahoma" w:hAnsi="Tahoma" w:cs="Tahoma"/>
        <w:sz w:val="14"/>
        <w:szCs w:val="12"/>
        <w:lang w:val="es-MX"/>
      </w:rPr>
      <w:t>2014-00004</w:t>
    </w:r>
  </w:p>
  <w:p w:rsidR="000F002F" w:rsidRPr="00EB6EC7" w:rsidRDefault="00A265D2" w:rsidP="009F37AE">
    <w:pPr>
      <w:pStyle w:val="Encabezado"/>
      <w:jc w:val="right"/>
      <w:rPr>
        <w:rFonts w:ascii="Tahoma" w:hAnsi="Tahoma" w:cs="Tahoma"/>
        <w:sz w:val="14"/>
        <w:szCs w:val="12"/>
        <w:lang w:val="es-MX"/>
      </w:rPr>
    </w:pPr>
    <w:r w:rsidRPr="00EB6EC7">
      <w:rPr>
        <w:rFonts w:ascii="Tahoma" w:hAnsi="Tahoma" w:cs="Tahoma"/>
        <w:sz w:val="14"/>
        <w:szCs w:val="12"/>
        <w:lang w:val="es-MX"/>
      </w:rPr>
      <w:t xml:space="preserve">  </w:t>
    </w:r>
    <w:r>
      <w:rPr>
        <w:rFonts w:ascii="Tahoma" w:hAnsi="Tahoma" w:cs="Tahoma"/>
        <w:sz w:val="14"/>
        <w:szCs w:val="12"/>
        <w:lang w:val="es-MX"/>
      </w:rPr>
      <w:t>ACEPTA EXCUSA – REVOCA SANCIÓN</w:t>
    </w:r>
  </w:p>
  <w:p w:rsidR="000F002F" w:rsidRPr="00EB6EC7" w:rsidRDefault="00A265D2" w:rsidP="009F37AE">
    <w:pPr>
      <w:pStyle w:val="Encabezado"/>
      <w:jc w:val="right"/>
      <w:rPr>
        <w:rFonts w:ascii="Tahoma" w:hAnsi="Tahoma" w:cs="Tahoma"/>
        <w:sz w:val="14"/>
        <w:szCs w:val="12"/>
        <w:lang w:val="es-MX"/>
      </w:rPr>
    </w:pPr>
    <w:r w:rsidRPr="00EB6EC7">
      <w:rPr>
        <w:rFonts w:ascii="Tahoma" w:hAnsi="Tahoma" w:cs="Tahoma"/>
        <w:sz w:val="14"/>
        <w:szCs w:val="12"/>
        <w:lang w:val="es-MX"/>
      </w:rPr>
      <w:t xml:space="preserve">Páginas </w:t>
    </w:r>
    <w:r w:rsidRPr="00EB6EC7">
      <w:rPr>
        <w:rStyle w:val="Nmerodepgina"/>
        <w:rFonts w:ascii="Tahoma" w:hAnsi="Tahoma" w:cs="Tahoma"/>
        <w:sz w:val="14"/>
        <w:szCs w:val="12"/>
      </w:rPr>
      <w:fldChar w:fldCharType="begin"/>
    </w:r>
    <w:r w:rsidRPr="00EB6EC7">
      <w:rPr>
        <w:rStyle w:val="Nmerodepgina"/>
        <w:rFonts w:ascii="Tahoma" w:hAnsi="Tahoma" w:cs="Tahoma"/>
        <w:sz w:val="14"/>
        <w:szCs w:val="12"/>
      </w:rPr>
      <w:instrText xml:space="preserve"> PAGE </w:instrText>
    </w:r>
    <w:r w:rsidRPr="00EB6EC7">
      <w:rPr>
        <w:rStyle w:val="Nmerodepgina"/>
        <w:rFonts w:ascii="Tahoma" w:hAnsi="Tahoma" w:cs="Tahoma"/>
        <w:sz w:val="14"/>
        <w:szCs w:val="12"/>
      </w:rPr>
      <w:fldChar w:fldCharType="separate"/>
    </w:r>
    <w:r w:rsidR="00602D08">
      <w:rPr>
        <w:rStyle w:val="Nmerodepgina"/>
        <w:rFonts w:ascii="Tahoma" w:hAnsi="Tahoma" w:cs="Tahoma"/>
        <w:noProof/>
        <w:sz w:val="14"/>
        <w:szCs w:val="12"/>
      </w:rPr>
      <w:t>2</w:t>
    </w:r>
    <w:r w:rsidRPr="00EB6EC7">
      <w:rPr>
        <w:rStyle w:val="Nmerodepgina"/>
        <w:rFonts w:ascii="Tahoma" w:hAnsi="Tahoma" w:cs="Tahoma"/>
        <w:sz w:val="14"/>
        <w:szCs w:val="12"/>
      </w:rPr>
      <w:fldChar w:fldCharType="end"/>
    </w:r>
    <w:r w:rsidRPr="00EB6EC7">
      <w:rPr>
        <w:rStyle w:val="Nmerodepgina"/>
        <w:rFonts w:ascii="Tahoma" w:hAnsi="Tahoma" w:cs="Tahoma"/>
        <w:sz w:val="14"/>
        <w:szCs w:val="12"/>
      </w:rPr>
      <w:t xml:space="preserve"> de </w:t>
    </w:r>
    <w:r w:rsidRPr="00EB6EC7">
      <w:rPr>
        <w:rStyle w:val="Nmerodepgina"/>
        <w:rFonts w:ascii="Tahoma" w:hAnsi="Tahoma" w:cs="Tahoma"/>
        <w:sz w:val="14"/>
        <w:szCs w:val="12"/>
      </w:rPr>
      <w:fldChar w:fldCharType="begin"/>
    </w:r>
    <w:r w:rsidRPr="00EB6EC7">
      <w:rPr>
        <w:rStyle w:val="Nmerodepgina"/>
        <w:rFonts w:ascii="Tahoma" w:hAnsi="Tahoma" w:cs="Tahoma"/>
        <w:sz w:val="14"/>
        <w:szCs w:val="12"/>
      </w:rPr>
      <w:instrText xml:space="preserve"> NUMPAGES </w:instrText>
    </w:r>
    <w:r w:rsidRPr="00EB6EC7">
      <w:rPr>
        <w:rStyle w:val="Nmerodepgina"/>
        <w:rFonts w:ascii="Tahoma" w:hAnsi="Tahoma" w:cs="Tahoma"/>
        <w:sz w:val="14"/>
        <w:szCs w:val="12"/>
      </w:rPr>
      <w:fldChar w:fldCharType="separate"/>
    </w:r>
    <w:r w:rsidR="00602D08">
      <w:rPr>
        <w:rStyle w:val="Nmerodepgina"/>
        <w:rFonts w:ascii="Tahoma" w:hAnsi="Tahoma" w:cs="Tahoma"/>
        <w:noProof/>
        <w:sz w:val="14"/>
        <w:szCs w:val="12"/>
      </w:rPr>
      <w:t>1</w:t>
    </w:r>
    <w:r w:rsidRPr="00EB6EC7">
      <w:rPr>
        <w:rStyle w:val="Nmerodepgina"/>
        <w:rFonts w:ascii="Tahoma" w:hAnsi="Tahoma" w:cs="Tahoma"/>
        <w:sz w:val="14"/>
        <w:szCs w:val="1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2F" w:rsidRPr="00282C6B" w:rsidRDefault="00A265D2" w:rsidP="009F37AE">
    <w:pPr>
      <w:pStyle w:val="Encabezado"/>
      <w:jc w:val="center"/>
      <w:rPr>
        <w:rFonts w:ascii="Arial" w:hAnsi="Arial" w:cs="Arial"/>
        <w:b/>
        <w:i/>
        <w:sz w:val="12"/>
        <w:szCs w:val="12"/>
      </w:rPr>
    </w:pPr>
    <w:r w:rsidRPr="00282C6B">
      <w:rPr>
        <w:rFonts w:ascii="Arial" w:hAnsi="Arial" w:cs="Arial"/>
        <w:b/>
        <w:i/>
        <w:noProof/>
        <w:sz w:val="12"/>
        <w:szCs w:val="12"/>
        <w:lang w:val="es-CO" w:eastAsia="es-CO"/>
      </w:rPr>
      <w:drawing>
        <wp:inline distT="0" distB="0" distL="0" distR="0" wp14:anchorId="52325724" wp14:editId="7045DBB7">
          <wp:extent cx="668655" cy="654050"/>
          <wp:effectExtent l="0" t="0" r="0" b="0"/>
          <wp:docPr id="1" name="Imagen 1" descr="logo_rama_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ama_jud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F002F" w:rsidRPr="00282C6B" w:rsidRDefault="00A265D2" w:rsidP="009F37AE">
    <w:pPr>
      <w:pStyle w:val="Encabezado"/>
      <w:jc w:val="center"/>
      <w:rPr>
        <w:rFonts w:ascii="Tahoma" w:hAnsi="Tahoma" w:cs="Tahoma"/>
        <w:b/>
        <w:sz w:val="12"/>
        <w:szCs w:val="12"/>
        <w:lang w:val="es-MX"/>
      </w:rPr>
    </w:pPr>
    <w:r w:rsidRPr="00282C6B">
      <w:rPr>
        <w:rFonts w:ascii="Tahoma" w:hAnsi="Tahoma" w:cs="Tahoma"/>
        <w:b/>
        <w:sz w:val="12"/>
        <w:szCs w:val="12"/>
        <w:lang w:val="es-MX"/>
      </w:rPr>
      <w:t>JUZGADO TREINTA Y CUATRO ADMINISTRATIVO</w:t>
    </w:r>
  </w:p>
  <w:p w:rsidR="000F002F" w:rsidRPr="00282C6B" w:rsidRDefault="00A265D2" w:rsidP="009F37AE">
    <w:pPr>
      <w:pStyle w:val="Encabezado"/>
      <w:jc w:val="center"/>
      <w:rPr>
        <w:rFonts w:ascii="Tahoma" w:hAnsi="Tahoma" w:cs="Tahoma"/>
        <w:b/>
        <w:sz w:val="12"/>
        <w:szCs w:val="12"/>
        <w:lang w:val="es-MX"/>
      </w:rPr>
    </w:pPr>
    <w:r w:rsidRPr="00282C6B">
      <w:rPr>
        <w:rFonts w:ascii="Tahoma" w:hAnsi="Tahoma" w:cs="Tahoma"/>
        <w:b/>
        <w:sz w:val="12"/>
        <w:szCs w:val="12"/>
        <w:lang w:val="es-MX"/>
      </w:rPr>
      <w:t>CIRCUITO DE BOGOTÁ</w:t>
    </w:r>
  </w:p>
  <w:p w:rsidR="000F002F" w:rsidRPr="00282C6B" w:rsidRDefault="00A265D2" w:rsidP="009F37AE">
    <w:pPr>
      <w:pStyle w:val="Encabezado"/>
      <w:jc w:val="center"/>
      <w:rPr>
        <w:rFonts w:ascii="Tahoma" w:hAnsi="Tahoma" w:cs="Tahoma"/>
        <w:b/>
        <w:sz w:val="12"/>
        <w:szCs w:val="12"/>
        <w:lang w:val="es-MX"/>
      </w:rPr>
    </w:pPr>
    <w:r w:rsidRPr="00282C6B">
      <w:rPr>
        <w:rFonts w:ascii="Tahoma" w:hAnsi="Tahoma" w:cs="Tahoma"/>
        <w:b/>
        <w:sz w:val="12"/>
        <w:szCs w:val="12"/>
        <w:lang w:val="es-MX"/>
      </w:rPr>
      <w:t>Sección Tercera</w:t>
    </w:r>
  </w:p>
  <w:p w:rsidR="000F002F" w:rsidRDefault="00A265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0"/>
    <w:rsid w:val="00040636"/>
    <w:rsid w:val="00150606"/>
    <w:rsid w:val="005664ED"/>
    <w:rsid w:val="00602D08"/>
    <w:rsid w:val="00941CB2"/>
    <w:rsid w:val="00A265D2"/>
    <w:rsid w:val="00A50FF4"/>
    <w:rsid w:val="00A66F20"/>
    <w:rsid w:val="00EE2887"/>
    <w:rsid w:val="00FA5161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6F20"/>
    <w:pPr>
      <w:keepNext/>
      <w:jc w:val="both"/>
      <w:outlineLvl w:val="0"/>
    </w:pPr>
    <w:rPr>
      <w:rFonts w:ascii="Tahoma" w:hAnsi="Tahoma" w:cs="Tahoma"/>
      <w:b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F20"/>
    <w:rPr>
      <w:rFonts w:ascii="Tahoma" w:eastAsia="Times New Roman" w:hAnsi="Tahoma" w:cs="Tahoma"/>
      <w:b/>
      <w:sz w:val="18"/>
      <w:szCs w:val="18"/>
      <w:lang w:val="es-MX" w:eastAsia="es-ES"/>
    </w:rPr>
  </w:style>
  <w:style w:type="paragraph" w:styleId="Encabezado">
    <w:name w:val="header"/>
    <w:basedOn w:val="Normal"/>
    <w:link w:val="EncabezadoCar"/>
    <w:rsid w:val="00A66F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66F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66F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66F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66F20"/>
  </w:style>
  <w:style w:type="paragraph" w:styleId="Sinespaciado">
    <w:name w:val="No Spacing"/>
    <w:uiPriority w:val="99"/>
    <w:qFormat/>
    <w:rsid w:val="00A6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66F20"/>
    <w:pPr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basedOn w:val="Fuentedeprrafopredeter"/>
    <w:rsid w:val="00A66F20"/>
  </w:style>
  <w:style w:type="paragraph" w:styleId="Textonotapie">
    <w:name w:val="footnote text"/>
    <w:basedOn w:val="Normal"/>
    <w:link w:val="TextonotapieCar"/>
    <w:uiPriority w:val="99"/>
    <w:semiHidden/>
    <w:unhideWhenUsed/>
    <w:rsid w:val="00A66F2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6F2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66F2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F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F2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6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6F20"/>
    <w:pPr>
      <w:keepNext/>
      <w:jc w:val="both"/>
      <w:outlineLvl w:val="0"/>
    </w:pPr>
    <w:rPr>
      <w:rFonts w:ascii="Tahoma" w:hAnsi="Tahoma" w:cs="Tahoma"/>
      <w:b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F20"/>
    <w:rPr>
      <w:rFonts w:ascii="Tahoma" w:eastAsia="Times New Roman" w:hAnsi="Tahoma" w:cs="Tahoma"/>
      <w:b/>
      <w:sz w:val="18"/>
      <w:szCs w:val="18"/>
      <w:lang w:val="es-MX" w:eastAsia="es-ES"/>
    </w:rPr>
  </w:style>
  <w:style w:type="paragraph" w:styleId="Encabezado">
    <w:name w:val="header"/>
    <w:basedOn w:val="Normal"/>
    <w:link w:val="EncabezadoCar"/>
    <w:rsid w:val="00A66F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66F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66F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66F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66F20"/>
  </w:style>
  <w:style w:type="paragraph" w:styleId="Sinespaciado">
    <w:name w:val="No Spacing"/>
    <w:uiPriority w:val="99"/>
    <w:qFormat/>
    <w:rsid w:val="00A6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66F20"/>
    <w:pPr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basedOn w:val="Fuentedeprrafopredeter"/>
    <w:rsid w:val="00A66F20"/>
  </w:style>
  <w:style w:type="paragraph" w:styleId="Textonotapie">
    <w:name w:val="footnote text"/>
    <w:basedOn w:val="Normal"/>
    <w:link w:val="TextonotapieCar"/>
    <w:uiPriority w:val="99"/>
    <w:semiHidden/>
    <w:unhideWhenUsed/>
    <w:rsid w:val="00A66F2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6F2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66F2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F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F2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6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Judicante Juzgado 34 Administrativo</dc:creator>
  <cp:lastModifiedBy>Olga Henao Marin</cp:lastModifiedBy>
  <cp:revision>3</cp:revision>
  <cp:lastPrinted>2017-12-13T19:55:00Z</cp:lastPrinted>
  <dcterms:created xsi:type="dcterms:W3CDTF">2017-12-13T19:54:00Z</dcterms:created>
  <dcterms:modified xsi:type="dcterms:W3CDTF">2017-12-13T19:57:00Z</dcterms:modified>
</cp:coreProperties>
</file>