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0"/>
      </w:tblGrid>
      <w:tr w:rsidR="00B46190" w:rsidRPr="00D71892" w:rsidTr="00A333F4">
        <w:tc>
          <w:tcPr>
            <w:tcW w:w="1620" w:type="dxa"/>
            <w:vAlign w:val="center"/>
          </w:tcPr>
          <w:p w:rsidR="00B46190" w:rsidRPr="00D71892" w:rsidRDefault="00B46190" w:rsidP="00A333F4">
            <w:pPr>
              <w:spacing w:after="0"/>
              <w:jc w:val="both"/>
              <w:rPr>
                <w:rFonts w:ascii="Tahoma" w:hAnsi="Tahoma" w:cs="Tahoma"/>
                <w:sz w:val="18"/>
                <w:szCs w:val="18"/>
                <w:lang w:val="es-MX"/>
              </w:rPr>
            </w:pPr>
            <w:r w:rsidRPr="00D71892">
              <w:rPr>
                <w:rFonts w:ascii="Tahoma" w:hAnsi="Tahoma" w:cs="Tahoma"/>
                <w:sz w:val="18"/>
                <w:szCs w:val="18"/>
                <w:lang w:val="es-MX"/>
              </w:rPr>
              <w:t>CIUDAD Y FECHA</w:t>
            </w:r>
          </w:p>
        </w:tc>
        <w:tc>
          <w:tcPr>
            <w:tcW w:w="7200" w:type="dxa"/>
          </w:tcPr>
          <w:p w:rsidR="00B46190" w:rsidRPr="00D71892" w:rsidRDefault="00B46190" w:rsidP="000A43BB">
            <w:pPr>
              <w:spacing w:after="0"/>
              <w:jc w:val="both"/>
              <w:rPr>
                <w:rFonts w:ascii="Tahoma" w:hAnsi="Tahoma" w:cs="Tahoma"/>
                <w:b/>
                <w:sz w:val="18"/>
                <w:szCs w:val="18"/>
                <w:lang w:val="es-MX"/>
              </w:rPr>
            </w:pPr>
            <w:r w:rsidRPr="00D71892">
              <w:rPr>
                <w:rFonts w:ascii="Tahoma" w:hAnsi="Tahoma" w:cs="Tahoma"/>
                <w:b/>
                <w:sz w:val="18"/>
                <w:szCs w:val="18"/>
                <w:lang w:val="es-MX"/>
              </w:rPr>
              <w:t xml:space="preserve">Bogotá D.C., </w:t>
            </w:r>
            <w:r w:rsidR="000A43BB">
              <w:rPr>
                <w:rFonts w:ascii="Tahoma" w:hAnsi="Tahoma" w:cs="Tahoma"/>
                <w:b/>
                <w:sz w:val="18"/>
                <w:szCs w:val="18"/>
                <w:lang w:val="es-MX"/>
              </w:rPr>
              <w:t>diecinueve (19)</w:t>
            </w:r>
            <w:bookmarkStart w:id="0" w:name="_GoBack"/>
            <w:bookmarkEnd w:id="0"/>
            <w:r w:rsidRPr="00D71892">
              <w:rPr>
                <w:rFonts w:ascii="Tahoma" w:hAnsi="Tahoma" w:cs="Tahoma"/>
                <w:b/>
                <w:sz w:val="18"/>
                <w:szCs w:val="18"/>
                <w:lang w:val="es-MX"/>
              </w:rPr>
              <w:t xml:space="preserve"> de </w:t>
            </w:r>
            <w:r w:rsidR="00352EA2">
              <w:rPr>
                <w:rFonts w:ascii="Tahoma" w:hAnsi="Tahoma" w:cs="Tahoma"/>
                <w:b/>
                <w:sz w:val="18"/>
                <w:szCs w:val="18"/>
                <w:lang w:val="es-MX"/>
              </w:rPr>
              <w:t>febrero de</w:t>
            </w:r>
            <w:r w:rsidRPr="00D71892">
              <w:rPr>
                <w:rFonts w:ascii="Tahoma" w:hAnsi="Tahoma" w:cs="Tahoma"/>
                <w:b/>
                <w:sz w:val="18"/>
                <w:szCs w:val="18"/>
                <w:lang w:val="es-MX"/>
              </w:rPr>
              <w:t xml:space="preserve"> dos mil dieci</w:t>
            </w:r>
            <w:r w:rsidR="00352EA2">
              <w:rPr>
                <w:rFonts w:ascii="Tahoma" w:hAnsi="Tahoma" w:cs="Tahoma"/>
                <w:b/>
                <w:sz w:val="18"/>
                <w:szCs w:val="18"/>
                <w:lang w:val="es-MX"/>
              </w:rPr>
              <w:t>ocho</w:t>
            </w:r>
            <w:r w:rsidRPr="00D71892">
              <w:rPr>
                <w:rFonts w:ascii="Tahoma" w:hAnsi="Tahoma" w:cs="Tahoma"/>
                <w:b/>
                <w:sz w:val="18"/>
                <w:szCs w:val="18"/>
                <w:lang w:val="es-MX"/>
              </w:rPr>
              <w:t xml:space="preserve"> (201</w:t>
            </w:r>
            <w:r w:rsidR="00352EA2">
              <w:rPr>
                <w:rFonts w:ascii="Tahoma" w:hAnsi="Tahoma" w:cs="Tahoma"/>
                <w:b/>
                <w:sz w:val="18"/>
                <w:szCs w:val="18"/>
                <w:lang w:val="es-MX"/>
              </w:rPr>
              <w:t>8</w:t>
            </w:r>
            <w:r w:rsidRPr="00D71892">
              <w:rPr>
                <w:rFonts w:ascii="Tahoma" w:hAnsi="Tahoma" w:cs="Tahoma"/>
                <w:b/>
                <w:sz w:val="18"/>
                <w:szCs w:val="18"/>
                <w:lang w:val="es-MX"/>
              </w:rPr>
              <w:t>)</w:t>
            </w:r>
          </w:p>
        </w:tc>
      </w:tr>
      <w:tr w:rsidR="00352EA2" w:rsidRPr="00D71892" w:rsidTr="00A333F4">
        <w:tc>
          <w:tcPr>
            <w:tcW w:w="1620" w:type="dxa"/>
            <w:vAlign w:val="center"/>
          </w:tcPr>
          <w:p w:rsidR="00352EA2" w:rsidRPr="00D71892" w:rsidRDefault="00352EA2" w:rsidP="00A333F4">
            <w:pPr>
              <w:spacing w:after="0"/>
              <w:jc w:val="both"/>
              <w:rPr>
                <w:rFonts w:ascii="Tahoma" w:hAnsi="Tahoma" w:cs="Tahoma"/>
                <w:sz w:val="18"/>
                <w:szCs w:val="18"/>
                <w:lang w:val="es-MX"/>
              </w:rPr>
            </w:pPr>
            <w:r w:rsidRPr="00D71892">
              <w:rPr>
                <w:rFonts w:ascii="Tahoma" w:hAnsi="Tahoma" w:cs="Tahoma"/>
                <w:sz w:val="18"/>
                <w:szCs w:val="18"/>
                <w:lang w:val="es-MX"/>
              </w:rPr>
              <w:t>REFERENCIA</w:t>
            </w:r>
          </w:p>
        </w:tc>
        <w:tc>
          <w:tcPr>
            <w:tcW w:w="7200" w:type="dxa"/>
          </w:tcPr>
          <w:p w:rsidR="00352EA2" w:rsidRPr="00352EA2" w:rsidRDefault="00352EA2" w:rsidP="00352EA2">
            <w:pPr>
              <w:pStyle w:val="Sinespaciado"/>
              <w:rPr>
                <w:rFonts w:ascii="Tahoma" w:hAnsi="Tahoma" w:cs="Tahoma"/>
                <w:b/>
                <w:sz w:val="16"/>
                <w:szCs w:val="16"/>
                <w:lang w:val="es-MX"/>
              </w:rPr>
            </w:pPr>
            <w:r w:rsidRPr="00352EA2">
              <w:rPr>
                <w:rFonts w:ascii="Tahoma" w:hAnsi="Tahoma" w:cs="Tahoma"/>
                <w:b/>
                <w:sz w:val="16"/>
                <w:szCs w:val="16"/>
                <w:lang w:val="es-MX"/>
              </w:rPr>
              <w:t>Expediente No. 11001333603420150066400</w:t>
            </w:r>
          </w:p>
        </w:tc>
      </w:tr>
      <w:tr w:rsidR="00352EA2" w:rsidRPr="00D71892" w:rsidTr="00A333F4">
        <w:tc>
          <w:tcPr>
            <w:tcW w:w="1620" w:type="dxa"/>
            <w:vAlign w:val="center"/>
          </w:tcPr>
          <w:p w:rsidR="00352EA2" w:rsidRPr="00D71892" w:rsidRDefault="00352EA2" w:rsidP="00A333F4">
            <w:pPr>
              <w:spacing w:after="0"/>
              <w:jc w:val="both"/>
              <w:rPr>
                <w:rFonts w:ascii="Tahoma" w:hAnsi="Tahoma" w:cs="Tahoma"/>
                <w:sz w:val="18"/>
                <w:szCs w:val="18"/>
                <w:lang w:val="es-MX"/>
              </w:rPr>
            </w:pPr>
            <w:r w:rsidRPr="00D71892">
              <w:rPr>
                <w:rFonts w:ascii="Tahoma" w:hAnsi="Tahoma" w:cs="Tahoma"/>
                <w:sz w:val="18"/>
                <w:szCs w:val="18"/>
                <w:lang w:val="es-MX"/>
              </w:rPr>
              <w:t>DEMANDANTE</w:t>
            </w:r>
          </w:p>
        </w:tc>
        <w:tc>
          <w:tcPr>
            <w:tcW w:w="7200" w:type="dxa"/>
          </w:tcPr>
          <w:p w:rsidR="00352EA2" w:rsidRPr="00352EA2" w:rsidRDefault="00352EA2" w:rsidP="00352EA2">
            <w:pPr>
              <w:pStyle w:val="Sinespaciado"/>
              <w:rPr>
                <w:rFonts w:ascii="Tahoma" w:hAnsi="Tahoma" w:cs="Tahoma"/>
                <w:b/>
                <w:sz w:val="16"/>
                <w:szCs w:val="16"/>
                <w:lang w:val="es-MX"/>
              </w:rPr>
            </w:pPr>
            <w:r w:rsidRPr="00352EA2">
              <w:rPr>
                <w:rFonts w:ascii="Tahoma" w:hAnsi="Tahoma" w:cs="Tahoma"/>
                <w:b/>
                <w:sz w:val="16"/>
                <w:szCs w:val="16"/>
                <w:lang w:val="es-MX"/>
              </w:rPr>
              <w:t xml:space="preserve">MARIA INES RODRIGUEZ Y OTROS </w:t>
            </w:r>
          </w:p>
        </w:tc>
      </w:tr>
      <w:tr w:rsidR="00352EA2" w:rsidRPr="00D71892" w:rsidTr="00A333F4">
        <w:tc>
          <w:tcPr>
            <w:tcW w:w="1620" w:type="dxa"/>
            <w:vAlign w:val="center"/>
          </w:tcPr>
          <w:p w:rsidR="00352EA2" w:rsidRPr="00D71892" w:rsidRDefault="00352EA2" w:rsidP="00A333F4">
            <w:pPr>
              <w:spacing w:after="0"/>
              <w:jc w:val="both"/>
              <w:rPr>
                <w:rFonts w:ascii="Tahoma" w:hAnsi="Tahoma" w:cs="Tahoma"/>
                <w:sz w:val="18"/>
                <w:szCs w:val="18"/>
                <w:lang w:val="es-MX"/>
              </w:rPr>
            </w:pPr>
            <w:r w:rsidRPr="00D71892">
              <w:rPr>
                <w:rFonts w:ascii="Tahoma" w:hAnsi="Tahoma" w:cs="Tahoma"/>
                <w:sz w:val="18"/>
                <w:szCs w:val="18"/>
                <w:lang w:val="es-MX"/>
              </w:rPr>
              <w:t>DEMANDADO</w:t>
            </w:r>
          </w:p>
        </w:tc>
        <w:tc>
          <w:tcPr>
            <w:tcW w:w="7200" w:type="dxa"/>
          </w:tcPr>
          <w:p w:rsidR="00352EA2" w:rsidRPr="00352EA2" w:rsidRDefault="00352EA2" w:rsidP="00352EA2">
            <w:pPr>
              <w:pStyle w:val="Sinespaciado"/>
              <w:rPr>
                <w:rFonts w:ascii="Tahoma" w:hAnsi="Tahoma" w:cs="Tahoma"/>
                <w:b/>
                <w:sz w:val="16"/>
                <w:szCs w:val="16"/>
                <w:lang w:val="es-MX"/>
              </w:rPr>
            </w:pPr>
            <w:r w:rsidRPr="00352EA2">
              <w:rPr>
                <w:rFonts w:ascii="Tahoma" w:hAnsi="Tahoma" w:cs="Tahoma"/>
                <w:b/>
                <w:sz w:val="16"/>
                <w:szCs w:val="16"/>
                <w:lang w:val="es-MX"/>
              </w:rPr>
              <w:t xml:space="preserve">NACION – MINISTERIO DE SALUD Y PROTECCION SOCIAL Y OTROS  </w:t>
            </w:r>
          </w:p>
        </w:tc>
      </w:tr>
      <w:tr w:rsidR="00352EA2" w:rsidRPr="00D71892" w:rsidTr="00A333F4">
        <w:tc>
          <w:tcPr>
            <w:tcW w:w="1620" w:type="dxa"/>
            <w:vAlign w:val="center"/>
          </w:tcPr>
          <w:p w:rsidR="00352EA2" w:rsidRPr="00D71892" w:rsidRDefault="00352EA2" w:rsidP="00A333F4">
            <w:pPr>
              <w:spacing w:after="0"/>
              <w:jc w:val="both"/>
              <w:rPr>
                <w:rFonts w:ascii="Tahoma" w:hAnsi="Tahoma" w:cs="Tahoma"/>
                <w:sz w:val="18"/>
                <w:szCs w:val="18"/>
                <w:lang w:val="es-MX"/>
              </w:rPr>
            </w:pPr>
            <w:r w:rsidRPr="00D71892">
              <w:rPr>
                <w:rFonts w:ascii="Tahoma" w:hAnsi="Tahoma" w:cs="Tahoma"/>
                <w:sz w:val="18"/>
                <w:szCs w:val="18"/>
                <w:lang w:val="es-MX"/>
              </w:rPr>
              <w:t>ACCIÓN</w:t>
            </w:r>
          </w:p>
        </w:tc>
        <w:tc>
          <w:tcPr>
            <w:tcW w:w="7200" w:type="dxa"/>
          </w:tcPr>
          <w:p w:rsidR="00352EA2" w:rsidRPr="00352EA2" w:rsidRDefault="00352EA2" w:rsidP="00352EA2">
            <w:pPr>
              <w:pStyle w:val="Sinespaciado"/>
              <w:rPr>
                <w:rFonts w:ascii="Tahoma" w:hAnsi="Tahoma" w:cs="Tahoma"/>
                <w:b/>
                <w:sz w:val="16"/>
                <w:szCs w:val="16"/>
                <w:lang w:val="es-MX"/>
              </w:rPr>
            </w:pPr>
            <w:r w:rsidRPr="00352EA2">
              <w:rPr>
                <w:rFonts w:ascii="Tahoma" w:hAnsi="Tahoma" w:cs="Tahoma"/>
                <w:b/>
                <w:sz w:val="16"/>
                <w:szCs w:val="16"/>
                <w:lang w:val="es-MX"/>
              </w:rPr>
              <w:t>REPARACIÓN DIRECTA</w:t>
            </w:r>
          </w:p>
        </w:tc>
      </w:tr>
      <w:tr w:rsidR="00B46190" w:rsidRPr="00D71892" w:rsidTr="00A333F4">
        <w:tc>
          <w:tcPr>
            <w:tcW w:w="1620" w:type="dxa"/>
            <w:vAlign w:val="center"/>
          </w:tcPr>
          <w:p w:rsidR="00B46190" w:rsidRPr="00D71892" w:rsidRDefault="00B46190" w:rsidP="00A333F4">
            <w:pPr>
              <w:spacing w:after="0"/>
              <w:jc w:val="both"/>
              <w:rPr>
                <w:rFonts w:ascii="Tahoma" w:hAnsi="Tahoma" w:cs="Tahoma"/>
                <w:sz w:val="18"/>
                <w:szCs w:val="18"/>
                <w:lang w:val="es-MX"/>
              </w:rPr>
            </w:pPr>
            <w:r w:rsidRPr="00D71892">
              <w:rPr>
                <w:rFonts w:ascii="Tahoma" w:hAnsi="Tahoma" w:cs="Tahoma"/>
                <w:sz w:val="18"/>
                <w:szCs w:val="18"/>
                <w:lang w:val="es-MX"/>
              </w:rPr>
              <w:t>ASUNTO</w:t>
            </w:r>
          </w:p>
        </w:tc>
        <w:tc>
          <w:tcPr>
            <w:tcW w:w="7200" w:type="dxa"/>
          </w:tcPr>
          <w:p w:rsidR="00B46190" w:rsidRPr="00D71892" w:rsidRDefault="00B46190" w:rsidP="00A333F4">
            <w:pPr>
              <w:spacing w:after="0"/>
              <w:jc w:val="both"/>
              <w:rPr>
                <w:rFonts w:ascii="Tahoma" w:hAnsi="Tahoma" w:cs="Tahoma"/>
                <w:b/>
                <w:sz w:val="18"/>
                <w:szCs w:val="18"/>
                <w:lang w:val="es-MX"/>
              </w:rPr>
            </w:pPr>
            <w:r w:rsidRPr="00D71892">
              <w:rPr>
                <w:rFonts w:ascii="Tahoma" w:hAnsi="Tahoma" w:cs="Tahoma"/>
                <w:b/>
                <w:sz w:val="18"/>
                <w:szCs w:val="18"/>
                <w:lang w:val="es-MX"/>
              </w:rPr>
              <w:t xml:space="preserve">DECIDE LLAMAMIENTO EN </w:t>
            </w:r>
            <w:r w:rsidR="00D71892" w:rsidRPr="00D71892">
              <w:rPr>
                <w:rFonts w:ascii="Tahoma" w:hAnsi="Tahoma" w:cs="Tahoma"/>
                <w:b/>
                <w:sz w:val="18"/>
                <w:szCs w:val="18"/>
                <w:lang w:val="es-MX"/>
              </w:rPr>
              <w:t>GARANTÍA</w:t>
            </w:r>
          </w:p>
        </w:tc>
      </w:tr>
    </w:tbl>
    <w:p w:rsidR="00B46190" w:rsidRPr="00D71892" w:rsidRDefault="00B46190" w:rsidP="00B46190">
      <w:pPr>
        <w:spacing w:after="0"/>
        <w:jc w:val="both"/>
        <w:rPr>
          <w:rFonts w:ascii="Tahoma" w:hAnsi="Tahoma" w:cs="Tahoma"/>
          <w:sz w:val="18"/>
          <w:szCs w:val="18"/>
          <w:lang w:val="es-MX"/>
        </w:rPr>
      </w:pPr>
    </w:p>
    <w:p w:rsidR="00352EA2" w:rsidRDefault="00352EA2" w:rsidP="00B46190">
      <w:pPr>
        <w:spacing w:after="0"/>
        <w:jc w:val="both"/>
        <w:rPr>
          <w:rFonts w:ascii="Tahoma" w:hAnsi="Tahoma" w:cs="Tahoma"/>
          <w:sz w:val="18"/>
          <w:szCs w:val="18"/>
          <w:lang w:val="es-MX"/>
        </w:rPr>
      </w:pPr>
      <w:r w:rsidRPr="00352EA2">
        <w:rPr>
          <w:rFonts w:ascii="Tahoma" w:hAnsi="Tahoma" w:cs="Tahoma"/>
          <w:sz w:val="18"/>
          <w:szCs w:val="18"/>
          <w:lang w:val="es-MX"/>
        </w:rPr>
        <w:t>La presente demanda pretende que se responsable a las entidades demandadas por los perjuicios causados a los demandantes con ocasión de la falla en el servicio médico que condujo a la muerte del señor MISAEL DUARTE ROMERO, el día 20 de noviembre de 2012.</w:t>
      </w:r>
    </w:p>
    <w:p w:rsidR="00B46190" w:rsidRPr="00D71892" w:rsidRDefault="00B46190" w:rsidP="00B46190">
      <w:pPr>
        <w:spacing w:after="0"/>
        <w:jc w:val="both"/>
        <w:rPr>
          <w:rFonts w:ascii="Tahoma" w:hAnsi="Tahoma" w:cs="Tahoma"/>
          <w:sz w:val="18"/>
          <w:szCs w:val="18"/>
          <w:lang w:val="es-MX"/>
        </w:rPr>
      </w:pPr>
    </w:p>
    <w:p w:rsidR="00610E55" w:rsidRDefault="00B46190" w:rsidP="00B46190">
      <w:pPr>
        <w:spacing w:after="0"/>
        <w:jc w:val="both"/>
        <w:rPr>
          <w:rFonts w:ascii="Tahoma" w:hAnsi="Tahoma" w:cs="Tahoma"/>
          <w:bCs/>
          <w:sz w:val="18"/>
          <w:szCs w:val="18"/>
        </w:rPr>
      </w:pPr>
      <w:r w:rsidRPr="00D71892">
        <w:rPr>
          <w:rFonts w:ascii="Tahoma" w:hAnsi="Tahoma" w:cs="Tahoma"/>
          <w:bCs/>
          <w:sz w:val="18"/>
          <w:szCs w:val="18"/>
        </w:rPr>
        <w:t>E</w:t>
      </w:r>
      <w:r w:rsidR="00610E55">
        <w:rPr>
          <w:rFonts w:ascii="Tahoma" w:hAnsi="Tahoma" w:cs="Tahoma"/>
          <w:bCs/>
          <w:sz w:val="18"/>
          <w:szCs w:val="18"/>
        </w:rPr>
        <w:t xml:space="preserve">stando el expediente para realizar la audiencia inicial programada para el día 22 de febrero de 2018 a la 8:00 am, observa el despacho que </w:t>
      </w:r>
      <w:r w:rsidRPr="00D71892">
        <w:rPr>
          <w:rFonts w:ascii="Tahoma" w:hAnsi="Tahoma" w:cs="Tahoma"/>
          <w:bCs/>
          <w:sz w:val="18"/>
          <w:szCs w:val="18"/>
        </w:rPr>
        <w:t>n</w:t>
      </w:r>
      <w:r w:rsidR="00610E55">
        <w:rPr>
          <w:rFonts w:ascii="Tahoma" w:hAnsi="Tahoma" w:cs="Tahoma"/>
          <w:bCs/>
          <w:sz w:val="18"/>
          <w:szCs w:val="18"/>
        </w:rPr>
        <w:t>o se ha resuelto sobre el llamamiento en garantía propuesto por la demandada HOSPITAL SANTA CLARA, hoy, Subred Integrada de Servicios de Salud Centro Oriente E.S.E., por lo que se procederá a dejar  sin efecto el auto del 17 de noviembre de 2017 por medio del cual se fijó la fecha de audiencia inicial y a resolver la solicitud del llamamiento en garantía, visible en el cuaderno 4.</w:t>
      </w:r>
    </w:p>
    <w:p w:rsidR="00610E55" w:rsidRDefault="00610E55" w:rsidP="00B46190">
      <w:pPr>
        <w:spacing w:after="0"/>
        <w:jc w:val="both"/>
        <w:rPr>
          <w:rFonts w:ascii="Tahoma" w:hAnsi="Tahoma" w:cs="Tahoma"/>
          <w:bCs/>
          <w:sz w:val="18"/>
          <w:szCs w:val="18"/>
        </w:rPr>
      </w:pPr>
    </w:p>
    <w:p w:rsidR="00B46190" w:rsidRPr="00D71892" w:rsidRDefault="00B46190" w:rsidP="00B46190">
      <w:pPr>
        <w:spacing w:after="0" w:line="240" w:lineRule="auto"/>
        <w:jc w:val="center"/>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CONSIDERACIONES</w:t>
      </w:r>
    </w:p>
    <w:p w:rsidR="00B46190" w:rsidRPr="00D71892" w:rsidRDefault="00B46190" w:rsidP="00B46190">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p>
    <w:p w:rsidR="00B46190" w:rsidRPr="00D71892" w:rsidRDefault="00B46190" w:rsidP="00B46190">
      <w:pPr>
        <w:pStyle w:val="Prrafodelista"/>
        <w:numPr>
          <w:ilvl w:val="0"/>
          <w:numId w:val="2"/>
        </w:numPr>
        <w:tabs>
          <w:tab w:val="left" w:pos="426"/>
        </w:tabs>
        <w:spacing w:after="0" w:line="240" w:lineRule="auto"/>
        <w:ind w:left="0" w:firstLine="0"/>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HECHOS.</w:t>
      </w:r>
    </w:p>
    <w:p w:rsidR="00B46190" w:rsidRPr="00D71892" w:rsidRDefault="00B46190" w:rsidP="00B46190">
      <w:pPr>
        <w:tabs>
          <w:tab w:val="left" w:pos="426"/>
        </w:tabs>
        <w:spacing w:after="0" w:line="240" w:lineRule="auto"/>
        <w:contextualSpacing/>
        <w:jc w:val="both"/>
        <w:rPr>
          <w:rFonts w:ascii="Tahoma" w:hAnsi="Tahoma" w:cs="Tahoma"/>
          <w:b/>
          <w:color w:val="000000"/>
          <w:sz w:val="18"/>
          <w:szCs w:val="18"/>
          <w:lang w:val="es-CO" w:eastAsia="es-ES"/>
        </w:rPr>
      </w:pPr>
    </w:p>
    <w:p w:rsidR="00B46190" w:rsidRPr="00D71892" w:rsidRDefault="00834C1A" w:rsidP="00CA4F89">
      <w:pPr>
        <w:pStyle w:val="Prrafodelista"/>
        <w:numPr>
          <w:ilvl w:val="1"/>
          <w:numId w:val="2"/>
        </w:numPr>
        <w:tabs>
          <w:tab w:val="left" w:pos="0"/>
        </w:tabs>
        <w:spacing w:after="0" w:line="240" w:lineRule="auto"/>
        <w:ind w:left="0" w:firstLine="0"/>
        <w:jc w:val="both"/>
        <w:rPr>
          <w:rFonts w:ascii="Tahoma" w:hAnsi="Tahoma" w:cs="Tahoma"/>
          <w:color w:val="000000"/>
          <w:sz w:val="18"/>
          <w:szCs w:val="18"/>
          <w:lang w:val="es-CO" w:eastAsia="es-ES"/>
        </w:rPr>
      </w:pPr>
      <w:r w:rsidRPr="00834C1A">
        <w:rPr>
          <w:rFonts w:ascii="Tahoma" w:hAnsi="Tahoma" w:cs="Tahoma"/>
          <w:color w:val="000000"/>
          <w:sz w:val="18"/>
          <w:szCs w:val="18"/>
          <w:lang w:val="es-CO" w:eastAsia="es-ES"/>
        </w:rPr>
        <w:t>Como razones de la solicitud de llamamiento en garantía que hace la demanda</w:t>
      </w:r>
      <w:r w:rsidR="00C21C29">
        <w:rPr>
          <w:rFonts w:ascii="Tahoma" w:hAnsi="Tahoma" w:cs="Tahoma"/>
          <w:color w:val="000000"/>
          <w:sz w:val="18"/>
          <w:szCs w:val="18"/>
          <w:lang w:val="es-CO" w:eastAsia="es-ES"/>
        </w:rPr>
        <w:t>da</w:t>
      </w:r>
      <w:r w:rsidRPr="00834C1A">
        <w:rPr>
          <w:rFonts w:ascii="Tahoma" w:hAnsi="Tahoma" w:cs="Tahoma"/>
          <w:color w:val="000000"/>
          <w:sz w:val="18"/>
          <w:szCs w:val="18"/>
          <w:lang w:val="es-CO" w:eastAsia="es-ES"/>
        </w:rPr>
        <w:t xml:space="preserve"> </w:t>
      </w:r>
      <w:r w:rsidR="00EA6FEE">
        <w:rPr>
          <w:rFonts w:ascii="Tahoma" w:hAnsi="Tahoma" w:cs="Tahoma"/>
          <w:color w:val="000000"/>
          <w:sz w:val="18"/>
          <w:szCs w:val="18"/>
          <w:lang w:val="es-CO" w:eastAsia="es-ES"/>
        </w:rPr>
        <w:t>HOSPITAL SANTA CLARA</w:t>
      </w:r>
      <w:r w:rsidR="00C27420">
        <w:rPr>
          <w:rFonts w:ascii="Tahoma" w:hAnsi="Tahoma" w:cs="Tahoma"/>
          <w:color w:val="000000"/>
          <w:sz w:val="18"/>
          <w:szCs w:val="18"/>
          <w:lang w:val="es-CO" w:eastAsia="es-ES"/>
        </w:rPr>
        <w:t xml:space="preserve">, hoy SUBRED INTEGRADA DE SERVICIOS DE SALUD </w:t>
      </w:r>
      <w:r w:rsidR="00C27420" w:rsidRPr="00C27420">
        <w:rPr>
          <w:rFonts w:ascii="Tahoma" w:hAnsi="Tahoma" w:cs="Tahoma"/>
          <w:color w:val="000000"/>
          <w:sz w:val="18"/>
          <w:szCs w:val="18"/>
          <w:lang w:val="es-CO" w:eastAsia="es-ES"/>
        </w:rPr>
        <w:t>CENTRO ORIENTE E.S.E.</w:t>
      </w:r>
      <w:r w:rsidR="00C27420">
        <w:rPr>
          <w:rFonts w:ascii="Tahoma" w:hAnsi="Tahoma" w:cs="Tahoma"/>
          <w:color w:val="000000"/>
          <w:sz w:val="18"/>
          <w:szCs w:val="18"/>
          <w:lang w:val="es-CO" w:eastAsia="es-ES"/>
        </w:rPr>
        <w:t xml:space="preserve"> </w:t>
      </w:r>
      <w:r w:rsidRPr="00834C1A">
        <w:rPr>
          <w:rFonts w:ascii="Tahoma" w:hAnsi="Tahoma" w:cs="Tahoma"/>
          <w:color w:val="000000"/>
          <w:sz w:val="18"/>
          <w:szCs w:val="18"/>
          <w:lang w:val="es-CO" w:eastAsia="es-ES"/>
        </w:rPr>
        <w:t>sustentó en lo siguiente:</w:t>
      </w:r>
    </w:p>
    <w:p w:rsidR="00B46190" w:rsidRPr="00D71892" w:rsidRDefault="00B46190" w:rsidP="00B46190">
      <w:pPr>
        <w:pStyle w:val="Style2"/>
        <w:widowControl/>
        <w:spacing w:line="240" w:lineRule="exact"/>
        <w:ind w:firstLine="715"/>
        <w:rPr>
          <w:i/>
          <w:sz w:val="18"/>
          <w:szCs w:val="18"/>
        </w:rPr>
      </w:pPr>
    </w:p>
    <w:p w:rsidR="00FB51CE" w:rsidRDefault="00F04CE5" w:rsidP="00FB51CE">
      <w:pPr>
        <w:pStyle w:val="Style2"/>
        <w:tabs>
          <w:tab w:val="left" w:pos="851"/>
        </w:tabs>
        <w:spacing w:line="240" w:lineRule="auto"/>
        <w:ind w:left="284" w:right="191" w:firstLine="0"/>
        <w:rPr>
          <w:rStyle w:val="FontStyle25"/>
          <w:rFonts w:ascii="Gill Sans MT" w:hAnsi="Gill Sans MT"/>
          <w:b w:val="0"/>
          <w:i/>
          <w:lang w:val="es-ES_tradnl" w:eastAsia="es-ES_tradnl"/>
        </w:rPr>
      </w:pPr>
      <w:r w:rsidRPr="00FB51CE">
        <w:rPr>
          <w:rStyle w:val="FontStyle25"/>
          <w:rFonts w:ascii="Gill Sans MT" w:hAnsi="Gill Sans MT"/>
          <w:b w:val="0"/>
          <w:i/>
          <w:lang w:val="es-ES_tradnl" w:eastAsia="es-ES_tradnl"/>
        </w:rPr>
        <w:t>“</w:t>
      </w:r>
      <w:r w:rsidR="00815649" w:rsidRPr="00FB51CE">
        <w:rPr>
          <w:rStyle w:val="FontStyle25"/>
          <w:rFonts w:ascii="Gill Sans MT" w:hAnsi="Gill Sans MT"/>
          <w:b w:val="0"/>
          <w:i/>
          <w:lang w:val="es-ES_tradnl" w:eastAsia="es-ES_tradnl"/>
        </w:rPr>
        <w:t>(…)</w:t>
      </w:r>
      <w:r w:rsidR="00FB51CE" w:rsidRPr="00FB51CE">
        <w:rPr>
          <w:rStyle w:val="FontStyle25"/>
          <w:rFonts w:ascii="Gill Sans MT" w:hAnsi="Gill Sans MT"/>
          <w:b w:val="0"/>
          <w:i/>
          <w:lang w:val="es-ES_tradnl" w:eastAsia="es-ES_tradnl"/>
        </w:rPr>
        <w:t>1.</w:t>
      </w:r>
      <w:r w:rsidR="00FB51CE" w:rsidRPr="00FB51CE">
        <w:rPr>
          <w:rStyle w:val="FontStyle25"/>
          <w:rFonts w:ascii="Gill Sans MT" w:hAnsi="Gill Sans MT"/>
          <w:b w:val="0"/>
          <w:i/>
          <w:lang w:val="es-ES_tradnl" w:eastAsia="es-ES_tradnl"/>
        </w:rPr>
        <w:tab/>
        <w:t>Mi representado, el Hospital Santa Clara ESE, el día 07 de abril de 2016 celebró contrato de seguro de responsabilidad civil con Seguros del Estado S.A., Compañía de Seguros, para amparar daños a terceros que ocurrieren con ocasión de la prestación de los servicios de salud.</w:t>
      </w:r>
    </w:p>
    <w:p w:rsidR="00FB51CE" w:rsidRPr="00FB51CE" w:rsidRDefault="00FB51CE" w:rsidP="00FB51CE">
      <w:pPr>
        <w:pStyle w:val="Style2"/>
        <w:spacing w:line="240" w:lineRule="auto"/>
        <w:ind w:left="284" w:right="191" w:firstLine="0"/>
        <w:rPr>
          <w:rStyle w:val="FontStyle25"/>
          <w:rFonts w:ascii="Gill Sans MT" w:hAnsi="Gill Sans MT"/>
          <w:b w:val="0"/>
          <w:i/>
          <w:lang w:val="es-ES_tradnl" w:eastAsia="es-ES_tradnl"/>
        </w:rPr>
      </w:pPr>
    </w:p>
    <w:p w:rsidR="004A25D0" w:rsidRPr="00C27420" w:rsidRDefault="00FB51CE" w:rsidP="00FB51CE">
      <w:pPr>
        <w:pStyle w:val="Style2"/>
        <w:widowControl/>
        <w:tabs>
          <w:tab w:val="left" w:pos="567"/>
        </w:tabs>
        <w:spacing w:line="240" w:lineRule="auto"/>
        <w:ind w:left="284" w:right="191" w:firstLine="0"/>
        <w:rPr>
          <w:rStyle w:val="FontStyle24"/>
          <w:rFonts w:ascii="Gill Sans MT" w:hAnsi="Gill Sans MT"/>
          <w:bCs/>
          <w:i/>
          <w:lang w:val="es-ES_tradnl" w:eastAsia="es-ES_tradnl"/>
        </w:rPr>
      </w:pPr>
      <w:r w:rsidRPr="00FB51CE">
        <w:rPr>
          <w:rStyle w:val="FontStyle25"/>
          <w:rFonts w:ascii="Gill Sans MT" w:hAnsi="Gill Sans MT"/>
          <w:b w:val="0"/>
          <w:i/>
          <w:lang w:val="es-ES_tradnl" w:eastAsia="es-ES_tradnl"/>
        </w:rPr>
        <w:t>2.</w:t>
      </w:r>
      <w:r w:rsidRPr="00FB51CE">
        <w:rPr>
          <w:rStyle w:val="FontStyle25"/>
          <w:rFonts w:ascii="Gill Sans MT" w:hAnsi="Gill Sans MT"/>
          <w:b w:val="0"/>
          <w:i/>
          <w:lang w:val="es-ES_tradnl" w:eastAsia="es-ES_tradnl"/>
        </w:rPr>
        <w:tab/>
        <w:t>En virtud de dicho contrato, se expidió Póliza de Seguros de Responsabilidad Civil No. 33-03-101013728 amparando al Hospital contra los riesgos y reclamaciones presentadas durante la vigencia de la póliza derivados de hechos ocurridos desde el periodo de retroactividad otorgado y no conocidos por el tomador. RETROACTIVIDAD ABRIL 2 DE 2010</w:t>
      </w:r>
      <w:r w:rsidR="00815649" w:rsidRPr="00FB51CE">
        <w:rPr>
          <w:rStyle w:val="FontStyle25"/>
          <w:rFonts w:ascii="Gill Sans MT" w:hAnsi="Gill Sans MT"/>
          <w:b w:val="0"/>
          <w:i/>
          <w:lang w:val="es-ES_tradnl" w:eastAsia="es-ES_tradnl"/>
        </w:rPr>
        <w:t xml:space="preserve"> (…)</w:t>
      </w:r>
      <w:r w:rsidR="000C5475" w:rsidRPr="00FB51CE">
        <w:rPr>
          <w:rStyle w:val="FontStyle25"/>
          <w:rFonts w:ascii="Gill Sans MT" w:hAnsi="Gill Sans MT"/>
          <w:b w:val="0"/>
          <w:i/>
          <w:lang w:val="es-ES_tradnl" w:eastAsia="es-ES_tradnl"/>
        </w:rPr>
        <w:t>”</w:t>
      </w:r>
    </w:p>
    <w:p w:rsidR="00B46190" w:rsidRPr="00D71892" w:rsidRDefault="00B46190" w:rsidP="00B46190">
      <w:pPr>
        <w:pStyle w:val="Style3"/>
        <w:widowControl/>
        <w:tabs>
          <w:tab w:val="left" w:pos="358"/>
        </w:tabs>
        <w:spacing w:line="240" w:lineRule="auto"/>
        <w:ind w:left="284" w:right="191" w:firstLine="0"/>
        <w:contextualSpacing/>
        <w:rPr>
          <w:rStyle w:val="FontStyle21"/>
          <w:rFonts w:ascii="Tahoma" w:hAnsi="Tahoma" w:cs="Tahoma"/>
          <w:i/>
          <w:iCs/>
          <w:sz w:val="18"/>
          <w:szCs w:val="18"/>
          <w:lang w:val="es-ES_tradnl" w:eastAsia="es-ES_tradnl"/>
        </w:rPr>
      </w:pPr>
    </w:p>
    <w:p w:rsidR="00B46190" w:rsidRPr="00D71892" w:rsidRDefault="00B46190" w:rsidP="00B46190">
      <w:pPr>
        <w:pStyle w:val="Prrafodelista"/>
        <w:numPr>
          <w:ilvl w:val="0"/>
          <w:numId w:val="2"/>
        </w:numPr>
        <w:tabs>
          <w:tab w:val="left" w:pos="426"/>
        </w:tabs>
        <w:spacing w:after="0" w:line="240" w:lineRule="auto"/>
        <w:ind w:left="0" w:firstLine="0"/>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Normatividad aplicable</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Pr="00DE4353" w:rsidRDefault="00B46190" w:rsidP="00B46190">
      <w:pPr>
        <w:spacing w:after="0" w:line="240" w:lineRule="auto"/>
        <w:jc w:val="both"/>
        <w:rPr>
          <w:rFonts w:ascii="Times New Roman" w:hAnsi="Times New Roman"/>
          <w:i/>
          <w:color w:val="000000"/>
          <w:sz w:val="18"/>
          <w:szCs w:val="18"/>
          <w:lang w:val="es-CO" w:eastAsia="es-ES"/>
        </w:rPr>
      </w:pPr>
      <w:r w:rsidRPr="00D71892">
        <w:rPr>
          <w:rFonts w:ascii="Tahoma" w:hAnsi="Tahoma" w:cs="Tahoma"/>
          <w:color w:val="000000"/>
          <w:sz w:val="18"/>
          <w:szCs w:val="18"/>
          <w:lang w:val="es-CO" w:eastAsia="es-ES"/>
        </w:rPr>
        <w:t xml:space="preserve">El artículo 225 del CPACA señala que: </w:t>
      </w:r>
      <w:r w:rsidRPr="00DE4353">
        <w:rPr>
          <w:rFonts w:ascii="Times New Roman" w:hAnsi="Times New Roman"/>
          <w:color w:val="000000"/>
          <w:sz w:val="18"/>
          <w:szCs w:val="18"/>
          <w:lang w:val="es-CO" w:eastAsia="es-ES"/>
        </w:rPr>
        <w:t xml:space="preserve">“(…) </w:t>
      </w:r>
      <w:r w:rsidRPr="00DE4353">
        <w:rPr>
          <w:rFonts w:ascii="Times New Roman" w:hAnsi="Times New Roman"/>
          <w:b/>
          <w:i/>
          <w:color w:val="000000"/>
          <w:sz w:val="18"/>
          <w:szCs w:val="18"/>
          <w:lang w:val="es-CO" w:eastAsia="es-ES"/>
        </w:rPr>
        <w:t>quien afirme tener derecho</w:t>
      </w:r>
      <w:r w:rsidRPr="00DE4353">
        <w:rPr>
          <w:rFonts w:ascii="Times New Roman" w:hAnsi="Times New Roman"/>
          <w:i/>
          <w:color w:val="000000"/>
          <w:sz w:val="18"/>
          <w:szCs w:val="18"/>
          <w:lang w:val="es-CO" w:eastAsia="es-ES"/>
        </w:rPr>
        <w:t xml:space="preserve"> legal o </w:t>
      </w:r>
      <w:r w:rsidRPr="00DE4353">
        <w:rPr>
          <w:rFonts w:ascii="Times New Roman" w:hAnsi="Times New Roman"/>
          <w:b/>
          <w:i/>
          <w:color w:val="000000"/>
          <w:sz w:val="18"/>
          <w:szCs w:val="18"/>
          <w:lang w:val="es-CO" w:eastAsia="es-ES"/>
        </w:rPr>
        <w:t>contractual de exigir a un tercero la reparación integral del perjuicio que llegare a sufrir</w:t>
      </w:r>
      <w:r w:rsidRPr="00DE4353">
        <w:rPr>
          <w:rFonts w:ascii="Times New Roman" w:hAnsi="Times New Roman"/>
          <w:i/>
          <w:color w:val="000000"/>
          <w:sz w:val="18"/>
          <w:szCs w:val="18"/>
          <w:lang w:val="es-CO" w:eastAsia="es-ES"/>
        </w:rPr>
        <w:t xml:space="preserve">, </w:t>
      </w:r>
      <w:r w:rsidRPr="00DE4353">
        <w:rPr>
          <w:rFonts w:ascii="Times New Roman" w:hAnsi="Times New Roman"/>
          <w:b/>
          <w:i/>
          <w:color w:val="000000"/>
          <w:sz w:val="18"/>
          <w:szCs w:val="18"/>
          <w:lang w:val="es-CO" w:eastAsia="es-ES"/>
        </w:rPr>
        <w:t>o el reembolso total o parcial del pago que tuviere que hacer como resultado de la sentencia</w:t>
      </w:r>
      <w:r w:rsidRPr="00DE4353">
        <w:rPr>
          <w:rFonts w:ascii="Times New Roman" w:hAnsi="Times New Roman"/>
          <w:i/>
          <w:color w:val="000000"/>
          <w:sz w:val="18"/>
          <w:szCs w:val="18"/>
          <w:lang w:val="es-CO" w:eastAsia="es-ES"/>
        </w:rPr>
        <w:t>, podrá pedir la citación de aquel, para que en el mismo proceso se resuelva sobre tal relación.</w:t>
      </w:r>
    </w:p>
    <w:p w:rsidR="00B46190" w:rsidRPr="00DE4353" w:rsidRDefault="00B46190" w:rsidP="00B46190">
      <w:pPr>
        <w:spacing w:after="0" w:line="240" w:lineRule="auto"/>
        <w:jc w:val="both"/>
        <w:rPr>
          <w:rFonts w:ascii="Times New Roman" w:hAnsi="Times New Roman"/>
          <w:i/>
          <w:color w:val="000000"/>
          <w:sz w:val="18"/>
          <w:szCs w:val="18"/>
          <w:lang w:val="es-CO" w:eastAsia="es-ES"/>
        </w:rPr>
      </w:pPr>
    </w:p>
    <w:p w:rsidR="00B46190" w:rsidRPr="00DE4353" w:rsidRDefault="00B46190" w:rsidP="00B46190">
      <w:p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 xml:space="preserve">El llamado en tal término que disponga para responder el </w:t>
      </w:r>
      <w:r w:rsidRPr="00DE4353">
        <w:rPr>
          <w:rFonts w:ascii="Times New Roman" w:hAnsi="Times New Roman"/>
          <w:b/>
          <w:i/>
          <w:color w:val="000000"/>
          <w:sz w:val="18"/>
          <w:szCs w:val="18"/>
          <w:lang w:val="es-CO" w:eastAsia="es-ES"/>
        </w:rPr>
        <w:t>llamamiento que será de 15 días,</w:t>
      </w:r>
      <w:r w:rsidRPr="00DE4353">
        <w:rPr>
          <w:rFonts w:ascii="Times New Roman" w:hAnsi="Times New Roman"/>
          <w:i/>
          <w:color w:val="000000"/>
          <w:sz w:val="18"/>
          <w:szCs w:val="18"/>
          <w:lang w:val="es-CO" w:eastAsia="es-ES"/>
        </w:rPr>
        <w:t xml:space="preserve"> podrá a su vez pedir la citación de un tercero en la misma forma que el demandante o demandado.</w:t>
      </w:r>
    </w:p>
    <w:p w:rsidR="00B46190" w:rsidRPr="00DE4353" w:rsidRDefault="00B46190" w:rsidP="00B46190">
      <w:pPr>
        <w:spacing w:after="0" w:line="240" w:lineRule="auto"/>
        <w:jc w:val="both"/>
        <w:rPr>
          <w:rFonts w:ascii="Times New Roman" w:hAnsi="Times New Roman"/>
          <w:i/>
          <w:color w:val="000000"/>
          <w:sz w:val="18"/>
          <w:szCs w:val="18"/>
          <w:lang w:val="es-CO" w:eastAsia="es-ES"/>
        </w:rPr>
      </w:pPr>
    </w:p>
    <w:p w:rsidR="00B46190" w:rsidRPr="00DE4353" w:rsidRDefault="00B46190" w:rsidP="00B46190">
      <w:p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 xml:space="preserve">El escrito de llamamiento deberá contener los siguientes </w:t>
      </w:r>
      <w:r w:rsidRPr="00DE4353">
        <w:rPr>
          <w:rFonts w:ascii="Times New Roman" w:hAnsi="Times New Roman"/>
          <w:b/>
          <w:i/>
          <w:color w:val="000000"/>
          <w:sz w:val="18"/>
          <w:szCs w:val="18"/>
          <w:lang w:val="es-CO" w:eastAsia="es-ES"/>
        </w:rPr>
        <w:t>requisitos</w:t>
      </w:r>
      <w:r w:rsidRPr="00DE4353">
        <w:rPr>
          <w:rFonts w:ascii="Times New Roman" w:hAnsi="Times New Roman"/>
          <w:i/>
          <w:color w:val="000000"/>
          <w:sz w:val="18"/>
          <w:szCs w:val="18"/>
          <w:lang w:val="es-CO" w:eastAsia="es-ES"/>
        </w:rPr>
        <w:t>:</w:t>
      </w:r>
    </w:p>
    <w:p w:rsidR="00B46190" w:rsidRPr="00DE4353" w:rsidRDefault="00B46190" w:rsidP="00B46190">
      <w:pPr>
        <w:spacing w:after="0" w:line="240" w:lineRule="auto"/>
        <w:jc w:val="both"/>
        <w:rPr>
          <w:rFonts w:ascii="Times New Roman" w:hAnsi="Times New Roman"/>
          <w:i/>
          <w:color w:val="000000"/>
          <w:sz w:val="18"/>
          <w:szCs w:val="18"/>
          <w:lang w:val="es-CO" w:eastAsia="es-ES"/>
        </w:rPr>
      </w:pPr>
    </w:p>
    <w:p w:rsidR="00B46190" w:rsidRPr="00DE4353" w:rsidRDefault="00B46190" w:rsidP="00B46190">
      <w:pPr>
        <w:numPr>
          <w:ilvl w:val="0"/>
          <w:numId w:val="1"/>
        </w:num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El nombre del llamado y el de su representante si aquel no puede comparecer por si al proceso.</w:t>
      </w:r>
    </w:p>
    <w:p w:rsidR="00B46190" w:rsidRPr="00DE4353" w:rsidRDefault="00B46190" w:rsidP="00B46190">
      <w:pPr>
        <w:numPr>
          <w:ilvl w:val="0"/>
          <w:numId w:val="1"/>
        </w:num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a sola prestación del escrito.</w:t>
      </w:r>
    </w:p>
    <w:p w:rsidR="00B46190" w:rsidRPr="00DE4353" w:rsidRDefault="00B46190" w:rsidP="00B46190">
      <w:pPr>
        <w:numPr>
          <w:ilvl w:val="0"/>
          <w:numId w:val="1"/>
        </w:num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Los hechos en que se basa el llamamiento y los fundamentos de derecho que se invoquen</w:t>
      </w:r>
    </w:p>
    <w:p w:rsidR="00B46190" w:rsidRPr="00DE4353" w:rsidRDefault="00B46190" w:rsidP="00B46190">
      <w:pPr>
        <w:numPr>
          <w:ilvl w:val="0"/>
          <w:numId w:val="1"/>
        </w:numPr>
        <w:spacing w:after="0" w:line="240" w:lineRule="auto"/>
        <w:jc w:val="both"/>
        <w:rPr>
          <w:rFonts w:ascii="Times New Roman" w:hAnsi="Times New Roman"/>
          <w:i/>
          <w:color w:val="000000"/>
          <w:sz w:val="18"/>
          <w:szCs w:val="18"/>
          <w:lang w:val="es-CO" w:eastAsia="es-ES"/>
        </w:rPr>
      </w:pPr>
      <w:r w:rsidRPr="00DE4353">
        <w:rPr>
          <w:rFonts w:ascii="Times New Roman" w:hAnsi="Times New Roman"/>
          <w:i/>
          <w:color w:val="000000"/>
          <w:sz w:val="18"/>
          <w:szCs w:val="18"/>
          <w:lang w:val="es-CO" w:eastAsia="es-ES"/>
        </w:rPr>
        <w:t>La dirección de la oficina o habitación donde quien hace el llamamiento y su apoderado recibirán notificaciones personales</w:t>
      </w:r>
    </w:p>
    <w:p w:rsidR="00B46190" w:rsidRPr="00DE4353" w:rsidRDefault="00B46190" w:rsidP="00B46190">
      <w:pPr>
        <w:numPr>
          <w:ilvl w:val="0"/>
          <w:numId w:val="1"/>
        </w:numPr>
        <w:spacing w:after="0" w:line="240" w:lineRule="auto"/>
        <w:jc w:val="both"/>
        <w:rPr>
          <w:rFonts w:ascii="Times New Roman" w:hAnsi="Times New Roman"/>
          <w:color w:val="000000"/>
          <w:sz w:val="18"/>
          <w:szCs w:val="18"/>
          <w:lang w:val="es-CO" w:eastAsia="es-ES"/>
        </w:rPr>
      </w:pPr>
      <w:r w:rsidRPr="00DE4353">
        <w:rPr>
          <w:rFonts w:ascii="Times New Roman" w:hAnsi="Times New Roman"/>
          <w:i/>
          <w:color w:val="000000"/>
          <w:sz w:val="18"/>
          <w:szCs w:val="18"/>
          <w:lang w:val="es-CO" w:eastAsia="es-ES"/>
        </w:rPr>
        <w:t>En llamamiento en garantía con fines de repetición se regirá por las normas de la ley 678 de 2001 o por aquellas que la reformen o adicionen (…)”</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Pr="00D71892" w:rsidRDefault="00B46190" w:rsidP="00B46190">
      <w:pPr>
        <w:spacing w:after="0" w:line="240" w:lineRule="auto"/>
        <w:jc w:val="both"/>
        <w:rPr>
          <w:rFonts w:ascii="Tahoma" w:hAnsi="Tahoma" w:cs="Tahoma"/>
          <w:bCs/>
          <w:color w:val="000000"/>
          <w:sz w:val="18"/>
          <w:szCs w:val="18"/>
          <w:lang w:val="es-CO" w:eastAsia="es-CO"/>
        </w:rPr>
      </w:pPr>
      <w:r w:rsidRPr="00D71892">
        <w:rPr>
          <w:rFonts w:ascii="Tahoma" w:hAnsi="Tahoma" w:cs="Tahoma"/>
          <w:color w:val="000000"/>
          <w:sz w:val="18"/>
          <w:szCs w:val="18"/>
          <w:lang w:val="es-CO" w:eastAsia="es-ES"/>
        </w:rPr>
        <w:t xml:space="preserve">El artículo 227 del CPACA prevé: </w:t>
      </w:r>
      <w:r w:rsidRPr="00832D26">
        <w:rPr>
          <w:rFonts w:ascii="Times New Roman" w:hAnsi="Times New Roman"/>
          <w:color w:val="000000"/>
          <w:sz w:val="18"/>
          <w:szCs w:val="18"/>
          <w:lang w:val="es-CO" w:eastAsia="es-ES"/>
        </w:rPr>
        <w:t xml:space="preserve">“(…) </w:t>
      </w:r>
      <w:r w:rsidRPr="00832D26">
        <w:rPr>
          <w:rFonts w:ascii="Times New Roman" w:hAnsi="Times New Roman"/>
          <w:b/>
          <w:i/>
          <w:color w:val="000000"/>
          <w:sz w:val="18"/>
          <w:szCs w:val="18"/>
          <w:lang w:val="es-CO" w:eastAsia="es-ES"/>
        </w:rPr>
        <w:t xml:space="preserve">En lo no regulado en este código sobre la intervención de terceros se aplicaran las normas del Código de Procedimiento Civil </w:t>
      </w:r>
      <w:r w:rsidRPr="00832D26">
        <w:rPr>
          <w:rFonts w:ascii="Times New Roman" w:hAnsi="Times New Roman"/>
          <w:i/>
          <w:color w:val="000000"/>
          <w:sz w:val="18"/>
          <w:szCs w:val="18"/>
          <w:lang w:val="es-CO" w:eastAsia="es-ES"/>
        </w:rPr>
        <w:t>(…)”.</w:t>
      </w:r>
      <w:r w:rsidRPr="00D71892">
        <w:rPr>
          <w:rFonts w:ascii="Tahoma" w:hAnsi="Tahoma" w:cs="Tahoma"/>
          <w:i/>
          <w:color w:val="000000"/>
          <w:sz w:val="18"/>
          <w:szCs w:val="18"/>
          <w:lang w:val="es-CO" w:eastAsia="es-ES"/>
        </w:rPr>
        <w:t xml:space="preserve"> </w:t>
      </w:r>
      <w:r w:rsidRPr="00D71892">
        <w:rPr>
          <w:rFonts w:ascii="Tahoma" w:hAnsi="Tahoma" w:cs="Tahoma"/>
          <w:bCs/>
          <w:color w:val="000000"/>
          <w:sz w:val="18"/>
          <w:szCs w:val="18"/>
          <w:lang w:val="es-CO" w:eastAsia="es-CO"/>
        </w:rPr>
        <w:t>Dicho Código fue reemplazado por el Código General del Proceso a partir de enero de 2014.</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Pr="00832D26" w:rsidRDefault="00B46190" w:rsidP="00B46190">
      <w:pPr>
        <w:spacing w:after="0" w:line="240" w:lineRule="auto"/>
        <w:jc w:val="both"/>
        <w:rPr>
          <w:rFonts w:ascii="Times New Roman" w:hAnsi="Times New Roman"/>
          <w:color w:val="000000"/>
          <w:sz w:val="18"/>
          <w:szCs w:val="18"/>
          <w:lang w:val="es-CO" w:eastAsia="es-ES"/>
        </w:rPr>
      </w:pPr>
      <w:r w:rsidRPr="00D71892">
        <w:rPr>
          <w:rFonts w:ascii="Tahoma" w:hAnsi="Tahoma" w:cs="Tahoma"/>
          <w:color w:val="000000"/>
          <w:sz w:val="18"/>
          <w:szCs w:val="18"/>
          <w:lang w:val="es-CO" w:eastAsia="es-ES"/>
        </w:rPr>
        <w:t xml:space="preserve">De acuerdo con lo preceptuado por el artículo 64 del Código General del Proceso, </w:t>
      </w:r>
      <w:r w:rsidRPr="00832D26">
        <w:rPr>
          <w:rFonts w:ascii="Times New Roman" w:hAnsi="Times New Roman"/>
          <w:i/>
          <w:color w:val="000000"/>
          <w:sz w:val="18"/>
          <w:szCs w:val="18"/>
          <w:lang w:val="es-CO" w:eastAsia="es-ES"/>
        </w:rPr>
        <w:t>“(…) 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relación (…)”</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Pr="00832D26" w:rsidRDefault="00B46190" w:rsidP="00B46190">
      <w:pPr>
        <w:spacing w:after="0" w:line="240" w:lineRule="auto"/>
        <w:jc w:val="both"/>
        <w:rPr>
          <w:rFonts w:ascii="Times New Roman" w:hAnsi="Times New Roman"/>
          <w:i/>
          <w:color w:val="000000"/>
          <w:sz w:val="18"/>
          <w:szCs w:val="18"/>
          <w:lang w:val="es-CO" w:eastAsia="es-ES"/>
        </w:rPr>
      </w:pPr>
      <w:r w:rsidRPr="00D71892">
        <w:rPr>
          <w:rFonts w:ascii="Tahoma" w:hAnsi="Tahoma" w:cs="Tahoma"/>
          <w:color w:val="000000"/>
          <w:sz w:val="18"/>
          <w:szCs w:val="18"/>
          <w:lang w:val="es-CO" w:eastAsia="es-ES"/>
        </w:rPr>
        <w:t xml:space="preserve">Adicionalmente el artículo 65 de dicho estatuto preceptúa que </w:t>
      </w:r>
      <w:r w:rsidRPr="00832D26">
        <w:rPr>
          <w:rFonts w:ascii="Times New Roman" w:hAnsi="Times New Roman"/>
          <w:color w:val="000000"/>
          <w:sz w:val="18"/>
          <w:szCs w:val="18"/>
          <w:lang w:val="es-CO" w:eastAsia="es-ES"/>
        </w:rPr>
        <w:t xml:space="preserve">“(…) </w:t>
      </w:r>
      <w:r w:rsidRPr="00832D26">
        <w:rPr>
          <w:rFonts w:ascii="Times New Roman" w:hAnsi="Times New Roman"/>
          <w:i/>
          <w:color w:val="000000"/>
          <w:sz w:val="18"/>
          <w:szCs w:val="18"/>
          <w:lang w:val="es-CO" w:eastAsia="es-ES"/>
        </w:rPr>
        <w:t>la demanda por medio de la cual se llame en garantía deberá cumplir con los mismos requisitos exigidos en el artículo 82 y demás normas aplicables (…) el convocado podrá a su vez llamar en garantía (…)”</w:t>
      </w:r>
    </w:p>
    <w:p w:rsidR="00B46190" w:rsidRPr="00D71892" w:rsidRDefault="00B46190" w:rsidP="00B46190">
      <w:pPr>
        <w:spacing w:after="0" w:line="240" w:lineRule="auto"/>
        <w:jc w:val="both"/>
        <w:rPr>
          <w:rFonts w:ascii="Tahoma" w:hAnsi="Tahoma" w:cs="Tahoma"/>
          <w:i/>
          <w:color w:val="000000"/>
          <w:sz w:val="18"/>
          <w:szCs w:val="18"/>
          <w:lang w:val="es-CO" w:eastAsia="es-ES"/>
        </w:rPr>
      </w:pPr>
    </w:p>
    <w:p w:rsidR="00B46190" w:rsidRPr="00832D26" w:rsidRDefault="00B46190" w:rsidP="00B46190">
      <w:pPr>
        <w:spacing w:after="0" w:line="240" w:lineRule="auto"/>
        <w:jc w:val="both"/>
        <w:rPr>
          <w:rFonts w:ascii="Times New Roman" w:hAnsi="Times New Roman"/>
          <w:i/>
          <w:color w:val="000000"/>
          <w:sz w:val="18"/>
          <w:szCs w:val="18"/>
          <w:lang w:val="es-CO" w:eastAsia="es-ES"/>
        </w:rPr>
      </w:pPr>
      <w:r w:rsidRPr="00D71892">
        <w:rPr>
          <w:rFonts w:ascii="Tahoma" w:hAnsi="Tahoma" w:cs="Tahoma"/>
          <w:color w:val="000000"/>
          <w:sz w:val="18"/>
          <w:szCs w:val="18"/>
          <w:lang w:val="es-CO" w:eastAsia="es-ES"/>
        </w:rPr>
        <w:lastRenderedPageBreak/>
        <w:t xml:space="preserve">Y por último el artículo 66 del mismo estatuto señala </w:t>
      </w:r>
      <w:r w:rsidRPr="00832D26">
        <w:rPr>
          <w:rFonts w:ascii="Times New Roman" w:hAnsi="Times New Roman"/>
          <w:i/>
          <w:color w:val="000000"/>
          <w:sz w:val="18"/>
          <w:szCs w:val="18"/>
          <w:lang w:val="es-CO" w:eastAsia="es-ES"/>
        </w:rPr>
        <w:t xml:space="preserve">“(…) </w:t>
      </w:r>
      <w:r w:rsidRPr="00832D26">
        <w:rPr>
          <w:rFonts w:ascii="Times New Roman" w:hAnsi="Times New Roman"/>
          <w:b/>
          <w:i/>
          <w:color w:val="000000"/>
          <w:sz w:val="18"/>
          <w:szCs w:val="18"/>
          <w:lang w:val="es-CO" w:eastAsia="es-ES"/>
        </w:rPr>
        <w:t>si el juez halla procedente el llamamiento, ordenara notificar personalmente al convocado</w:t>
      </w:r>
      <w:r w:rsidRPr="00832D26">
        <w:rPr>
          <w:rFonts w:ascii="Times New Roman" w:hAnsi="Times New Roman"/>
          <w:i/>
          <w:color w:val="000000"/>
          <w:sz w:val="18"/>
          <w:szCs w:val="18"/>
          <w:lang w:val="es-CO" w:eastAsia="es-ES"/>
        </w:rPr>
        <w:t xml:space="preserve"> </w:t>
      </w:r>
      <w:r w:rsidRPr="00832D26">
        <w:rPr>
          <w:rFonts w:ascii="Times New Roman" w:hAnsi="Times New Roman"/>
          <w:b/>
          <w:i/>
          <w:color w:val="000000"/>
          <w:sz w:val="18"/>
          <w:szCs w:val="18"/>
          <w:lang w:val="es-CO" w:eastAsia="es-ES"/>
        </w:rPr>
        <w:t>y correrle traslado del escrito por el término de la demanda inicial,</w:t>
      </w:r>
      <w:r w:rsidRPr="00832D26">
        <w:rPr>
          <w:rFonts w:ascii="Times New Roman" w:hAnsi="Times New Roman"/>
          <w:i/>
          <w:color w:val="000000"/>
          <w:sz w:val="18"/>
          <w:szCs w:val="18"/>
          <w:lang w:val="es-CO" w:eastAsia="es-ES"/>
        </w:rPr>
        <w:t xml:space="preserve"> </w:t>
      </w:r>
      <w:r w:rsidRPr="00832D26">
        <w:rPr>
          <w:rFonts w:ascii="Times New Roman" w:hAnsi="Times New Roman"/>
          <w:b/>
          <w:i/>
          <w:color w:val="000000"/>
          <w:sz w:val="18"/>
          <w:szCs w:val="18"/>
          <w:lang w:val="es-CO" w:eastAsia="es-ES"/>
        </w:rPr>
        <w:t>si la notificación no se logra</w:t>
      </w:r>
      <w:r w:rsidRPr="00832D26">
        <w:rPr>
          <w:rFonts w:ascii="Times New Roman" w:hAnsi="Times New Roman"/>
          <w:i/>
          <w:color w:val="000000"/>
          <w:sz w:val="18"/>
          <w:szCs w:val="18"/>
          <w:lang w:val="es-CO" w:eastAsia="es-ES"/>
        </w:rPr>
        <w:t xml:space="preserve"> </w:t>
      </w:r>
      <w:r w:rsidRPr="00832D26">
        <w:rPr>
          <w:rFonts w:ascii="Times New Roman" w:hAnsi="Times New Roman"/>
          <w:b/>
          <w:i/>
          <w:color w:val="000000"/>
          <w:sz w:val="18"/>
          <w:szCs w:val="18"/>
          <w:lang w:val="es-CO" w:eastAsia="es-ES"/>
        </w:rPr>
        <w:t>dentro de los 6 meses siguientes</w:t>
      </w:r>
      <w:r w:rsidRPr="00832D26">
        <w:rPr>
          <w:rFonts w:ascii="Times New Roman" w:hAnsi="Times New Roman"/>
          <w:i/>
          <w:color w:val="000000"/>
          <w:sz w:val="18"/>
          <w:szCs w:val="18"/>
          <w:lang w:val="es-CO" w:eastAsia="es-ES"/>
        </w:rPr>
        <w:t xml:space="preserve">, </w:t>
      </w:r>
      <w:r w:rsidRPr="00832D26">
        <w:rPr>
          <w:rFonts w:ascii="Times New Roman" w:hAnsi="Times New Roman"/>
          <w:b/>
          <w:i/>
          <w:color w:val="000000"/>
          <w:sz w:val="18"/>
          <w:szCs w:val="18"/>
          <w:lang w:val="es-CO" w:eastAsia="es-ES"/>
        </w:rPr>
        <w:t>el llamamiento será ineficaz</w:t>
      </w:r>
      <w:r w:rsidRPr="00832D26">
        <w:rPr>
          <w:rFonts w:ascii="Times New Roman" w:hAnsi="Times New Roman"/>
          <w:i/>
          <w:color w:val="000000"/>
          <w:sz w:val="18"/>
          <w:szCs w:val="18"/>
          <w:lang w:val="es-CO" w:eastAsia="es-ES"/>
        </w:rPr>
        <w:t xml:space="preserve">, la misma regla se aplicará en el caso contemplado en el inciso segundo del artículo anterior.  </w:t>
      </w:r>
    </w:p>
    <w:p w:rsidR="00B46190" w:rsidRPr="00832D26" w:rsidRDefault="00B46190" w:rsidP="00B46190">
      <w:pPr>
        <w:spacing w:after="0" w:line="240" w:lineRule="auto"/>
        <w:jc w:val="both"/>
        <w:rPr>
          <w:rFonts w:ascii="Times New Roman" w:hAnsi="Times New Roman"/>
          <w:i/>
          <w:color w:val="000000"/>
          <w:sz w:val="18"/>
          <w:szCs w:val="18"/>
          <w:lang w:val="es-CO" w:eastAsia="es-ES"/>
        </w:rPr>
      </w:pPr>
    </w:p>
    <w:p w:rsidR="00B46190" w:rsidRPr="00832D26" w:rsidRDefault="00B46190" w:rsidP="00B46190">
      <w:pPr>
        <w:spacing w:after="0" w:line="240" w:lineRule="auto"/>
        <w:jc w:val="both"/>
        <w:rPr>
          <w:rFonts w:ascii="Times New Roman" w:hAnsi="Times New Roman"/>
          <w:b/>
          <w:i/>
          <w:color w:val="000000"/>
          <w:sz w:val="18"/>
          <w:szCs w:val="18"/>
          <w:lang w:val="es-CO" w:eastAsia="es-ES"/>
        </w:rPr>
      </w:pPr>
      <w:r w:rsidRPr="00832D26">
        <w:rPr>
          <w:rFonts w:ascii="Times New Roman" w:hAnsi="Times New Roman"/>
          <w:i/>
          <w:color w:val="000000"/>
          <w:sz w:val="18"/>
          <w:szCs w:val="18"/>
          <w:lang w:val="es-CO" w:eastAsia="es-ES"/>
        </w:rPr>
        <w:t xml:space="preserve">El llamado en garantía </w:t>
      </w:r>
      <w:r w:rsidRPr="00832D26">
        <w:rPr>
          <w:rFonts w:ascii="Times New Roman" w:hAnsi="Times New Roman"/>
          <w:b/>
          <w:i/>
          <w:color w:val="000000"/>
          <w:sz w:val="18"/>
          <w:szCs w:val="18"/>
          <w:lang w:val="es-CO" w:eastAsia="es-ES"/>
        </w:rPr>
        <w:t>podrá contestar en un solo escrito la demanda y el llamamiento y solicitar las pruebas que pretenda hacer valer</w:t>
      </w:r>
    </w:p>
    <w:p w:rsidR="00B46190" w:rsidRPr="00832D26" w:rsidRDefault="00B46190" w:rsidP="00B46190">
      <w:pPr>
        <w:spacing w:after="0" w:line="240" w:lineRule="auto"/>
        <w:jc w:val="both"/>
        <w:rPr>
          <w:rFonts w:ascii="Times New Roman" w:hAnsi="Times New Roman"/>
          <w:b/>
          <w:i/>
          <w:color w:val="000000"/>
          <w:sz w:val="18"/>
          <w:szCs w:val="18"/>
          <w:lang w:val="es-CO" w:eastAsia="es-ES"/>
        </w:rPr>
      </w:pPr>
    </w:p>
    <w:p w:rsidR="00B46190" w:rsidRPr="00832D26" w:rsidRDefault="00B46190" w:rsidP="00B46190">
      <w:pPr>
        <w:spacing w:after="0" w:line="240" w:lineRule="auto"/>
        <w:jc w:val="both"/>
        <w:rPr>
          <w:rFonts w:ascii="Times New Roman" w:hAnsi="Times New Roman"/>
          <w:i/>
          <w:color w:val="000000"/>
          <w:sz w:val="18"/>
          <w:szCs w:val="18"/>
          <w:lang w:val="es-CO" w:eastAsia="es-ES"/>
        </w:rPr>
      </w:pPr>
      <w:r w:rsidRPr="00832D26">
        <w:rPr>
          <w:rFonts w:ascii="Times New Roman" w:hAnsi="Times New Roman"/>
          <w:b/>
          <w:i/>
          <w:color w:val="000000"/>
          <w:sz w:val="18"/>
          <w:szCs w:val="18"/>
          <w:lang w:val="es-CO" w:eastAsia="es-ES"/>
        </w:rPr>
        <w:t xml:space="preserve">En la sentencia se resolverá, cuando fuere pertinente, sobre la relación sustancial aducida y acerca de las indemnizaciones o restituciones a cargo del llamado en garantía </w:t>
      </w:r>
      <w:r w:rsidRPr="00832D26">
        <w:rPr>
          <w:rFonts w:ascii="Times New Roman" w:hAnsi="Times New Roman"/>
          <w:i/>
          <w:color w:val="000000"/>
          <w:sz w:val="18"/>
          <w:szCs w:val="18"/>
          <w:lang w:val="es-CO" w:eastAsia="es-ES"/>
        </w:rPr>
        <w:t>(…)”</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Pr="00D71892" w:rsidRDefault="00B46190" w:rsidP="00B46190">
      <w:pPr>
        <w:pStyle w:val="Prrafodelista"/>
        <w:numPr>
          <w:ilvl w:val="0"/>
          <w:numId w:val="2"/>
        </w:numPr>
        <w:tabs>
          <w:tab w:val="left" w:pos="426"/>
        </w:tabs>
        <w:spacing w:after="0" w:line="240" w:lineRule="auto"/>
        <w:ind w:left="0" w:firstLine="0"/>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DOCUMENTOS APORTADOS.</w:t>
      </w:r>
    </w:p>
    <w:p w:rsidR="00B46190" w:rsidRPr="00D71892" w:rsidRDefault="00B46190" w:rsidP="00B46190">
      <w:pPr>
        <w:tabs>
          <w:tab w:val="left" w:pos="426"/>
        </w:tabs>
        <w:spacing w:after="0" w:line="240" w:lineRule="auto"/>
        <w:contextualSpacing/>
        <w:jc w:val="both"/>
        <w:rPr>
          <w:rFonts w:ascii="Tahoma" w:hAnsi="Tahoma" w:cs="Tahoma"/>
          <w:b/>
          <w:color w:val="000000"/>
          <w:sz w:val="18"/>
          <w:szCs w:val="18"/>
          <w:lang w:val="es-CO" w:eastAsia="es-ES"/>
        </w:rPr>
      </w:pPr>
    </w:p>
    <w:p w:rsidR="00B46190" w:rsidRPr="00D71892" w:rsidRDefault="00B46190" w:rsidP="00B46190">
      <w:pPr>
        <w:pStyle w:val="Prrafodelista"/>
        <w:numPr>
          <w:ilvl w:val="1"/>
          <w:numId w:val="2"/>
        </w:numPr>
        <w:tabs>
          <w:tab w:val="left" w:pos="567"/>
        </w:tabs>
        <w:spacing w:after="0" w:line="240" w:lineRule="auto"/>
        <w:ind w:left="0" w:firstLine="0"/>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 xml:space="preserve">DOCUMENTOS APORTADOS </w:t>
      </w:r>
    </w:p>
    <w:p w:rsidR="00B46190" w:rsidRPr="00D71892" w:rsidRDefault="00B46190" w:rsidP="00B46190">
      <w:pPr>
        <w:shd w:val="clear" w:color="auto" w:fill="FFFFFF"/>
        <w:tabs>
          <w:tab w:val="left" w:pos="284"/>
        </w:tabs>
        <w:autoSpaceDE w:val="0"/>
        <w:autoSpaceDN w:val="0"/>
        <w:adjustRightInd w:val="0"/>
        <w:spacing w:after="0" w:line="240" w:lineRule="auto"/>
        <w:jc w:val="both"/>
        <w:rPr>
          <w:rFonts w:ascii="Tahoma" w:hAnsi="Tahoma" w:cs="Tahoma"/>
          <w:b/>
          <w:color w:val="000000"/>
          <w:sz w:val="18"/>
          <w:szCs w:val="18"/>
          <w:highlight w:val="green"/>
          <w:lang w:val="es-CO" w:eastAsia="es-ES"/>
        </w:rPr>
      </w:pPr>
    </w:p>
    <w:p w:rsidR="00FB51CE" w:rsidRDefault="00FB51CE" w:rsidP="00FB51CE">
      <w:pPr>
        <w:pStyle w:val="Prrafodelista"/>
        <w:numPr>
          <w:ilvl w:val="2"/>
          <w:numId w:val="2"/>
        </w:numPr>
        <w:shd w:val="clear" w:color="auto" w:fill="FFFFFF"/>
        <w:tabs>
          <w:tab w:val="left" w:pos="567"/>
        </w:tabs>
        <w:autoSpaceDE w:val="0"/>
        <w:autoSpaceDN w:val="0"/>
        <w:adjustRightInd w:val="0"/>
        <w:spacing w:after="0" w:line="240" w:lineRule="auto"/>
        <w:ind w:left="0" w:firstLine="0"/>
        <w:jc w:val="both"/>
        <w:rPr>
          <w:rFonts w:ascii="Tahoma" w:hAnsi="Tahoma" w:cs="Tahoma"/>
          <w:color w:val="000000"/>
          <w:sz w:val="18"/>
          <w:szCs w:val="18"/>
          <w:lang w:val="es-CO" w:eastAsia="es-ES"/>
        </w:rPr>
      </w:pPr>
      <w:r w:rsidRPr="00FB51CE">
        <w:rPr>
          <w:rFonts w:ascii="Tahoma" w:hAnsi="Tahoma" w:cs="Tahoma"/>
          <w:color w:val="000000"/>
          <w:sz w:val="18"/>
          <w:szCs w:val="18"/>
          <w:lang w:val="es-CO" w:eastAsia="es-ES"/>
        </w:rPr>
        <w:t xml:space="preserve">Copia de la Póliza de seguros No 33-03-101013728, suscrita por mi mandante y Seguros del Estado S.A., Compañía de Seguros, la cual ampara el siniestro reclamado por el accionante en la presente acción. La original la tiene la entidad aseguradora. </w:t>
      </w:r>
      <w:r>
        <w:rPr>
          <w:rFonts w:ascii="Tahoma" w:hAnsi="Tahoma" w:cs="Tahoma"/>
          <w:color w:val="000000"/>
          <w:sz w:val="18"/>
          <w:szCs w:val="18"/>
          <w:lang w:val="es-CO" w:eastAsia="es-ES"/>
        </w:rPr>
        <w:t>(F</w:t>
      </w:r>
      <w:r w:rsidRPr="00D71892">
        <w:rPr>
          <w:rFonts w:ascii="Tahoma" w:hAnsi="Tahoma" w:cs="Tahoma"/>
          <w:color w:val="000000"/>
          <w:sz w:val="18"/>
          <w:szCs w:val="18"/>
          <w:lang w:val="es-CO" w:eastAsia="es-ES"/>
        </w:rPr>
        <w:t>olio</w:t>
      </w:r>
      <w:r>
        <w:rPr>
          <w:rFonts w:ascii="Tahoma" w:hAnsi="Tahoma" w:cs="Tahoma"/>
          <w:color w:val="000000"/>
          <w:sz w:val="18"/>
          <w:szCs w:val="18"/>
          <w:lang w:val="es-CO" w:eastAsia="es-ES"/>
        </w:rPr>
        <w:t xml:space="preserve">s 4 a 9 </w:t>
      </w:r>
      <w:r w:rsidRPr="00D71892">
        <w:rPr>
          <w:rFonts w:ascii="Tahoma" w:hAnsi="Tahoma" w:cs="Tahoma"/>
          <w:color w:val="000000"/>
          <w:sz w:val="18"/>
          <w:szCs w:val="18"/>
          <w:lang w:val="es-CO" w:eastAsia="es-ES"/>
        </w:rPr>
        <w:t xml:space="preserve">del cuaderno </w:t>
      </w:r>
      <w:r>
        <w:rPr>
          <w:rFonts w:ascii="Tahoma" w:hAnsi="Tahoma" w:cs="Tahoma"/>
          <w:color w:val="000000"/>
          <w:sz w:val="18"/>
          <w:szCs w:val="18"/>
          <w:lang w:val="es-CO" w:eastAsia="es-ES"/>
        </w:rPr>
        <w:t>4</w:t>
      </w:r>
      <w:r w:rsidRPr="00D71892">
        <w:rPr>
          <w:rFonts w:ascii="Tahoma" w:hAnsi="Tahoma" w:cs="Tahoma"/>
          <w:color w:val="000000"/>
          <w:sz w:val="18"/>
          <w:szCs w:val="18"/>
          <w:lang w:val="es-CO" w:eastAsia="es-ES"/>
        </w:rPr>
        <w:t>)</w:t>
      </w:r>
    </w:p>
    <w:p w:rsidR="00FB51CE" w:rsidRPr="00FB51CE" w:rsidRDefault="00FB51CE" w:rsidP="00FB51CE">
      <w:pPr>
        <w:pStyle w:val="Prrafodelista"/>
        <w:shd w:val="clear" w:color="auto" w:fill="FFFFFF"/>
        <w:tabs>
          <w:tab w:val="left" w:pos="567"/>
        </w:tabs>
        <w:autoSpaceDE w:val="0"/>
        <w:autoSpaceDN w:val="0"/>
        <w:adjustRightInd w:val="0"/>
        <w:spacing w:after="0" w:line="240" w:lineRule="auto"/>
        <w:ind w:left="0"/>
        <w:jc w:val="both"/>
        <w:rPr>
          <w:rFonts w:ascii="Tahoma" w:hAnsi="Tahoma" w:cs="Tahoma"/>
          <w:color w:val="000000"/>
          <w:sz w:val="18"/>
          <w:szCs w:val="18"/>
          <w:lang w:val="es-CO" w:eastAsia="es-ES"/>
        </w:rPr>
      </w:pPr>
    </w:p>
    <w:p w:rsidR="00B46190" w:rsidRDefault="00FB51CE" w:rsidP="00FB51CE">
      <w:pPr>
        <w:pStyle w:val="Prrafodelista"/>
        <w:numPr>
          <w:ilvl w:val="2"/>
          <w:numId w:val="2"/>
        </w:numPr>
        <w:shd w:val="clear" w:color="auto" w:fill="FFFFFF"/>
        <w:tabs>
          <w:tab w:val="left" w:pos="567"/>
        </w:tabs>
        <w:autoSpaceDE w:val="0"/>
        <w:autoSpaceDN w:val="0"/>
        <w:adjustRightInd w:val="0"/>
        <w:spacing w:after="0" w:line="240" w:lineRule="auto"/>
        <w:ind w:left="0" w:firstLine="0"/>
        <w:jc w:val="both"/>
        <w:rPr>
          <w:rFonts w:ascii="Tahoma" w:hAnsi="Tahoma" w:cs="Tahoma"/>
          <w:color w:val="000000"/>
          <w:sz w:val="18"/>
          <w:szCs w:val="18"/>
          <w:lang w:val="es-CO" w:eastAsia="es-ES"/>
        </w:rPr>
      </w:pPr>
      <w:r w:rsidRPr="00FB51CE">
        <w:rPr>
          <w:rFonts w:ascii="Tahoma" w:hAnsi="Tahoma" w:cs="Tahoma"/>
          <w:color w:val="000000"/>
          <w:sz w:val="18"/>
          <w:szCs w:val="18"/>
          <w:lang w:val="es-CO" w:eastAsia="es-ES"/>
        </w:rPr>
        <w:t xml:space="preserve">Certificado de existencia y representación legal de la personería jurídica expedido por la Cámara de Comercio de Seguros del Estado S.A., Compañía de Seguros que consta que su representante legal es Jaime Yesid Peña, persona a la cual se pretende citar en llamamiento en garantía. </w:t>
      </w:r>
      <w:r>
        <w:rPr>
          <w:rFonts w:ascii="Tahoma" w:hAnsi="Tahoma" w:cs="Tahoma"/>
          <w:color w:val="000000"/>
          <w:sz w:val="18"/>
          <w:szCs w:val="18"/>
          <w:lang w:val="es-CO" w:eastAsia="es-ES"/>
        </w:rPr>
        <w:t>(F</w:t>
      </w:r>
      <w:r w:rsidRPr="00D71892">
        <w:rPr>
          <w:rFonts w:ascii="Tahoma" w:hAnsi="Tahoma" w:cs="Tahoma"/>
          <w:color w:val="000000"/>
          <w:sz w:val="18"/>
          <w:szCs w:val="18"/>
          <w:lang w:val="es-CO" w:eastAsia="es-ES"/>
        </w:rPr>
        <w:t>olio</w:t>
      </w:r>
      <w:r>
        <w:rPr>
          <w:rFonts w:ascii="Tahoma" w:hAnsi="Tahoma" w:cs="Tahoma"/>
          <w:color w:val="000000"/>
          <w:sz w:val="18"/>
          <w:szCs w:val="18"/>
          <w:lang w:val="es-CO" w:eastAsia="es-ES"/>
        </w:rPr>
        <w:t xml:space="preserve">s 10 a 13 </w:t>
      </w:r>
      <w:r w:rsidRPr="00D71892">
        <w:rPr>
          <w:rFonts w:ascii="Tahoma" w:hAnsi="Tahoma" w:cs="Tahoma"/>
          <w:color w:val="000000"/>
          <w:sz w:val="18"/>
          <w:szCs w:val="18"/>
          <w:lang w:val="es-CO" w:eastAsia="es-ES"/>
        </w:rPr>
        <w:t xml:space="preserve">del cuaderno </w:t>
      </w:r>
      <w:r>
        <w:rPr>
          <w:rFonts w:ascii="Tahoma" w:hAnsi="Tahoma" w:cs="Tahoma"/>
          <w:color w:val="000000"/>
          <w:sz w:val="18"/>
          <w:szCs w:val="18"/>
          <w:lang w:val="es-CO" w:eastAsia="es-ES"/>
        </w:rPr>
        <w:t>4</w:t>
      </w:r>
      <w:r w:rsidRPr="00D71892">
        <w:rPr>
          <w:rFonts w:ascii="Tahoma" w:hAnsi="Tahoma" w:cs="Tahoma"/>
          <w:color w:val="000000"/>
          <w:sz w:val="18"/>
          <w:szCs w:val="18"/>
          <w:lang w:val="es-CO" w:eastAsia="es-ES"/>
        </w:rPr>
        <w:t xml:space="preserve">) </w:t>
      </w:r>
    </w:p>
    <w:p w:rsidR="00FB51CE" w:rsidRPr="00D71892" w:rsidRDefault="00FB51CE" w:rsidP="00FB51CE">
      <w:pPr>
        <w:pStyle w:val="Prrafodelista"/>
        <w:shd w:val="clear" w:color="auto" w:fill="FFFFFF"/>
        <w:tabs>
          <w:tab w:val="left" w:pos="567"/>
        </w:tabs>
        <w:autoSpaceDE w:val="0"/>
        <w:autoSpaceDN w:val="0"/>
        <w:adjustRightInd w:val="0"/>
        <w:spacing w:after="0" w:line="240" w:lineRule="auto"/>
        <w:ind w:left="0"/>
        <w:jc w:val="both"/>
        <w:rPr>
          <w:rFonts w:ascii="Tahoma" w:hAnsi="Tahoma" w:cs="Tahoma"/>
          <w:color w:val="000000"/>
          <w:sz w:val="18"/>
          <w:szCs w:val="18"/>
          <w:lang w:val="es-CO" w:eastAsia="es-ES"/>
        </w:rPr>
      </w:pPr>
    </w:p>
    <w:p w:rsidR="00B46190" w:rsidRPr="00D71892" w:rsidRDefault="00B46190" w:rsidP="00B46190">
      <w:pPr>
        <w:pStyle w:val="Prrafodelista"/>
        <w:numPr>
          <w:ilvl w:val="0"/>
          <w:numId w:val="2"/>
        </w:numPr>
        <w:tabs>
          <w:tab w:val="left" w:pos="426"/>
        </w:tabs>
        <w:spacing w:after="0" w:line="240" w:lineRule="auto"/>
        <w:ind w:left="0" w:firstLine="0"/>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 xml:space="preserve">LLAMAMIENTO EN GARANTÍA </w:t>
      </w:r>
      <w:r w:rsidR="00301EE2">
        <w:rPr>
          <w:rFonts w:ascii="Tahoma" w:hAnsi="Tahoma" w:cs="Tahoma"/>
          <w:b/>
          <w:color w:val="000000"/>
          <w:sz w:val="18"/>
          <w:szCs w:val="18"/>
          <w:lang w:val="es-CO" w:eastAsia="es-ES"/>
        </w:rPr>
        <w:t>SEGUROS DEL ESTADO S.A.</w:t>
      </w:r>
    </w:p>
    <w:p w:rsidR="00B46190" w:rsidRPr="00D71892" w:rsidRDefault="00B46190" w:rsidP="00B46190">
      <w:pPr>
        <w:tabs>
          <w:tab w:val="left" w:pos="426"/>
        </w:tabs>
        <w:spacing w:after="0" w:line="240" w:lineRule="auto"/>
        <w:contextualSpacing/>
        <w:jc w:val="both"/>
        <w:rPr>
          <w:rFonts w:ascii="Tahoma" w:hAnsi="Tahoma" w:cs="Tahoma"/>
          <w:color w:val="000000"/>
          <w:sz w:val="18"/>
          <w:szCs w:val="18"/>
          <w:lang w:val="es-CO" w:eastAsia="es-ES"/>
        </w:rPr>
      </w:pPr>
    </w:p>
    <w:p w:rsidR="00B46190" w:rsidRPr="00D71892" w:rsidRDefault="00B46190" w:rsidP="00262A35">
      <w:pPr>
        <w:tabs>
          <w:tab w:val="left" w:pos="426"/>
        </w:tabs>
        <w:spacing w:after="0" w:line="240" w:lineRule="auto"/>
        <w:contextualSpacing/>
        <w:jc w:val="both"/>
        <w:rPr>
          <w:rFonts w:ascii="Tahoma" w:hAnsi="Tahoma" w:cs="Tahoma"/>
          <w:color w:val="000000"/>
          <w:sz w:val="18"/>
          <w:szCs w:val="18"/>
          <w:lang w:val="es-CO" w:eastAsia="es-ES"/>
        </w:rPr>
      </w:pPr>
      <w:r w:rsidRPr="00D71892">
        <w:rPr>
          <w:rFonts w:ascii="Tahoma" w:hAnsi="Tahoma" w:cs="Tahoma"/>
          <w:color w:val="000000"/>
          <w:sz w:val="18"/>
          <w:szCs w:val="18"/>
          <w:lang w:val="es-CO" w:eastAsia="es-ES"/>
        </w:rPr>
        <w:t xml:space="preserve">Revisado el expediente se observa que el solicitante aportó copia de la póliza </w:t>
      </w:r>
      <w:r w:rsidR="00301EE2" w:rsidRPr="00301EE2">
        <w:rPr>
          <w:rFonts w:ascii="Tahoma" w:hAnsi="Tahoma" w:cs="Tahoma"/>
          <w:color w:val="000000"/>
          <w:sz w:val="18"/>
          <w:szCs w:val="18"/>
          <w:lang w:val="es-CO" w:eastAsia="es-ES"/>
        </w:rPr>
        <w:t>de seguros No 33-03-101013728</w:t>
      </w:r>
      <w:r w:rsidRPr="00D71892">
        <w:rPr>
          <w:rFonts w:ascii="Tahoma" w:hAnsi="Tahoma" w:cs="Tahoma"/>
          <w:color w:val="000000"/>
          <w:sz w:val="18"/>
          <w:szCs w:val="18"/>
          <w:lang w:val="es-CO" w:eastAsia="es-ES"/>
        </w:rPr>
        <w:t xml:space="preserve"> con vigencia del </w:t>
      </w:r>
      <w:r w:rsidR="00301EE2">
        <w:rPr>
          <w:rFonts w:ascii="Tahoma" w:hAnsi="Tahoma" w:cs="Tahoma"/>
          <w:color w:val="000000"/>
          <w:sz w:val="18"/>
          <w:szCs w:val="18"/>
          <w:lang w:val="es-CO" w:eastAsia="es-ES"/>
        </w:rPr>
        <w:t>2 de abril de 2016 al 2 de abril de 2017, que cubre la responsabilidad civil profesional del hospital SANTA CLARA E.S.E. por los perjuicios causados a terceros como consecuencia de un servicio médico, quirúrgico, dental, de enfermería, de laboratorio o asimilados, que puedan presentarse en los predios asignados. El sistema</w:t>
      </w:r>
      <w:r w:rsidR="00C21C29">
        <w:rPr>
          <w:rFonts w:ascii="Tahoma" w:hAnsi="Tahoma" w:cs="Tahoma"/>
          <w:color w:val="000000"/>
          <w:sz w:val="18"/>
          <w:szCs w:val="18"/>
          <w:lang w:val="es-CO" w:eastAsia="es-ES"/>
        </w:rPr>
        <w:t xml:space="preserve"> bajo el cual opera la </w:t>
      </w:r>
      <w:r w:rsidR="00301EE2">
        <w:rPr>
          <w:rFonts w:ascii="Tahoma" w:hAnsi="Tahoma" w:cs="Tahoma"/>
          <w:color w:val="000000"/>
          <w:sz w:val="18"/>
          <w:szCs w:val="18"/>
          <w:lang w:val="es-CO" w:eastAsia="es-ES"/>
        </w:rPr>
        <w:t xml:space="preserve">póliza es para reclamaciones presentadas durante la vigencia de la póliza derivados de hechos ocurridos desde el periodo de retroactividad otorgado, esto es, abril 2 de 2010 y no conocidos por el tomador/asegurado. </w:t>
      </w:r>
      <w:r w:rsidRPr="00D71892">
        <w:rPr>
          <w:rFonts w:ascii="Tahoma" w:hAnsi="Tahoma" w:cs="Tahoma"/>
          <w:color w:val="000000"/>
          <w:sz w:val="18"/>
          <w:szCs w:val="18"/>
          <w:lang w:val="es-CO" w:eastAsia="es-ES"/>
        </w:rPr>
        <w:t xml:space="preserve"> </w:t>
      </w:r>
    </w:p>
    <w:p w:rsidR="00262A35" w:rsidRPr="00D71892" w:rsidRDefault="00262A35" w:rsidP="00262A35">
      <w:pPr>
        <w:tabs>
          <w:tab w:val="left" w:pos="426"/>
        </w:tabs>
        <w:spacing w:after="0" w:line="240" w:lineRule="auto"/>
        <w:contextualSpacing/>
        <w:jc w:val="both"/>
        <w:rPr>
          <w:rFonts w:ascii="Tahoma" w:hAnsi="Tahoma" w:cs="Tahoma"/>
          <w:color w:val="000000"/>
          <w:sz w:val="18"/>
          <w:szCs w:val="18"/>
          <w:lang w:val="es-CO" w:eastAsia="es-ES"/>
        </w:rPr>
      </w:pPr>
    </w:p>
    <w:p w:rsidR="00B46190" w:rsidRPr="00D71892" w:rsidRDefault="00B46190" w:rsidP="00B46190">
      <w:pPr>
        <w:shd w:val="clear" w:color="auto" w:fill="FFFFFF"/>
        <w:autoSpaceDE w:val="0"/>
        <w:autoSpaceDN w:val="0"/>
        <w:adjustRightInd w:val="0"/>
        <w:jc w:val="both"/>
        <w:rPr>
          <w:rFonts w:ascii="Tahoma" w:hAnsi="Tahoma" w:cs="Tahoma"/>
          <w:color w:val="000000"/>
          <w:sz w:val="18"/>
          <w:szCs w:val="18"/>
          <w:lang w:val="es-CO" w:eastAsia="es-ES"/>
        </w:rPr>
      </w:pPr>
      <w:r w:rsidRPr="00D71892">
        <w:rPr>
          <w:rFonts w:ascii="Tahoma" w:hAnsi="Tahoma" w:cs="Tahoma"/>
          <w:color w:val="000000"/>
          <w:sz w:val="18"/>
          <w:szCs w:val="18"/>
          <w:lang w:val="es-CO" w:eastAsia="es-ES"/>
        </w:rPr>
        <w:t xml:space="preserve">De lo anterior se desprende que existe fundamento contractual para que la parte </w:t>
      </w:r>
      <w:r w:rsidR="00C21C29">
        <w:rPr>
          <w:rFonts w:ascii="Tahoma" w:hAnsi="Tahoma" w:cs="Tahoma"/>
          <w:color w:val="000000"/>
          <w:sz w:val="18"/>
          <w:szCs w:val="18"/>
          <w:lang w:val="es-CO" w:eastAsia="es-ES"/>
        </w:rPr>
        <w:t xml:space="preserve">demandada </w:t>
      </w:r>
      <w:r w:rsidR="00C21C29" w:rsidRPr="00C21C29">
        <w:rPr>
          <w:rFonts w:ascii="Tahoma" w:hAnsi="Tahoma" w:cs="Tahoma"/>
          <w:color w:val="000000"/>
          <w:sz w:val="18"/>
          <w:szCs w:val="18"/>
          <w:lang w:val="es-CO" w:eastAsia="es-ES"/>
        </w:rPr>
        <w:t>HOSPITAL SANTA CLARA, hoy SUBRED INTEGRADA DE SERVICIOS DE SALUD CENTRO ORIENTE E.S.E.</w:t>
      </w:r>
      <w:r w:rsidR="00711D54">
        <w:rPr>
          <w:rFonts w:ascii="Tahoma" w:hAnsi="Tahoma" w:cs="Tahoma"/>
          <w:color w:val="000000"/>
          <w:sz w:val="18"/>
          <w:szCs w:val="18"/>
          <w:lang w:val="es-CO" w:eastAsia="es-ES"/>
        </w:rPr>
        <w:t>,</w:t>
      </w:r>
      <w:r w:rsidR="00C21C29" w:rsidRPr="00C21C29">
        <w:rPr>
          <w:rFonts w:ascii="Tahoma" w:hAnsi="Tahoma" w:cs="Tahoma"/>
          <w:color w:val="000000"/>
          <w:sz w:val="18"/>
          <w:szCs w:val="18"/>
          <w:lang w:val="es-CO" w:eastAsia="es-ES"/>
        </w:rPr>
        <w:t xml:space="preserve"> </w:t>
      </w:r>
      <w:r w:rsidRPr="00D71892">
        <w:rPr>
          <w:rFonts w:ascii="Tahoma" w:hAnsi="Tahoma" w:cs="Tahoma"/>
          <w:color w:val="000000"/>
          <w:sz w:val="18"/>
          <w:szCs w:val="18"/>
          <w:lang w:val="es-CO" w:eastAsia="es-ES"/>
        </w:rPr>
        <w:t xml:space="preserve">pueda llamar en garantía y solicitar a </w:t>
      </w:r>
      <w:r w:rsidR="00C21C29" w:rsidRPr="00C21C29">
        <w:rPr>
          <w:rFonts w:ascii="Tahoma" w:hAnsi="Tahoma" w:cs="Tahoma"/>
          <w:color w:val="000000"/>
          <w:sz w:val="18"/>
          <w:szCs w:val="18"/>
          <w:lang w:val="es-CO" w:eastAsia="es-ES"/>
        </w:rPr>
        <w:t>SEGUROS DEL ESTADO S.A.</w:t>
      </w:r>
      <w:r w:rsidRPr="00D71892">
        <w:rPr>
          <w:rFonts w:ascii="Tahoma" w:hAnsi="Tahoma" w:cs="Tahoma"/>
          <w:color w:val="000000"/>
          <w:sz w:val="18"/>
          <w:szCs w:val="18"/>
          <w:lang w:val="es-CO" w:eastAsia="es-ES"/>
        </w:rPr>
        <w:t xml:space="preserve"> la indemnización de los perjuicios que llegare a sufrir o el reembolso del pago que tuviere que hacer como resultado de la sentencia en caso de ser condenado, razón por la cual se ordenará su citación, pues, </w:t>
      </w:r>
      <w:r w:rsidR="005A3BCE">
        <w:rPr>
          <w:rFonts w:ascii="Tahoma" w:hAnsi="Tahoma" w:cs="Tahoma"/>
          <w:color w:val="000000"/>
          <w:sz w:val="18"/>
          <w:szCs w:val="18"/>
          <w:lang w:val="es-CO" w:eastAsia="es-ES"/>
        </w:rPr>
        <w:t xml:space="preserve">la póliza cubre reclamaciones </w:t>
      </w:r>
      <w:r w:rsidR="00711D54">
        <w:rPr>
          <w:rFonts w:ascii="Tahoma" w:hAnsi="Tahoma" w:cs="Tahoma"/>
          <w:color w:val="000000"/>
          <w:sz w:val="18"/>
          <w:szCs w:val="18"/>
          <w:lang w:val="es-CO" w:eastAsia="es-ES"/>
        </w:rPr>
        <w:t xml:space="preserve">presentadas </w:t>
      </w:r>
      <w:r w:rsidR="005A3BCE">
        <w:rPr>
          <w:rFonts w:ascii="Tahoma" w:hAnsi="Tahoma" w:cs="Tahoma"/>
          <w:color w:val="000000"/>
          <w:sz w:val="18"/>
          <w:szCs w:val="18"/>
          <w:lang w:val="es-CO" w:eastAsia="es-ES"/>
        </w:rPr>
        <w:t xml:space="preserve">durante </w:t>
      </w:r>
      <w:r w:rsidR="00203FD5">
        <w:rPr>
          <w:rFonts w:ascii="Tahoma" w:hAnsi="Tahoma" w:cs="Tahoma"/>
          <w:color w:val="000000"/>
          <w:sz w:val="18"/>
          <w:szCs w:val="18"/>
          <w:lang w:val="es-CO" w:eastAsia="es-ES"/>
        </w:rPr>
        <w:t>su vigencia</w:t>
      </w:r>
      <w:r w:rsidR="00711D54">
        <w:rPr>
          <w:rFonts w:ascii="Tahoma" w:hAnsi="Tahoma" w:cs="Tahoma"/>
          <w:color w:val="000000"/>
          <w:sz w:val="18"/>
          <w:szCs w:val="18"/>
          <w:lang w:val="es-CO" w:eastAsia="es-ES"/>
        </w:rPr>
        <w:t>,</w:t>
      </w:r>
      <w:r w:rsidR="005A3BCE">
        <w:rPr>
          <w:rFonts w:ascii="Tahoma" w:hAnsi="Tahoma" w:cs="Tahoma"/>
          <w:color w:val="000000"/>
          <w:sz w:val="18"/>
          <w:szCs w:val="18"/>
          <w:lang w:val="es-CO" w:eastAsia="es-ES"/>
        </w:rPr>
        <w:t xml:space="preserve"> por hechos ocurridos desde el 2 de abril de 2010 y el señor MISAEL DUARTE ROMERO falleció el 20 de noviembre de 2012.</w:t>
      </w:r>
    </w:p>
    <w:p w:rsidR="00B46190" w:rsidRPr="00D71892" w:rsidRDefault="00B46190" w:rsidP="00B46190">
      <w:pPr>
        <w:widowControl w:val="0"/>
        <w:spacing w:after="0" w:line="240" w:lineRule="auto"/>
        <w:jc w:val="both"/>
        <w:rPr>
          <w:rFonts w:ascii="Tahoma" w:hAnsi="Tahoma" w:cs="Tahoma"/>
          <w:b/>
          <w:color w:val="000000"/>
          <w:sz w:val="18"/>
          <w:szCs w:val="18"/>
          <w:lang w:val="es-CO" w:eastAsia="es-ES"/>
        </w:rPr>
      </w:pPr>
      <w:r w:rsidRPr="00D71892">
        <w:rPr>
          <w:rFonts w:ascii="Tahoma" w:hAnsi="Tahoma" w:cs="Tahoma"/>
          <w:color w:val="000000"/>
          <w:sz w:val="18"/>
          <w:szCs w:val="18"/>
          <w:lang w:val="es-CO" w:eastAsia="es-ES"/>
        </w:rPr>
        <w:t>Por lo brevemente expuesto,</w:t>
      </w:r>
      <w:r w:rsidRPr="00D71892">
        <w:rPr>
          <w:rFonts w:ascii="Tahoma" w:hAnsi="Tahoma" w:cs="Tahoma"/>
          <w:b/>
          <w:color w:val="000000"/>
          <w:sz w:val="18"/>
          <w:szCs w:val="18"/>
          <w:lang w:val="es-CO" w:eastAsia="es-ES"/>
        </w:rPr>
        <w:t xml:space="preserve"> SE DISPONE:</w:t>
      </w:r>
    </w:p>
    <w:p w:rsidR="00B46190" w:rsidRPr="00D71892" w:rsidRDefault="00B46190" w:rsidP="00B46190">
      <w:pPr>
        <w:widowControl w:val="0"/>
        <w:spacing w:after="0" w:line="240" w:lineRule="auto"/>
        <w:jc w:val="both"/>
        <w:rPr>
          <w:rFonts w:ascii="Tahoma" w:hAnsi="Tahoma" w:cs="Tahoma"/>
          <w:b/>
          <w:color w:val="000000"/>
          <w:sz w:val="18"/>
          <w:szCs w:val="18"/>
          <w:highlight w:val="green"/>
          <w:lang w:val="es-CO" w:eastAsia="es-ES"/>
        </w:rPr>
      </w:pPr>
    </w:p>
    <w:p w:rsidR="00B46190" w:rsidRPr="00D71892" w:rsidRDefault="00B46190" w:rsidP="00B46190">
      <w:pPr>
        <w:spacing w:after="0" w:line="240" w:lineRule="auto"/>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Primero:</w:t>
      </w:r>
      <w:r w:rsidRPr="00D71892">
        <w:rPr>
          <w:rFonts w:ascii="Tahoma" w:hAnsi="Tahoma" w:cs="Tahoma"/>
          <w:color w:val="000000"/>
          <w:sz w:val="18"/>
          <w:szCs w:val="18"/>
          <w:lang w:val="es-CO" w:eastAsia="es-ES"/>
        </w:rPr>
        <w:t xml:space="preserve"> </w:t>
      </w:r>
      <w:r w:rsidR="00DD4831">
        <w:rPr>
          <w:rFonts w:ascii="Tahoma" w:hAnsi="Tahoma" w:cs="Tahoma"/>
          <w:color w:val="000000"/>
          <w:sz w:val="18"/>
          <w:szCs w:val="18"/>
          <w:lang w:val="es-CO" w:eastAsia="es-ES"/>
        </w:rPr>
        <w:t>Déjese sin efectos el auto del 17 de noviembre de 2017 que fijó fecha para llevar a cabo la audiencia inicial para el día 22 de febrero de 2018 a las 8:00 am.</w:t>
      </w:r>
    </w:p>
    <w:p w:rsidR="00B46190" w:rsidRPr="00D71892" w:rsidRDefault="00B46190" w:rsidP="00B46190">
      <w:pPr>
        <w:spacing w:after="0" w:line="240" w:lineRule="auto"/>
        <w:jc w:val="both"/>
        <w:rPr>
          <w:rFonts w:ascii="Tahoma" w:hAnsi="Tahoma" w:cs="Tahoma"/>
          <w:b/>
          <w:color w:val="000000"/>
          <w:sz w:val="18"/>
          <w:szCs w:val="18"/>
          <w:lang w:val="es-CO" w:eastAsia="es-ES"/>
        </w:rPr>
      </w:pPr>
    </w:p>
    <w:p w:rsidR="00B46190" w:rsidRPr="00D71892" w:rsidRDefault="00B46190" w:rsidP="00B46190">
      <w:pPr>
        <w:spacing w:line="0" w:lineRule="atLeast"/>
        <w:jc w:val="both"/>
        <w:rPr>
          <w:rFonts w:ascii="Tahoma" w:hAnsi="Tahoma" w:cs="Tahoma"/>
          <w:color w:val="000000"/>
          <w:sz w:val="18"/>
          <w:szCs w:val="18"/>
          <w:lang w:val="es-CO" w:eastAsia="es-ES"/>
        </w:rPr>
      </w:pPr>
      <w:r w:rsidRPr="00D71892">
        <w:rPr>
          <w:rFonts w:ascii="Tahoma" w:hAnsi="Tahoma" w:cs="Tahoma"/>
          <w:b/>
          <w:color w:val="000000"/>
          <w:sz w:val="18"/>
          <w:szCs w:val="18"/>
          <w:lang w:val="es-CO" w:eastAsia="es-ES"/>
        </w:rPr>
        <w:t>Segundo</w:t>
      </w:r>
      <w:r w:rsidRPr="00D71892">
        <w:rPr>
          <w:rFonts w:ascii="Tahoma" w:hAnsi="Tahoma" w:cs="Tahoma"/>
          <w:b/>
          <w:sz w:val="18"/>
          <w:szCs w:val="18"/>
        </w:rPr>
        <w:t>:</w:t>
      </w:r>
      <w:r w:rsidRPr="00D71892">
        <w:rPr>
          <w:rFonts w:ascii="Tahoma" w:hAnsi="Tahoma" w:cs="Tahoma"/>
          <w:color w:val="000000"/>
          <w:sz w:val="18"/>
          <w:szCs w:val="18"/>
          <w:lang w:val="es-CO" w:eastAsia="es-ES"/>
        </w:rPr>
        <w:t xml:space="preserve"> </w:t>
      </w:r>
      <w:r w:rsidR="00DD4831" w:rsidRPr="00D71892">
        <w:rPr>
          <w:rFonts w:ascii="Tahoma" w:hAnsi="Tahoma" w:cs="Tahoma"/>
          <w:color w:val="000000"/>
          <w:sz w:val="18"/>
          <w:szCs w:val="18"/>
        </w:rPr>
        <w:t xml:space="preserve">Cítese a </w:t>
      </w:r>
      <w:r w:rsidR="00DD4831" w:rsidRPr="00184EE2">
        <w:rPr>
          <w:rFonts w:ascii="Tahoma" w:hAnsi="Tahoma" w:cs="Tahoma"/>
          <w:color w:val="000000"/>
          <w:sz w:val="18"/>
          <w:szCs w:val="18"/>
        </w:rPr>
        <w:t>SEGUROS DEL ESTADO S.A.</w:t>
      </w:r>
      <w:r w:rsidR="00DD4831" w:rsidRPr="00D71892">
        <w:rPr>
          <w:rFonts w:ascii="Tahoma" w:hAnsi="Tahoma" w:cs="Tahoma"/>
          <w:color w:val="000000"/>
          <w:sz w:val="18"/>
          <w:szCs w:val="18"/>
        </w:rPr>
        <w:t>, en consecuencia, notifíquese personalmente este auto a su representante legal, al tenor de lo dispuesto en el artículo 291 del Código General del Proceso, haciéndole entrega de copia de la demanda, de la contestación de la demanda y del llamamiento en garantía</w:t>
      </w:r>
      <w:r w:rsidR="00DD4831" w:rsidRPr="00D71892">
        <w:rPr>
          <w:rFonts w:ascii="Tahoma" w:hAnsi="Tahoma" w:cs="Tahoma"/>
          <w:color w:val="000000"/>
          <w:spacing w:val="-1"/>
          <w:sz w:val="18"/>
          <w:szCs w:val="18"/>
        </w:rPr>
        <w:t xml:space="preserve">. El apoderado de </w:t>
      </w:r>
      <w:r w:rsidR="00DD4831" w:rsidRPr="00184EE2">
        <w:rPr>
          <w:rFonts w:ascii="Tahoma" w:hAnsi="Tahoma" w:cs="Tahoma"/>
          <w:color w:val="000000"/>
          <w:sz w:val="18"/>
          <w:szCs w:val="18"/>
          <w:lang w:val="es-CO" w:eastAsia="es-ES"/>
        </w:rPr>
        <w:t>la demandada HOSPITAL SANTA CLARA, hoy SUBRED INTEGRADA DE SERVICIOS DE SALUD CENTRO ORIENTE E.S.E.</w:t>
      </w:r>
      <w:r w:rsidR="00DD4831">
        <w:rPr>
          <w:rFonts w:ascii="Tahoma" w:hAnsi="Tahoma" w:cs="Tahoma"/>
          <w:color w:val="000000"/>
          <w:sz w:val="18"/>
          <w:szCs w:val="18"/>
          <w:lang w:val="es-CO" w:eastAsia="es-ES"/>
        </w:rPr>
        <w:t>,</w:t>
      </w:r>
      <w:r w:rsidR="00DD4831" w:rsidRPr="00D71892">
        <w:rPr>
          <w:rFonts w:ascii="Tahoma" w:hAnsi="Tahoma" w:cs="Tahoma"/>
          <w:sz w:val="18"/>
          <w:szCs w:val="18"/>
        </w:rPr>
        <w:t xml:space="preserve"> deberá aportar dentro del término de ejecutoria de esta providencia </w:t>
      </w:r>
      <w:r w:rsidR="00DD4831" w:rsidRPr="00D71892">
        <w:rPr>
          <w:rFonts w:ascii="Tahoma" w:hAnsi="Tahoma" w:cs="Tahoma"/>
          <w:color w:val="000000"/>
          <w:sz w:val="18"/>
          <w:szCs w:val="18"/>
          <w:lang w:val="es-CO" w:eastAsia="es-ES"/>
        </w:rPr>
        <w:t>copia de la demanda, de la contestación de la demanda y de los anexos del llamamiento en garantía en medio digital para el respectivo traslado</w:t>
      </w:r>
      <w:r w:rsidR="00DD4831">
        <w:rPr>
          <w:rFonts w:ascii="Tahoma" w:hAnsi="Tahoma" w:cs="Tahoma"/>
          <w:color w:val="000000"/>
          <w:sz w:val="18"/>
          <w:szCs w:val="18"/>
          <w:lang w:val="es-CO" w:eastAsia="es-ES"/>
        </w:rPr>
        <w:t>.</w:t>
      </w:r>
    </w:p>
    <w:p w:rsidR="00B46190" w:rsidRPr="00D71892" w:rsidRDefault="00B46190" w:rsidP="00B46190">
      <w:pPr>
        <w:spacing w:after="0" w:line="240" w:lineRule="auto"/>
        <w:jc w:val="both"/>
        <w:rPr>
          <w:rFonts w:ascii="Tahoma" w:hAnsi="Tahoma" w:cs="Tahoma"/>
          <w:color w:val="000000"/>
          <w:sz w:val="18"/>
          <w:szCs w:val="18"/>
          <w:lang w:val="es-CO" w:eastAsia="es-ES"/>
        </w:rPr>
      </w:pPr>
      <w:r w:rsidRPr="00D71892">
        <w:rPr>
          <w:rFonts w:ascii="Tahoma" w:hAnsi="Tahoma" w:cs="Tahoma"/>
          <w:b/>
          <w:color w:val="000000"/>
          <w:sz w:val="18"/>
          <w:szCs w:val="18"/>
          <w:lang w:val="es-CO" w:eastAsia="es-ES"/>
        </w:rPr>
        <w:t xml:space="preserve">Tercero: </w:t>
      </w:r>
      <w:r w:rsidR="00DD4831" w:rsidRPr="00D71892">
        <w:rPr>
          <w:rFonts w:ascii="Tahoma" w:hAnsi="Tahoma" w:cs="Tahoma"/>
          <w:color w:val="000000"/>
          <w:sz w:val="18"/>
          <w:szCs w:val="18"/>
          <w:lang w:val="es-CO" w:eastAsia="es-ES"/>
        </w:rPr>
        <w:t xml:space="preserve">Señálese el término de quince (15) días para que el llamado en garantía </w:t>
      </w:r>
      <w:r w:rsidR="00DD4831" w:rsidRPr="00184EE2">
        <w:rPr>
          <w:rFonts w:ascii="Tahoma" w:hAnsi="Tahoma" w:cs="Tahoma"/>
          <w:color w:val="000000"/>
          <w:sz w:val="18"/>
          <w:szCs w:val="18"/>
          <w:lang w:val="es-CO" w:eastAsia="es-ES"/>
        </w:rPr>
        <w:t>SEGUROS DEL ESTADO S.A.</w:t>
      </w:r>
      <w:r w:rsidR="00DD4831" w:rsidRPr="00D71892">
        <w:rPr>
          <w:rFonts w:ascii="Tahoma" w:hAnsi="Tahoma" w:cs="Tahoma"/>
          <w:color w:val="000000"/>
          <w:sz w:val="18"/>
          <w:szCs w:val="18"/>
          <w:lang w:val="es-CO" w:eastAsia="es-ES"/>
        </w:rPr>
        <w:t xml:space="preserve"> conteste.</w:t>
      </w:r>
    </w:p>
    <w:p w:rsidR="00B46190" w:rsidRPr="00D71892" w:rsidRDefault="00B46190" w:rsidP="00B46190">
      <w:pPr>
        <w:spacing w:after="0" w:line="240" w:lineRule="auto"/>
        <w:jc w:val="both"/>
        <w:rPr>
          <w:rFonts w:ascii="Tahoma" w:hAnsi="Tahoma" w:cs="Tahoma"/>
          <w:color w:val="000000"/>
          <w:sz w:val="18"/>
          <w:szCs w:val="18"/>
          <w:lang w:val="es-CO" w:eastAsia="es-ES"/>
        </w:rPr>
      </w:pPr>
    </w:p>
    <w:p w:rsidR="00B46190" w:rsidRDefault="00B46190" w:rsidP="00B46190">
      <w:pPr>
        <w:spacing w:after="0" w:line="240" w:lineRule="auto"/>
        <w:jc w:val="both"/>
        <w:rPr>
          <w:rFonts w:ascii="Tahoma" w:hAnsi="Tahoma" w:cs="Tahoma"/>
          <w:color w:val="000000"/>
          <w:sz w:val="18"/>
          <w:szCs w:val="18"/>
          <w:lang w:val="es-CO" w:eastAsia="es-ES"/>
        </w:rPr>
      </w:pPr>
      <w:r w:rsidRPr="00D71892">
        <w:rPr>
          <w:rFonts w:ascii="Tahoma" w:hAnsi="Tahoma" w:cs="Tahoma"/>
          <w:b/>
          <w:color w:val="000000"/>
          <w:sz w:val="18"/>
          <w:szCs w:val="18"/>
          <w:lang w:val="es-CO" w:eastAsia="es-ES"/>
        </w:rPr>
        <w:t xml:space="preserve">Cuarto: </w:t>
      </w:r>
      <w:r w:rsidR="00DD4831" w:rsidRPr="00D71892">
        <w:rPr>
          <w:rFonts w:ascii="Tahoma" w:hAnsi="Tahoma" w:cs="Tahoma"/>
          <w:color w:val="000000"/>
          <w:sz w:val="18"/>
          <w:szCs w:val="18"/>
          <w:lang w:val="es-CO" w:eastAsia="es-ES"/>
        </w:rPr>
        <w:t>Si dentro del término de seis (6) meses no se obtiene la vinculación del llamado en garantía, el proceso continuará su curso y el llamamiento no surtirá efecto alguno.</w:t>
      </w:r>
    </w:p>
    <w:p w:rsidR="00DD4831" w:rsidRPr="00D71892" w:rsidRDefault="00DD4831" w:rsidP="00B46190">
      <w:pPr>
        <w:spacing w:after="0" w:line="240" w:lineRule="auto"/>
        <w:jc w:val="both"/>
        <w:rPr>
          <w:rFonts w:ascii="Tahoma" w:hAnsi="Tahoma" w:cs="Tahoma"/>
          <w:b/>
          <w:color w:val="000000"/>
          <w:sz w:val="18"/>
          <w:szCs w:val="18"/>
          <w:lang w:val="es-CO" w:eastAsia="es-ES"/>
        </w:rPr>
      </w:pPr>
    </w:p>
    <w:p w:rsidR="00B46190" w:rsidRDefault="00DD4831" w:rsidP="00B46190">
      <w:pPr>
        <w:spacing w:after="0" w:line="240" w:lineRule="auto"/>
        <w:jc w:val="both"/>
        <w:rPr>
          <w:rFonts w:ascii="Tahoma" w:hAnsi="Tahoma" w:cs="Tahoma"/>
          <w:b/>
          <w:color w:val="000000"/>
          <w:sz w:val="18"/>
          <w:szCs w:val="18"/>
          <w:lang w:val="es-CO" w:eastAsia="es-ES"/>
        </w:rPr>
      </w:pPr>
      <w:r>
        <w:rPr>
          <w:rFonts w:ascii="Tahoma" w:hAnsi="Tahoma" w:cs="Tahoma"/>
          <w:b/>
          <w:color w:val="000000"/>
          <w:sz w:val="18"/>
          <w:szCs w:val="18"/>
          <w:lang w:val="es-CO" w:eastAsia="es-ES"/>
        </w:rPr>
        <w:t>Quinto</w:t>
      </w:r>
      <w:r w:rsidRPr="00D71892">
        <w:rPr>
          <w:rFonts w:ascii="Tahoma" w:hAnsi="Tahoma" w:cs="Tahoma"/>
          <w:b/>
          <w:color w:val="000000"/>
          <w:sz w:val="18"/>
          <w:szCs w:val="18"/>
          <w:lang w:val="es-CO" w:eastAsia="es-ES"/>
        </w:rPr>
        <w:t xml:space="preserve">: </w:t>
      </w:r>
      <w:r w:rsidRPr="00D71892">
        <w:rPr>
          <w:rFonts w:ascii="Tahoma" w:hAnsi="Tahoma" w:cs="Tahoma"/>
          <w:color w:val="000000"/>
          <w:sz w:val="18"/>
          <w:szCs w:val="18"/>
          <w:lang w:val="es-CO" w:eastAsia="es-ES"/>
        </w:rPr>
        <w:t>Notifíquese personalmente al Ministerio Público de la presente providencia, previo a su notificación por estado.</w:t>
      </w:r>
    </w:p>
    <w:p w:rsidR="00DD4831" w:rsidRPr="00D71892" w:rsidRDefault="00DD4831" w:rsidP="00B46190">
      <w:pPr>
        <w:spacing w:after="0" w:line="240" w:lineRule="auto"/>
        <w:jc w:val="both"/>
        <w:rPr>
          <w:rFonts w:ascii="Tahoma" w:hAnsi="Tahoma" w:cs="Tahoma"/>
          <w:b/>
          <w:color w:val="000000"/>
          <w:sz w:val="18"/>
          <w:szCs w:val="18"/>
          <w:lang w:val="es-CO" w:eastAsia="es-ES"/>
        </w:rPr>
      </w:pPr>
    </w:p>
    <w:p w:rsidR="00B46190" w:rsidRPr="00D71892" w:rsidRDefault="00B46190" w:rsidP="00B46190">
      <w:pPr>
        <w:spacing w:after="0" w:line="240" w:lineRule="auto"/>
        <w:jc w:val="both"/>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NOTIFÍQUESE Y CÚMPLASE,</w:t>
      </w:r>
    </w:p>
    <w:p w:rsidR="00B46190" w:rsidRPr="00D71892" w:rsidRDefault="00B46190" w:rsidP="00B46190">
      <w:pPr>
        <w:spacing w:after="0" w:line="240" w:lineRule="auto"/>
        <w:jc w:val="both"/>
        <w:rPr>
          <w:rFonts w:ascii="Tahoma" w:hAnsi="Tahoma" w:cs="Tahoma"/>
          <w:b/>
          <w:color w:val="000000"/>
          <w:sz w:val="18"/>
          <w:szCs w:val="18"/>
          <w:lang w:val="es-CO" w:eastAsia="es-ES"/>
        </w:rPr>
      </w:pPr>
    </w:p>
    <w:p w:rsidR="00B46190" w:rsidRPr="00D71892" w:rsidRDefault="00B46190" w:rsidP="00B46190">
      <w:pPr>
        <w:spacing w:after="0" w:line="240" w:lineRule="auto"/>
        <w:jc w:val="center"/>
        <w:rPr>
          <w:rFonts w:ascii="Tahoma" w:hAnsi="Tahoma" w:cs="Tahoma"/>
          <w:b/>
          <w:color w:val="000000"/>
          <w:sz w:val="18"/>
          <w:szCs w:val="18"/>
          <w:lang w:val="es-CO" w:eastAsia="es-ES"/>
        </w:rPr>
      </w:pPr>
      <w:r w:rsidRPr="00D71892">
        <w:rPr>
          <w:rFonts w:ascii="Tahoma" w:hAnsi="Tahoma" w:cs="Tahoma"/>
          <w:b/>
          <w:color w:val="000000"/>
          <w:sz w:val="18"/>
          <w:szCs w:val="18"/>
          <w:lang w:val="es-CO" w:eastAsia="es-ES"/>
        </w:rPr>
        <w:t>OLGA CECILIA HENAO MARÍN</w:t>
      </w:r>
    </w:p>
    <w:p w:rsidR="00B46190" w:rsidRPr="00D71892" w:rsidRDefault="00B46190" w:rsidP="00B46190">
      <w:pPr>
        <w:spacing w:after="0" w:line="240" w:lineRule="auto"/>
        <w:jc w:val="center"/>
        <w:rPr>
          <w:rFonts w:ascii="Tahoma" w:hAnsi="Tahoma" w:cs="Tahoma"/>
          <w:color w:val="000000"/>
          <w:sz w:val="18"/>
          <w:szCs w:val="18"/>
          <w:lang w:val="es-CO" w:eastAsia="es-ES"/>
        </w:rPr>
      </w:pPr>
      <w:r w:rsidRPr="00D71892">
        <w:rPr>
          <w:rFonts w:ascii="Tahoma" w:hAnsi="Tahoma" w:cs="Tahoma"/>
          <w:color w:val="000000"/>
          <w:sz w:val="18"/>
          <w:szCs w:val="18"/>
          <w:lang w:val="es-CO" w:eastAsia="es-ES"/>
        </w:rPr>
        <w:t>Juez</w:t>
      </w:r>
    </w:p>
    <w:p w:rsidR="00B46190" w:rsidRPr="005D65DE" w:rsidRDefault="00B46190" w:rsidP="00B46190">
      <w:pPr>
        <w:spacing w:after="0" w:line="240" w:lineRule="auto"/>
        <w:jc w:val="both"/>
        <w:rPr>
          <w:rFonts w:ascii="Tahoma" w:hAnsi="Tahoma" w:cs="Tahoma"/>
          <w:color w:val="000000"/>
          <w:sz w:val="16"/>
          <w:szCs w:val="16"/>
          <w:lang w:val="es-CO" w:eastAsia="es-ES"/>
        </w:rPr>
      </w:pPr>
    </w:p>
    <w:p w:rsidR="00B46190" w:rsidRPr="002912EF" w:rsidRDefault="00184EE2" w:rsidP="00B46190">
      <w:pPr>
        <w:spacing w:after="0" w:line="240" w:lineRule="auto"/>
        <w:jc w:val="both"/>
        <w:rPr>
          <w:rFonts w:ascii="Tahoma" w:hAnsi="Tahoma" w:cs="Tahoma"/>
          <w:sz w:val="18"/>
          <w:szCs w:val="18"/>
        </w:rPr>
      </w:pPr>
      <w:r>
        <w:rPr>
          <w:rFonts w:ascii="Tahoma" w:hAnsi="Tahoma" w:cs="Tahoma"/>
          <w:color w:val="000000"/>
          <w:sz w:val="10"/>
          <w:szCs w:val="18"/>
          <w:lang w:val="es-CO" w:eastAsia="es-ES"/>
        </w:rPr>
        <w:t>MSGB</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B46190" w:rsidTr="00A333F4">
        <w:trPr>
          <w:trHeight w:val="1404"/>
        </w:trPr>
        <w:tc>
          <w:tcPr>
            <w:tcW w:w="5954" w:type="dxa"/>
            <w:tcBorders>
              <w:top w:val="single" w:sz="4" w:space="0" w:color="auto"/>
              <w:left w:val="single" w:sz="4" w:space="0" w:color="auto"/>
              <w:bottom w:val="single" w:sz="4" w:space="0" w:color="auto"/>
              <w:right w:val="single" w:sz="4" w:space="0" w:color="auto"/>
            </w:tcBorders>
          </w:tcPr>
          <w:p w:rsidR="00EE411C" w:rsidRPr="00EE411C" w:rsidRDefault="00EE411C" w:rsidP="00EE411C">
            <w:pPr>
              <w:pStyle w:val="Sinespaciado"/>
              <w:rPr>
                <w:sz w:val="4"/>
                <w:szCs w:val="4"/>
              </w:rPr>
            </w:pPr>
          </w:p>
          <w:p w:rsidR="00B46190" w:rsidRPr="002912EF" w:rsidRDefault="00B46190" w:rsidP="00685AF1">
            <w:pPr>
              <w:jc w:val="center"/>
              <w:rPr>
                <w:rFonts w:ascii="Agency FB" w:hAnsi="Agency FB"/>
                <w:sz w:val="16"/>
                <w:szCs w:val="16"/>
              </w:rPr>
            </w:pPr>
            <w:r w:rsidRPr="002912EF">
              <w:rPr>
                <w:rFonts w:ascii="Agency FB" w:hAnsi="Agency FB"/>
                <w:sz w:val="16"/>
                <w:szCs w:val="16"/>
              </w:rPr>
              <w:t xml:space="preserve">JUZGADO TREINTA Y CUATRO ADMINISTRATIVO CIRCUITO DE </w:t>
            </w:r>
            <w:r w:rsidR="00D71892" w:rsidRPr="002912EF">
              <w:rPr>
                <w:rFonts w:ascii="Agency FB" w:hAnsi="Agency FB"/>
                <w:sz w:val="16"/>
                <w:szCs w:val="16"/>
              </w:rPr>
              <w:t>BOGOTÁ</w:t>
            </w:r>
            <w:r w:rsidRPr="002912EF">
              <w:rPr>
                <w:rFonts w:ascii="Agency FB" w:hAnsi="Agency FB"/>
                <w:sz w:val="16"/>
                <w:szCs w:val="16"/>
              </w:rPr>
              <w:t xml:space="preserve"> -  </w:t>
            </w:r>
            <w:r w:rsidR="00D71892" w:rsidRPr="002912EF">
              <w:rPr>
                <w:rFonts w:ascii="Agency FB" w:hAnsi="Agency FB"/>
                <w:sz w:val="16"/>
                <w:szCs w:val="16"/>
              </w:rPr>
              <w:t>SECCIÓN</w:t>
            </w:r>
            <w:r w:rsidRPr="002912EF">
              <w:rPr>
                <w:rFonts w:ascii="Agency FB" w:hAnsi="Agency FB"/>
                <w:sz w:val="16"/>
                <w:szCs w:val="16"/>
              </w:rPr>
              <w:t xml:space="preserve"> TERCERA</w:t>
            </w:r>
          </w:p>
          <w:p w:rsidR="00B46190" w:rsidRDefault="00B46190" w:rsidP="00A333F4">
            <w:pPr>
              <w:jc w:val="both"/>
              <w:rPr>
                <w:rFonts w:ascii="Gill Sans MT" w:hAnsi="Gill Sans MT"/>
                <w:sz w:val="16"/>
                <w:szCs w:val="16"/>
              </w:rPr>
            </w:pPr>
            <w:r w:rsidRPr="002912EF">
              <w:rPr>
                <w:noProof/>
                <w:lang w:val="es-CO" w:eastAsia="es-CO"/>
              </w:rPr>
              <w:drawing>
                <wp:anchor distT="0" distB="0" distL="114300" distR="114300" simplePos="0" relativeHeight="251659264" behindDoc="0" locked="0" layoutInCell="1" allowOverlap="1" wp14:anchorId="507C30EF" wp14:editId="476E1678">
                  <wp:simplePos x="0" y="0"/>
                  <wp:positionH relativeFrom="margin">
                    <wp:posOffset>1374140</wp:posOffset>
                  </wp:positionH>
                  <wp:positionV relativeFrom="paragraph">
                    <wp:posOffset>178435</wp:posOffset>
                  </wp:positionV>
                  <wp:extent cx="815340" cy="485775"/>
                  <wp:effectExtent l="0" t="0" r="3810" b="9525"/>
                  <wp:wrapSquare wrapText="bothSides"/>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sidRPr="002912EF">
              <w:rPr>
                <w:rFonts w:ascii="Agency FB" w:hAnsi="Agency FB"/>
                <w:sz w:val="16"/>
                <w:szCs w:val="16"/>
              </w:rPr>
              <w:t xml:space="preserve">Por anotación en ESTADO notifico a las partes la providencia anterior, hoy </w:t>
            </w:r>
            <w:r w:rsidRPr="002912EF">
              <w:rPr>
                <w:rFonts w:ascii="Agency FB" w:hAnsi="Agency FB"/>
                <w:b/>
                <w:sz w:val="16"/>
                <w:szCs w:val="16"/>
              </w:rPr>
              <w:t>____________________________</w:t>
            </w:r>
            <w:r w:rsidRPr="002912EF">
              <w:rPr>
                <w:rFonts w:ascii="Agency FB" w:hAnsi="Agency FB"/>
                <w:sz w:val="16"/>
                <w:szCs w:val="16"/>
              </w:rPr>
              <w:t>a las</w:t>
            </w:r>
            <w:r w:rsidRPr="002912EF">
              <w:rPr>
                <w:rFonts w:ascii="Gill Sans MT" w:hAnsi="Gill Sans MT"/>
                <w:sz w:val="16"/>
                <w:szCs w:val="16"/>
              </w:rPr>
              <w:t xml:space="preserve"> 8:00 a.m.</w:t>
            </w:r>
          </w:p>
          <w:p w:rsidR="00B46190" w:rsidRDefault="00B46190" w:rsidP="00A333F4">
            <w:pPr>
              <w:rPr>
                <w:rFonts w:ascii="Times New Roman" w:hAnsi="Times New Roman"/>
                <w:sz w:val="16"/>
                <w:szCs w:val="16"/>
              </w:rPr>
            </w:pPr>
          </w:p>
        </w:tc>
      </w:tr>
    </w:tbl>
    <w:p w:rsidR="00A50FF4" w:rsidRDefault="00A50FF4"/>
    <w:sectPr w:rsidR="00A50FF4" w:rsidSect="00FC135C">
      <w:headerReference w:type="even" r:id="rId8"/>
      <w:headerReference w:type="default" r:id="rId9"/>
      <w:footerReference w:type="even" r:id="rId10"/>
      <w:headerReference w:type="first" r:id="rId11"/>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C2" w:rsidRDefault="000A19C2" w:rsidP="00B46190">
      <w:pPr>
        <w:spacing w:after="0" w:line="240" w:lineRule="auto"/>
      </w:pPr>
      <w:r>
        <w:separator/>
      </w:r>
    </w:p>
  </w:endnote>
  <w:endnote w:type="continuationSeparator" w:id="0">
    <w:p w:rsidR="000A19C2" w:rsidRDefault="000A19C2" w:rsidP="00B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5C" w:rsidRDefault="00C257AA">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C2" w:rsidRDefault="000A19C2" w:rsidP="00B46190">
      <w:pPr>
        <w:spacing w:after="0" w:line="240" w:lineRule="auto"/>
      </w:pPr>
      <w:r>
        <w:separator/>
      </w:r>
    </w:p>
  </w:footnote>
  <w:footnote w:type="continuationSeparator" w:id="0">
    <w:p w:rsidR="000A19C2" w:rsidRDefault="000A19C2" w:rsidP="00B4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5C" w:rsidRDefault="00C257AA">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00DC208B">
      <w:rPr>
        <w:rFonts w:ascii="Tahoma" w:hAnsi="Tahoma" w:cs="Tahoma"/>
        <w:bCs/>
        <w:noProof/>
        <w:sz w:val="18"/>
        <w:szCs w:val="18"/>
      </w:rPr>
      <w:t>«No_DE_EXPEDIENTE»</w:t>
    </w:r>
    <w:r>
      <w:rPr>
        <w:rFonts w:ascii="Tahoma" w:hAnsi="Tahoma" w:cs="Tahoma"/>
        <w:bCs/>
        <w:sz w:val="18"/>
        <w:szCs w:val="18"/>
      </w:rPr>
      <w:fldChar w:fldCharType="end"/>
    </w:r>
  </w:p>
  <w:p w:rsidR="00FC135C" w:rsidRDefault="00C257AA">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DC208B">
      <w:rPr>
        <w:rStyle w:val="Nmerodepgina"/>
        <w:rFonts w:ascii="Tahoma" w:hAnsi="Tahoma" w:cs="Tahoma"/>
        <w:noProof/>
        <w:sz w:val="18"/>
        <w:szCs w:val="18"/>
      </w:rPr>
      <w:t>3</w:t>
    </w:r>
    <w:r>
      <w:rPr>
        <w:rStyle w:val="Nmerodepgina"/>
        <w:rFonts w:ascii="Tahoma" w:hAnsi="Tahoma" w:cs="Tahoma"/>
        <w:sz w:val="18"/>
        <w:szCs w:val="18"/>
      </w:rPr>
      <w:fldChar w:fldCharType="end"/>
    </w:r>
  </w:p>
  <w:p w:rsidR="00C03C4A" w:rsidRDefault="000A1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5C" w:rsidRPr="00B63F65" w:rsidRDefault="00C257AA" w:rsidP="00FC135C">
    <w:pPr>
      <w:pStyle w:val="Encabezado"/>
      <w:jc w:val="right"/>
      <w:rPr>
        <w:rFonts w:ascii="Tahoma" w:hAnsi="Tahoma" w:cs="Tahoma"/>
        <w:sz w:val="13"/>
        <w:szCs w:val="13"/>
        <w:lang w:val="es-MX"/>
      </w:rPr>
    </w:pPr>
    <w:r>
      <w:rPr>
        <w:rFonts w:ascii="Tahoma" w:hAnsi="Tahoma" w:cs="Tahoma"/>
        <w:sz w:val="13"/>
        <w:szCs w:val="13"/>
        <w:lang w:val="es-MX"/>
      </w:rPr>
      <w:t>Expediente No. 201</w:t>
    </w:r>
    <w:r w:rsidR="00EE411C">
      <w:rPr>
        <w:rFonts w:ascii="Tahoma" w:hAnsi="Tahoma" w:cs="Tahoma"/>
        <w:sz w:val="13"/>
        <w:szCs w:val="13"/>
        <w:lang w:val="es-MX"/>
      </w:rPr>
      <w:t>5</w:t>
    </w:r>
    <w:r>
      <w:rPr>
        <w:rFonts w:ascii="Tahoma" w:hAnsi="Tahoma" w:cs="Tahoma"/>
        <w:sz w:val="13"/>
        <w:szCs w:val="13"/>
        <w:lang w:val="es-MX"/>
      </w:rPr>
      <w:t>-0</w:t>
    </w:r>
    <w:r w:rsidR="00EE411C">
      <w:rPr>
        <w:rFonts w:ascii="Tahoma" w:hAnsi="Tahoma" w:cs="Tahoma"/>
        <w:sz w:val="13"/>
        <w:szCs w:val="13"/>
        <w:lang w:val="es-MX"/>
      </w:rPr>
      <w:t>664</w:t>
    </w:r>
  </w:p>
  <w:p w:rsidR="00FC135C" w:rsidRPr="00B63F65" w:rsidRDefault="00C257AA" w:rsidP="00FC135C">
    <w:pPr>
      <w:pStyle w:val="Encabezado"/>
      <w:jc w:val="right"/>
      <w:rPr>
        <w:rFonts w:ascii="Tahoma" w:hAnsi="Tahoma" w:cs="Tahoma"/>
        <w:sz w:val="13"/>
        <w:szCs w:val="13"/>
        <w:lang w:val="es-MX"/>
      </w:rPr>
    </w:pPr>
    <w:r w:rsidRPr="00B63F65">
      <w:rPr>
        <w:rFonts w:ascii="Tahoma" w:hAnsi="Tahoma" w:cs="Tahoma"/>
        <w:sz w:val="13"/>
        <w:szCs w:val="13"/>
        <w:lang w:val="es-MX"/>
      </w:rPr>
      <w:t xml:space="preserve"> </w:t>
    </w:r>
    <w:r w:rsidRPr="00B63F65">
      <w:rPr>
        <w:rFonts w:ascii="Tahoma" w:hAnsi="Tahoma" w:cs="Tahoma"/>
        <w:bCs/>
        <w:sz w:val="13"/>
        <w:szCs w:val="13"/>
        <w:lang w:val="es-MX"/>
      </w:rPr>
      <w:t xml:space="preserve">DECIDE LLAMAMIENTO </w:t>
    </w:r>
    <w:r>
      <w:rPr>
        <w:rFonts w:ascii="Tahoma" w:hAnsi="Tahoma" w:cs="Tahoma"/>
        <w:bCs/>
        <w:sz w:val="13"/>
        <w:szCs w:val="13"/>
        <w:lang w:val="es-MX"/>
      </w:rPr>
      <w:t>EN GARANTÍA</w:t>
    </w:r>
  </w:p>
  <w:p w:rsidR="00C03C4A" w:rsidRDefault="00C257AA" w:rsidP="00BA7A32">
    <w:pPr>
      <w:pStyle w:val="Encabezado"/>
      <w:jc w:val="right"/>
    </w:pPr>
    <w:r w:rsidRPr="00B63F65">
      <w:rPr>
        <w:rFonts w:ascii="Tahoma" w:hAnsi="Tahoma" w:cs="Tahoma"/>
        <w:sz w:val="13"/>
        <w:szCs w:val="13"/>
        <w:lang w:val="es-MX"/>
      </w:rPr>
      <w:t xml:space="preserve"> Páginas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PAGE  \* Arabic  \* MERGEFORMAT </w:instrText>
    </w:r>
    <w:r w:rsidRPr="00B63F65">
      <w:rPr>
        <w:rStyle w:val="Nmerodepgina"/>
        <w:rFonts w:ascii="Tahoma" w:hAnsi="Tahoma" w:cs="Tahoma"/>
        <w:sz w:val="13"/>
        <w:szCs w:val="13"/>
      </w:rPr>
      <w:fldChar w:fldCharType="separate"/>
    </w:r>
    <w:r w:rsidR="000A43BB">
      <w:rPr>
        <w:rStyle w:val="Nmerodepgina"/>
        <w:rFonts w:ascii="Tahoma" w:hAnsi="Tahoma" w:cs="Tahoma"/>
        <w:noProof/>
        <w:sz w:val="13"/>
        <w:szCs w:val="13"/>
      </w:rPr>
      <w:t>3</w:t>
    </w:r>
    <w:r w:rsidRPr="00B63F65">
      <w:rPr>
        <w:rStyle w:val="Nmerodepgina"/>
        <w:rFonts w:ascii="Tahoma" w:hAnsi="Tahoma" w:cs="Tahoma"/>
        <w:sz w:val="13"/>
        <w:szCs w:val="13"/>
      </w:rPr>
      <w:fldChar w:fldCharType="end"/>
    </w:r>
    <w:r w:rsidRPr="00B63F65">
      <w:rPr>
        <w:rStyle w:val="Nmerodepgina"/>
        <w:rFonts w:ascii="Tahoma" w:hAnsi="Tahoma" w:cs="Tahoma"/>
        <w:sz w:val="13"/>
        <w:szCs w:val="13"/>
      </w:rPr>
      <w:t xml:space="preserve"> de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NUMPAGES  \* Arabic  \* MERGEFORMAT </w:instrText>
    </w:r>
    <w:r w:rsidRPr="00B63F65">
      <w:rPr>
        <w:rStyle w:val="Nmerodepgina"/>
        <w:rFonts w:ascii="Tahoma" w:hAnsi="Tahoma" w:cs="Tahoma"/>
        <w:sz w:val="13"/>
        <w:szCs w:val="13"/>
      </w:rPr>
      <w:fldChar w:fldCharType="separate"/>
    </w:r>
    <w:r w:rsidR="000A43BB">
      <w:rPr>
        <w:rStyle w:val="Nmerodepgina"/>
        <w:rFonts w:ascii="Tahoma" w:hAnsi="Tahoma" w:cs="Tahoma"/>
        <w:noProof/>
        <w:sz w:val="13"/>
        <w:szCs w:val="13"/>
      </w:rPr>
      <w:t>3</w:t>
    </w:r>
    <w:r w:rsidRPr="00B63F65">
      <w:rPr>
        <w:rStyle w:val="Nmerodepgina"/>
        <w:rFonts w:ascii="Tahoma" w:hAnsi="Tahoma" w:cs="Tahoma"/>
        <w:sz w:val="13"/>
        <w:szCs w:val="13"/>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5C" w:rsidRPr="00B63F65" w:rsidRDefault="00C257AA">
    <w:pPr>
      <w:pStyle w:val="Encabezado"/>
      <w:jc w:val="center"/>
      <w:rPr>
        <w:rFonts w:ascii="Arial" w:hAnsi="Arial" w:cs="Arial"/>
        <w:b/>
        <w:i/>
        <w:sz w:val="13"/>
        <w:szCs w:val="13"/>
      </w:rPr>
    </w:pPr>
    <w:r>
      <w:rPr>
        <w:rFonts w:ascii="Arial" w:hAnsi="Arial" w:cs="Arial"/>
        <w:b/>
        <w:i/>
        <w:noProof/>
        <w:sz w:val="13"/>
        <w:szCs w:val="13"/>
        <w:lang w:val="es-CO" w:eastAsia="es-CO"/>
      </w:rPr>
      <w:drawing>
        <wp:inline distT="0" distB="0" distL="0" distR="0" wp14:anchorId="1760B219" wp14:editId="739D27A5">
          <wp:extent cx="609600" cy="60960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C135C" w:rsidRPr="00B63F65" w:rsidRDefault="00C257AA">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rsidR="00FC135C" w:rsidRPr="00B63F65" w:rsidRDefault="00C257AA">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rsidR="00FC135C" w:rsidRPr="00B63F65" w:rsidRDefault="00C257AA">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p w:rsidR="00FC135C" w:rsidRDefault="000A19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61B3F"/>
    <w:multiLevelType w:val="multilevel"/>
    <w:tmpl w:val="A642D32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90"/>
    <w:rsid w:val="00040636"/>
    <w:rsid w:val="000A19C2"/>
    <w:rsid w:val="000A43BB"/>
    <w:rsid w:val="000C5475"/>
    <w:rsid w:val="00154FF6"/>
    <w:rsid w:val="00184EE2"/>
    <w:rsid w:val="00203FD5"/>
    <w:rsid w:val="00262A35"/>
    <w:rsid w:val="00301EE2"/>
    <w:rsid w:val="00352EA2"/>
    <w:rsid w:val="004A25D0"/>
    <w:rsid w:val="005A3BCE"/>
    <w:rsid w:val="00610E55"/>
    <w:rsid w:val="00685AF1"/>
    <w:rsid w:val="00711D54"/>
    <w:rsid w:val="00815649"/>
    <w:rsid w:val="00832D26"/>
    <w:rsid w:val="00834C1A"/>
    <w:rsid w:val="00A50FF4"/>
    <w:rsid w:val="00B46190"/>
    <w:rsid w:val="00C21C29"/>
    <w:rsid w:val="00C257AA"/>
    <w:rsid w:val="00C27420"/>
    <w:rsid w:val="00CA4F89"/>
    <w:rsid w:val="00D71892"/>
    <w:rsid w:val="00DC208B"/>
    <w:rsid w:val="00DD4831"/>
    <w:rsid w:val="00DE4353"/>
    <w:rsid w:val="00EA6FEE"/>
    <w:rsid w:val="00EE411C"/>
    <w:rsid w:val="00F04CE5"/>
    <w:rsid w:val="00FB51CE"/>
    <w:rsid w:val="00FD7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55FC9-BDEB-4D76-886B-85939D49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90"/>
    <w:pPr>
      <w:spacing w:after="160" w:line="259" w:lineRule="auto"/>
    </w:pPr>
    <w:rPr>
      <w:rFonts w:eastAsia="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1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6190"/>
    <w:rPr>
      <w:rFonts w:eastAsia="Times New Roman" w:cs="Times New Roman"/>
      <w:lang w:val="es-ES"/>
    </w:rPr>
  </w:style>
  <w:style w:type="paragraph" w:styleId="Piedepgina">
    <w:name w:val="footer"/>
    <w:basedOn w:val="Normal"/>
    <w:link w:val="PiedepginaCar"/>
    <w:uiPriority w:val="99"/>
    <w:unhideWhenUsed/>
    <w:rsid w:val="00B461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6190"/>
    <w:rPr>
      <w:rFonts w:eastAsia="Times New Roman" w:cs="Times New Roman"/>
      <w:lang w:val="es-ES"/>
    </w:rPr>
  </w:style>
  <w:style w:type="character" w:styleId="Nmerodepgina">
    <w:name w:val="page number"/>
    <w:basedOn w:val="Fuentedeprrafopredeter"/>
    <w:uiPriority w:val="99"/>
    <w:rsid w:val="00B46190"/>
    <w:rPr>
      <w:rFonts w:cs="Times New Roman"/>
    </w:rPr>
  </w:style>
  <w:style w:type="paragraph" w:styleId="Prrafodelista">
    <w:name w:val="List Paragraph"/>
    <w:basedOn w:val="Normal"/>
    <w:uiPriority w:val="34"/>
    <w:qFormat/>
    <w:rsid w:val="00B46190"/>
    <w:pPr>
      <w:ind w:left="720"/>
      <w:contextualSpacing/>
    </w:pPr>
  </w:style>
  <w:style w:type="table" w:styleId="Tablaconcuadrcula">
    <w:name w:val="Table Grid"/>
    <w:basedOn w:val="Tablanormal"/>
    <w:uiPriority w:val="39"/>
    <w:rsid w:val="00B46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B46190"/>
    <w:pPr>
      <w:widowControl w:val="0"/>
      <w:autoSpaceDE w:val="0"/>
      <w:autoSpaceDN w:val="0"/>
      <w:adjustRightInd w:val="0"/>
      <w:spacing w:after="0" w:line="317" w:lineRule="exact"/>
      <w:ind w:hanging="360"/>
      <w:jc w:val="both"/>
    </w:pPr>
    <w:rPr>
      <w:rFonts w:ascii="Arial" w:eastAsiaTheme="minorEastAsia" w:hAnsi="Arial" w:cs="Arial"/>
      <w:sz w:val="24"/>
      <w:szCs w:val="24"/>
      <w:lang w:eastAsia="es-ES"/>
    </w:rPr>
  </w:style>
  <w:style w:type="character" w:customStyle="1" w:styleId="FontStyle21">
    <w:name w:val="Font Style21"/>
    <w:basedOn w:val="Fuentedeprrafopredeter"/>
    <w:uiPriority w:val="99"/>
    <w:rsid w:val="00B46190"/>
    <w:rPr>
      <w:rFonts w:ascii="Calibri" w:hAnsi="Calibri" w:cs="Calibri"/>
      <w:sz w:val="20"/>
      <w:szCs w:val="20"/>
    </w:rPr>
  </w:style>
  <w:style w:type="paragraph" w:customStyle="1" w:styleId="Style2">
    <w:name w:val="Style2"/>
    <w:basedOn w:val="Normal"/>
    <w:uiPriority w:val="99"/>
    <w:rsid w:val="00B46190"/>
    <w:pPr>
      <w:widowControl w:val="0"/>
      <w:autoSpaceDE w:val="0"/>
      <w:autoSpaceDN w:val="0"/>
      <w:adjustRightInd w:val="0"/>
      <w:spacing w:after="0" w:line="270" w:lineRule="exact"/>
      <w:ind w:firstLine="691"/>
      <w:jc w:val="both"/>
    </w:pPr>
    <w:rPr>
      <w:rFonts w:ascii="Tahoma" w:eastAsiaTheme="minorEastAsia" w:hAnsi="Tahoma" w:cs="Tahoma"/>
      <w:sz w:val="24"/>
      <w:szCs w:val="24"/>
      <w:lang w:val="es-CO" w:eastAsia="es-CO"/>
    </w:rPr>
  </w:style>
  <w:style w:type="character" w:customStyle="1" w:styleId="FontStyle24">
    <w:name w:val="Font Style24"/>
    <w:basedOn w:val="Fuentedeprrafopredeter"/>
    <w:uiPriority w:val="99"/>
    <w:rsid w:val="00B46190"/>
    <w:rPr>
      <w:rFonts w:ascii="Tahoma" w:hAnsi="Tahoma" w:cs="Tahoma" w:hint="default"/>
      <w:sz w:val="18"/>
      <w:szCs w:val="18"/>
    </w:rPr>
  </w:style>
  <w:style w:type="character" w:customStyle="1" w:styleId="FontStyle25">
    <w:name w:val="Font Style25"/>
    <w:basedOn w:val="Fuentedeprrafopredeter"/>
    <w:uiPriority w:val="99"/>
    <w:rsid w:val="00B46190"/>
    <w:rPr>
      <w:rFonts w:ascii="Tahoma" w:hAnsi="Tahoma" w:cs="Tahoma" w:hint="default"/>
      <w:b/>
      <w:bCs/>
      <w:sz w:val="18"/>
      <w:szCs w:val="1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 Car,FC Car,Car,C"/>
    <w:basedOn w:val="Normal"/>
    <w:link w:val="TextonotapieCar"/>
    <w:unhideWhenUsed/>
    <w:rsid w:val="00B4619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C Car Car,Car Car,C Car"/>
    <w:basedOn w:val="Fuentedeprrafopredeter"/>
    <w:link w:val="Textonotapie"/>
    <w:rsid w:val="00B46190"/>
    <w:rPr>
      <w:rFonts w:eastAsia="Times New Roman" w:cs="Times New Roman"/>
      <w:sz w:val="20"/>
      <w:szCs w:val="20"/>
      <w:lang w:val="es-ES"/>
    </w:rPr>
  </w:style>
  <w:style w:type="character" w:styleId="Refdenotaalpie">
    <w:name w:val="footnote reference"/>
    <w:aliases w:val="Pie de Página,FC,Texto de nota al pie,Ref. de nota al pie 2"/>
    <w:basedOn w:val="Fuentedeprrafopredeter"/>
    <w:unhideWhenUsed/>
    <w:rsid w:val="00B46190"/>
    <w:rPr>
      <w:vertAlign w:val="superscript"/>
    </w:rPr>
  </w:style>
  <w:style w:type="character" w:styleId="Hipervnculo">
    <w:name w:val="Hyperlink"/>
    <w:basedOn w:val="Fuentedeprrafopredeter"/>
    <w:uiPriority w:val="99"/>
    <w:unhideWhenUsed/>
    <w:rsid w:val="00B46190"/>
    <w:rPr>
      <w:color w:val="0000FF" w:themeColor="hyperlink"/>
      <w:u w:val="single"/>
    </w:rPr>
  </w:style>
  <w:style w:type="paragraph" w:styleId="Textodeglobo">
    <w:name w:val="Balloon Text"/>
    <w:basedOn w:val="Normal"/>
    <w:link w:val="TextodegloboCar"/>
    <w:uiPriority w:val="99"/>
    <w:semiHidden/>
    <w:unhideWhenUsed/>
    <w:rsid w:val="00B461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190"/>
    <w:rPr>
      <w:rFonts w:ascii="Tahoma" w:eastAsia="Times New Roman" w:hAnsi="Tahoma" w:cs="Tahoma"/>
      <w:sz w:val="16"/>
      <w:szCs w:val="16"/>
      <w:lang w:val="es-ES"/>
    </w:rPr>
  </w:style>
  <w:style w:type="paragraph" w:styleId="Sinespaciado">
    <w:name w:val="No Spacing"/>
    <w:uiPriority w:val="1"/>
    <w:qFormat/>
    <w:rsid w:val="00352EA2"/>
    <w:pPr>
      <w:spacing w:after="0" w:line="240" w:lineRule="auto"/>
    </w:pPr>
    <w:rPr>
      <w:rFonts w:eastAsia="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cp:lastPrinted>2017-11-22T17:08:00Z</cp:lastPrinted>
  <dcterms:created xsi:type="dcterms:W3CDTF">2018-02-20T10:24:00Z</dcterms:created>
  <dcterms:modified xsi:type="dcterms:W3CDTF">2018-02-20T10:24:00Z</dcterms:modified>
</cp:coreProperties>
</file>