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F8779A" w:rsidRPr="009122E2" w:rsidTr="00234638">
        <w:tc>
          <w:tcPr>
            <w:tcW w:w="2127" w:type="dxa"/>
            <w:vAlign w:val="center"/>
          </w:tcPr>
          <w:p w:rsidR="00F8779A" w:rsidRPr="009122E2" w:rsidRDefault="00F8779A" w:rsidP="00234638">
            <w:pPr>
              <w:jc w:val="both"/>
              <w:rPr>
                <w:rFonts w:ascii="Tahoma" w:hAnsi="Tahoma" w:cs="Tahoma"/>
                <w:sz w:val="18"/>
                <w:szCs w:val="18"/>
                <w:lang w:val="es-MX"/>
              </w:rPr>
            </w:pPr>
            <w:r w:rsidRPr="009122E2">
              <w:rPr>
                <w:rFonts w:ascii="Tahoma" w:hAnsi="Tahoma" w:cs="Tahoma"/>
                <w:sz w:val="18"/>
                <w:szCs w:val="18"/>
                <w:lang w:val="es-MX"/>
              </w:rPr>
              <w:t>CIUDAD Y FECHA</w:t>
            </w:r>
          </w:p>
        </w:tc>
        <w:tc>
          <w:tcPr>
            <w:tcW w:w="6804" w:type="dxa"/>
          </w:tcPr>
          <w:p w:rsidR="00F8779A" w:rsidRPr="009122E2" w:rsidRDefault="00F8779A" w:rsidP="00F8779A">
            <w:pPr>
              <w:jc w:val="both"/>
              <w:rPr>
                <w:rFonts w:ascii="Tahoma" w:hAnsi="Tahoma" w:cs="Tahoma"/>
                <w:b/>
                <w:sz w:val="18"/>
                <w:szCs w:val="18"/>
                <w:lang w:val="es-MX"/>
              </w:rPr>
            </w:pPr>
            <w:r w:rsidRPr="009122E2">
              <w:rPr>
                <w:rFonts w:ascii="Tahoma" w:hAnsi="Tahoma" w:cs="Tahoma"/>
                <w:b/>
                <w:sz w:val="18"/>
                <w:szCs w:val="18"/>
                <w:lang w:val="es-MX"/>
              </w:rPr>
              <w:t xml:space="preserve">Bogotá, D.C., </w:t>
            </w:r>
            <w:r w:rsidR="00CE47E9" w:rsidRPr="00CE47E9">
              <w:rPr>
                <w:rFonts w:ascii="Tahoma" w:hAnsi="Tahoma" w:cs="Tahoma"/>
                <w:b/>
                <w:sz w:val="18"/>
                <w:szCs w:val="18"/>
                <w:lang w:val="es-MX"/>
              </w:rPr>
              <w:t xml:space="preserve">diecinueve (19) </w:t>
            </w:r>
            <w:r w:rsidRPr="009122E2">
              <w:rPr>
                <w:rFonts w:ascii="Tahoma" w:hAnsi="Tahoma" w:cs="Tahoma"/>
                <w:b/>
                <w:sz w:val="18"/>
                <w:szCs w:val="18"/>
                <w:lang w:val="es-MX"/>
              </w:rPr>
              <w:t>de noviembre de dos mil dieciocho (2018)</w:t>
            </w:r>
          </w:p>
        </w:tc>
      </w:tr>
      <w:tr w:rsidR="00F8779A" w:rsidRPr="009122E2" w:rsidTr="00234638">
        <w:tc>
          <w:tcPr>
            <w:tcW w:w="2127" w:type="dxa"/>
            <w:vAlign w:val="center"/>
          </w:tcPr>
          <w:p w:rsidR="00F8779A" w:rsidRPr="009122E2" w:rsidRDefault="00F8779A" w:rsidP="00234638">
            <w:pPr>
              <w:jc w:val="both"/>
              <w:rPr>
                <w:rFonts w:ascii="Tahoma" w:hAnsi="Tahoma" w:cs="Tahoma"/>
                <w:sz w:val="18"/>
                <w:szCs w:val="18"/>
                <w:lang w:val="es-MX"/>
              </w:rPr>
            </w:pPr>
            <w:r w:rsidRPr="009122E2">
              <w:rPr>
                <w:rFonts w:ascii="Tahoma" w:hAnsi="Tahoma" w:cs="Tahoma"/>
                <w:sz w:val="18"/>
                <w:szCs w:val="18"/>
                <w:lang w:val="es-MX"/>
              </w:rPr>
              <w:t>REFERENCIA</w:t>
            </w:r>
          </w:p>
        </w:tc>
        <w:tc>
          <w:tcPr>
            <w:tcW w:w="6804" w:type="dxa"/>
          </w:tcPr>
          <w:p w:rsidR="00F8779A" w:rsidRPr="009122E2" w:rsidRDefault="00F8779A" w:rsidP="00234638">
            <w:pPr>
              <w:jc w:val="both"/>
              <w:rPr>
                <w:rFonts w:ascii="Tahoma" w:hAnsi="Tahoma" w:cs="Tahoma"/>
                <w:b/>
                <w:sz w:val="18"/>
                <w:szCs w:val="18"/>
                <w:lang w:val="es-MX"/>
              </w:rPr>
            </w:pPr>
            <w:r w:rsidRPr="009122E2">
              <w:rPr>
                <w:rFonts w:ascii="Tahoma" w:hAnsi="Tahoma" w:cs="Tahoma"/>
                <w:b/>
                <w:sz w:val="18"/>
                <w:szCs w:val="18"/>
                <w:lang w:val="es-MX"/>
              </w:rPr>
              <w:t>Expediente No. 110013336034</w:t>
            </w:r>
            <w:r w:rsidRPr="009122E2">
              <w:rPr>
                <w:rFonts w:ascii="Tahoma" w:hAnsi="Tahoma" w:cs="Tahoma"/>
                <w:b/>
                <w:sz w:val="18"/>
                <w:szCs w:val="18"/>
                <w:lang w:val="es-MX"/>
              </w:rPr>
              <w:fldChar w:fldCharType="begin"/>
            </w:r>
            <w:r w:rsidRPr="009122E2">
              <w:rPr>
                <w:rFonts w:ascii="Tahoma" w:hAnsi="Tahoma" w:cs="Tahoma"/>
                <w:b/>
                <w:sz w:val="18"/>
                <w:szCs w:val="18"/>
                <w:lang w:val="es-MX"/>
              </w:rPr>
              <w:instrText xml:space="preserve"> MERGEFIELD Año </w:instrText>
            </w:r>
            <w:r w:rsidRPr="009122E2">
              <w:rPr>
                <w:rFonts w:ascii="Tahoma" w:hAnsi="Tahoma" w:cs="Tahoma"/>
                <w:b/>
                <w:sz w:val="18"/>
                <w:szCs w:val="18"/>
                <w:lang w:val="es-MX"/>
              </w:rPr>
              <w:fldChar w:fldCharType="separate"/>
            </w:r>
            <w:r w:rsidRPr="009122E2">
              <w:rPr>
                <w:rFonts w:ascii="Tahoma" w:hAnsi="Tahoma" w:cs="Tahoma"/>
                <w:b/>
                <w:noProof/>
                <w:sz w:val="18"/>
                <w:szCs w:val="18"/>
                <w:lang w:val="es-MX"/>
              </w:rPr>
              <w:t>2018</w:t>
            </w:r>
            <w:r w:rsidRPr="009122E2">
              <w:rPr>
                <w:rFonts w:ascii="Tahoma" w:hAnsi="Tahoma" w:cs="Tahoma"/>
                <w:b/>
                <w:sz w:val="18"/>
                <w:szCs w:val="18"/>
                <w:lang w:val="es-MX"/>
              </w:rPr>
              <w:fldChar w:fldCharType="end"/>
            </w:r>
            <w:r w:rsidRPr="009122E2">
              <w:rPr>
                <w:rFonts w:ascii="Tahoma" w:hAnsi="Tahoma" w:cs="Tahoma"/>
                <w:b/>
                <w:sz w:val="18"/>
                <w:szCs w:val="18"/>
                <w:lang w:val="es-MX"/>
              </w:rPr>
              <w:t>00</w:t>
            </w:r>
            <w:r w:rsidRPr="009122E2">
              <w:rPr>
                <w:rFonts w:ascii="Tahoma" w:hAnsi="Tahoma" w:cs="Tahoma"/>
                <w:b/>
                <w:sz w:val="18"/>
                <w:szCs w:val="18"/>
                <w:lang w:val="es-MX"/>
              </w:rPr>
              <w:fldChar w:fldCharType="begin"/>
            </w:r>
            <w:r w:rsidRPr="009122E2">
              <w:rPr>
                <w:rFonts w:ascii="Tahoma" w:hAnsi="Tahoma" w:cs="Tahoma"/>
                <w:b/>
                <w:sz w:val="18"/>
                <w:szCs w:val="18"/>
                <w:lang w:val="es-MX"/>
              </w:rPr>
              <w:instrText xml:space="preserve"> MERGEFIELD radicado </w:instrText>
            </w:r>
            <w:r w:rsidRPr="009122E2">
              <w:rPr>
                <w:rFonts w:ascii="Tahoma" w:hAnsi="Tahoma" w:cs="Tahoma"/>
                <w:b/>
                <w:sz w:val="18"/>
                <w:szCs w:val="18"/>
                <w:lang w:val="es-MX"/>
              </w:rPr>
              <w:fldChar w:fldCharType="separate"/>
            </w:r>
            <w:r w:rsidRPr="009122E2">
              <w:rPr>
                <w:rFonts w:ascii="Tahoma" w:hAnsi="Tahoma" w:cs="Tahoma"/>
                <w:b/>
                <w:noProof/>
                <w:sz w:val="18"/>
                <w:szCs w:val="18"/>
                <w:lang w:val="es-MX"/>
              </w:rPr>
              <w:t>304</w:t>
            </w:r>
            <w:r w:rsidRPr="009122E2">
              <w:rPr>
                <w:rFonts w:ascii="Tahoma" w:hAnsi="Tahoma" w:cs="Tahoma"/>
                <w:b/>
                <w:sz w:val="18"/>
                <w:szCs w:val="18"/>
                <w:lang w:val="es-MX"/>
              </w:rPr>
              <w:fldChar w:fldCharType="end"/>
            </w:r>
            <w:r w:rsidRPr="009122E2">
              <w:rPr>
                <w:rFonts w:ascii="Tahoma" w:hAnsi="Tahoma" w:cs="Tahoma"/>
                <w:b/>
                <w:sz w:val="18"/>
                <w:szCs w:val="18"/>
                <w:lang w:val="es-MX"/>
              </w:rPr>
              <w:t>00</w:t>
            </w:r>
          </w:p>
        </w:tc>
      </w:tr>
      <w:tr w:rsidR="00F8779A" w:rsidRPr="009122E2" w:rsidTr="00234638">
        <w:tc>
          <w:tcPr>
            <w:tcW w:w="2127" w:type="dxa"/>
            <w:vAlign w:val="center"/>
          </w:tcPr>
          <w:p w:rsidR="00F8779A" w:rsidRPr="009122E2" w:rsidRDefault="00F8779A" w:rsidP="00234638">
            <w:pPr>
              <w:jc w:val="both"/>
              <w:rPr>
                <w:rFonts w:ascii="Tahoma" w:hAnsi="Tahoma" w:cs="Tahoma"/>
                <w:sz w:val="18"/>
                <w:szCs w:val="18"/>
                <w:lang w:val="es-MX"/>
              </w:rPr>
            </w:pPr>
            <w:r w:rsidRPr="009122E2">
              <w:rPr>
                <w:rFonts w:ascii="Tahoma" w:hAnsi="Tahoma" w:cs="Tahoma"/>
                <w:sz w:val="18"/>
                <w:szCs w:val="18"/>
                <w:lang w:val="es-MX"/>
              </w:rPr>
              <w:t>DEMANDANTE</w:t>
            </w:r>
          </w:p>
        </w:tc>
        <w:tc>
          <w:tcPr>
            <w:tcW w:w="6804" w:type="dxa"/>
          </w:tcPr>
          <w:p w:rsidR="00F8779A" w:rsidRPr="009122E2" w:rsidRDefault="00F8779A" w:rsidP="00234638">
            <w:pPr>
              <w:jc w:val="both"/>
              <w:rPr>
                <w:rFonts w:ascii="Tahoma" w:hAnsi="Tahoma" w:cs="Tahoma"/>
                <w:b/>
                <w:sz w:val="18"/>
                <w:szCs w:val="18"/>
                <w:lang w:val="es-MX"/>
              </w:rPr>
            </w:pPr>
            <w:r w:rsidRPr="009122E2">
              <w:rPr>
                <w:rFonts w:ascii="Tahoma" w:hAnsi="Tahoma" w:cs="Tahoma"/>
                <w:b/>
                <w:sz w:val="18"/>
                <w:szCs w:val="18"/>
                <w:lang w:val="es-MX"/>
              </w:rPr>
              <w:fldChar w:fldCharType="begin"/>
            </w:r>
            <w:r w:rsidRPr="009122E2">
              <w:rPr>
                <w:rFonts w:ascii="Tahoma" w:hAnsi="Tahoma" w:cs="Tahoma"/>
                <w:b/>
                <w:sz w:val="18"/>
                <w:szCs w:val="18"/>
                <w:lang w:val="es-MX"/>
              </w:rPr>
              <w:instrText xml:space="preserve"> MERGEFIELD Demandante_ </w:instrText>
            </w:r>
            <w:r w:rsidRPr="009122E2">
              <w:rPr>
                <w:rFonts w:ascii="Tahoma" w:hAnsi="Tahoma" w:cs="Tahoma"/>
                <w:b/>
                <w:sz w:val="18"/>
                <w:szCs w:val="18"/>
                <w:lang w:val="es-MX"/>
              </w:rPr>
              <w:fldChar w:fldCharType="separate"/>
            </w:r>
            <w:r w:rsidRPr="009122E2">
              <w:rPr>
                <w:rFonts w:ascii="Tahoma" w:hAnsi="Tahoma" w:cs="Tahoma"/>
                <w:b/>
                <w:noProof/>
                <w:sz w:val="18"/>
                <w:szCs w:val="18"/>
                <w:lang w:val="es-MX"/>
              </w:rPr>
              <w:t>MARÍA DULBINA LEAL GARZÓN</w:t>
            </w:r>
            <w:r w:rsidRPr="009122E2">
              <w:rPr>
                <w:rFonts w:ascii="Tahoma" w:hAnsi="Tahoma" w:cs="Tahoma"/>
                <w:b/>
                <w:sz w:val="18"/>
                <w:szCs w:val="18"/>
                <w:lang w:val="es-MX"/>
              </w:rPr>
              <w:fldChar w:fldCharType="end"/>
            </w:r>
          </w:p>
        </w:tc>
      </w:tr>
      <w:tr w:rsidR="00F8779A" w:rsidRPr="009122E2" w:rsidTr="00234638">
        <w:tc>
          <w:tcPr>
            <w:tcW w:w="2127" w:type="dxa"/>
            <w:vAlign w:val="center"/>
          </w:tcPr>
          <w:p w:rsidR="00F8779A" w:rsidRPr="009122E2" w:rsidRDefault="00F8779A" w:rsidP="00234638">
            <w:pPr>
              <w:jc w:val="both"/>
              <w:rPr>
                <w:rFonts w:ascii="Tahoma" w:hAnsi="Tahoma" w:cs="Tahoma"/>
                <w:sz w:val="18"/>
                <w:szCs w:val="18"/>
                <w:lang w:val="es-MX"/>
              </w:rPr>
            </w:pPr>
            <w:r w:rsidRPr="009122E2">
              <w:rPr>
                <w:rFonts w:ascii="Tahoma" w:hAnsi="Tahoma" w:cs="Tahoma"/>
                <w:sz w:val="18"/>
                <w:szCs w:val="18"/>
                <w:lang w:val="es-MX"/>
              </w:rPr>
              <w:t>DEMANDADO</w:t>
            </w:r>
          </w:p>
        </w:tc>
        <w:tc>
          <w:tcPr>
            <w:tcW w:w="6804" w:type="dxa"/>
          </w:tcPr>
          <w:p w:rsidR="00F8779A" w:rsidRPr="009122E2" w:rsidRDefault="00F8779A" w:rsidP="00234638">
            <w:pPr>
              <w:jc w:val="both"/>
              <w:rPr>
                <w:rFonts w:ascii="Tahoma" w:hAnsi="Tahoma" w:cs="Tahoma"/>
                <w:b/>
                <w:sz w:val="18"/>
                <w:szCs w:val="18"/>
              </w:rPr>
            </w:pPr>
            <w:r w:rsidRPr="009122E2">
              <w:rPr>
                <w:rFonts w:ascii="Tahoma" w:hAnsi="Tahoma" w:cs="Tahoma"/>
                <w:b/>
                <w:sz w:val="18"/>
                <w:szCs w:val="18"/>
              </w:rPr>
              <w:fldChar w:fldCharType="begin"/>
            </w:r>
            <w:r w:rsidRPr="009122E2">
              <w:rPr>
                <w:rFonts w:ascii="Tahoma" w:hAnsi="Tahoma" w:cs="Tahoma"/>
                <w:b/>
                <w:sz w:val="18"/>
                <w:szCs w:val="18"/>
              </w:rPr>
              <w:instrText xml:space="preserve"> MERGEFIELD demandado </w:instrText>
            </w:r>
            <w:r w:rsidRPr="009122E2">
              <w:rPr>
                <w:rFonts w:ascii="Tahoma" w:hAnsi="Tahoma" w:cs="Tahoma"/>
                <w:b/>
                <w:sz w:val="18"/>
                <w:szCs w:val="18"/>
              </w:rPr>
              <w:fldChar w:fldCharType="separate"/>
            </w:r>
            <w:r w:rsidRPr="009122E2">
              <w:rPr>
                <w:rFonts w:ascii="Tahoma" w:hAnsi="Tahoma" w:cs="Tahoma"/>
                <w:b/>
                <w:noProof/>
                <w:sz w:val="18"/>
                <w:szCs w:val="18"/>
              </w:rPr>
              <w:t>UNIDAD ADMINISTRADORA ESPECIAL PARA LA ATENCIÓN Y REPARACIÓN DE VÍCTIMAS</w:t>
            </w:r>
            <w:r w:rsidRPr="009122E2">
              <w:rPr>
                <w:rFonts w:ascii="Tahoma" w:hAnsi="Tahoma" w:cs="Tahoma"/>
                <w:b/>
                <w:sz w:val="18"/>
                <w:szCs w:val="18"/>
              </w:rPr>
              <w:fldChar w:fldCharType="end"/>
            </w:r>
          </w:p>
        </w:tc>
      </w:tr>
      <w:tr w:rsidR="00F8779A" w:rsidRPr="009122E2" w:rsidTr="00234638">
        <w:tc>
          <w:tcPr>
            <w:tcW w:w="2127" w:type="dxa"/>
            <w:vAlign w:val="center"/>
          </w:tcPr>
          <w:p w:rsidR="00F8779A" w:rsidRPr="009122E2" w:rsidRDefault="00F8779A" w:rsidP="00234638">
            <w:pPr>
              <w:jc w:val="both"/>
              <w:rPr>
                <w:rFonts w:ascii="Tahoma" w:hAnsi="Tahoma" w:cs="Tahoma"/>
                <w:sz w:val="18"/>
                <w:szCs w:val="18"/>
                <w:lang w:val="es-MX"/>
              </w:rPr>
            </w:pPr>
            <w:r w:rsidRPr="009122E2">
              <w:rPr>
                <w:rFonts w:ascii="Tahoma" w:hAnsi="Tahoma" w:cs="Tahoma"/>
                <w:sz w:val="18"/>
                <w:szCs w:val="18"/>
                <w:lang w:val="es-MX"/>
              </w:rPr>
              <w:t>MEDIO DE CONTROL</w:t>
            </w:r>
          </w:p>
        </w:tc>
        <w:tc>
          <w:tcPr>
            <w:tcW w:w="6804" w:type="dxa"/>
          </w:tcPr>
          <w:p w:rsidR="00F8779A" w:rsidRPr="009122E2" w:rsidRDefault="00F8779A" w:rsidP="00234638">
            <w:pPr>
              <w:jc w:val="both"/>
              <w:rPr>
                <w:rFonts w:ascii="Tahoma" w:hAnsi="Tahoma" w:cs="Tahoma"/>
                <w:b/>
                <w:sz w:val="18"/>
                <w:szCs w:val="18"/>
                <w:lang w:val="es-MX"/>
              </w:rPr>
            </w:pPr>
            <w:r w:rsidRPr="009122E2">
              <w:rPr>
                <w:rFonts w:ascii="Tahoma" w:hAnsi="Tahoma" w:cs="Tahoma"/>
                <w:b/>
                <w:sz w:val="18"/>
                <w:szCs w:val="18"/>
                <w:lang w:val="es-MX"/>
              </w:rPr>
              <w:t>TUTELA</w:t>
            </w:r>
          </w:p>
        </w:tc>
      </w:tr>
      <w:tr w:rsidR="00F8779A" w:rsidRPr="009122E2" w:rsidTr="00234638">
        <w:tc>
          <w:tcPr>
            <w:tcW w:w="2127" w:type="dxa"/>
            <w:vAlign w:val="center"/>
          </w:tcPr>
          <w:p w:rsidR="00F8779A" w:rsidRPr="009122E2" w:rsidRDefault="00F8779A" w:rsidP="00234638">
            <w:pPr>
              <w:jc w:val="both"/>
              <w:rPr>
                <w:rFonts w:ascii="Tahoma" w:hAnsi="Tahoma" w:cs="Tahoma"/>
                <w:sz w:val="18"/>
                <w:szCs w:val="18"/>
                <w:lang w:val="es-MX"/>
              </w:rPr>
            </w:pPr>
            <w:r w:rsidRPr="009122E2">
              <w:rPr>
                <w:rFonts w:ascii="Tahoma" w:hAnsi="Tahoma" w:cs="Tahoma"/>
                <w:sz w:val="18"/>
                <w:szCs w:val="18"/>
                <w:lang w:val="es-MX"/>
              </w:rPr>
              <w:t>ASUNTO</w:t>
            </w:r>
          </w:p>
        </w:tc>
        <w:tc>
          <w:tcPr>
            <w:tcW w:w="6804" w:type="dxa"/>
          </w:tcPr>
          <w:p w:rsidR="00F8779A" w:rsidRPr="009122E2" w:rsidRDefault="00F8779A" w:rsidP="00234638">
            <w:pPr>
              <w:jc w:val="both"/>
              <w:rPr>
                <w:rFonts w:ascii="Tahoma" w:hAnsi="Tahoma" w:cs="Tahoma"/>
                <w:b/>
                <w:sz w:val="18"/>
                <w:szCs w:val="18"/>
                <w:lang w:val="es-MX"/>
              </w:rPr>
            </w:pPr>
            <w:r w:rsidRPr="009122E2">
              <w:rPr>
                <w:rFonts w:ascii="Tahoma" w:hAnsi="Tahoma" w:cs="Tahoma"/>
                <w:b/>
                <w:sz w:val="18"/>
                <w:szCs w:val="18"/>
                <w:lang w:val="es-MX"/>
              </w:rPr>
              <w:t>RECHAZA IMPUGNACIÓN POR EXTEMPORÁNEA</w:t>
            </w:r>
          </w:p>
        </w:tc>
      </w:tr>
    </w:tbl>
    <w:p w:rsidR="00F8779A" w:rsidRPr="009122E2" w:rsidRDefault="00F8779A" w:rsidP="00F8779A">
      <w:pPr>
        <w:jc w:val="both"/>
        <w:rPr>
          <w:rFonts w:ascii="Tahoma" w:hAnsi="Tahoma" w:cs="Tahoma"/>
          <w:sz w:val="18"/>
          <w:szCs w:val="18"/>
          <w:lang w:val="es-MX"/>
        </w:rPr>
      </w:pPr>
    </w:p>
    <w:p w:rsidR="00F8779A" w:rsidRPr="009122E2" w:rsidRDefault="00F8779A" w:rsidP="00F8779A">
      <w:pPr>
        <w:tabs>
          <w:tab w:val="left" w:pos="5472"/>
        </w:tabs>
        <w:jc w:val="both"/>
        <w:rPr>
          <w:rFonts w:ascii="Tahoma" w:hAnsi="Tahoma" w:cs="Tahoma"/>
          <w:sz w:val="18"/>
          <w:szCs w:val="18"/>
          <w:lang w:val="es-MX"/>
        </w:rPr>
      </w:pPr>
      <w:r w:rsidRPr="009122E2">
        <w:rPr>
          <w:rFonts w:ascii="Tahoma" w:hAnsi="Tahoma" w:cs="Tahoma"/>
          <w:sz w:val="18"/>
          <w:szCs w:val="18"/>
          <w:lang w:val="es-MX"/>
        </w:rPr>
        <w:t xml:space="preserve">La señora </w:t>
      </w:r>
      <w:r w:rsidRPr="009122E2">
        <w:rPr>
          <w:rFonts w:ascii="Tahoma" w:hAnsi="Tahoma" w:cs="Tahoma"/>
          <w:sz w:val="18"/>
          <w:szCs w:val="18"/>
          <w:lang w:val="es-MX"/>
        </w:rPr>
        <w:fldChar w:fldCharType="begin"/>
      </w:r>
      <w:r w:rsidRPr="009122E2">
        <w:rPr>
          <w:rFonts w:ascii="Tahoma" w:hAnsi="Tahoma" w:cs="Tahoma"/>
          <w:sz w:val="18"/>
          <w:szCs w:val="18"/>
          <w:lang w:val="es-MX"/>
        </w:rPr>
        <w:instrText xml:space="preserve"> MERGEFIELD Demandante_ </w:instrText>
      </w:r>
      <w:r w:rsidRPr="009122E2">
        <w:rPr>
          <w:rFonts w:ascii="Tahoma" w:hAnsi="Tahoma" w:cs="Tahoma"/>
          <w:sz w:val="18"/>
          <w:szCs w:val="18"/>
          <w:lang w:val="es-MX"/>
        </w:rPr>
        <w:fldChar w:fldCharType="separate"/>
      </w:r>
      <w:r w:rsidRPr="009122E2">
        <w:rPr>
          <w:rFonts w:ascii="Tahoma" w:hAnsi="Tahoma" w:cs="Tahoma"/>
          <w:noProof/>
          <w:sz w:val="18"/>
          <w:szCs w:val="18"/>
          <w:lang w:val="es-MX"/>
        </w:rPr>
        <w:t>MARÍA DULBINA LEAL GARZÓN</w:t>
      </w:r>
      <w:r w:rsidRPr="009122E2">
        <w:rPr>
          <w:rFonts w:ascii="Tahoma" w:hAnsi="Tahoma" w:cs="Tahoma"/>
          <w:sz w:val="18"/>
          <w:szCs w:val="18"/>
          <w:lang w:val="es-MX"/>
        </w:rPr>
        <w:fldChar w:fldCharType="end"/>
      </w:r>
      <w:r w:rsidRPr="009122E2">
        <w:rPr>
          <w:rFonts w:ascii="Tahoma" w:hAnsi="Tahoma" w:cs="Tahoma"/>
          <w:sz w:val="18"/>
          <w:szCs w:val="18"/>
          <w:lang w:val="es-MX"/>
        </w:rPr>
        <w:t xml:space="preserve"> actuado en nombre propio, interpuso acción de tutela en contra </w:t>
      </w:r>
      <w:r w:rsidRPr="009122E2">
        <w:rPr>
          <w:rFonts w:ascii="Tahoma" w:hAnsi="Tahoma" w:cs="Tahoma"/>
          <w:sz w:val="18"/>
          <w:szCs w:val="18"/>
        </w:rPr>
        <w:t xml:space="preserve">de la </w:t>
      </w:r>
      <w:r w:rsidRPr="009122E2">
        <w:rPr>
          <w:rFonts w:ascii="Tahoma" w:hAnsi="Tahoma" w:cs="Tahoma"/>
          <w:sz w:val="18"/>
          <w:szCs w:val="18"/>
        </w:rPr>
        <w:fldChar w:fldCharType="begin"/>
      </w:r>
      <w:r w:rsidRPr="009122E2">
        <w:rPr>
          <w:rFonts w:ascii="Tahoma" w:hAnsi="Tahoma" w:cs="Tahoma"/>
          <w:sz w:val="18"/>
          <w:szCs w:val="18"/>
        </w:rPr>
        <w:instrText xml:space="preserve"> MERGEFIELD demandado </w:instrText>
      </w:r>
      <w:r w:rsidRPr="009122E2">
        <w:rPr>
          <w:rFonts w:ascii="Tahoma" w:hAnsi="Tahoma" w:cs="Tahoma"/>
          <w:sz w:val="18"/>
          <w:szCs w:val="18"/>
        </w:rPr>
        <w:fldChar w:fldCharType="separate"/>
      </w:r>
      <w:r w:rsidRPr="009122E2">
        <w:rPr>
          <w:rFonts w:ascii="Tahoma" w:hAnsi="Tahoma" w:cs="Tahoma"/>
          <w:noProof/>
          <w:sz w:val="18"/>
          <w:szCs w:val="18"/>
        </w:rPr>
        <w:t>UNIDAD ADMINISTRADORA ESPECIAL PARA LA ATENCIÓN Y REPARACIÓN DE VÍCTIMAS</w:t>
      </w:r>
      <w:r w:rsidRPr="009122E2">
        <w:rPr>
          <w:rFonts w:ascii="Tahoma" w:hAnsi="Tahoma" w:cs="Tahoma"/>
          <w:sz w:val="18"/>
          <w:szCs w:val="18"/>
        </w:rPr>
        <w:fldChar w:fldCharType="end"/>
      </w:r>
      <w:r w:rsidRPr="009122E2">
        <w:rPr>
          <w:rFonts w:ascii="Tahoma" w:hAnsi="Tahoma" w:cs="Tahoma"/>
          <w:sz w:val="18"/>
          <w:szCs w:val="18"/>
          <w:lang w:val="es-MX"/>
        </w:rPr>
        <w:t>, con el fin de proteger su derecho fundamental de petición.</w:t>
      </w:r>
    </w:p>
    <w:p w:rsidR="005F411F" w:rsidRPr="009122E2" w:rsidRDefault="005F411F" w:rsidP="005F411F">
      <w:pPr>
        <w:tabs>
          <w:tab w:val="left" w:pos="0"/>
        </w:tabs>
        <w:jc w:val="both"/>
        <w:rPr>
          <w:rFonts w:ascii="Tahoma" w:hAnsi="Tahoma" w:cs="Tahoma"/>
          <w:sz w:val="18"/>
          <w:szCs w:val="18"/>
          <w:lang w:val="es-MX"/>
        </w:rPr>
      </w:pPr>
    </w:p>
    <w:p w:rsidR="005F411F" w:rsidRPr="009122E2" w:rsidRDefault="005F411F" w:rsidP="005F411F">
      <w:pPr>
        <w:tabs>
          <w:tab w:val="left" w:pos="0"/>
        </w:tabs>
        <w:jc w:val="both"/>
        <w:rPr>
          <w:rFonts w:ascii="Tahoma" w:hAnsi="Tahoma" w:cs="Tahoma"/>
          <w:color w:val="000000"/>
          <w:spacing w:val="3"/>
          <w:sz w:val="18"/>
          <w:szCs w:val="18"/>
          <w:lang w:val="es-ES_tradnl"/>
        </w:rPr>
      </w:pPr>
      <w:r w:rsidRPr="009122E2">
        <w:rPr>
          <w:rFonts w:ascii="Tahoma" w:hAnsi="Tahoma" w:cs="Tahoma"/>
          <w:color w:val="000000"/>
          <w:spacing w:val="3"/>
          <w:sz w:val="18"/>
          <w:szCs w:val="18"/>
          <w:lang w:val="es-ES_tradnl"/>
        </w:rPr>
        <w:t xml:space="preserve">Mediante providencia del </w:t>
      </w:r>
      <w:r w:rsidR="00F8779A" w:rsidRPr="009122E2">
        <w:rPr>
          <w:rFonts w:ascii="Tahoma" w:hAnsi="Tahoma" w:cs="Tahoma"/>
          <w:color w:val="000000"/>
          <w:spacing w:val="3"/>
          <w:sz w:val="18"/>
          <w:szCs w:val="18"/>
          <w:lang w:val="es-ES_tradnl"/>
        </w:rPr>
        <w:t>27 de septiembre de 2018</w:t>
      </w:r>
      <w:r w:rsidRPr="009122E2">
        <w:rPr>
          <w:rFonts w:ascii="Tahoma" w:hAnsi="Tahoma" w:cs="Tahoma"/>
          <w:color w:val="000000"/>
          <w:spacing w:val="3"/>
          <w:sz w:val="18"/>
          <w:szCs w:val="18"/>
          <w:lang w:val="es-ES_tradnl"/>
        </w:rPr>
        <w:t xml:space="preserve">, se profirió fallo </w:t>
      </w:r>
      <w:r w:rsidR="004674B5" w:rsidRPr="009122E2">
        <w:rPr>
          <w:rFonts w:ascii="Tahoma" w:hAnsi="Tahoma" w:cs="Tahoma"/>
          <w:color w:val="000000"/>
          <w:spacing w:val="3"/>
          <w:sz w:val="18"/>
          <w:szCs w:val="18"/>
          <w:lang w:val="es-ES_tradnl"/>
        </w:rPr>
        <w:t>negando las pretensiones de la demanda</w:t>
      </w:r>
      <w:r w:rsidRPr="009122E2">
        <w:rPr>
          <w:rFonts w:ascii="Tahoma" w:hAnsi="Tahoma" w:cs="Tahoma"/>
          <w:color w:val="000000"/>
          <w:spacing w:val="3"/>
          <w:sz w:val="18"/>
          <w:szCs w:val="18"/>
          <w:lang w:val="es-ES_tradnl"/>
        </w:rPr>
        <w:t>.</w:t>
      </w:r>
    </w:p>
    <w:p w:rsidR="005F411F" w:rsidRPr="009122E2" w:rsidRDefault="005F411F" w:rsidP="005F411F">
      <w:pPr>
        <w:tabs>
          <w:tab w:val="left" w:pos="0"/>
        </w:tabs>
        <w:jc w:val="both"/>
        <w:rPr>
          <w:rFonts w:ascii="Tahoma" w:hAnsi="Tahoma" w:cs="Tahoma"/>
          <w:color w:val="000000"/>
          <w:spacing w:val="3"/>
          <w:sz w:val="18"/>
          <w:szCs w:val="18"/>
          <w:lang w:val="es-ES_tradnl"/>
        </w:rPr>
      </w:pPr>
    </w:p>
    <w:p w:rsidR="004674B5" w:rsidRPr="009122E2" w:rsidRDefault="004674B5" w:rsidP="005F411F">
      <w:pPr>
        <w:tabs>
          <w:tab w:val="left" w:pos="0"/>
        </w:tabs>
        <w:jc w:val="both"/>
        <w:rPr>
          <w:rFonts w:ascii="Tahoma" w:hAnsi="Tahoma" w:cs="Tahoma"/>
          <w:color w:val="000000"/>
          <w:spacing w:val="3"/>
          <w:sz w:val="18"/>
          <w:szCs w:val="18"/>
          <w:highlight w:val="green"/>
          <w:lang w:val="es-ES_tradnl"/>
        </w:rPr>
      </w:pPr>
      <w:r w:rsidRPr="009122E2">
        <w:rPr>
          <w:rFonts w:ascii="Tahoma" w:hAnsi="Tahoma" w:cs="Tahoma"/>
          <w:color w:val="000000"/>
          <w:spacing w:val="3"/>
          <w:sz w:val="18"/>
          <w:szCs w:val="18"/>
          <w:lang w:val="es-ES_tradnl"/>
        </w:rPr>
        <w:t>En informe secretarial del 15 de noviembre de 2018 se anotó: “</w:t>
      </w:r>
      <w:r w:rsidRPr="009122E2">
        <w:rPr>
          <w:rFonts w:ascii="Tahoma" w:hAnsi="Tahoma" w:cs="Tahoma"/>
          <w:i/>
          <w:color w:val="000000"/>
          <w:spacing w:val="3"/>
          <w:sz w:val="18"/>
          <w:szCs w:val="18"/>
          <w:lang w:val="es-ES_tradnl"/>
        </w:rPr>
        <w:t>EXPEDIENTE PRINCIPAL ENVIADO A LA CORTE CONSTITUCIONAL PARA SU REVISION DESDE EL 22 DE OCTUBRE DE 2018, MEMORIAL DE ACCIONANTE IMPUGNANDO FALLO DE PRIMERA INSTANCIA (NOVIEMBRE 14 DE 2018). SIRVASE PROVEER</w:t>
      </w:r>
      <w:r w:rsidRPr="009122E2">
        <w:rPr>
          <w:rFonts w:ascii="Tahoma" w:hAnsi="Tahoma" w:cs="Tahoma"/>
          <w:color w:val="000000"/>
          <w:spacing w:val="3"/>
          <w:sz w:val="18"/>
          <w:szCs w:val="18"/>
          <w:lang w:val="es-ES_tradnl"/>
        </w:rPr>
        <w:t>”.</w:t>
      </w:r>
    </w:p>
    <w:p w:rsidR="004674B5" w:rsidRPr="009122E2" w:rsidRDefault="004674B5" w:rsidP="005F411F">
      <w:pPr>
        <w:tabs>
          <w:tab w:val="left" w:pos="0"/>
        </w:tabs>
        <w:jc w:val="both"/>
        <w:rPr>
          <w:rFonts w:ascii="Tahoma" w:hAnsi="Tahoma" w:cs="Tahoma"/>
          <w:color w:val="000000"/>
          <w:spacing w:val="3"/>
          <w:sz w:val="18"/>
          <w:szCs w:val="18"/>
          <w:lang w:val="es-ES_tradnl"/>
        </w:rPr>
      </w:pPr>
    </w:p>
    <w:p w:rsidR="005F411F" w:rsidRPr="009122E2" w:rsidRDefault="005F411F" w:rsidP="005F411F">
      <w:pPr>
        <w:shd w:val="clear" w:color="auto" w:fill="FFFFFF"/>
        <w:ind w:right="823"/>
        <w:rPr>
          <w:rFonts w:ascii="Tahoma" w:hAnsi="Tahoma" w:cs="Tahoma"/>
          <w:sz w:val="18"/>
          <w:szCs w:val="18"/>
        </w:rPr>
      </w:pPr>
      <w:r w:rsidRPr="009122E2">
        <w:rPr>
          <w:rFonts w:ascii="Tahoma" w:hAnsi="Tahoma" w:cs="Tahoma"/>
          <w:color w:val="000000"/>
          <w:spacing w:val="4"/>
          <w:sz w:val="18"/>
          <w:szCs w:val="18"/>
          <w:lang w:val="es-ES_tradnl"/>
        </w:rPr>
        <w:t xml:space="preserve">Con escrito radicado el </w:t>
      </w:r>
      <w:r w:rsidR="00A0729D" w:rsidRPr="009122E2">
        <w:rPr>
          <w:rFonts w:ascii="Tahoma" w:hAnsi="Tahoma" w:cs="Tahoma"/>
          <w:color w:val="000000"/>
          <w:spacing w:val="4"/>
          <w:sz w:val="18"/>
          <w:szCs w:val="18"/>
          <w:lang w:val="es-ES_tradnl"/>
        </w:rPr>
        <w:t xml:space="preserve">14 de noviembre </w:t>
      </w:r>
      <w:r w:rsidRPr="009122E2">
        <w:rPr>
          <w:rFonts w:ascii="Tahoma" w:hAnsi="Tahoma" w:cs="Tahoma"/>
          <w:color w:val="000000"/>
          <w:spacing w:val="4"/>
          <w:sz w:val="18"/>
          <w:szCs w:val="18"/>
          <w:lang w:val="es-ES_tradnl"/>
        </w:rPr>
        <w:t xml:space="preserve"> de 2018 la accionante impugnó el fallo anotado.</w:t>
      </w:r>
    </w:p>
    <w:p w:rsidR="005F411F" w:rsidRPr="009122E2" w:rsidRDefault="005F411F" w:rsidP="005F411F">
      <w:pPr>
        <w:shd w:val="clear" w:color="auto" w:fill="FFFFFF"/>
        <w:ind w:left="65"/>
        <w:jc w:val="both"/>
        <w:rPr>
          <w:rFonts w:ascii="Tahoma" w:hAnsi="Tahoma" w:cs="Tahoma"/>
          <w:color w:val="000000"/>
          <w:spacing w:val="2"/>
          <w:sz w:val="18"/>
          <w:szCs w:val="18"/>
          <w:lang w:val="es-ES_tradnl"/>
        </w:rPr>
      </w:pPr>
    </w:p>
    <w:p w:rsidR="005F411F" w:rsidRPr="009122E2" w:rsidRDefault="005F411F" w:rsidP="005F411F">
      <w:pPr>
        <w:shd w:val="clear" w:color="auto" w:fill="FFFFFF"/>
        <w:rPr>
          <w:rFonts w:ascii="Tahoma" w:hAnsi="Tahoma" w:cs="Tahoma"/>
          <w:color w:val="000000"/>
          <w:spacing w:val="3"/>
          <w:sz w:val="18"/>
          <w:szCs w:val="18"/>
          <w:lang w:val="es-ES_tradnl"/>
        </w:rPr>
      </w:pPr>
      <w:r w:rsidRPr="009122E2">
        <w:rPr>
          <w:rFonts w:ascii="Tahoma" w:hAnsi="Tahoma" w:cs="Tahoma"/>
          <w:color w:val="000000"/>
          <w:spacing w:val="3"/>
          <w:sz w:val="18"/>
          <w:szCs w:val="18"/>
          <w:lang w:val="es-ES_tradnl"/>
        </w:rPr>
        <w:t>Procede el Despacho a pronunciarse sobre lo anotado.</w:t>
      </w:r>
    </w:p>
    <w:p w:rsidR="005F411F" w:rsidRPr="009122E2" w:rsidRDefault="005F411F" w:rsidP="005F411F">
      <w:pPr>
        <w:shd w:val="clear" w:color="auto" w:fill="FFFFFF"/>
        <w:ind w:left="60"/>
        <w:rPr>
          <w:rFonts w:ascii="Tahoma" w:hAnsi="Tahoma" w:cs="Tahoma"/>
          <w:sz w:val="18"/>
          <w:szCs w:val="18"/>
        </w:rPr>
      </w:pPr>
    </w:p>
    <w:p w:rsidR="005F411F" w:rsidRPr="009122E2" w:rsidRDefault="005F411F" w:rsidP="005F411F">
      <w:pPr>
        <w:shd w:val="clear" w:color="auto" w:fill="FFFFFF"/>
        <w:ind w:right="16"/>
        <w:jc w:val="center"/>
        <w:rPr>
          <w:rFonts w:ascii="Tahoma" w:hAnsi="Tahoma" w:cs="Tahoma"/>
          <w:b/>
          <w:bCs/>
          <w:color w:val="000000"/>
          <w:spacing w:val="-4"/>
          <w:sz w:val="18"/>
          <w:szCs w:val="18"/>
          <w:lang w:val="es-ES_tradnl"/>
        </w:rPr>
      </w:pPr>
      <w:r w:rsidRPr="009122E2">
        <w:rPr>
          <w:rFonts w:ascii="Tahoma" w:hAnsi="Tahoma" w:cs="Tahoma"/>
          <w:b/>
          <w:bCs/>
          <w:color w:val="000000"/>
          <w:spacing w:val="-4"/>
          <w:sz w:val="18"/>
          <w:szCs w:val="18"/>
          <w:lang w:val="es-ES_tradnl"/>
        </w:rPr>
        <w:t>CONSIDERACIONES:</w:t>
      </w:r>
    </w:p>
    <w:p w:rsidR="005F411F" w:rsidRPr="009122E2" w:rsidRDefault="005F411F" w:rsidP="005F411F">
      <w:pPr>
        <w:spacing w:before="100" w:beforeAutospacing="1" w:after="100" w:afterAutospacing="1"/>
        <w:jc w:val="both"/>
        <w:rPr>
          <w:rFonts w:ascii="Tahoma" w:eastAsia="Calibri" w:hAnsi="Tahoma" w:cs="Tahoma"/>
          <w:i/>
          <w:noProof/>
          <w:sz w:val="18"/>
          <w:szCs w:val="18"/>
        </w:rPr>
      </w:pPr>
      <w:r w:rsidRPr="009122E2">
        <w:rPr>
          <w:rFonts w:ascii="Tahoma" w:eastAsia="Calibri" w:hAnsi="Tahoma" w:cs="Tahoma"/>
          <w:noProof/>
          <w:sz w:val="18"/>
          <w:szCs w:val="18"/>
        </w:rPr>
        <w:t>Según el artículo 31 del Decreto 2591 de 1991 se dispone que “</w:t>
      </w:r>
      <w:r w:rsidRPr="009122E2">
        <w:rPr>
          <w:rFonts w:ascii="Tahoma" w:eastAsia="Calibri" w:hAnsi="Tahoma" w:cs="Tahoma"/>
          <w:i/>
          <w:noProof/>
          <w:sz w:val="18"/>
          <w:szCs w:val="18"/>
        </w:rPr>
        <w:t>Dentro de los tres días siguientes a su notificación el fallo podrá ser impugnado por el Defensor del Pueblo, el solicitante, la autoridad pública o el representante del órgano correspondiente, sin perjuicio de su cumplimiento inmediato”.</w:t>
      </w:r>
    </w:p>
    <w:p w:rsidR="005F411F" w:rsidRPr="009122E2" w:rsidRDefault="005F411F" w:rsidP="005F411F">
      <w:pPr>
        <w:shd w:val="clear" w:color="auto" w:fill="FFFFFF"/>
        <w:ind w:left="38" w:right="54"/>
        <w:jc w:val="both"/>
        <w:rPr>
          <w:rFonts w:ascii="Tahoma" w:hAnsi="Tahoma" w:cs="Tahoma"/>
          <w:bCs/>
          <w:i/>
          <w:iCs/>
          <w:color w:val="000000"/>
          <w:spacing w:val="-4"/>
          <w:sz w:val="18"/>
          <w:szCs w:val="18"/>
          <w:lang w:val="es-CO"/>
        </w:rPr>
      </w:pPr>
      <w:r w:rsidRPr="009122E2">
        <w:rPr>
          <w:rFonts w:ascii="Tahoma" w:hAnsi="Tahoma" w:cs="Tahoma"/>
          <w:bCs/>
          <w:color w:val="000000"/>
          <w:spacing w:val="-4"/>
          <w:sz w:val="18"/>
          <w:szCs w:val="18"/>
          <w:lang w:val="es-ES_tradnl"/>
        </w:rPr>
        <w:t>Respecto a la notificación del fallo de tutela y al término para impugnar la Corte Constitucional ha manifestado  en auto A-132-2007 del 29 de mayo de 2007 que: “</w:t>
      </w:r>
      <w:r w:rsidRPr="009122E2">
        <w:rPr>
          <w:rFonts w:ascii="Tahoma" w:hAnsi="Tahoma" w:cs="Tahoma"/>
          <w:bCs/>
          <w:i/>
          <w:iCs/>
          <w:color w:val="000000"/>
          <w:spacing w:val="-4"/>
          <w:sz w:val="18"/>
          <w:szCs w:val="18"/>
          <w:lang w:val="es-CO"/>
        </w:rPr>
        <w:t>Por último, cabe advertir que la notificación por telegrama a que hacen referencia las normas citadas, debe realizarse teniendo en cuenta que por este medio el peticionario pueda enterarse pronta y eficazmente de la sentencia de tutela. Respecto del término para impugnar el fallo, conviene remitirse a lo dispuesto en el artículo 4o. del decreto 306 de 1992 donde se señala que para ‘la interpretación de las disposiciones sobre trámite de la acción de tutela previstas por el Decreto 2591 de 1991 se aplicarán los principios generales del Código de Procedimiento Civil, en todo aquello en que no sean contrarios a dicho Decreto’. Con base en lo anterior, es necesario remitirse al artículo 120 C.P.C.</w:t>
      </w:r>
      <w:r w:rsidRPr="009122E2">
        <w:rPr>
          <w:rStyle w:val="Refdenotaalpie"/>
          <w:rFonts w:ascii="Tahoma" w:hAnsi="Tahoma" w:cs="Tahoma"/>
          <w:bCs/>
          <w:i/>
          <w:iCs/>
          <w:color w:val="000000"/>
          <w:spacing w:val="-4"/>
          <w:sz w:val="18"/>
          <w:szCs w:val="18"/>
          <w:lang w:val="es-CO"/>
        </w:rPr>
        <w:footnoteReference w:id="1"/>
      </w:r>
      <w:r w:rsidRPr="009122E2">
        <w:rPr>
          <w:rFonts w:ascii="Tahoma" w:hAnsi="Tahoma" w:cs="Tahoma"/>
          <w:bCs/>
          <w:i/>
          <w:iCs/>
          <w:color w:val="000000"/>
          <w:spacing w:val="-4"/>
          <w:sz w:val="18"/>
          <w:szCs w:val="18"/>
          <w:lang w:val="es-CO"/>
        </w:rPr>
        <w:t xml:space="preserve"> que prevé: </w:t>
      </w:r>
      <w:r w:rsidRPr="009122E2">
        <w:rPr>
          <w:rFonts w:ascii="Tahoma" w:hAnsi="Tahoma" w:cs="Tahoma"/>
          <w:bCs/>
          <w:i/>
          <w:iCs/>
          <w:color w:val="000000"/>
          <w:spacing w:val="-4"/>
          <w:sz w:val="18"/>
          <w:szCs w:val="18"/>
          <w:u w:val="single"/>
          <w:lang w:val="es-CO"/>
        </w:rPr>
        <w:t>‘Todo término comenzará a correr desde el día siguiente al de la notificación de la providencia que la conceda (...)’. De acuerdo con lo anotado, se puede afirmar que el deber del juez se limita a enviar el telegrama a la dirección que el interesado ha señalado en su petición, contándose el término de impugnación a partir del día siguiente en que se haya efectivamente recibido</w:t>
      </w:r>
      <w:r w:rsidRPr="009122E2">
        <w:rPr>
          <w:rFonts w:ascii="Tahoma" w:hAnsi="Tahoma" w:cs="Tahoma"/>
          <w:bCs/>
          <w:i/>
          <w:iCs/>
          <w:color w:val="000000"/>
          <w:spacing w:val="-4"/>
          <w:sz w:val="18"/>
          <w:szCs w:val="18"/>
          <w:lang w:val="es-CO"/>
        </w:rPr>
        <w:t xml:space="preserve">, siempre y cuando esto sea plenamente demostrable, </w:t>
      </w:r>
      <w:r w:rsidRPr="009122E2">
        <w:rPr>
          <w:rFonts w:ascii="Tahoma" w:hAnsi="Tahoma" w:cs="Tahoma"/>
          <w:b/>
          <w:bCs/>
          <w:i/>
          <w:iCs/>
          <w:color w:val="000000"/>
          <w:spacing w:val="-4"/>
          <w:sz w:val="18"/>
          <w:szCs w:val="18"/>
          <w:u w:val="single"/>
          <w:lang w:val="es-CO"/>
        </w:rPr>
        <w:t>o, en su defecto, a partir del día siguiente de su envío, según la constancia que se encuentre en el expediente”</w:t>
      </w:r>
      <w:bookmarkStart w:id="0" w:name="_ftnref2"/>
      <w:r w:rsidRPr="009122E2">
        <w:rPr>
          <w:rFonts w:ascii="Tahoma" w:hAnsi="Tahoma" w:cs="Tahoma"/>
          <w:b/>
          <w:bCs/>
          <w:i/>
          <w:iCs/>
          <w:color w:val="000000"/>
          <w:spacing w:val="-4"/>
          <w:sz w:val="18"/>
          <w:szCs w:val="18"/>
          <w:u w:val="single"/>
          <w:lang w:val="es-CO"/>
        </w:rPr>
        <w:fldChar w:fldCharType="begin"/>
      </w:r>
      <w:r w:rsidRPr="009122E2">
        <w:rPr>
          <w:rFonts w:ascii="Tahoma" w:hAnsi="Tahoma" w:cs="Tahoma"/>
          <w:b/>
          <w:bCs/>
          <w:i/>
          <w:iCs/>
          <w:color w:val="000000"/>
          <w:spacing w:val="-4"/>
          <w:sz w:val="18"/>
          <w:szCs w:val="18"/>
          <w:u w:val="single"/>
          <w:lang w:val="es-CO"/>
        </w:rPr>
        <w:instrText xml:space="preserve"> HYPERLINK "http://www.corteconstitucional.gov.co/relatoria/Autos/2007/A132-07.htm" \l "_ftn2" \o "" </w:instrText>
      </w:r>
      <w:r w:rsidRPr="009122E2">
        <w:rPr>
          <w:rFonts w:ascii="Tahoma" w:hAnsi="Tahoma" w:cs="Tahoma"/>
          <w:b/>
          <w:bCs/>
          <w:i/>
          <w:iCs/>
          <w:color w:val="000000"/>
          <w:spacing w:val="-4"/>
          <w:sz w:val="18"/>
          <w:szCs w:val="18"/>
          <w:u w:val="single"/>
          <w:lang w:val="es-CO"/>
        </w:rPr>
        <w:fldChar w:fldCharType="separate"/>
      </w:r>
      <w:r w:rsidRPr="009122E2">
        <w:rPr>
          <w:rStyle w:val="Hipervnculo"/>
          <w:rFonts w:ascii="Tahoma" w:hAnsi="Tahoma" w:cs="Tahoma"/>
          <w:b/>
          <w:bCs/>
          <w:i/>
          <w:iCs/>
          <w:spacing w:val="-4"/>
          <w:sz w:val="18"/>
          <w:szCs w:val="18"/>
          <w:lang w:val="es-CO"/>
        </w:rPr>
        <w:t>[2]</w:t>
      </w:r>
      <w:r w:rsidRPr="009122E2">
        <w:rPr>
          <w:rFonts w:ascii="Tahoma" w:hAnsi="Tahoma" w:cs="Tahoma"/>
          <w:b/>
          <w:bCs/>
          <w:color w:val="000000"/>
          <w:spacing w:val="-4"/>
          <w:sz w:val="18"/>
          <w:szCs w:val="18"/>
          <w:u w:val="single"/>
          <w:lang w:val="es-ES_tradnl"/>
        </w:rPr>
        <w:fldChar w:fldCharType="end"/>
      </w:r>
      <w:bookmarkEnd w:id="0"/>
      <w:r w:rsidRPr="009122E2">
        <w:rPr>
          <w:rFonts w:ascii="Tahoma" w:hAnsi="Tahoma" w:cs="Tahoma"/>
          <w:bCs/>
          <w:i/>
          <w:iCs/>
          <w:color w:val="000000"/>
          <w:spacing w:val="-4"/>
          <w:sz w:val="18"/>
          <w:szCs w:val="18"/>
          <w:lang w:val="es-CO"/>
        </w:rPr>
        <w:t xml:space="preserve">. (Negrilla y pie de página  Fuera de Texto) </w:t>
      </w:r>
    </w:p>
    <w:p w:rsidR="005F411F" w:rsidRPr="009122E2" w:rsidRDefault="005F411F" w:rsidP="005F411F">
      <w:pPr>
        <w:shd w:val="clear" w:color="auto" w:fill="FFFFFF"/>
        <w:ind w:left="38" w:right="54"/>
        <w:jc w:val="both"/>
        <w:rPr>
          <w:rFonts w:ascii="Tahoma" w:hAnsi="Tahoma" w:cs="Tahoma"/>
          <w:bCs/>
          <w:color w:val="000000"/>
          <w:spacing w:val="-4"/>
          <w:sz w:val="18"/>
          <w:szCs w:val="18"/>
        </w:rPr>
      </w:pPr>
    </w:p>
    <w:p w:rsidR="005F411F" w:rsidRPr="009122E2" w:rsidRDefault="005F411F" w:rsidP="005F411F">
      <w:pPr>
        <w:shd w:val="clear" w:color="auto" w:fill="FFFFFF"/>
        <w:ind w:left="38" w:right="54"/>
        <w:jc w:val="both"/>
        <w:rPr>
          <w:rFonts w:ascii="Tahoma" w:hAnsi="Tahoma" w:cs="Tahoma"/>
          <w:color w:val="000000"/>
          <w:spacing w:val="4"/>
          <w:sz w:val="18"/>
          <w:szCs w:val="18"/>
          <w:lang w:val="es-ES_tradnl"/>
        </w:rPr>
      </w:pPr>
      <w:r w:rsidRPr="009122E2">
        <w:rPr>
          <w:rFonts w:ascii="Tahoma" w:hAnsi="Tahoma" w:cs="Tahoma"/>
          <w:color w:val="000000"/>
          <w:spacing w:val="4"/>
          <w:sz w:val="18"/>
          <w:szCs w:val="18"/>
          <w:lang w:val="es-ES_tradnl"/>
        </w:rPr>
        <w:t xml:space="preserve">Conforme a lo anterior, no se concederá la impugnación interpuesta por la accionante ya que </w:t>
      </w:r>
      <w:r w:rsidR="00CE47E9">
        <w:rPr>
          <w:rFonts w:ascii="Tahoma" w:hAnsi="Tahoma" w:cs="Tahoma"/>
          <w:color w:val="000000"/>
          <w:spacing w:val="4"/>
          <w:sz w:val="18"/>
          <w:szCs w:val="18"/>
          <w:lang w:val="es-ES_tradnl"/>
        </w:rPr>
        <w:t>entre</w:t>
      </w:r>
      <w:r w:rsidRPr="009122E2">
        <w:rPr>
          <w:rFonts w:ascii="Tahoma" w:hAnsi="Tahoma" w:cs="Tahoma"/>
          <w:color w:val="000000"/>
          <w:spacing w:val="4"/>
          <w:sz w:val="18"/>
          <w:szCs w:val="18"/>
          <w:lang w:val="es-ES_tradnl"/>
        </w:rPr>
        <w:t xml:space="preserve"> la  constancia de envío de la notificación del fallo y la presentación del escrito de impugnación ha</w:t>
      </w:r>
      <w:bookmarkStart w:id="1" w:name="_GoBack"/>
      <w:bookmarkEnd w:id="1"/>
      <w:r w:rsidRPr="009122E2">
        <w:rPr>
          <w:rFonts w:ascii="Tahoma" w:hAnsi="Tahoma" w:cs="Tahoma"/>
          <w:color w:val="000000"/>
          <w:spacing w:val="4"/>
          <w:sz w:val="18"/>
          <w:szCs w:val="18"/>
          <w:lang w:val="es-ES_tradnl"/>
        </w:rPr>
        <w:t xml:space="preserve"> trascurrido más de 1 mes, es decir que es extemporáneo. </w:t>
      </w:r>
    </w:p>
    <w:p w:rsidR="005F411F" w:rsidRPr="009122E2" w:rsidRDefault="005F411F" w:rsidP="005F411F">
      <w:pPr>
        <w:shd w:val="clear" w:color="auto" w:fill="FFFFFF"/>
        <w:ind w:left="32" w:right="65"/>
        <w:jc w:val="both"/>
        <w:rPr>
          <w:rFonts w:ascii="Tahoma" w:hAnsi="Tahoma" w:cs="Tahoma"/>
          <w:sz w:val="18"/>
          <w:szCs w:val="18"/>
          <w:highlight w:val="green"/>
          <w:lang w:val="es-ES_tradnl"/>
        </w:rPr>
      </w:pPr>
    </w:p>
    <w:p w:rsidR="005F411F" w:rsidRPr="009122E2" w:rsidRDefault="005F411F" w:rsidP="005F411F">
      <w:pPr>
        <w:shd w:val="clear" w:color="auto" w:fill="FFFFFF"/>
        <w:ind w:left="27"/>
        <w:rPr>
          <w:rFonts w:ascii="Tahoma" w:hAnsi="Tahoma" w:cs="Tahoma"/>
          <w:b/>
          <w:bCs/>
          <w:color w:val="000000"/>
          <w:spacing w:val="4"/>
          <w:sz w:val="18"/>
          <w:szCs w:val="18"/>
          <w:lang w:val="es-ES_tradnl"/>
        </w:rPr>
      </w:pPr>
      <w:r w:rsidRPr="009122E2">
        <w:rPr>
          <w:rFonts w:ascii="Tahoma" w:hAnsi="Tahoma" w:cs="Tahoma"/>
          <w:color w:val="000000"/>
          <w:spacing w:val="4"/>
          <w:sz w:val="18"/>
          <w:szCs w:val="18"/>
          <w:lang w:val="es-ES_tradnl"/>
        </w:rPr>
        <w:t xml:space="preserve">En mérito de lo expuesto, se </w:t>
      </w:r>
      <w:r w:rsidRPr="009122E2">
        <w:rPr>
          <w:rFonts w:ascii="Tahoma" w:hAnsi="Tahoma" w:cs="Tahoma"/>
          <w:b/>
          <w:bCs/>
          <w:color w:val="000000"/>
          <w:spacing w:val="4"/>
          <w:sz w:val="18"/>
          <w:szCs w:val="18"/>
          <w:lang w:val="es-ES_tradnl"/>
        </w:rPr>
        <w:t>RESUELVE:</w:t>
      </w:r>
    </w:p>
    <w:p w:rsidR="005F411F" w:rsidRPr="009122E2" w:rsidRDefault="005F411F" w:rsidP="005F411F">
      <w:pPr>
        <w:shd w:val="clear" w:color="auto" w:fill="FFFFFF"/>
        <w:ind w:left="27"/>
        <w:rPr>
          <w:rFonts w:ascii="Tahoma" w:hAnsi="Tahoma" w:cs="Tahoma"/>
          <w:sz w:val="18"/>
          <w:szCs w:val="18"/>
        </w:rPr>
      </w:pPr>
    </w:p>
    <w:p w:rsidR="005F411F" w:rsidRPr="009122E2" w:rsidRDefault="005F411F" w:rsidP="005F411F">
      <w:pPr>
        <w:shd w:val="clear" w:color="auto" w:fill="FFFFFF"/>
        <w:ind w:left="16" w:right="81"/>
        <w:jc w:val="both"/>
        <w:rPr>
          <w:rFonts w:ascii="Tahoma" w:hAnsi="Tahoma" w:cs="Tahoma"/>
          <w:sz w:val="18"/>
          <w:szCs w:val="18"/>
        </w:rPr>
      </w:pPr>
      <w:r w:rsidRPr="009122E2">
        <w:rPr>
          <w:rFonts w:ascii="Tahoma" w:hAnsi="Tahoma" w:cs="Tahoma"/>
          <w:b/>
          <w:color w:val="000000"/>
          <w:spacing w:val="4"/>
          <w:sz w:val="18"/>
          <w:szCs w:val="18"/>
          <w:lang w:val="es-ES_tradnl"/>
        </w:rPr>
        <w:t>Rechácese</w:t>
      </w:r>
      <w:r w:rsidRPr="009122E2">
        <w:rPr>
          <w:rFonts w:ascii="Tahoma" w:hAnsi="Tahoma" w:cs="Tahoma"/>
          <w:color w:val="000000"/>
          <w:spacing w:val="4"/>
          <w:sz w:val="18"/>
          <w:szCs w:val="18"/>
          <w:lang w:val="es-ES_tradnl"/>
        </w:rPr>
        <w:t xml:space="preserve"> la impugnación interpuesta por la accionante contra la providencia del </w:t>
      </w:r>
      <w:r w:rsidR="009122E2" w:rsidRPr="009122E2">
        <w:rPr>
          <w:rFonts w:ascii="Tahoma" w:hAnsi="Tahoma" w:cs="Tahoma"/>
          <w:color w:val="000000"/>
          <w:spacing w:val="4"/>
          <w:sz w:val="18"/>
          <w:szCs w:val="18"/>
          <w:lang w:val="es-ES_tradnl"/>
        </w:rPr>
        <w:t>27 de septiembre de 2018</w:t>
      </w:r>
      <w:r w:rsidRPr="009122E2">
        <w:rPr>
          <w:rFonts w:ascii="Tahoma" w:hAnsi="Tahoma" w:cs="Tahoma"/>
          <w:color w:val="000000"/>
          <w:spacing w:val="4"/>
          <w:sz w:val="18"/>
          <w:szCs w:val="18"/>
          <w:lang w:val="es-ES_tradnl"/>
        </w:rPr>
        <w:t>, por las razones expuestas en la parte motiva de la presente providencia.</w:t>
      </w:r>
    </w:p>
    <w:p w:rsidR="005F411F" w:rsidRPr="009122E2" w:rsidRDefault="005F411F" w:rsidP="005F411F">
      <w:pPr>
        <w:jc w:val="both"/>
        <w:rPr>
          <w:rFonts w:ascii="Tahoma" w:hAnsi="Tahoma" w:cs="Tahoma"/>
          <w:sz w:val="18"/>
          <w:szCs w:val="18"/>
        </w:rPr>
      </w:pPr>
    </w:p>
    <w:p w:rsidR="005F411F" w:rsidRPr="009122E2" w:rsidRDefault="005F411F" w:rsidP="005F411F">
      <w:pPr>
        <w:jc w:val="both"/>
        <w:rPr>
          <w:rFonts w:ascii="Tahoma" w:hAnsi="Tahoma" w:cs="Tahoma"/>
          <w:b/>
          <w:sz w:val="18"/>
          <w:szCs w:val="18"/>
          <w:lang w:val="es-MX"/>
        </w:rPr>
      </w:pPr>
      <w:r w:rsidRPr="009122E2">
        <w:rPr>
          <w:rFonts w:ascii="Tahoma" w:hAnsi="Tahoma" w:cs="Tahoma"/>
          <w:b/>
          <w:sz w:val="18"/>
          <w:szCs w:val="18"/>
          <w:lang w:val="es-MX"/>
        </w:rPr>
        <w:t>NOTIFÍQUESE Y CÚMPLASE,</w:t>
      </w:r>
    </w:p>
    <w:p w:rsidR="005F411F" w:rsidRPr="009122E2" w:rsidRDefault="005F411F" w:rsidP="005F411F">
      <w:pPr>
        <w:jc w:val="both"/>
        <w:rPr>
          <w:rFonts w:ascii="Tahoma" w:hAnsi="Tahoma" w:cs="Tahoma"/>
          <w:b/>
          <w:sz w:val="18"/>
          <w:szCs w:val="18"/>
          <w:lang w:val="es-MX"/>
        </w:rPr>
      </w:pPr>
    </w:p>
    <w:p w:rsidR="005F411F" w:rsidRPr="009122E2" w:rsidRDefault="005F411F" w:rsidP="005F411F">
      <w:pPr>
        <w:jc w:val="both"/>
        <w:rPr>
          <w:rFonts w:ascii="Tahoma" w:hAnsi="Tahoma" w:cs="Tahoma"/>
          <w:b/>
          <w:sz w:val="18"/>
          <w:szCs w:val="18"/>
          <w:lang w:val="es-MX"/>
        </w:rPr>
      </w:pPr>
    </w:p>
    <w:p w:rsidR="005F411F" w:rsidRPr="009122E2" w:rsidRDefault="005F411F" w:rsidP="005F411F">
      <w:pPr>
        <w:jc w:val="center"/>
        <w:rPr>
          <w:rFonts w:ascii="Tahoma" w:hAnsi="Tahoma" w:cs="Tahoma"/>
          <w:b/>
          <w:sz w:val="18"/>
          <w:szCs w:val="18"/>
          <w:lang w:val="es-MX"/>
        </w:rPr>
      </w:pPr>
      <w:r w:rsidRPr="009122E2">
        <w:rPr>
          <w:rFonts w:ascii="Tahoma" w:hAnsi="Tahoma" w:cs="Tahoma"/>
          <w:b/>
          <w:sz w:val="18"/>
          <w:szCs w:val="18"/>
          <w:lang w:val="es-MX"/>
        </w:rPr>
        <w:t>OLGA CECILIA HENAO MARÍN</w:t>
      </w:r>
    </w:p>
    <w:p w:rsidR="005F411F" w:rsidRPr="009122E2" w:rsidRDefault="005F411F" w:rsidP="005F411F">
      <w:pPr>
        <w:jc w:val="center"/>
        <w:rPr>
          <w:rFonts w:ascii="Tahoma" w:hAnsi="Tahoma" w:cs="Tahoma"/>
          <w:sz w:val="18"/>
          <w:szCs w:val="18"/>
          <w:lang w:val="es-MX"/>
        </w:rPr>
      </w:pPr>
      <w:r w:rsidRPr="009122E2">
        <w:rPr>
          <w:rFonts w:ascii="Tahoma" w:hAnsi="Tahoma" w:cs="Tahoma"/>
          <w:sz w:val="18"/>
          <w:szCs w:val="18"/>
          <w:lang w:val="es-MX"/>
        </w:rPr>
        <w:t>Juez</w:t>
      </w:r>
    </w:p>
    <w:p w:rsidR="005F411F" w:rsidRPr="009122E2" w:rsidRDefault="005F411F" w:rsidP="005F411F">
      <w:pPr>
        <w:rPr>
          <w:rFonts w:ascii="Tahoma" w:hAnsi="Tahoma" w:cs="Tahoma"/>
          <w:sz w:val="18"/>
          <w:szCs w:val="18"/>
        </w:rPr>
      </w:pPr>
    </w:p>
    <w:p w:rsidR="005F411F" w:rsidRPr="007A5F07" w:rsidRDefault="005F411F" w:rsidP="005F411F">
      <w:pPr>
        <w:rPr>
          <w:rFonts w:ascii="Tahoma" w:hAnsi="Tahoma" w:cs="Tahoma"/>
          <w:sz w:val="10"/>
          <w:szCs w:val="16"/>
        </w:rPr>
      </w:pPr>
      <w:r w:rsidRPr="009122E2">
        <w:rPr>
          <w:rFonts w:ascii="Tahoma" w:hAnsi="Tahoma" w:cs="Tahoma"/>
          <w:sz w:val="10"/>
          <w:szCs w:val="16"/>
        </w:rPr>
        <w:t>JBR</w:t>
      </w:r>
    </w:p>
    <w:sectPr w:rsidR="005F411F" w:rsidRPr="007A5F07" w:rsidSect="00E85EDA">
      <w:headerReference w:type="default" r:id="rId6"/>
      <w:footerReference w:type="default" r:id="rId7"/>
      <w:headerReference w:type="first" r:id="rId8"/>
      <w:pgSz w:w="12240" w:h="18720" w:code="14"/>
      <w:pgMar w:top="1417" w:right="1701" w:bottom="1417"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13D" w:rsidRDefault="008B213D" w:rsidP="005F411F">
      <w:r>
        <w:separator/>
      </w:r>
    </w:p>
  </w:endnote>
  <w:endnote w:type="continuationSeparator" w:id="0">
    <w:p w:rsidR="008B213D" w:rsidRDefault="008B213D" w:rsidP="005F4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4AA" w:rsidRPr="002257EC" w:rsidRDefault="008B213D" w:rsidP="003404AA">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13D" w:rsidRDefault="008B213D" w:rsidP="005F411F">
      <w:r>
        <w:separator/>
      </w:r>
    </w:p>
  </w:footnote>
  <w:footnote w:type="continuationSeparator" w:id="0">
    <w:p w:rsidR="008B213D" w:rsidRDefault="008B213D" w:rsidP="005F411F">
      <w:r>
        <w:continuationSeparator/>
      </w:r>
    </w:p>
  </w:footnote>
  <w:footnote w:id="1">
    <w:p w:rsidR="005F411F" w:rsidRPr="00DA7106" w:rsidRDefault="005F411F" w:rsidP="005F411F">
      <w:pPr>
        <w:pStyle w:val="Textonotapie"/>
        <w:jc w:val="both"/>
        <w:rPr>
          <w:i/>
          <w:sz w:val="12"/>
        </w:rPr>
      </w:pPr>
      <w:r w:rsidRPr="00DA7106">
        <w:rPr>
          <w:rStyle w:val="Refdenotaalpie"/>
          <w:sz w:val="12"/>
        </w:rPr>
        <w:footnoteRef/>
      </w:r>
      <w:r w:rsidRPr="00DA7106">
        <w:rPr>
          <w:sz w:val="12"/>
        </w:rPr>
        <w:t xml:space="preserve"> Hoy reemplazado por el 118 del CGP inciso segundo que dispone: “</w:t>
      </w:r>
      <w:r w:rsidRPr="00DA7106">
        <w:rPr>
          <w:i/>
          <w:sz w:val="12"/>
        </w:rPr>
        <w:t>El término que se conceda fuera de audiencia correrá a partir del día siguiente al de la notificación de la providencia que lo concedió”.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4AA" w:rsidRPr="00941FEC" w:rsidRDefault="009122E2" w:rsidP="003404AA">
    <w:pPr>
      <w:pStyle w:val="Encabezado"/>
      <w:jc w:val="right"/>
      <w:rPr>
        <w:rFonts w:ascii="Tahoma" w:hAnsi="Tahoma" w:cs="Tahoma"/>
        <w:sz w:val="18"/>
        <w:szCs w:val="18"/>
        <w:lang w:val="es-MX"/>
      </w:rPr>
    </w:pPr>
    <w:r>
      <w:rPr>
        <w:rFonts w:ascii="Tahoma" w:hAnsi="Tahoma" w:cs="Tahoma"/>
        <w:b/>
        <w:sz w:val="22"/>
        <w:szCs w:val="22"/>
        <w:lang w:val="es-MX"/>
      </w:rPr>
      <w:tab/>
    </w:r>
    <w:r w:rsidRPr="00941FEC">
      <w:rPr>
        <w:rFonts w:ascii="Tahoma" w:hAnsi="Tahoma" w:cs="Tahoma"/>
        <w:sz w:val="18"/>
        <w:szCs w:val="18"/>
        <w:lang w:val="es-MX"/>
      </w:rPr>
      <w:t>Expediente No. AP 2007-0</w:t>
    </w:r>
    <w:r>
      <w:rPr>
        <w:rFonts w:ascii="Tahoma" w:hAnsi="Tahoma" w:cs="Tahoma"/>
        <w:sz w:val="18"/>
        <w:szCs w:val="18"/>
        <w:lang w:val="es-MX"/>
      </w:rPr>
      <w:t>159</w:t>
    </w:r>
  </w:p>
  <w:p w:rsidR="003404AA" w:rsidRPr="00941FEC" w:rsidRDefault="009122E2" w:rsidP="003404AA">
    <w:pPr>
      <w:pStyle w:val="Encabezado"/>
      <w:jc w:val="right"/>
      <w:rPr>
        <w:rFonts w:ascii="Tahoma" w:hAnsi="Tahoma" w:cs="Tahoma"/>
        <w:sz w:val="18"/>
        <w:szCs w:val="18"/>
        <w:lang w:val="es-MX"/>
      </w:rPr>
    </w:pPr>
    <w:r w:rsidRPr="00941FEC">
      <w:rPr>
        <w:rFonts w:ascii="Tahoma" w:hAnsi="Tahoma" w:cs="Tahoma"/>
        <w:sz w:val="18"/>
        <w:szCs w:val="18"/>
        <w:lang w:val="es-MX"/>
      </w:rPr>
      <w:t>ADMITE DEMANDA</w:t>
    </w:r>
  </w:p>
  <w:p w:rsidR="003404AA" w:rsidRPr="00941FEC" w:rsidRDefault="009122E2" w:rsidP="003404AA">
    <w:pPr>
      <w:pStyle w:val="Encabezado"/>
      <w:jc w:val="right"/>
      <w:rPr>
        <w:rFonts w:ascii="Tahoma" w:hAnsi="Tahoma" w:cs="Tahoma"/>
        <w:sz w:val="18"/>
        <w:szCs w:val="18"/>
        <w:lang w:val="es-MX"/>
      </w:rPr>
    </w:pPr>
    <w:r w:rsidRPr="00941FEC">
      <w:rPr>
        <w:rFonts w:ascii="Tahoma" w:hAnsi="Tahoma" w:cs="Tahoma"/>
        <w:sz w:val="18"/>
        <w:szCs w:val="18"/>
        <w:lang w:val="es-MX"/>
      </w:rPr>
      <w:t xml:space="preserve">Páginas </w:t>
    </w:r>
    <w:r w:rsidRPr="00941FEC">
      <w:rPr>
        <w:rStyle w:val="Nmerodepgina"/>
        <w:rFonts w:ascii="Tahoma" w:hAnsi="Tahoma" w:cs="Tahoma"/>
        <w:sz w:val="18"/>
        <w:szCs w:val="18"/>
      </w:rPr>
      <w:fldChar w:fldCharType="begin"/>
    </w:r>
    <w:r w:rsidRPr="00941FEC">
      <w:rPr>
        <w:rStyle w:val="Nmerodepgina"/>
        <w:rFonts w:ascii="Tahoma" w:hAnsi="Tahoma" w:cs="Tahoma"/>
        <w:sz w:val="18"/>
        <w:szCs w:val="18"/>
      </w:rPr>
      <w:instrText xml:space="preserve"> PAGE </w:instrText>
    </w:r>
    <w:r w:rsidRPr="00941FEC">
      <w:rPr>
        <w:rStyle w:val="Nmerodepgina"/>
        <w:rFonts w:ascii="Tahoma" w:hAnsi="Tahoma" w:cs="Tahoma"/>
        <w:sz w:val="18"/>
        <w:szCs w:val="18"/>
      </w:rPr>
      <w:fldChar w:fldCharType="separate"/>
    </w:r>
    <w:r>
      <w:rPr>
        <w:rStyle w:val="Nmerodepgina"/>
        <w:rFonts w:ascii="Tahoma" w:hAnsi="Tahoma" w:cs="Tahoma"/>
        <w:noProof/>
        <w:sz w:val="18"/>
        <w:szCs w:val="18"/>
      </w:rPr>
      <w:t>2</w:t>
    </w:r>
    <w:r w:rsidRPr="00941FEC">
      <w:rPr>
        <w:rStyle w:val="Nmerodepgina"/>
        <w:rFonts w:ascii="Tahoma" w:hAnsi="Tahoma" w:cs="Tahoma"/>
        <w:sz w:val="18"/>
        <w:szCs w:val="18"/>
      </w:rPr>
      <w:fldChar w:fldCharType="end"/>
    </w:r>
    <w:r w:rsidRPr="00941FEC">
      <w:rPr>
        <w:rStyle w:val="Nmerodepgina"/>
        <w:rFonts w:ascii="Tahoma" w:hAnsi="Tahoma" w:cs="Tahoma"/>
        <w:sz w:val="18"/>
        <w:szCs w:val="18"/>
      </w:rPr>
      <w:t xml:space="preserve"> de </w:t>
    </w:r>
    <w:r w:rsidRPr="00941FEC">
      <w:rPr>
        <w:rStyle w:val="Nmerodepgina"/>
        <w:rFonts w:ascii="Tahoma" w:hAnsi="Tahoma" w:cs="Tahoma"/>
        <w:sz w:val="18"/>
        <w:szCs w:val="18"/>
      </w:rPr>
      <w:fldChar w:fldCharType="begin"/>
    </w:r>
    <w:r w:rsidRPr="00941FEC">
      <w:rPr>
        <w:rStyle w:val="Nmerodepgina"/>
        <w:rFonts w:ascii="Tahoma" w:hAnsi="Tahoma" w:cs="Tahoma"/>
        <w:sz w:val="18"/>
        <w:szCs w:val="18"/>
      </w:rPr>
      <w:instrText xml:space="preserve"> NUMPAGES </w:instrText>
    </w:r>
    <w:r w:rsidRPr="00941FEC">
      <w:rPr>
        <w:rStyle w:val="Nmerodepgina"/>
        <w:rFonts w:ascii="Tahoma" w:hAnsi="Tahoma" w:cs="Tahoma"/>
        <w:sz w:val="18"/>
        <w:szCs w:val="18"/>
      </w:rPr>
      <w:fldChar w:fldCharType="separate"/>
    </w:r>
    <w:r>
      <w:rPr>
        <w:rStyle w:val="Nmerodepgina"/>
        <w:rFonts w:ascii="Tahoma" w:hAnsi="Tahoma" w:cs="Tahoma"/>
        <w:noProof/>
        <w:sz w:val="18"/>
        <w:szCs w:val="18"/>
      </w:rPr>
      <w:t>2</w:t>
    </w:r>
    <w:r w:rsidRPr="00941FEC">
      <w:rPr>
        <w:rStyle w:val="Nmerodepgina"/>
        <w:rFonts w:ascii="Tahoma" w:hAnsi="Tahoma" w:cs="Tahoma"/>
        <w:sz w:val="18"/>
        <w:szCs w:val="18"/>
      </w:rPr>
      <w:fldChar w:fldCharType="end"/>
    </w:r>
  </w:p>
  <w:p w:rsidR="003404AA" w:rsidRDefault="008B213D" w:rsidP="003404AA">
    <w:pPr>
      <w:pStyle w:val="Encabezad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4AA" w:rsidRPr="00AA29E9" w:rsidRDefault="009122E2" w:rsidP="003404AA">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14:anchorId="36CFA56E" wp14:editId="570A2CA6">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3404AA" w:rsidRPr="00AA29E9" w:rsidRDefault="009122E2" w:rsidP="003404AA">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rsidR="003404AA" w:rsidRPr="00AA29E9" w:rsidRDefault="009122E2" w:rsidP="003404AA">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rsidR="003404AA" w:rsidRPr="00AA29E9" w:rsidRDefault="009122E2" w:rsidP="003404AA">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rsidR="003404AA" w:rsidRDefault="008B213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11F"/>
    <w:rsid w:val="00041F99"/>
    <w:rsid w:val="00167985"/>
    <w:rsid w:val="00380A99"/>
    <w:rsid w:val="004674B5"/>
    <w:rsid w:val="005F411F"/>
    <w:rsid w:val="008B213D"/>
    <w:rsid w:val="009122E2"/>
    <w:rsid w:val="0098707E"/>
    <w:rsid w:val="00A0729D"/>
    <w:rsid w:val="00B355E6"/>
    <w:rsid w:val="00C360B1"/>
    <w:rsid w:val="00CE47E9"/>
    <w:rsid w:val="00F877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E5A2CD-7637-465D-8DD1-1048F67A0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11F"/>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F411F"/>
    <w:pPr>
      <w:tabs>
        <w:tab w:val="center" w:pos="4252"/>
        <w:tab w:val="right" w:pos="8504"/>
      </w:tabs>
    </w:pPr>
  </w:style>
  <w:style w:type="character" w:customStyle="1" w:styleId="EncabezadoCar">
    <w:name w:val="Encabezado Car"/>
    <w:basedOn w:val="Fuentedeprrafopredeter"/>
    <w:link w:val="Encabezado"/>
    <w:rsid w:val="005F411F"/>
    <w:rPr>
      <w:rFonts w:ascii="Times New Roman" w:eastAsia="Times New Roman" w:hAnsi="Times New Roman" w:cs="Times New Roman"/>
      <w:sz w:val="24"/>
      <w:szCs w:val="24"/>
      <w:lang w:eastAsia="es-ES"/>
    </w:rPr>
  </w:style>
  <w:style w:type="paragraph" w:styleId="Piedepgina">
    <w:name w:val="footer"/>
    <w:basedOn w:val="Normal"/>
    <w:link w:val="PiedepginaCar"/>
    <w:rsid w:val="005F411F"/>
    <w:pPr>
      <w:tabs>
        <w:tab w:val="center" w:pos="4252"/>
        <w:tab w:val="right" w:pos="8504"/>
      </w:tabs>
    </w:pPr>
  </w:style>
  <w:style w:type="character" w:customStyle="1" w:styleId="PiedepginaCar">
    <w:name w:val="Pie de página Car"/>
    <w:basedOn w:val="Fuentedeprrafopredeter"/>
    <w:link w:val="Piedepgina"/>
    <w:rsid w:val="005F411F"/>
    <w:rPr>
      <w:rFonts w:ascii="Times New Roman" w:eastAsia="Times New Roman" w:hAnsi="Times New Roman" w:cs="Times New Roman"/>
      <w:sz w:val="24"/>
      <w:szCs w:val="24"/>
      <w:lang w:eastAsia="es-ES"/>
    </w:rPr>
  </w:style>
  <w:style w:type="character" w:styleId="Nmerodepgina">
    <w:name w:val="page number"/>
    <w:basedOn w:val="Fuentedeprrafopredeter"/>
    <w:rsid w:val="005F411F"/>
  </w:style>
  <w:style w:type="character" w:styleId="Hipervnculo">
    <w:name w:val="Hyperlink"/>
    <w:basedOn w:val="Fuentedeprrafopredeter"/>
    <w:uiPriority w:val="99"/>
    <w:unhideWhenUsed/>
    <w:rsid w:val="005F411F"/>
    <w:rPr>
      <w:color w:val="0000FF" w:themeColor="hyperlink"/>
      <w:u w:val="single"/>
    </w:rPr>
  </w:style>
  <w:style w:type="paragraph" w:styleId="Textonotapie">
    <w:name w:val="footnote text"/>
    <w:basedOn w:val="Normal"/>
    <w:link w:val="TextonotapieCar"/>
    <w:uiPriority w:val="99"/>
    <w:semiHidden/>
    <w:unhideWhenUsed/>
    <w:rsid w:val="005F411F"/>
    <w:rPr>
      <w:sz w:val="20"/>
      <w:szCs w:val="20"/>
    </w:rPr>
  </w:style>
  <w:style w:type="character" w:customStyle="1" w:styleId="TextonotapieCar">
    <w:name w:val="Texto nota pie Car"/>
    <w:basedOn w:val="Fuentedeprrafopredeter"/>
    <w:link w:val="Textonotapie"/>
    <w:uiPriority w:val="99"/>
    <w:semiHidden/>
    <w:rsid w:val="005F411F"/>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5F411F"/>
    <w:rPr>
      <w:vertAlign w:val="superscript"/>
    </w:rPr>
  </w:style>
  <w:style w:type="paragraph" w:styleId="Textodeglobo">
    <w:name w:val="Balloon Text"/>
    <w:basedOn w:val="Normal"/>
    <w:link w:val="TextodegloboCar"/>
    <w:uiPriority w:val="99"/>
    <w:semiHidden/>
    <w:unhideWhenUsed/>
    <w:rsid w:val="005F411F"/>
    <w:rPr>
      <w:rFonts w:ascii="Tahoma" w:hAnsi="Tahoma" w:cs="Tahoma"/>
      <w:sz w:val="16"/>
      <w:szCs w:val="16"/>
    </w:rPr>
  </w:style>
  <w:style w:type="character" w:customStyle="1" w:styleId="TextodegloboCar">
    <w:name w:val="Texto de globo Car"/>
    <w:basedOn w:val="Fuentedeprrafopredeter"/>
    <w:link w:val="Textodeglobo"/>
    <w:uiPriority w:val="99"/>
    <w:semiHidden/>
    <w:rsid w:val="005F411F"/>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564</Words>
  <Characters>3108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2</cp:revision>
  <dcterms:created xsi:type="dcterms:W3CDTF">2018-11-16T21:18:00Z</dcterms:created>
  <dcterms:modified xsi:type="dcterms:W3CDTF">2018-11-19T19:43:00Z</dcterms:modified>
</cp:coreProperties>
</file>