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35"/>
      </w:tblGrid>
      <w:tr w:rsidR="0030507B" w:rsidRPr="00683FBE" w:rsidTr="00D74644">
        <w:tc>
          <w:tcPr>
            <w:tcW w:w="1985" w:type="dxa"/>
          </w:tcPr>
          <w:p w:rsidR="0030507B" w:rsidRPr="00683FBE" w:rsidRDefault="0030507B" w:rsidP="00AC4F36">
            <w:pPr>
              <w:spacing w:after="0" w:line="240" w:lineRule="auto"/>
              <w:jc w:val="both"/>
              <w:rPr>
                <w:rFonts w:ascii="Arial Narrow" w:eastAsia="Calibri" w:hAnsi="Arial Narrow" w:cs="Arial"/>
                <w:sz w:val="20"/>
                <w:szCs w:val="20"/>
                <w:lang w:val="es-MX"/>
              </w:rPr>
            </w:pPr>
            <w:bookmarkStart w:id="0" w:name="_GoBack"/>
            <w:r w:rsidRPr="00683FBE">
              <w:rPr>
                <w:rFonts w:ascii="Arial Narrow" w:eastAsia="Calibri" w:hAnsi="Arial Narrow" w:cs="Arial"/>
                <w:sz w:val="20"/>
                <w:szCs w:val="20"/>
                <w:lang w:val="es-MX"/>
              </w:rPr>
              <w:t>CIUDAD Y FECHA</w:t>
            </w:r>
          </w:p>
        </w:tc>
        <w:tc>
          <w:tcPr>
            <w:tcW w:w="6735" w:type="dxa"/>
          </w:tcPr>
          <w:p w:rsidR="0030507B" w:rsidRPr="00683FBE" w:rsidRDefault="00D74644" w:rsidP="00D74644">
            <w:pPr>
              <w:spacing w:after="0" w:line="240" w:lineRule="auto"/>
              <w:rPr>
                <w:rFonts w:ascii="Arial Narrow" w:eastAsia="Calibri" w:hAnsi="Arial Narrow" w:cs="Arial"/>
                <w:b/>
                <w:sz w:val="20"/>
                <w:szCs w:val="20"/>
              </w:rPr>
            </w:pPr>
            <w:r w:rsidRPr="00683FBE">
              <w:rPr>
                <w:rFonts w:ascii="Arial Narrow" w:eastAsia="Calibri" w:hAnsi="Arial Narrow" w:cs="Arial"/>
                <w:b/>
                <w:sz w:val="20"/>
                <w:szCs w:val="20"/>
              </w:rPr>
              <w:t>Bogotá</w:t>
            </w:r>
            <w:r w:rsidR="00321CD5" w:rsidRPr="00683FBE">
              <w:rPr>
                <w:rFonts w:ascii="Arial Narrow" w:eastAsia="Calibri" w:hAnsi="Arial Narrow" w:cs="Arial"/>
                <w:b/>
                <w:sz w:val="20"/>
                <w:szCs w:val="20"/>
              </w:rPr>
              <w:t xml:space="preserve"> </w:t>
            </w:r>
            <w:r w:rsidRPr="00683FBE">
              <w:rPr>
                <w:rFonts w:ascii="Arial Narrow" w:eastAsia="Calibri" w:hAnsi="Arial Narrow" w:cs="Arial"/>
                <w:b/>
                <w:sz w:val="20"/>
                <w:szCs w:val="20"/>
              </w:rPr>
              <w:t xml:space="preserve">D.C.  </w:t>
            </w:r>
            <w:r w:rsidR="00DD2371" w:rsidRPr="00683FBE">
              <w:rPr>
                <w:rFonts w:ascii="Arial Narrow" w:eastAsia="Calibri" w:hAnsi="Arial Narrow" w:cs="Arial"/>
                <w:b/>
                <w:sz w:val="20"/>
                <w:szCs w:val="20"/>
              </w:rPr>
              <w:t>dos (2) de julio de dos mil diecinueve (2019)</w:t>
            </w:r>
          </w:p>
        </w:tc>
      </w:tr>
      <w:tr w:rsidR="0030507B" w:rsidRPr="00683FBE" w:rsidTr="00D74644">
        <w:tc>
          <w:tcPr>
            <w:tcW w:w="1985" w:type="dxa"/>
          </w:tcPr>
          <w:p w:rsidR="0030507B" w:rsidRPr="00683FBE" w:rsidRDefault="0030507B" w:rsidP="00AC4F36">
            <w:pPr>
              <w:spacing w:after="0" w:line="240" w:lineRule="auto"/>
              <w:jc w:val="both"/>
              <w:rPr>
                <w:rFonts w:ascii="Arial Narrow" w:eastAsia="Calibri" w:hAnsi="Arial Narrow" w:cs="Arial"/>
                <w:sz w:val="20"/>
                <w:szCs w:val="20"/>
                <w:lang w:val="es-MX"/>
              </w:rPr>
            </w:pPr>
            <w:r w:rsidRPr="00683FBE">
              <w:rPr>
                <w:rFonts w:ascii="Arial Narrow" w:eastAsia="Calibri" w:hAnsi="Arial Narrow" w:cs="Arial"/>
                <w:sz w:val="20"/>
                <w:szCs w:val="20"/>
                <w:lang w:val="es-MX"/>
              </w:rPr>
              <w:t>REFERENCIA</w:t>
            </w:r>
          </w:p>
        </w:tc>
        <w:tc>
          <w:tcPr>
            <w:tcW w:w="6735" w:type="dxa"/>
          </w:tcPr>
          <w:p w:rsidR="0030507B" w:rsidRPr="00683FBE" w:rsidRDefault="0030507B" w:rsidP="00AC4F36">
            <w:pPr>
              <w:spacing w:after="0" w:line="240" w:lineRule="auto"/>
              <w:jc w:val="both"/>
              <w:rPr>
                <w:rFonts w:ascii="Arial Narrow" w:hAnsi="Arial Narrow" w:cs="Arial"/>
                <w:b/>
                <w:sz w:val="20"/>
                <w:szCs w:val="20"/>
                <w:lang w:val="es-MX"/>
              </w:rPr>
            </w:pPr>
            <w:r w:rsidRPr="00683FBE">
              <w:rPr>
                <w:rFonts w:ascii="Arial Narrow" w:hAnsi="Arial Narrow" w:cs="Arial"/>
                <w:b/>
                <w:sz w:val="20"/>
                <w:szCs w:val="20"/>
                <w:lang w:val="es-ES_tradnl"/>
              </w:rPr>
              <w:t>Exped</w:t>
            </w:r>
            <w:r w:rsidR="00881A3D" w:rsidRPr="00683FBE">
              <w:rPr>
                <w:rFonts w:ascii="Arial Narrow" w:hAnsi="Arial Narrow" w:cs="Arial"/>
                <w:b/>
                <w:sz w:val="20"/>
                <w:szCs w:val="20"/>
                <w:lang w:val="es-ES_tradnl"/>
              </w:rPr>
              <w:t>iente No. 11001336034201500135</w:t>
            </w:r>
            <w:r w:rsidRPr="00683FBE">
              <w:rPr>
                <w:rFonts w:ascii="Arial Narrow" w:hAnsi="Arial Narrow" w:cs="Arial"/>
                <w:b/>
                <w:sz w:val="20"/>
                <w:szCs w:val="20"/>
                <w:lang w:val="es-ES_tradnl"/>
              </w:rPr>
              <w:t>00</w:t>
            </w:r>
          </w:p>
        </w:tc>
      </w:tr>
      <w:tr w:rsidR="0030507B" w:rsidRPr="00683FBE" w:rsidTr="00D74644">
        <w:tc>
          <w:tcPr>
            <w:tcW w:w="1985" w:type="dxa"/>
          </w:tcPr>
          <w:p w:rsidR="0030507B" w:rsidRPr="00683FBE" w:rsidRDefault="0030507B" w:rsidP="00AC4F36">
            <w:pPr>
              <w:spacing w:after="0" w:line="240" w:lineRule="auto"/>
              <w:jc w:val="both"/>
              <w:rPr>
                <w:rFonts w:ascii="Arial Narrow" w:eastAsia="Calibri" w:hAnsi="Arial Narrow" w:cs="Arial"/>
                <w:sz w:val="20"/>
                <w:szCs w:val="20"/>
                <w:lang w:val="es-MX"/>
              </w:rPr>
            </w:pPr>
            <w:r w:rsidRPr="00683FBE">
              <w:rPr>
                <w:rFonts w:ascii="Arial Narrow" w:eastAsia="Calibri" w:hAnsi="Arial Narrow" w:cs="Arial"/>
                <w:sz w:val="20"/>
                <w:szCs w:val="20"/>
                <w:lang w:val="es-MX"/>
              </w:rPr>
              <w:t>DEMANDANTE</w:t>
            </w:r>
          </w:p>
        </w:tc>
        <w:tc>
          <w:tcPr>
            <w:tcW w:w="6735" w:type="dxa"/>
          </w:tcPr>
          <w:p w:rsidR="0030507B" w:rsidRPr="00683FBE" w:rsidRDefault="00881A3D" w:rsidP="00AC4F36">
            <w:pPr>
              <w:pStyle w:val="Ttulo1"/>
              <w:rPr>
                <w:rFonts w:ascii="Arial Narrow" w:hAnsi="Arial Narrow" w:cs="Arial"/>
                <w:sz w:val="20"/>
                <w:szCs w:val="20"/>
              </w:rPr>
            </w:pPr>
            <w:r w:rsidRPr="00683FBE">
              <w:rPr>
                <w:rFonts w:ascii="Arial Narrow" w:hAnsi="Arial Narrow" w:cs="Arial"/>
                <w:sz w:val="20"/>
                <w:szCs w:val="20"/>
              </w:rPr>
              <w:t>VINDICO S.A.S</w:t>
            </w:r>
          </w:p>
        </w:tc>
      </w:tr>
      <w:tr w:rsidR="0030507B" w:rsidRPr="00683FBE" w:rsidTr="00D74644">
        <w:tc>
          <w:tcPr>
            <w:tcW w:w="1985" w:type="dxa"/>
          </w:tcPr>
          <w:p w:rsidR="0030507B" w:rsidRPr="00683FBE" w:rsidRDefault="0030507B" w:rsidP="00AC4F36">
            <w:pPr>
              <w:spacing w:after="0" w:line="240" w:lineRule="auto"/>
              <w:jc w:val="both"/>
              <w:rPr>
                <w:rFonts w:ascii="Arial Narrow" w:eastAsia="Calibri" w:hAnsi="Arial Narrow" w:cs="Arial"/>
                <w:sz w:val="20"/>
                <w:szCs w:val="20"/>
                <w:lang w:val="es-MX"/>
              </w:rPr>
            </w:pPr>
            <w:r w:rsidRPr="00683FBE">
              <w:rPr>
                <w:rFonts w:ascii="Arial Narrow" w:eastAsia="Calibri" w:hAnsi="Arial Narrow" w:cs="Arial"/>
                <w:sz w:val="20"/>
                <w:szCs w:val="20"/>
                <w:lang w:val="es-MX"/>
              </w:rPr>
              <w:t>DEMANDADO</w:t>
            </w:r>
          </w:p>
        </w:tc>
        <w:tc>
          <w:tcPr>
            <w:tcW w:w="6735" w:type="dxa"/>
          </w:tcPr>
          <w:p w:rsidR="0030507B" w:rsidRPr="00683FBE" w:rsidRDefault="00881A3D" w:rsidP="00AC4F36">
            <w:pPr>
              <w:spacing w:after="0" w:line="240" w:lineRule="auto"/>
              <w:jc w:val="both"/>
              <w:rPr>
                <w:rFonts w:ascii="Arial Narrow" w:hAnsi="Arial Narrow" w:cs="Arial"/>
                <w:b/>
                <w:sz w:val="20"/>
                <w:szCs w:val="20"/>
              </w:rPr>
            </w:pPr>
            <w:r w:rsidRPr="00683FBE">
              <w:rPr>
                <w:rFonts w:ascii="Arial Narrow" w:hAnsi="Arial Narrow" w:cs="Arial"/>
                <w:b/>
                <w:noProof/>
                <w:sz w:val="20"/>
                <w:szCs w:val="20"/>
              </w:rPr>
              <w:t>DISTRITO CAPITAL DE BOGOTÁ – FONDO DE VIGILANCIA Y SEGURIDAD DE BOGOTÁ D.C.</w:t>
            </w:r>
          </w:p>
        </w:tc>
      </w:tr>
      <w:tr w:rsidR="0030507B" w:rsidRPr="00683FBE" w:rsidTr="00D74644">
        <w:tc>
          <w:tcPr>
            <w:tcW w:w="1985" w:type="dxa"/>
          </w:tcPr>
          <w:p w:rsidR="0030507B" w:rsidRPr="00683FBE" w:rsidRDefault="0030507B" w:rsidP="00AC4F36">
            <w:pPr>
              <w:spacing w:after="0" w:line="240" w:lineRule="auto"/>
              <w:jc w:val="both"/>
              <w:rPr>
                <w:rFonts w:ascii="Arial Narrow" w:eastAsia="Calibri" w:hAnsi="Arial Narrow" w:cs="Arial"/>
                <w:sz w:val="20"/>
                <w:szCs w:val="20"/>
                <w:lang w:val="es-MX"/>
              </w:rPr>
            </w:pPr>
            <w:r w:rsidRPr="00683FBE">
              <w:rPr>
                <w:rFonts w:ascii="Arial Narrow" w:eastAsia="Calibri" w:hAnsi="Arial Narrow" w:cs="Arial"/>
                <w:sz w:val="20"/>
                <w:szCs w:val="20"/>
                <w:lang w:val="es-MX"/>
              </w:rPr>
              <w:t>MEDIO DE CONTROL</w:t>
            </w:r>
          </w:p>
        </w:tc>
        <w:tc>
          <w:tcPr>
            <w:tcW w:w="6735" w:type="dxa"/>
          </w:tcPr>
          <w:p w:rsidR="0030507B" w:rsidRPr="00683FBE" w:rsidRDefault="00DD2371" w:rsidP="00AC4F36">
            <w:pPr>
              <w:spacing w:after="0" w:line="240" w:lineRule="auto"/>
              <w:jc w:val="both"/>
              <w:rPr>
                <w:rFonts w:ascii="Arial Narrow" w:hAnsi="Arial Narrow" w:cs="Arial"/>
                <w:b/>
                <w:sz w:val="20"/>
                <w:szCs w:val="20"/>
                <w:lang w:val="es-MX"/>
              </w:rPr>
            </w:pPr>
            <w:r w:rsidRPr="00683FBE">
              <w:rPr>
                <w:rFonts w:ascii="Arial Narrow" w:hAnsi="Arial Narrow" w:cs="Arial"/>
                <w:b/>
                <w:sz w:val="20"/>
                <w:szCs w:val="20"/>
                <w:lang w:val="es-MX"/>
              </w:rPr>
              <w:t>CONTROVERSIAS CONTRACTUALES</w:t>
            </w:r>
          </w:p>
        </w:tc>
      </w:tr>
      <w:tr w:rsidR="0030507B" w:rsidRPr="00683FBE" w:rsidTr="00D74644">
        <w:tc>
          <w:tcPr>
            <w:tcW w:w="1985" w:type="dxa"/>
          </w:tcPr>
          <w:p w:rsidR="0030507B" w:rsidRPr="00683FBE" w:rsidRDefault="0030507B" w:rsidP="00AC4F36">
            <w:pPr>
              <w:spacing w:after="0" w:line="240" w:lineRule="auto"/>
              <w:jc w:val="both"/>
              <w:rPr>
                <w:rFonts w:ascii="Arial Narrow" w:eastAsia="Calibri" w:hAnsi="Arial Narrow" w:cs="Arial"/>
                <w:sz w:val="20"/>
                <w:szCs w:val="20"/>
              </w:rPr>
            </w:pPr>
            <w:r w:rsidRPr="00683FBE">
              <w:rPr>
                <w:rFonts w:ascii="Arial Narrow" w:eastAsia="Calibri" w:hAnsi="Arial Narrow" w:cs="Arial"/>
                <w:sz w:val="20"/>
                <w:szCs w:val="20"/>
              </w:rPr>
              <w:t>ASUNTO</w:t>
            </w:r>
          </w:p>
        </w:tc>
        <w:tc>
          <w:tcPr>
            <w:tcW w:w="6735" w:type="dxa"/>
          </w:tcPr>
          <w:p w:rsidR="0030507B" w:rsidRPr="00683FBE" w:rsidRDefault="006C41D3" w:rsidP="00AC4F36">
            <w:pPr>
              <w:spacing w:after="0" w:line="240" w:lineRule="auto"/>
              <w:jc w:val="both"/>
              <w:rPr>
                <w:rFonts w:ascii="Arial Narrow" w:eastAsia="Calibri" w:hAnsi="Arial Narrow" w:cs="Arial"/>
                <w:b/>
                <w:sz w:val="20"/>
                <w:szCs w:val="20"/>
              </w:rPr>
            </w:pPr>
            <w:r w:rsidRPr="00683FBE">
              <w:rPr>
                <w:rFonts w:ascii="Arial Narrow" w:eastAsia="Calibri" w:hAnsi="Arial Narrow" w:cs="Arial"/>
                <w:b/>
                <w:sz w:val="20"/>
                <w:szCs w:val="20"/>
              </w:rPr>
              <w:t>ADICIONA Y ACLARA</w:t>
            </w:r>
            <w:r w:rsidR="0030507B" w:rsidRPr="00683FBE">
              <w:rPr>
                <w:rFonts w:ascii="Arial Narrow" w:eastAsia="Calibri" w:hAnsi="Arial Narrow" w:cs="Arial"/>
                <w:b/>
                <w:sz w:val="20"/>
                <w:szCs w:val="20"/>
              </w:rPr>
              <w:t xml:space="preserve"> FALLO DE PRIMERA INSTANCIA</w:t>
            </w:r>
          </w:p>
        </w:tc>
      </w:tr>
      <w:bookmarkEnd w:id="0"/>
    </w:tbl>
    <w:p w:rsidR="0030507B" w:rsidRPr="00486E69" w:rsidRDefault="0030507B" w:rsidP="0030507B">
      <w:pPr>
        <w:spacing w:after="0" w:line="240" w:lineRule="auto"/>
        <w:jc w:val="both"/>
        <w:rPr>
          <w:rFonts w:ascii="Arial" w:eastAsia="Calibri" w:hAnsi="Arial" w:cs="Arial"/>
        </w:rPr>
      </w:pPr>
    </w:p>
    <w:p w:rsidR="0030507B" w:rsidRPr="00486E69" w:rsidRDefault="0030507B" w:rsidP="0030507B">
      <w:pPr>
        <w:jc w:val="both"/>
        <w:rPr>
          <w:rFonts w:ascii="Arial" w:hAnsi="Arial" w:cs="Arial"/>
        </w:rPr>
      </w:pPr>
      <w:r w:rsidRPr="00486E69">
        <w:rPr>
          <w:rFonts w:ascii="Arial" w:hAnsi="Arial" w:cs="Arial"/>
        </w:rPr>
        <w:t xml:space="preserve">La presente demanda pretende que se declare responsable a </w:t>
      </w:r>
      <w:r w:rsidR="00881A3D" w:rsidRPr="00486E69">
        <w:rPr>
          <w:rFonts w:ascii="Arial" w:hAnsi="Arial" w:cs="Arial"/>
          <w:b/>
        </w:rPr>
        <w:t>DISTRITO CAPITAL DE BOGOTÁ – FONDO DE VIGILANCIA Y SEGURIDAD DE BOGOTÁ D.C.</w:t>
      </w:r>
      <w:r w:rsidR="00881A3D" w:rsidRPr="00486E69">
        <w:rPr>
          <w:rFonts w:ascii="Arial" w:hAnsi="Arial" w:cs="Arial"/>
        </w:rPr>
        <w:t xml:space="preserve"> </w:t>
      </w:r>
      <w:r w:rsidRPr="00486E69">
        <w:rPr>
          <w:rFonts w:ascii="Arial" w:hAnsi="Arial" w:cs="Arial"/>
        </w:rPr>
        <w:t>por los perjuicios causados a</w:t>
      </w:r>
      <w:r w:rsidR="00881A3D" w:rsidRPr="00486E69">
        <w:rPr>
          <w:rFonts w:ascii="Arial" w:hAnsi="Arial" w:cs="Arial"/>
        </w:rPr>
        <w:t xml:space="preserve"> </w:t>
      </w:r>
      <w:r w:rsidR="00881A3D" w:rsidRPr="00486E69">
        <w:rPr>
          <w:rFonts w:ascii="Arial" w:hAnsi="Arial" w:cs="Arial"/>
          <w:b/>
        </w:rPr>
        <w:t>VINDICO S.A.S</w:t>
      </w:r>
      <w:r w:rsidRPr="00486E69">
        <w:rPr>
          <w:rFonts w:ascii="Arial" w:hAnsi="Arial" w:cs="Arial"/>
        </w:rPr>
        <w:t xml:space="preserve"> </w:t>
      </w:r>
      <w:r w:rsidR="00151735" w:rsidRPr="00486E69">
        <w:rPr>
          <w:rFonts w:ascii="Arial" w:hAnsi="Arial" w:cs="Arial"/>
        </w:rPr>
        <w:t xml:space="preserve">con ocasión  del incumplimiento contractual que se debió a causas atribuibles a la Entidad Contratante. </w:t>
      </w:r>
    </w:p>
    <w:p w:rsidR="0030507B" w:rsidRPr="00486E69" w:rsidRDefault="00151735" w:rsidP="0030507B">
      <w:pPr>
        <w:spacing w:after="0" w:line="240" w:lineRule="auto"/>
        <w:jc w:val="both"/>
        <w:rPr>
          <w:rFonts w:ascii="Arial" w:hAnsi="Arial" w:cs="Arial"/>
          <w:bCs/>
          <w:lang w:val="es-MX" w:eastAsia="es-ES"/>
        </w:rPr>
      </w:pPr>
      <w:r w:rsidRPr="00486E69">
        <w:rPr>
          <w:rFonts w:ascii="Arial" w:hAnsi="Arial" w:cs="Arial"/>
          <w:bCs/>
          <w:lang w:val="es-MX" w:eastAsia="es-ES"/>
        </w:rPr>
        <w:t>El 29</w:t>
      </w:r>
      <w:r w:rsidR="0030507B" w:rsidRPr="00486E69">
        <w:rPr>
          <w:rFonts w:ascii="Arial" w:hAnsi="Arial" w:cs="Arial"/>
          <w:bCs/>
          <w:lang w:val="es-MX" w:eastAsia="es-ES"/>
        </w:rPr>
        <w:t xml:space="preserve"> de </w:t>
      </w:r>
      <w:r w:rsidRPr="00486E69">
        <w:rPr>
          <w:rFonts w:ascii="Arial" w:hAnsi="Arial" w:cs="Arial"/>
          <w:bCs/>
          <w:lang w:val="es-MX" w:eastAsia="es-ES"/>
        </w:rPr>
        <w:t>marzo</w:t>
      </w:r>
      <w:r w:rsidR="0030507B" w:rsidRPr="00486E69">
        <w:rPr>
          <w:rFonts w:ascii="Arial" w:hAnsi="Arial" w:cs="Arial"/>
          <w:bCs/>
          <w:lang w:val="es-MX" w:eastAsia="es-ES"/>
        </w:rPr>
        <w:t xml:space="preserve"> de 201</w:t>
      </w:r>
      <w:r w:rsidRPr="00486E69">
        <w:rPr>
          <w:rFonts w:ascii="Arial" w:hAnsi="Arial" w:cs="Arial"/>
          <w:bCs/>
          <w:lang w:val="es-MX" w:eastAsia="es-ES"/>
        </w:rPr>
        <w:t>9</w:t>
      </w:r>
      <w:r w:rsidR="0030507B" w:rsidRPr="00486E69">
        <w:rPr>
          <w:rFonts w:ascii="Arial" w:hAnsi="Arial" w:cs="Arial"/>
          <w:bCs/>
          <w:lang w:val="es-MX" w:eastAsia="es-ES"/>
        </w:rPr>
        <w:t xml:space="preserve"> se profirió fallo de primera instancia accediendo a las pretensiones de la demanda</w:t>
      </w:r>
      <w:r w:rsidR="0030507B" w:rsidRPr="00486E69">
        <w:rPr>
          <w:rStyle w:val="Refdenotaalpie"/>
          <w:rFonts w:ascii="Arial" w:hAnsi="Arial" w:cs="Arial"/>
          <w:bCs/>
          <w:lang w:val="es-MX" w:eastAsia="es-ES"/>
        </w:rPr>
        <w:footnoteReference w:id="1"/>
      </w:r>
      <w:r w:rsidR="0030507B" w:rsidRPr="00486E69">
        <w:rPr>
          <w:rFonts w:ascii="Arial" w:hAnsi="Arial" w:cs="Arial"/>
          <w:bCs/>
          <w:lang w:val="es-MX" w:eastAsia="es-ES"/>
        </w:rPr>
        <w:t>.</w:t>
      </w:r>
    </w:p>
    <w:p w:rsidR="0030507B" w:rsidRPr="00486E69" w:rsidRDefault="0030507B" w:rsidP="0030507B">
      <w:pPr>
        <w:spacing w:after="0" w:line="240" w:lineRule="auto"/>
        <w:jc w:val="both"/>
        <w:rPr>
          <w:rFonts w:ascii="Arial" w:hAnsi="Arial" w:cs="Arial"/>
          <w:bCs/>
          <w:color w:val="FF0000"/>
          <w:lang w:val="es-MX" w:eastAsia="es-ES"/>
        </w:rPr>
      </w:pPr>
    </w:p>
    <w:p w:rsidR="0030507B" w:rsidRPr="00486E69" w:rsidRDefault="0030507B" w:rsidP="0030507B">
      <w:pPr>
        <w:spacing w:after="0" w:line="240" w:lineRule="auto"/>
        <w:jc w:val="both"/>
        <w:rPr>
          <w:rFonts w:ascii="Arial" w:hAnsi="Arial" w:cs="Arial"/>
          <w:bCs/>
          <w:lang w:val="es-MX" w:eastAsia="es-ES"/>
        </w:rPr>
      </w:pPr>
      <w:r w:rsidRPr="00486E69">
        <w:rPr>
          <w:rFonts w:ascii="Arial" w:hAnsi="Arial" w:cs="Arial"/>
          <w:bCs/>
          <w:lang w:val="es-MX" w:eastAsia="es-ES"/>
        </w:rPr>
        <w:t xml:space="preserve">Con memorial radicado el </w:t>
      </w:r>
      <w:r w:rsidR="00010BE7" w:rsidRPr="00486E69">
        <w:rPr>
          <w:rFonts w:ascii="Arial" w:hAnsi="Arial" w:cs="Arial"/>
          <w:bCs/>
          <w:lang w:val="es-MX" w:eastAsia="es-ES"/>
        </w:rPr>
        <w:t>04</w:t>
      </w:r>
      <w:r w:rsidRPr="00486E69">
        <w:rPr>
          <w:rFonts w:ascii="Arial" w:hAnsi="Arial" w:cs="Arial"/>
          <w:bCs/>
          <w:lang w:val="es-MX" w:eastAsia="es-ES"/>
        </w:rPr>
        <w:t xml:space="preserve"> de </w:t>
      </w:r>
      <w:r w:rsidR="00010BE7" w:rsidRPr="00486E69">
        <w:rPr>
          <w:rFonts w:ascii="Arial" w:hAnsi="Arial" w:cs="Arial"/>
          <w:bCs/>
          <w:lang w:val="es-MX" w:eastAsia="es-ES"/>
        </w:rPr>
        <w:t>abril de 2019</w:t>
      </w:r>
      <w:r w:rsidRPr="00486E69">
        <w:rPr>
          <w:rFonts w:ascii="Arial" w:hAnsi="Arial" w:cs="Arial"/>
          <w:bCs/>
          <w:lang w:val="es-MX" w:eastAsia="es-ES"/>
        </w:rPr>
        <w:t xml:space="preserve"> </w:t>
      </w:r>
      <w:r w:rsidR="00010BE7" w:rsidRPr="00486E69">
        <w:rPr>
          <w:rFonts w:ascii="Arial" w:hAnsi="Arial" w:cs="Arial"/>
          <w:bCs/>
          <w:lang w:val="es-MX" w:eastAsia="es-ES"/>
        </w:rPr>
        <w:t xml:space="preserve">el apoderado del llamado en garantía, ARQUITECTA URBANA-CONSORCIO AU &amp; GO </w:t>
      </w:r>
      <w:r w:rsidRPr="00486E69">
        <w:rPr>
          <w:rFonts w:ascii="Arial" w:hAnsi="Arial" w:cs="Arial"/>
          <w:bCs/>
          <w:lang w:val="es-MX" w:eastAsia="es-ES"/>
        </w:rPr>
        <w:t xml:space="preserve">solicitó </w:t>
      </w:r>
      <w:r w:rsidR="00010BE7" w:rsidRPr="00486E69">
        <w:rPr>
          <w:rFonts w:ascii="Arial" w:hAnsi="Arial" w:cs="Arial"/>
          <w:bCs/>
          <w:lang w:val="es-MX" w:eastAsia="es-ES"/>
        </w:rPr>
        <w:t>aclaración y adición de</w:t>
      </w:r>
      <w:r w:rsidRPr="00486E69">
        <w:rPr>
          <w:rFonts w:ascii="Arial" w:hAnsi="Arial" w:cs="Arial"/>
          <w:bCs/>
          <w:lang w:val="es-MX" w:eastAsia="es-ES"/>
        </w:rPr>
        <w:t xml:space="preserve"> la sentencia</w:t>
      </w:r>
      <w:r w:rsidR="00717A22" w:rsidRPr="00486E69">
        <w:rPr>
          <w:rFonts w:ascii="Arial" w:hAnsi="Arial" w:cs="Arial"/>
          <w:bCs/>
          <w:lang w:val="es-MX" w:eastAsia="es-ES"/>
        </w:rPr>
        <w:t xml:space="preserve"> en el sentido de que se exonerara a su representada de responsabilidad alguna</w:t>
      </w:r>
      <w:r w:rsidRPr="00486E69">
        <w:rPr>
          <w:rStyle w:val="Refdenotaalpie"/>
          <w:rFonts w:ascii="Arial" w:hAnsi="Arial" w:cs="Arial"/>
          <w:bCs/>
          <w:lang w:val="es-MX" w:eastAsia="es-ES"/>
        </w:rPr>
        <w:footnoteReference w:id="2"/>
      </w:r>
      <w:r w:rsidRPr="00486E69">
        <w:rPr>
          <w:rFonts w:ascii="Arial" w:hAnsi="Arial" w:cs="Arial"/>
          <w:bCs/>
          <w:lang w:val="es-MX" w:eastAsia="es-ES"/>
        </w:rPr>
        <w:t>.</w:t>
      </w:r>
    </w:p>
    <w:p w:rsidR="00010BE7" w:rsidRPr="00486E69" w:rsidRDefault="00010BE7" w:rsidP="0030507B">
      <w:pPr>
        <w:spacing w:after="0" w:line="240" w:lineRule="auto"/>
        <w:jc w:val="both"/>
        <w:rPr>
          <w:rFonts w:ascii="Arial" w:hAnsi="Arial" w:cs="Arial"/>
          <w:bCs/>
          <w:lang w:val="es-MX" w:eastAsia="es-ES"/>
        </w:rPr>
      </w:pPr>
    </w:p>
    <w:p w:rsidR="00010BE7" w:rsidRPr="00486E69" w:rsidRDefault="00010BE7" w:rsidP="00010BE7">
      <w:pPr>
        <w:spacing w:after="0" w:line="240" w:lineRule="auto"/>
        <w:jc w:val="both"/>
        <w:rPr>
          <w:rFonts w:ascii="Arial" w:hAnsi="Arial" w:cs="Arial"/>
          <w:bCs/>
          <w:lang w:val="es-MX" w:eastAsia="es-ES"/>
        </w:rPr>
      </w:pPr>
      <w:r w:rsidRPr="00486E69">
        <w:rPr>
          <w:rFonts w:ascii="Arial" w:hAnsi="Arial" w:cs="Arial"/>
          <w:bCs/>
          <w:lang w:val="es-MX" w:eastAsia="es-ES"/>
        </w:rPr>
        <w:t>Con memorial radicado el 09 de abril de 2019 el apoderado de la parte demandante solicitó aclaración de la sentencia</w:t>
      </w:r>
      <w:r w:rsidR="00717A22" w:rsidRPr="00486E69">
        <w:rPr>
          <w:rFonts w:ascii="Arial" w:hAnsi="Arial" w:cs="Arial"/>
          <w:bCs/>
          <w:lang w:val="es-MX" w:eastAsia="es-ES"/>
        </w:rPr>
        <w:t xml:space="preserve"> en el sentido de que se consigne que se niegan las demás pretensiones de la demanda</w:t>
      </w:r>
      <w:r w:rsidRPr="00486E69">
        <w:rPr>
          <w:rStyle w:val="Refdenotaalpie"/>
          <w:rFonts w:ascii="Arial" w:hAnsi="Arial" w:cs="Arial"/>
          <w:bCs/>
          <w:lang w:val="es-MX" w:eastAsia="es-ES"/>
        </w:rPr>
        <w:footnoteReference w:id="3"/>
      </w:r>
      <w:r w:rsidRPr="00486E69">
        <w:rPr>
          <w:rFonts w:ascii="Arial" w:hAnsi="Arial" w:cs="Arial"/>
          <w:bCs/>
          <w:lang w:val="es-MX" w:eastAsia="es-ES"/>
        </w:rPr>
        <w:t>.</w:t>
      </w:r>
    </w:p>
    <w:p w:rsidR="0030507B" w:rsidRPr="00486E69" w:rsidRDefault="0030507B" w:rsidP="0030507B">
      <w:pPr>
        <w:spacing w:after="0" w:line="240" w:lineRule="auto"/>
        <w:jc w:val="both"/>
        <w:rPr>
          <w:rFonts w:ascii="Arial" w:hAnsi="Arial" w:cs="Arial"/>
          <w:bCs/>
          <w:color w:val="FF0000"/>
          <w:lang w:val="es-MX" w:eastAsia="es-ES"/>
        </w:rPr>
      </w:pPr>
    </w:p>
    <w:p w:rsidR="0030507B" w:rsidRPr="00486E69" w:rsidRDefault="0030507B" w:rsidP="0030507B">
      <w:pPr>
        <w:spacing w:after="0" w:line="240" w:lineRule="auto"/>
        <w:jc w:val="both"/>
        <w:rPr>
          <w:rFonts w:ascii="Arial" w:hAnsi="Arial" w:cs="Arial"/>
          <w:color w:val="000000"/>
          <w:lang w:val="es-ES_tradnl"/>
        </w:rPr>
      </w:pPr>
      <w:r w:rsidRPr="00486E69">
        <w:rPr>
          <w:rFonts w:ascii="Arial" w:hAnsi="Arial" w:cs="Arial"/>
          <w:color w:val="000000"/>
          <w:lang w:val="es-ES_tradnl"/>
        </w:rPr>
        <w:t xml:space="preserve">En informe secretarial del </w:t>
      </w:r>
      <w:r w:rsidR="00010BE7" w:rsidRPr="00486E69">
        <w:rPr>
          <w:rFonts w:ascii="Arial" w:hAnsi="Arial" w:cs="Arial"/>
          <w:color w:val="000000"/>
          <w:lang w:val="es-ES_tradnl"/>
        </w:rPr>
        <w:t>3</w:t>
      </w:r>
      <w:r w:rsidRPr="00486E69">
        <w:rPr>
          <w:rFonts w:ascii="Arial" w:hAnsi="Arial" w:cs="Arial"/>
          <w:color w:val="000000"/>
          <w:lang w:val="es-ES_tradnl"/>
        </w:rPr>
        <w:t xml:space="preserve"> de </w:t>
      </w:r>
      <w:r w:rsidR="00010BE7" w:rsidRPr="00486E69">
        <w:rPr>
          <w:rFonts w:ascii="Arial" w:hAnsi="Arial" w:cs="Arial"/>
          <w:color w:val="000000"/>
          <w:lang w:val="es-ES_tradnl"/>
        </w:rPr>
        <w:t>mayo</w:t>
      </w:r>
      <w:r w:rsidRPr="00486E69">
        <w:rPr>
          <w:rFonts w:ascii="Arial" w:hAnsi="Arial" w:cs="Arial"/>
          <w:color w:val="000000"/>
          <w:lang w:val="es-ES_tradnl"/>
        </w:rPr>
        <w:t xml:space="preserve"> de 2019 se anotó: “SOLICITUD DE </w:t>
      </w:r>
      <w:r w:rsidR="00010BE7" w:rsidRPr="00486E69">
        <w:rPr>
          <w:rFonts w:ascii="Arial" w:hAnsi="Arial" w:cs="Arial"/>
          <w:color w:val="000000"/>
          <w:lang w:val="es-ES_tradnl"/>
        </w:rPr>
        <w:t>ACLARACIÓN Y ADICIÓN</w:t>
      </w:r>
      <w:r w:rsidRPr="00486E69">
        <w:rPr>
          <w:rFonts w:ascii="Arial" w:hAnsi="Arial" w:cs="Arial"/>
          <w:color w:val="000000"/>
          <w:lang w:val="es-ES_tradnl"/>
        </w:rPr>
        <w:t xml:space="preserve"> DE SENTENCIA </w:t>
      </w:r>
      <w:r w:rsidR="00010BE7" w:rsidRPr="00486E69">
        <w:rPr>
          <w:rFonts w:ascii="Arial" w:hAnsi="Arial" w:cs="Arial"/>
          <w:color w:val="000000"/>
          <w:lang w:val="es-ES_tradnl"/>
        </w:rPr>
        <w:t>POR ARQUITECTA URBANA</w:t>
      </w:r>
      <w:r w:rsidRPr="00486E69">
        <w:rPr>
          <w:rFonts w:ascii="Arial" w:hAnsi="Arial" w:cs="Arial"/>
          <w:color w:val="000000"/>
          <w:lang w:val="es-ES_tradnl"/>
        </w:rPr>
        <w:t xml:space="preserve"> (</w:t>
      </w:r>
      <w:r w:rsidR="00010BE7" w:rsidRPr="00486E69">
        <w:rPr>
          <w:rFonts w:ascii="Arial" w:hAnsi="Arial" w:cs="Arial"/>
          <w:color w:val="000000"/>
          <w:lang w:val="es-ES_tradnl"/>
        </w:rPr>
        <w:t>ABRIL 4</w:t>
      </w:r>
      <w:r w:rsidRPr="00486E69">
        <w:rPr>
          <w:rFonts w:ascii="Arial" w:hAnsi="Arial" w:cs="Arial"/>
          <w:color w:val="000000"/>
          <w:lang w:val="es-ES_tradnl"/>
        </w:rPr>
        <w:t xml:space="preserve"> DE 201</w:t>
      </w:r>
      <w:r w:rsidR="00010BE7" w:rsidRPr="00486E69">
        <w:rPr>
          <w:rFonts w:ascii="Arial" w:hAnsi="Arial" w:cs="Arial"/>
          <w:color w:val="000000"/>
          <w:lang w:val="es-ES_tradnl"/>
        </w:rPr>
        <w:t>9</w:t>
      </w:r>
      <w:r w:rsidRPr="00486E69">
        <w:rPr>
          <w:rFonts w:ascii="Arial" w:hAnsi="Arial" w:cs="Arial"/>
          <w:color w:val="000000"/>
          <w:lang w:val="es-ES_tradnl"/>
        </w:rPr>
        <w:t>)</w:t>
      </w:r>
      <w:r w:rsidRPr="00486E69">
        <w:rPr>
          <w:rFonts w:ascii="Arial" w:hAnsi="Arial" w:cs="Arial"/>
          <w:i/>
          <w:color w:val="000000"/>
          <w:lang w:val="es-ES_tradnl"/>
        </w:rPr>
        <w:t xml:space="preserve"> (…) </w:t>
      </w:r>
      <w:r w:rsidR="00010BE7" w:rsidRPr="00486E69">
        <w:rPr>
          <w:rFonts w:ascii="Arial" w:hAnsi="Arial" w:cs="Arial"/>
          <w:i/>
          <w:color w:val="000000"/>
          <w:lang w:val="es-ES_tradnl"/>
        </w:rPr>
        <w:t>SOLICITUD DE ACLARACIÓN DE SENTENCIA POR VINDIC</w:t>
      </w:r>
      <w:r w:rsidR="00D3459F" w:rsidRPr="00486E69">
        <w:rPr>
          <w:rFonts w:ascii="Arial" w:hAnsi="Arial" w:cs="Arial"/>
          <w:i/>
          <w:color w:val="000000"/>
          <w:lang w:val="es-ES_tradnl"/>
        </w:rPr>
        <w:t>O</w:t>
      </w:r>
      <w:r w:rsidR="00010BE7" w:rsidRPr="00486E69">
        <w:rPr>
          <w:rFonts w:ascii="Arial" w:hAnsi="Arial" w:cs="Arial"/>
          <w:i/>
          <w:color w:val="000000"/>
          <w:lang w:val="es-ES_tradnl"/>
        </w:rPr>
        <w:t xml:space="preserve"> SAS (ABRIL 9 DE 2019). </w:t>
      </w:r>
      <w:r w:rsidRPr="00486E69">
        <w:rPr>
          <w:rFonts w:ascii="Arial" w:hAnsi="Arial" w:cs="Arial"/>
          <w:i/>
          <w:color w:val="000000"/>
          <w:lang w:val="es-ES_tradnl"/>
        </w:rPr>
        <w:t>SIRVASE PROVEER</w:t>
      </w:r>
      <w:r w:rsidRPr="00486E69">
        <w:rPr>
          <w:rStyle w:val="Refdenotaalpie"/>
          <w:rFonts w:ascii="Arial" w:hAnsi="Arial" w:cs="Arial"/>
          <w:i/>
          <w:color w:val="000000"/>
          <w:lang w:val="es-ES_tradnl"/>
        </w:rPr>
        <w:footnoteReference w:id="4"/>
      </w:r>
      <w:r w:rsidRPr="00486E69">
        <w:rPr>
          <w:rFonts w:ascii="Arial" w:hAnsi="Arial" w:cs="Arial"/>
          <w:i/>
          <w:color w:val="000000"/>
          <w:lang w:val="es-ES_tradnl"/>
        </w:rPr>
        <w:t>.”</w:t>
      </w:r>
    </w:p>
    <w:p w:rsidR="0030507B" w:rsidRPr="00486E69" w:rsidRDefault="0030507B" w:rsidP="0030507B">
      <w:pPr>
        <w:spacing w:after="0" w:line="240" w:lineRule="auto"/>
        <w:jc w:val="both"/>
        <w:rPr>
          <w:rFonts w:ascii="Arial" w:hAnsi="Arial" w:cs="Arial"/>
          <w:color w:val="000000"/>
          <w:lang w:val="es-ES_tradnl"/>
        </w:rPr>
      </w:pPr>
    </w:p>
    <w:p w:rsidR="0030507B" w:rsidRPr="00486E69" w:rsidRDefault="0030507B" w:rsidP="0030507B">
      <w:pPr>
        <w:spacing w:after="0" w:line="240" w:lineRule="auto"/>
        <w:jc w:val="both"/>
        <w:rPr>
          <w:rFonts w:ascii="Arial" w:hAnsi="Arial" w:cs="Arial"/>
          <w:lang w:val="es-MX" w:eastAsia="es-ES"/>
        </w:rPr>
      </w:pPr>
      <w:r w:rsidRPr="00486E69">
        <w:rPr>
          <w:rFonts w:ascii="Arial" w:hAnsi="Arial" w:cs="Arial"/>
          <w:lang w:val="es-MX" w:eastAsia="es-ES"/>
        </w:rPr>
        <w:t>Procede el Despacho a pronunciarse sobre lo anotado.</w:t>
      </w:r>
    </w:p>
    <w:p w:rsidR="0030507B" w:rsidRPr="00486E69" w:rsidRDefault="0030507B" w:rsidP="0030507B">
      <w:pPr>
        <w:spacing w:after="0" w:line="240" w:lineRule="auto"/>
        <w:jc w:val="both"/>
        <w:rPr>
          <w:rFonts w:ascii="Arial" w:hAnsi="Arial" w:cs="Arial"/>
          <w:color w:val="000000"/>
          <w:lang w:val="es-MX"/>
        </w:rPr>
      </w:pPr>
    </w:p>
    <w:p w:rsidR="0030507B" w:rsidRPr="00486E69" w:rsidRDefault="0030507B" w:rsidP="0030507B">
      <w:pPr>
        <w:spacing w:after="0" w:line="240" w:lineRule="auto"/>
        <w:jc w:val="center"/>
        <w:rPr>
          <w:rFonts w:ascii="Arial" w:hAnsi="Arial" w:cs="Arial"/>
          <w:b/>
          <w:noProof/>
        </w:rPr>
      </w:pPr>
      <w:r w:rsidRPr="00486E69">
        <w:rPr>
          <w:rFonts w:ascii="Arial" w:hAnsi="Arial" w:cs="Arial"/>
          <w:b/>
          <w:noProof/>
        </w:rPr>
        <w:t>CONSIDERACIONES:</w:t>
      </w:r>
    </w:p>
    <w:p w:rsidR="0030507B" w:rsidRPr="00486E69" w:rsidRDefault="0030507B" w:rsidP="0030507B">
      <w:pPr>
        <w:tabs>
          <w:tab w:val="left" w:pos="426"/>
        </w:tabs>
        <w:spacing w:after="0" w:line="240" w:lineRule="auto"/>
        <w:jc w:val="both"/>
        <w:rPr>
          <w:rFonts w:ascii="Arial" w:hAnsi="Arial" w:cs="Arial"/>
          <w:b/>
          <w:bCs/>
          <w:lang w:val="es-MX" w:eastAsia="es-ES"/>
        </w:rPr>
      </w:pPr>
      <w:r w:rsidRPr="00486E69">
        <w:rPr>
          <w:rFonts w:ascii="Arial" w:hAnsi="Arial" w:cs="Arial"/>
          <w:b/>
          <w:bCs/>
          <w:lang w:val="es-MX" w:eastAsia="es-ES"/>
        </w:rPr>
        <w:t xml:space="preserve">1. De la normatividad: </w:t>
      </w:r>
    </w:p>
    <w:p w:rsidR="0030507B" w:rsidRPr="00486E69" w:rsidRDefault="0030507B" w:rsidP="0030507B">
      <w:pPr>
        <w:tabs>
          <w:tab w:val="left" w:pos="426"/>
        </w:tabs>
        <w:spacing w:after="0" w:line="240" w:lineRule="auto"/>
        <w:jc w:val="both"/>
        <w:rPr>
          <w:rFonts w:ascii="Arial" w:hAnsi="Arial" w:cs="Arial"/>
          <w:b/>
          <w:bCs/>
          <w:lang w:val="es-MX" w:eastAsia="es-ES"/>
        </w:rPr>
      </w:pPr>
    </w:p>
    <w:p w:rsidR="0030507B" w:rsidRPr="00486E69" w:rsidRDefault="0030507B" w:rsidP="0030507B">
      <w:pPr>
        <w:tabs>
          <w:tab w:val="left" w:pos="426"/>
        </w:tabs>
        <w:spacing w:after="0" w:line="240" w:lineRule="auto"/>
        <w:jc w:val="both"/>
        <w:rPr>
          <w:rFonts w:ascii="Arial" w:hAnsi="Arial" w:cs="Arial"/>
          <w:bCs/>
          <w:i/>
          <w:lang w:val="es-MX" w:eastAsia="es-ES"/>
        </w:rPr>
      </w:pPr>
      <w:r w:rsidRPr="00486E69">
        <w:rPr>
          <w:rFonts w:ascii="Arial" w:hAnsi="Arial" w:cs="Arial"/>
          <w:bCs/>
          <w:lang w:val="es-MX" w:eastAsia="es-ES"/>
        </w:rPr>
        <w:t>El Código General Del Proceso en su artículo 286, corrección de errores aritméticos y otros</w:t>
      </w:r>
      <w:r w:rsidRPr="00486E69">
        <w:rPr>
          <w:rFonts w:ascii="Arial" w:hAnsi="Arial" w:cs="Arial"/>
          <w:bCs/>
          <w:i/>
          <w:lang w:val="es-MX" w:eastAsia="es-ES"/>
        </w:rPr>
        <w:t xml:space="preserve">. </w:t>
      </w:r>
      <w:r w:rsidRPr="00486E69">
        <w:rPr>
          <w:rFonts w:ascii="Arial" w:hAnsi="Arial" w:cs="Arial"/>
          <w:i/>
          <w:lang w:val="es-MX" w:eastAsia="es-ES"/>
        </w:rPr>
        <w:t>“Toda providencia en que se haya incurrido en error puramente aritmético puede ser corregida por el juez que la dictó en cualquier tiempo, de oficio o a solicitud de parte, mediante auto.</w:t>
      </w:r>
    </w:p>
    <w:p w:rsidR="0030507B" w:rsidRPr="00486E69" w:rsidRDefault="0030507B" w:rsidP="0030507B">
      <w:pPr>
        <w:pStyle w:val="Sinespaciado"/>
        <w:jc w:val="both"/>
        <w:rPr>
          <w:rFonts w:ascii="Arial" w:eastAsiaTheme="minorHAnsi" w:hAnsi="Arial" w:cs="Arial"/>
          <w:i/>
          <w:lang w:val="es-MX" w:eastAsia="es-ES"/>
        </w:rPr>
      </w:pPr>
    </w:p>
    <w:p w:rsidR="0030507B" w:rsidRPr="00486E69" w:rsidRDefault="0030507B" w:rsidP="0030507B">
      <w:pPr>
        <w:pStyle w:val="Sinespaciado"/>
        <w:jc w:val="both"/>
        <w:rPr>
          <w:rFonts w:ascii="Arial" w:eastAsiaTheme="minorHAnsi" w:hAnsi="Arial" w:cs="Arial"/>
          <w:i/>
          <w:lang w:val="es-MX" w:eastAsia="es-ES"/>
        </w:rPr>
      </w:pPr>
      <w:r w:rsidRPr="00486E69">
        <w:rPr>
          <w:rFonts w:ascii="Arial" w:eastAsiaTheme="minorHAnsi" w:hAnsi="Arial" w:cs="Arial"/>
          <w:i/>
          <w:lang w:val="es-MX" w:eastAsia="es-ES"/>
        </w:rPr>
        <w:t>Si la corrección se hiciere luego de terminado el proceso, el auto se notificará por aviso.</w:t>
      </w:r>
    </w:p>
    <w:p w:rsidR="0030507B" w:rsidRPr="00486E69" w:rsidRDefault="0030507B" w:rsidP="0030507B">
      <w:pPr>
        <w:pStyle w:val="Sinespaciado"/>
        <w:jc w:val="both"/>
        <w:rPr>
          <w:rFonts w:ascii="Arial" w:eastAsiaTheme="minorHAnsi" w:hAnsi="Arial" w:cs="Arial"/>
          <w:i/>
          <w:lang w:val="es-MX" w:eastAsia="es-ES"/>
        </w:rPr>
      </w:pPr>
    </w:p>
    <w:p w:rsidR="0030507B" w:rsidRPr="00486E69" w:rsidRDefault="0030507B" w:rsidP="0030507B">
      <w:pPr>
        <w:pStyle w:val="Sinespaciado"/>
        <w:jc w:val="both"/>
        <w:rPr>
          <w:rFonts w:ascii="Arial" w:eastAsiaTheme="minorHAnsi" w:hAnsi="Arial" w:cs="Arial"/>
          <w:i/>
          <w:lang w:val="es-MX" w:eastAsia="es-ES"/>
        </w:rPr>
      </w:pPr>
      <w:r w:rsidRPr="00486E69">
        <w:rPr>
          <w:rFonts w:ascii="Arial" w:eastAsiaTheme="minorHAnsi" w:hAnsi="Arial" w:cs="Arial"/>
          <w:i/>
          <w:lang w:val="es-MX" w:eastAsia="es-ES"/>
        </w:rPr>
        <w:t>Lo dispuesto en los incisos anteriores se aplica a los casos de error por omisión o cambio de palabras o alteración de estas, siempre que estén contenidas en la parte resolutiva o influyan en ella.”</w:t>
      </w:r>
    </w:p>
    <w:p w:rsidR="0030507B" w:rsidRPr="00486E69" w:rsidRDefault="0030507B" w:rsidP="0030507B">
      <w:pPr>
        <w:spacing w:after="0" w:line="240" w:lineRule="auto"/>
        <w:jc w:val="both"/>
        <w:rPr>
          <w:rFonts w:ascii="Arial" w:hAnsi="Arial" w:cs="Arial"/>
          <w:iCs/>
        </w:rPr>
      </w:pPr>
    </w:p>
    <w:p w:rsidR="006C41D3" w:rsidRPr="00486E69" w:rsidRDefault="006C41D3" w:rsidP="0030507B">
      <w:pPr>
        <w:spacing w:after="0" w:line="240" w:lineRule="auto"/>
        <w:jc w:val="both"/>
        <w:rPr>
          <w:rFonts w:ascii="Arial" w:hAnsi="Arial" w:cs="Arial"/>
          <w:iCs/>
        </w:rPr>
      </w:pPr>
    </w:p>
    <w:p w:rsidR="006C41D3" w:rsidRPr="00486E69" w:rsidRDefault="005E7DB7" w:rsidP="006C41D3">
      <w:pPr>
        <w:tabs>
          <w:tab w:val="left" w:pos="426"/>
        </w:tabs>
        <w:spacing w:after="0" w:line="240" w:lineRule="auto"/>
        <w:jc w:val="both"/>
        <w:rPr>
          <w:rFonts w:ascii="Arial" w:eastAsia="Times New Roman" w:hAnsi="Arial" w:cs="Arial"/>
          <w:bCs/>
          <w:i/>
          <w:lang w:val="es-MX" w:eastAsia="es-ES"/>
        </w:rPr>
      </w:pPr>
      <w:r w:rsidRPr="00486E69">
        <w:rPr>
          <w:rFonts w:ascii="Arial" w:eastAsia="Times New Roman" w:hAnsi="Arial" w:cs="Arial"/>
          <w:bCs/>
          <w:lang w:val="es-MX" w:eastAsia="es-ES"/>
        </w:rPr>
        <w:t>El Código General d</w:t>
      </w:r>
      <w:r w:rsidR="006C41D3" w:rsidRPr="00486E69">
        <w:rPr>
          <w:rFonts w:ascii="Arial" w:eastAsia="Times New Roman" w:hAnsi="Arial" w:cs="Arial"/>
          <w:bCs/>
          <w:lang w:val="es-MX" w:eastAsia="es-ES"/>
        </w:rPr>
        <w:t>el Proceso en su artículo 287</w:t>
      </w:r>
      <w:r w:rsidRPr="00486E69">
        <w:rPr>
          <w:rFonts w:ascii="Arial" w:eastAsia="Times New Roman" w:hAnsi="Arial" w:cs="Arial"/>
          <w:bCs/>
          <w:lang w:val="es-MX" w:eastAsia="es-ES"/>
        </w:rPr>
        <w:t xml:space="preserve"> prevé</w:t>
      </w:r>
      <w:proofErr w:type="gramStart"/>
      <w:r w:rsidRPr="00486E69">
        <w:rPr>
          <w:rFonts w:ascii="Arial" w:eastAsia="Times New Roman" w:hAnsi="Arial" w:cs="Arial"/>
          <w:bCs/>
          <w:lang w:val="es-MX" w:eastAsia="es-ES"/>
        </w:rPr>
        <w:t xml:space="preserve">: </w:t>
      </w:r>
      <w:r w:rsidR="006C41D3" w:rsidRPr="00486E69">
        <w:rPr>
          <w:rFonts w:ascii="Arial" w:eastAsia="Times New Roman" w:hAnsi="Arial" w:cs="Arial"/>
          <w:bCs/>
          <w:i/>
          <w:lang w:val="es-MX" w:eastAsia="es-ES"/>
        </w:rPr>
        <w:t>”</w:t>
      </w:r>
      <w:proofErr w:type="gramEnd"/>
      <w:r w:rsidR="006C41D3" w:rsidRPr="00486E69">
        <w:rPr>
          <w:rFonts w:ascii="Arial" w:eastAsia="Times New Roman" w:hAnsi="Arial" w:cs="Arial"/>
          <w:b/>
          <w:bCs/>
          <w:i/>
          <w:lang w:val="es-MX" w:eastAsia="es-ES"/>
        </w:rPr>
        <w:t xml:space="preserve">Cuando la sentencia omita resolver sobre cualquiera de los extremos de la </w:t>
      </w:r>
      <w:proofErr w:type="spellStart"/>
      <w:r w:rsidR="006C41D3" w:rsidRPr="00486E69">
        <w:rPr>
          <w:rFonts w:ascii="Arial" w:eastAsia="Times New Roman" w:hAnsi="Arial" w:cs="Arial"/>
          <w:b/>
          <w:bCs/>
          <w:i/>
          <w:lang w:val="es-MX" w:eastAsia="es-ES"/>
        </w:rPr>
        <w:t>litis</w:t>
      </w:r>
      <w:proofErr w:type="spellEnd"/>
      <w:r w:rsidR="006C41D3" w:rsidRPr="00486E69">
        <w:rPr>
          <w:rFonts w:ascii="Arial" w:eastAsia="Times New Roman" w:hAnsi="Arial" w:cs="Arial"/>
          <w:b/>
          <w:bCs/>
          <w:i/>
          <w:lang w:val="es-MX" w:eastAsia="es-ES"/>
        </w:rPr>
        <w:t xml:space="preserve"> o sobre cualquier otro punto que de conformidad con la ley debía ser objeto de pronunciamiento, deberá adicionarse por medio de sentencia complementaria, dentro de la ejecutoria, de oficio o a solicitud de parte presentada en la misma oportunidad</w:t>
      </w:r>
      <w:r w:rsidR="006C41D3" w:rsidRPr="00486E69">
        <w:rPr>
          <w:rFonts w:ascii="Arial" w:eastAsia="Times New Roman" w:hAnsi="Arial" w:cs="Arial"/>
          <w:bCs/>
          <w:i/>
          <w:lang w:val="es-MX" w:eastAsia="es-ES"/>
        </w:rPr>
        <w:t>.</w:t>
      </w:r>
    </w:p>
    <w:p w:rsidR="006C41D3" w:rsidRPr="00486E69" w:rsidRDefault="006C41D3" w:rsidP="006C41D3">
      <w:pPr>
        <w:tabs>
          <w:tab w:val="left" w:pos="426"/>
        </w:tabs>
        <w:spacing w:after="0" w:line="240" w:lineRule="auto"/>
        <w:jc w:val="both"/>
        <w:rPr>
          <w:rFonts w:ascii="Arial" w:eastAsia="Times New Roman" w:hAnsi="Arial" w:cs="Arial"/>
          <w:bCs/>
          <w:i/>
          <w:lang w:val="es-MX" w:eastAsia="es-ES"/>
        </w:rPr>
      </w:pPr>
    </w:p>
    <w:p w:rsidR="006C41D3" w:rsidRPr="00486E69" w:rsidRDefault="006C41D3" w:rsidP="006C41D3">
      <w:pPr>
        <w:tabs>
          <w:tab w:val="left" w:pos="426"/>
        </w:tabs>
        <w:spacing w:after="0" w:line="240" w:lineRule="auto"/>
        <w:jc w:val="both"/>
        <w:rPr>
          <w:rFonts w:ascii="Arial" w:eastAsia="Times New Roman" w:hAnsi="Arial" w:cs="Arial"/>
          <w:bCs/>
          <w:i/>
          <w:lang w:val="es-MX" w:eastAsia="es-ES"/>
        </w:rPr>
      </w:pPr>
      <w:r w:rsidRPr="00486E69">
        <w:rPr>
          <w:rFonts w:ascii="Arial" w:eastAsia="Times New Roman" w:hAnsi="Arial" w:cs="Arial"/>
          <w:bCs/>
          <w:i/>
          <w:lang w:val="es-MX" w:eastAsia="es-ES"/>
        </w:rPr>
        <w:t>El juez de segunda instancia deberá complementar la sentencia del inferior siempre que la parte perjudicada con la omisión haya apelado; pero si dejó de resolver la demanda de reconvención o la de un proceso acumulado, le devolverá el expediente para que dicte sentencia complementaria.</w:t>
      </w:r>
    </w:p>
    <w:p w:rsidR="006C41D3" w:rsidRPr="00486E69" w:rsidRDefault="006C41D3" w:rsidP="006C41D3">
      <w:pPr>
        <w:tabs>
          <w:tab w:val="left" w:pos="426"/>
        </w:tabs>
        <w:spacing w:after="0" w:line="240" w:lineRule="auto"/>
        <w:jc w:val="both"/>
        <w:rPr>
          <w:rFonts w:ascii="Arial" w:eastAsia="Times New Roman" w:hAnsi="Arial" w:cs="Arial"/>
          <w:bCs/>
          <w:i/>
          <w:lang w:val="es-MX" w:eastAsia="es-ES"/>
        </w:rPr>
      </w:pPr>
    </w:p>
    <w:p w:rsidR="006C41D3" w:rsidRPr="00486E69" w:rsidRDefault="006C41D3" w:rsidP="006C41D3">
      <w:pPr>
        <w:tabs>
          <w:tab w:val="left" w:pos="426"/>
        </w:tabs>
        <w:spacing w:after="0" w:line="240" w:lineRule="auto"/>
        <w:jc w:val="both"/>
        <w:rPr>
          <w:rFonts w:ascii="Arial" w:eastAsia="Times New Roman" w:hAnsi="Arial" w:cs="Arial"/>
          <w:bCs/>
          <w:i/>
          <w:lang w:val="es-MX" w:eastAsia="es-ES"/>
        </w:rPr>
      </w:pPr>
      <w:r w:rsidRPr="00486E69">
        <w:rPr>
          <w:rFonts w:ascii="Arial" w:eastAsia="Times New Roman" w:hAnsi="Arial" w:cs="Arial"/>
          <w:bCs/>
          <w:i/>
          <w:lang w:val="es-MX" w:eastAsia="es-ES"/>
        </w:rPr>
        <w:t>Los autos solo podrán adicionarse de oficio dentro del término de su ejecutoria, o a solicitud de parte presentada en el mismo término.</w:t>
      </w:r>
    </w:p>
    <w:p w:rsidR="006C41D3" w:rsidRPr="00486E69" w:rsidRDefault="006C41D3" w:rsidP="006C41D3">
      <w:pPr>
        <w:tabs>
          <w:tab w:val="left" w:pos="426"/>
        </w:tabs>
        <w:spacing w:after="0" w:line="240" w:lineRule="auto"/>
        <w:jc w:val="both"/>
        <w:rPr>
          <w:rFonts w:ascii="Arial" w:eastAsia="Times New Roman" w:hAnsi="Arial" w:cs="Arial"/>
          <w:bCs/>
          <w:i/>
          <w:lang w:val="es-MX" w:eastAsia="es-ES"/>
        </w:rPr>
      </w:pPr>
    </w:p>
    <w:p w:rsidR="006C41D3" w:rsidRPr="00486E69" w:rsidRDefault="006C41D3" w:rsidP="006C41D3">
      <w:pPr>
        <w:tabs>
          <w:tab w:val="left" w:pos="426"/>
        </w:tabs>
        <w:spacing w:after="0" w:line="240" w:lineRule="auto"/>
        <w:jc w:val="both"/>
        <w:rPr>
          <w:rFonts w:ascii="Arial" w:eastAsia="Times New Roman" w:hAnsi="Arial" w:cs="Arial"/>
          <w:bCs/>
          <w:color w:val="000000"/>
          <w:lang w:val="es-MX" w:eastAsia="es-ES"/>
        </w:rPr>
      </w:pPr>
      <w:r w:rsidRPr="00486E69">
        <w:rPr>
          <w:rFonts w:ascii="Arial" w:eastAsia="Times New Roman" w:hAnsi="Arial" w:cs="Arial"/>
          <w:bCs/>
          <w:i/>
          <w:lang w:val="es-MX" w:eastAsia="es-ES"/>
        </w:rPr>
        <w:t>Dentro del término de ejecutoria de la providencia que resuelva sobre la complementación podrá recurrirse también la providencia principal.”</w:t>
      </w:r>
      <w:r w:rsidRPr="00486E69">
        <w:rPr>
          <w:rFonts w:ascii="Arial" w:eastAsia="Times New Roman" w:hAnsi="Arial" w:cs="Arial"/>
          <w:bCs/>
          <w:i/>
          <w:color w:val="000000"/>
          <w:lang w:val="es-MX" w:eastAsia="es-ES"/>
        </w:rPr>
        <w:t xml:space="preserve"> </w:t>
      </w:r>
      <w:r w:rsidRPr="00486E69">
        <w:rPr>
          <w:rFonts w:ascii="Arial" w:eastAsia="Times New Roman" w:hAnsi="Arial" w:cs="Arial"/>
          <w:bCs/>
          <w:color w:val="000000"/>
          <w:lang w:val="es-MX" w:eastAsia="es-ES"/>
        </w:rPr>
        <w:t>(</w:t>
      </w:r>
      <w:proofErr w:type="gramStart"/>
      <w:r w:rsidRPr="00486E69">
        <w:rPr>
          <w:rFonts w:ascii="Arial" w:eastAsia="Times New Roman" w:hAnsi="Arial" w:cs="Arial"/>
          <w:bCs/>
          <w:color w:val="000000"/>
          <w:lang w:val="es-MX" w:eastAsia="es-ES"/>
        </w:rPr>
        <w:t>negrita</w:t>
      </w:r>
      <w:proofErr w:type="gramEnd"/>
      <w:r w:rsidRPr="00486E69">
        <w:rPr>
          <w:rFonts w:ascii="Arial" w:eastAsia="Times New Roman" w:hAnsi="Arial" w:cs="Arial"/>
          <w:bCs/>
          <w:color w:val="000000"/>
          <w:lang w:val="es-MX" w:eastAsia="es-ES"/>
        </w:rPr>
        <w:t xml:space="preserve"> fuera de texto)</w:t>
      </w:r>
    </w:p>
    <w:p w:rsidR="006C41D3" w:rsidRPr="00486E69" w:rsidRDefault="006C41D3" w:rsidP="0030507B">
      <w:pPr>
        <w:spacing w:after="0" w:line="240" w:lineRule="auto"/>
        <w:jc w:val="both"/>
        <w:rPr>
          <w:rFonts w:ascii="Arial" w:hAnsi="Arial" w:cs="Arial"/>
          <w:iCs/>
        </w:rPr>
      </w:pPr>
    </w:p>
    <w:p w:rsidR="0030507B" w:rsidRPr="00486E69" w:rsidRDefault="0030507B" w:rsidP="0030507B">
      <w:pPr>
        <w:tabs>
          <w:tab w:val="left" w:pos="426"/>
        </w:tabs>
        <w:spacing w:after="0" w:line="240" w:lineRule="auto"/>
        <w:jc w:val="both"/>
        <w:rPr>
          <w:rFonts w:ascii="Arial" w:hAnsi="Arial" w:cs="Arial"/>
          <w:b/>
          <w:bCs/>
          <w:color w:val="000000"/>
          <w:lang w:val="es-MX" w:eastAsia="es-ES"/>
        </w:rPr>
      </w:pPr>
      <w:r w:rsidRPr="00486E69">
        <w:rPr>
          <w:rFonts w:ascii="Arial" w:hAnsi="Arial" w:cs="Arial"/>
          <w:b/>
          <w:bCs/>
          <w:lang w:val="es-MX" w:eastAsia="es-ES"/>
        </w:rPr>
        <w:t>2. Del caso concreto:</w:t>
      </w:r>
    </w:p>
    <w:p w:rsidR="0030507B" w:rsidRPr="00486E69" w:rsidRDefault="0030507B" w:rsidP="0030507B">
      <w:pPr>
        <w:pStyle w:val="Sinespaciado"/>
        <w:jc w:val="both"/>
        <w:rPr>
          <w:rFonts w:ascii="Arial" w:hAnsi="Arial" w:cs="Arial"/>
          <w:noProof/>
        </w:rPr>
      </w:pPr>
    </w:p>
    <w:p w:rsidR="0030507B" w:rsidRPr="00486E69" w:rsidRDefault="008336DA" w:rsidP="0030507B">
      <w:pPr>
        <w:tabs>
          <w:tab w:val="left" w:pos="567"/>
        </w:tabs>
        <w:spacing w:after="0" w:line="240" w:lineRule="auto"/>
        <w:contextualSpacing/>
        <w:jc w:val="both"/>
        <w:rPr>
          <w:rFonts w:ascii="Arial" w:hAnsi="Arial" w:cs="Arial"/>
          <w:bCs/>
          <w:color w:val="000000"/>
          <w:sz w:val="20"/>
          <w:szCs w:val="20"/>
          <w:lang w:val="es-MX" w:eastAsia="es-ES"/>
        </w:rPr>
      </w:pPr>
      <w:r w:rsidRPr="00486E69">
        <w:rPr>
          <w:rFonts w:ascii="Arial" w:hAnsi="Arial" w:cs="Arial"/>
          <w:bCs/>
          <w:color w:val="000000"/>
          <w:lang w:val="es-MX" w:eastAsia="es-ES"/>
        </w:rPr>
        <w:t xml:space="preserve">El apoderado de la sociedad </w:t>
      </w:r>
      <w:r w:rsidRPr="00486E69">
        <w:rPr>
          <w:rFonts w:ascii="Arial" w:hAnsi="Arial" w:cs="Arial"/>
          <w:b/>
          <w:bCs/>
          <w:color w:val="000000"/>
          <w:lang w:val="es-MX" w:eastAsia="es-ES"/>
        </w:rPr>
        <w:t>ARQUITECTURA URBANA LTDA</w:t>
      </w:r>
      <w:r w:rsidRPr="00486E69">
        <w:rPr>
          <w:rFonts w:ascii="Arial" w:hAnsi="Arial" w:cs="Arial"/>
          <w:bCs/>
          <w:color w:val="000000"/>
          <w:lang w:val="es-MX" w:eastAsia="es-ES"/>
        </w:rPr>
        <w:t xml:space="preserve"> como integrante del </w:t>
      </w:r>
      <w:r w:rsidRPr="00486E69">
        <w:rPr>
          <w:rFonts w:ascii="Arial" w:hAnsi="Arial" w:cs="Arial"/>
          <w:b/>
          <w:bCs/>
          <w:color w:val="000000"/>
          <w:lang w:val="es-MX" w:eastAsia="es-ES"/>
        </w:rPr>
        <w:t>CONSORCIO AU &amp; GO</w:t>
      </w:r>
      <w:r w:rsidRPr="00486E69">
        <w:rPr>
          <w:rFonts w:ascii="Arial" w:hAnsi="Arial" w:cs="Arial"/>
          <w:bCs/>
          <w:color w:val="000000"/>
          <w:lang w:val="es-MX" w:eastAsia="es-ES"/>
        </w:rPr>
        <w:t>, llamado en garantía</w:t>
      </w:r>
      <w:r w:rsidR="0030507B" w:rsidRPr="00486E69">
        <w:rPr>
          <w:rFonts w:ascii="Arial" w:hAnsi="Arial" w:cs="Arial"/>
          <w:bCs/>
          <w:color w:val="000000"/>
          <w:lang w:val="es-MX" w:eastAsia="es-ES"/>
        </w:rPr>
        <w:t xml:space="preserve">, solicita </w:t>
      </w:r>
      <w:r w:rsidRPr="00486E69">
        <w:rPr>
          <w:rFonts w:ascii="Arial" w:hAnsi="Arial" w:cs="Arial"/>
          <w:bCs/>
          <w:color w:val="000000"/>
          <w:lang w:val="es-MX" w:eastAsia="es-ES"/>
        </w:rPr>
        <w:t xml:space="preserve">la </w:t>
      </w:r>
      <w:r w:rsidRPr="00486E69">
        <w:rPr>
          <w:rFonts w:ascii="Arial" w:hAnsi="Arial" w:cs="Arial"/>
          <w:b/>
          <w:bCs/>
          <w:color w:val="000000"/>
          <w:lang w:val="es-MX" w:eastAsia="es-ES"/>
        </w:rPr>
        <w:t>ACLARACIÓN Y ADICIÓN</w:t>
      </w:r>
      <w:r w:rsidRPr="00486E69">
        <w:rPr>
          <w:rFonts w:ascii="Arial" w:hAnsi="Arial" w:cs="Arial"/>
          <w:bCs/>
          <w:color w:val="000000"/>
          <w:lang w:val="es-MX" w:eastAsia="es-ES"/>
        </w:rPr>
        <w:t xml:space="preserve"> de la sentencia de primera instancia del 29 de marzo de 2019 </w:t>
      </w:r>
      <w:r w:rsidR="00486E69" w:rsidRPr="00486E69">
        <w:rPr>
          <w:rFonts w:ascii="Arial" w:hAnsi="Arial" w:cs="Arial"/>
          <w:bCs/>
          <w:color w:val="000000"/>
          <w:sz w:val="20"/>
          <w:szCs w:val="20"/>
          <w:lang w:val="es-MX" w:eastAsia="es-ES"/>
        </w:rPr>
        <w:t>“</w:t>
      </w:r>
      <w:r w:rsidRPr="00486E69">
        <w:rPr>
          <w:rFonts w:ascii="Arial" w:hAnsi="Arial" w:cs="Arial"/>
          <w:bCs/>
          <w:color w:val="000000"/>
          <w:sz w:val="20"/>
          <w:szCs w:val="20"/>
          <w:lang w:val="es-MX" w:eastAsia="es-ES"/>
        </w:rPr>
        <w:t>toda vez que a pesar de observarse en las consideraciones del fallo, que los hechos objeto de la imputación de Responsabilidad ocurrieron cuando mi Representado no fungía como Interventor en el proceso, en atención a la terminación de su contrato y el nombramiento de una nueva interventoría, en la parte resolutiva de la providencia no se observa pronunciamiento alguno del despacho frente al Llamado en Garantía, que lo exonere de responsabilidad en este proceso</w:t>
      </w:r>
      <w:r w:rsidR="00486E69" w:rsidRPr="00486E69">
        <w:rPr>
          <w:rFonts w:ascii="Arial" w:hAnsi="Arial" w:cs="Arial"/>
          <w:bCs/>
          <w:color w:val="000000"/>
          <w:sz w:val="20"/>
          <w:szCs w:val="20"/>
          <w:lang w:val="es-MX" w:eastAsia="es-ES"/>
        </w:rPr>
        <w:t>”</w:t>
      </w:r>
      <w:r w:rsidRPr="00486E69">
        <w:rPr>
          <w:rFonts w:ascii="Arial" w:hAnsi="Arial" w:cs="Arial"/>
          <w:bCs/>
          <w:color w:val="000000"/>
          <w:sz w:val="20"/>
          <w:szCs w:val="20"/>
          <w:lang w:val="es-MX" w:eastAsia="es-ES"/>
        </w:rPr>
        <w:t>.</w:t>
      </w:r>
      <w:r w:rsidR="0030507B" w:rsidRPr="00486E69">
        <w:rPr>
          <w:rFonts w:ascii="Arial" w:hAnsi="Arial" w:cs="Arial"/>
          <w:bCs/>
          <w:color w:val="000000"/>
          <w:sz w:val="20"/>
          <w:szCs w:val="20"/>
          <w:lang w:val="es-MX" w:eastAsia="es-ES"/>
        </w:rPr>
        <w:t xml:space="preserve"> </w:t>
      </w:r>
    </w:p>
    <w:p w:rsidR="0030507B" w:rsidRPr="00486E69" w:rsidRDefault="0030507B" w:rsidP="0030507B">
      <w:pPr>
        <w:tabs>
          <w:tab w:val="left" w:pos="426"/>
        </w:tabs>
        <w:spacing w:after="0" w:line="240" w:lineRule="auto"/>
        <w:jc w:val="both"/>
        <w:rPr>
          <w:rFonts w:ascii="Arial" w:hAnsi="Arial" w:cs="Arial"/>
        </w:rPr>
      </w:pPr>
    </w:p>
    <w:p w:rsidR="0030507B" w:rsidRPr="00486E69" w:rsidRDefault="0030507B" w:rsidP="001D54C2">
      <w:pPr>
        <w:tabs>
          <w:tab w:val="left" w:pos="426"/>
        </w:tabs>
        <w:spacing w:after="0" w:line="240" w:lineRule="auto"/>
        <w:jc w:val="both"/>
        <w:rPr>
          <w:rFonts w:ascii="Arial" w:eastAsia="Times New Roman" w:hAnsi="Arial" w:cs="Arial"/>
          <w:bCs/>
          <w:lang w:val="es-MX" w:eastAsia="es-ES"/>
        </w:rPr>
      </w:pPr>
      <w:r w:rsidRPr="00486E69">
        <w:rPr>
          <w:rFonts w:ascii="Arial" w:eastAsia="Times New Roman" w:hAnsi="Arial" w:cs="Arial"/>
          <w:bCs/>
          <w:lang w:val="es-MX" w:eastAsia="es-ES"/>
        </w:rPr>
        <w:t>Haciendo un análisis sobre el fallo de primera instancia</w:t>
      </w:r>
      <w:r w:rsidR="001D54C2" w:rsidRPr="00486E69">
        <w:rPr>
          <w:rFonts w:ascii="Arial" w:eastAsia="Times New Roman" w:hAnsi="Arial" w:cs="Arial"/>
          <w:bCs/>
          <w:lang w:val="es-MX" w:eastAsia="es-ES"/>
        </w:rPr>
        <w:t>,</w:t>
      </w:r>
      <w:r w:rsidRPr="00486E69">
        <w:rPr>
          <w:rFonts w:ascii="Arial" w:eastAsia="Times New Roman" w:hAnsi="Arial" w:cs="Arial"/>
          <w:bCs/>
          <w:lang w:val="es-MX" w:eastAsia="es-ES"/>
        </w:rPr>
        <w:t xml:space="preserve"> se advierte que efectivamente en la parte motiva</w:t>
      </w:r>
      <w:r w:rsidR="000E1E38" w:rsidRPr="00486E69">
        <w:rPr>
          <w:rFonts w:ascii="Arial" w:eastAsia="Times New Roman" w:hAnsi="Arial" w:cs="Arial"/>
          <w:bCs/>
          <w:lang w:val="es-MX" w:eastAsia="es-ES"/>
        </w:rPr>
        <w:t xml:space="preserve"> de la sentencia </w:t>
      </w:r>
      <w:r w:rsidRPr="00486E69">
        <w:rPr>
          <w:rFonts w:ascii="Arial" w:eastAsia="Times New Roman" w:hAnsi="Arial" w:cs="Arial"/>
          <w:bCs/>
          <w:lang w:val="es-MX" w:eastAsia="es-ES"/>
        </w:rPr>
        <w:t xml:space="preserve"> se expone que</w:t>
      </w:r>
      <w:r w:rsidR="0072490B" w:rsidRPr="00486E69">
        <w:rPr>
          <w:rFonts w:ascii="Arial" w:eastAsia="Times New Roman" w:hAnsi="Arial" w:cs="Arial"/>
          <w:bCs/>
          <w:lang w:val="es-MX" w:eastAsia="es-ES"/>
        </w:rPr>
        <w:t xml:space="preserve"> siendo</w:t>
      </w:r>
      <w:r w:rsidR="001D54C2" w:rsidRPr="00486E69">
        <w:rPr>
          <w:rFonts w:ascii="Arial" w:eastAsia="Times New Roman" w:hAnsi="Arial" w:cs="Arial"/>
          <w:bCs/>
          <w:lang w:val="es-MX" w:eastAsia="es-ES"/>
        </w:rPr>
        <w:t xml:space="preserve"> que el periodo en que intervino </w:t>
      </w:r>
      <w:r w:rsidR="000E1E38" w:rsidRPr="00486E69">
        <w:rPr>
          <w:rFonts w:ascii="Arial" w:eastAsia="Times New Roman" w:hAnsi="Arial" w:cs="Arial"/>
          <w:bCs/>
          <w:lang w:val="es-MX" w:eastAsia="es-ES"/>
        </w:rPr>
        <w:t xml:space="preserve">el </w:t>
      </w:r>
      <w:r w:rsidR="000E1E38" w:rsidRPr="00486E69">
        <w:rPr>
          <w:rFonts w:ascii="Arial" w:eastAsia="Times New Roman" w:hAnsi="Arial" w:cs="Arial"/>
          <w:b/>
          <w:bCs/>
          <w:lang w:val="es-MX" w:eastAsia="es-ES"/>
        </w:rPr>
        <w:t>CONSORCIO AU &amp; GO</w:t>
      </w:r>
      <w:r w:rsidR="001D54C2" w:rsidRPr="00486E69">
        <w:rPr>
          <w:rFonts w:ascii="Arial" w:eastAsia="Times New Roman" w:hAnsi="Arial" w:cs="Arial"/>
          <w:bCs/>
          <w:lang w:val="es-MX" w:eastAsia="es-ES"/>
        </w:rPr>
        <w:t xml:space="preserve"> no fue motivo de la reclamación en esta demanda, no </w:t>
      </w:r>
      <w:r w:rsidR="000E1E38" w:rsidRPr="00486E69">
        <w:rPr>
          <w:rFonts w:ascii="Arial" w:eastAsia="Times New Roman" w:hAnsi="Arial" w:cs="Arial"/>
          <w:bCs/>
          <w:lang w:val="es-MX" w:eastAsia="es-ES"/>
        </w:rPr>
        <w:t xml:space="preserve">era necesario estudiar las excepciones por éste interpuestas. </w:t>
      </w:r>
      <w:r w:rsidR="001D54C2" w:rsidRPr="00486E69">
        <w:rPr>
          <w:rFonts w:ascii="Arial" w:eastAsia="Times New Roman" w:hAnsi="Arial" w:cs="Arial"/>
          <w:bCs/>
          <w:lang w:val="es-MX" w:eastAsia="es-ES"/>
        </w:rPr>
        <w:t xml:space="preserve"> </w:t>
      </w:r>
    </w:p>
    <w:p w:rsidR="001D54C2" w:rsidRPr="00486E69" w:rsidRDefault="001D54C2" w:rsidP="001D54C2">
      <w:pPr>
        <w:tabs>
          <w:tab w:val="left" w:pos="426"/>
        </w:tabs>
        <w:spacing w:after="0" w:line="240" w:lineRule="auto"/>
        <w:jc w:val="both"/>
        <w:rPr>
          <w:rFonts w:ascii="Arial" w:eastAsia="Times New Roman" w:hAnsi="Arial" w:cs="Arial"/>
          <w:bCs/>
          <w:color w:val="000000"/>
          <w:lang w:val="es-MX" w:eastAsia="es-ES"/>
        </w:rPr>
      </w:pPr>
    </w:p>
    <w:p w:rsidR="0030507B" w:rsidRPr="00486E69" w:rsidRDefault="000E1E38" w:rsidP="0030507B">
      <w:pPr>
        <w:spacing w:after="0" w:line="240" w:lineRule="auto"/>
        <w:jc w:val="both"/>
        <w:rPr>
          <w:rFonts w:ascii="Arial" w:eastAsia="Times New Roman" w:hAnsi="Arial" w:cs="Arial"/>
          <w:bCs/>
          <w:color w:val="000000"/>
          <w:lang w:val="es-MX" w:eastAsia="es-ES"/>
        </w:rPr>
      </w:pPr>
      <w:r w:rsidRPr="00486E69">
        <w:rPr>
          <w:rFonts w:ascii="Arial" w:eastAsia="Times New Roman" w:hAnsi="Arial" w:cs="Arial"/>
          <w:bCs/>
          <w:color w:val="000000"/>
          <w:lang w:val="es-MX" w:eastAsia="es-ES"/>
        </w:rPr>
        <w:t>Así pues, s</w:t>
      </w:r>
      <w:r w:rsidR="0030507B" w:rsidRPr="00486E69">
        <w:rPr>
          <w:rFonts w:ascii="Arial" w:eastAsia="Times New Roman" w:hAnsi="Arial" w:cs="Arial"/>
          <w:bCs/>
          <w:color w:val="000000"/>
          <w:lang w:val="es-MX" w:eastAsia="es-ES"/>
        </w:rPr>
        <w:t xml:space="preserve">i atendemos a que en la parte resolutiva de la sentencia no se encuentran </w:t>
      </w:r>
      <w:r w:rsidR="006C41D3" w:rsidRPr="00486E69">
        <w:rPr>
          <w:rFonts w:ascii="Arial" w:eastAsia="Times New Roman" w:hAnsi="Arial" w:cs="Arial"/>
          <w:bCs/>
          <w:color w:val="000000"/>
          <w:lang w:val="es-MX" w:eastAsia="es-ES"/>
        </w:rPr>
        <w:t>expresadas</w:t>
      </w:r>
      <w:r w:rsidR="0030507B" w:rsidRPr="00486E69">
        <w:rPr>
          <w:rFonts w:ascii="Arial" w:eastAsia="Times New Roman" w:hAnsi="Arial" w:cs="Arial"/>
          <w:bCs/>
          <w:color w:val="000000"/>
          <w:lang w:val="es-MX" w:eastAsia="es-ES"/>
        </w:rPr>
        <w:t xml:space="preserve"> estas </w:t>
      </w:r>
      <w:r w:rsidR="008336DA" w:rsidRPr="00486E69">
        <w:rPr>
          <w:rFonts w:ascii="Arial" w:eastAsia="Times New Roman" w:hAnsi="Arial" w:cs="Arial"/>
          <w:bCs/>
          <w:color w:val="000000"/>
          <w:lang w:val="es-MX" w:eastAsia="es-ES"/>
        </w:rPr>
        <w:t>reflexiones</w:t>
      </w:r>
      <w:r w:rsidR="0030507B" w:rsidRPr="00486E69">
        <w:rPr>
          <w:rFonts w:ascii="Arial" w:eastAsia="Times New Roman" w:hAnsi="Arial" w:cs="Arial"/>
          <w:bCs/>
          <w:color w:val="000000"/>
          <w:lang w:val="es-MX" w:eastAsia="es-ES"/>
        </w:rPr>
        <w:t>, sino que</w:t>
      </w:r>
      <w:r w:rsidR="008336DA" w:rsidRPr="00486E69">
        <w:rPr>
          <w:rFonts w:ascii="Arial" w:eastAsia="Times New Roman" w:hAnsi="Arial" w:cs="Arial"/>
          <w:bCs/>
          <w:color w:val="000000"/>
          <w:lang w:val="es-MX" w:eastAsia="es-ES"/>
        </w:rPr>
        <w:t xml:space="preserve"> </w:t>
      </w:r>
      <w:r w:rsidR="001D54C2" w:rsidRPr="00486E69">
        <w:rPr>
          <w:rFonts w:ascii="Arial" w:eastAsia="Times New Roman" w:hAnsi="Arial" w:cs="Arial"/>
          <w:bCs/>
          <w:color w:val="000000"/>
          <w:lang w:val="es-MX" w:eastAsia="es-ES"/>
        </w:rPr>
        <w:t xml:space="preserve">por el contrario se guarda silencio frente al tema, </w:t>
      </w:r>
      <w:r w:rsidR="0030507B" w:rsidRPr="00486E69">
        <w:rPr>
          <w:rFonts w:ascii="Arial" w:eastAsia="Times New Roman" w:hAnsi="Arial" w:cs="Arial"/>
          <w:bCs/>
          <w:color w:val="000000"/>
          <w:lang w:val="es-MX" w:eastAsia="es-ES"/>
        </w:rPr>
        <w:t xml:space="preserve">la petición de </w:t>
      </w:r>
      <w:r w:rsidRPr="00486E69">
        <w:rPr>
          <w:rFonts w:ascii="Arial" w:eastAsia="Times New Roman" w:hAnsi="Arial" w:cs="Arial"/>
          <w:bCs/>
          <w:color w:val="000000"/>
          <w:lang w:val="es-MX" w:eastAsia="es-ES"/>
        </w:rPr>
        <w:t>aclaración y adición</w:t>
      </w:r>
      <w:r w:rsidR="0030507B" w:rsidRPr="00486E69">
        <w:rPr>
          <w:rFonts w:ascii="Arial" w:eastAsia="Times New Roman" w:hAnsi="Arial" w:cs="Arial"/>
          <w:bCs/>
          <w:color w:val="000000"/>
          <w:lang w:val="es-MX" w:eastAsia="es-ES"/>
        </w:rPr>
        <w:t xml:space="preserve"> se encuentra a lugar por las razones expuestas a lo largo de la parte motiva del fallo. </w:t>
      </w:r>
    </w:p>
    <w:p w:rsidR="0030507B" w:rsidRPr="00486E69" w:rsidRDefault="0030507B" w:rsidP="0030507B">
      <w:pPr>
        <w:spacing w:after="0" w:line="240" w:lineRule="auto"/>
        <w:jc w:val="both"/>
        <w:rPr>
          <w:rFonts w:ascii="Arial" w:eastAsia="Times New Roman" w:hAnsi="Arial" w:cs="Arial"/>
          <w:bCs/>
          <w:color w:val="000000"/>
          <w:lang w:val="es-MX" w:eastAsia="es-ES"/>
        </w:rPr>
      </w:pPr>
    </w:p>
    <w:p w:rsidR="0030507B" w:rsidRPr="00486E69" w:rsidRDefault="0030507B" w:rsidP="0030507B">
      <w:pPr>
        <w:spacing w:after="0" w:line="240" w:lineRule="auto"/>
        <w:jc w:val="both"/>
        <w:rPr>
          <w:rFonts w:ascii="Arial" w:eastAsia="Times New Roman" w:hAnsi="Arial" w:cs="Arial"/>
          <w:bCs/>
          <w:color w:val="000000"/>
          <w:lang w:val="es-MX" w:eastAsia="es-ES"/>
        </w:rPr>
      </w:pPr>
      <w:r w:rsidRPr="00486E69">
        <w:rPr>
          <w:rFonts w:ascii="Arial" w:eastAsia="Times New Roman" w:hAnsi="Arial" w:cs="Arial"/>
          <w:bCs/>
          <w:color w:val="000000"/>
          <w:lang w:val="es-MX" w:eastAsia="es-ES"/>
        </w:rPr>
        <w:t xml:space="preserve">Adicionalmente, </w:t>
      </w:r>
      <w:r w:rsidR="008336DA" w:rsidRPr="00486E69">
        <w:rPr>
          <w:rFonts w:ascii="Arial" w:eastAsia="Times New Roman" w:hAnsi="Arial" w:cs="Arial"/>
          <w:bCs/>
          <w:color w:val="000000"/>
          <w:lang w:val="es-MX" w:eastAsia="es-ES"/>
        </w:rPr>
        <w:t xml:space="preserve">el apoderado de la parte demandante, </w:t>
      </w:r>
      <w:r w:rsidR="008336DA" w:rsidRPr="00486E69">
        <w:rPr>
          <w:rFonts w:ascii="Arial" w:eastAsia="Times New Roman" w:hAnsi="Arial" w:cs="Arial"/>
          <w:b/>
          <w:bCs/>
          <w:color w:val="000000"/>
          <w:lang w:val="es-MX" w:eastAsia="es-ES"/>
        </w:rPr>
        <w:t>VINDICO SAS</w:t>
      </w:r>
      <w:r w:rsidR="008336DA" w:rsidRPr="00486E69">
        <w:rPr>
          <w:rFonts w:ascii="Arial" w:eastAsia="Times New Roman" w:hAnsi="Arial" w:cs="Arial"/>
          <w:bCs/>
          <w:color w:val="000000"/>
          <w:lang w:val="es-MX" w:eastAsia="es-ES"/>
        </w:rPr>
        <w:t xml:space="preserve">, solicita la </w:t>
      </w:r>
      <w:r w:rsidR="008336DA" w:rsidRPr="00486E69">
        <w:rPr>
          <w:rFonts w:ascii="Arial" w:eastAsia="Times New Roman" w:hAnsi="Arial" w:cs="Arial"/>
          <w:b/>
          <w:bCs/>
          <w:color w:val="000000"/>
          <w:lang w:val="es-MX" w:eastAsia="es-ES"/>
        </w:rPr>
        <w:t>ACLARACIÓN</w:t>
      </w:r>
      <w:r w:rsidR="008336DA" w:rsidRPr="00486E69">
        <w:rPr>
          <w:rFonts w:ascii="Arial" w:eastAsia="Times New Roman" w:hAnsi="Arial" w:cs="Arial"/>
          <w:bCs/>
          <w:color w:val="000000"/>
          <w:lang w:val="es-MX" w:eastAsia="es-ES"/>
        </w:rPr>
        <w:t xml:space="preserve"> del numeral cuarto del fallo proferido por el Despacho con fecha 29 de Marzo de 2019 toda vez que señala “Niéguese las pretensiones de la demanda”, cuando al parecer debe ser “Niéguese las demás pretensiones de la demanda”. </w:t>
      </w:r>
      <w:r w:rsidRPr="00486E69">
        <w:rPr>
          <w:rFonts w:ascii="Arial" w:eastAsia="Times New Roman" w:hAnsi="Arial" w:cs="Arial"/>
          <w:bCs/>
          <w:color w:val="000000"/>
          <w:lang w:val="es-MX" w:eastAsia="es-ES"/>
        </w:rPr>
        <w:t xml:space="preserve"> </w:t>
      </w:r>
    </w:p>
    <w:p w:rsidR="006B284C" w:rsidRPr="00486E69" w:rsidRDefault="006B284C" w:rsidP="0030507B">
      <w:pPr>
        <w:spacing w:after="0" w:line="240" w:lineRule="auto"/>
        <w:jc w:val="both"/>
        <w:rPr>
          <w:rFonts w:ascii="Arial" w:eastAsia="Times New Roman" w:hAnsi="Arial" w:cs="Arial"/>
          <w:bCs/>
          <w:color w:val="000000"/>
          <w:lang w:val="es-MX" w:eastAsia="es-ES"/>
        </w:rPr>
      </w:pPr>
    </w:p>
    <w:p w:rsidR="006B284C" w:rsidRPr="00486E69" w:rsidRDefault="006B284C" w:rsidP="0030507B">
      <w:pPr>
        <w:spacing w:after="0" w:line="240" w:lineRule="auto"/>
        <w:jc w:val="both"/>
        <w:rPr>
          <w:rFonts w:ascii="Arial" w:eastAsia="Times New Roman" w:hAnsi="Arial" w:cs="Arial"/>
          <w:bCs/>
          <w:lang w:val="es-MX" w:eastAsia="es-ES"/>
        </w:rPr>
      </w:pPr>
      <w:r w:rsidRPr="00486E69">
        <w:rPr>
          <w:rFonts w:ascii="Arial" w:eastAsia="Times New Roman" w:hAnsi="Arial" w:cs="Arial"/>
          <w:bCs/>
          <w:color w:val="000000"/>
          <w:lang w:val="es-MX" w:eastAsia="es-ES"/>
        </w:rPr>
        <w:t xml:space="preserve">Siendo congruentes con lo expuesto en la parte motiva de la sentencia, la aclaración solicitada se encuentra a lugar. </w:t>
      </w:r>
    </w:p>
    <w:p w:rsidR="0030507B" w:rsidRPr="00486E69" w:rsidRDefault="0030507B" w:rsidP="0030507B">
      <w:pPr>
        <w:spacing w:after="0" w:line="240" w:lineRule="auto"/>
        <w:jc w:val="both"/>
        <w:rPr>
          <w:rFonts w:ascii="Arial" w:eastAsia="Times New Roman" w:hAnsi="Arial" w:cs="Arial"/>
          <w:bCs/>
          <w:lang w:val="es-MX" w:eastAsia="es-ES"/>
        </w:rPr>
      </w:pPr>
    </w:p>
    <w:p w:rsidR="0030507B" w:rsidRPr="00486E69" w:rsidRDefault="0030507B" w:rsidP="0030507B">
      <w:pPr>
        <w:spacing w:after="0" w:line="240" w:lineRule="auto"/>
        <w:jc w:val="both"/>
        <w:rPr>
          <w:rFonts w:ascii="Arial" w:hAnsi="Arial" w:cs="Arial"/>
          <w:b/>
        </w:rPr>
      </w:pPr>
      <w:r w:rsidRPr="00486E69">
        <w:rPr>
          <w:rFonts w:ascii="Arial" w:hAnsi="Arial" w:cs="Arial"/>
        </w:rPr>
        <w:t>En mérito de lo expuesto, se</w:t>
      </w:r>
      <w:r w:rsidRPr="00486E69">
        <w:rPr>
          <w:rFonts w:ascii="Arial" w:hAnsi="Arial" w:cs="Arial"/>
          <w:b/>
        </w:rPr>
        <w:t xml:space="preserve"> RESUELVE:</w:t>
      </w:r>
    </w:p>
    <w:p w:rsidR="0030507B" w:rsidRPr="00486E69" w:rsidRDefault="0030507B" w:rsidP="0030507B">
      <w:pPr>
        <w:spacing w:after="0" w:line="240" w:lineRule="auto"/>
        <w:jc w:val="both"/>
        <w:rPr>
          <w:rFonts w:ascii="Arial" w:hAnsi="Arial" w:cs="Arial"/>
          <w:b/>
          <w:lang w:val="es-MX"/>
        </w:rPr>
      </w:pPr>
    </w:p>
    <w:p w:rsidR="0030507B" w:rsidRPr="00486E69" w:rsidRDefault="0030507B" w:rsidP="0030507B">
      <w:pPr>
        <w:spacing w:after="0" w:line="240" w:lineRule="auto"/>
        <w:jc w:val="both"/>
        <w:rPr>
          <w:rFonts w:ascii="Arial" w:hAnsi="Arial" w:cs="Arial"/>
          <w:lang w:val="es-MX"/>
        </w:rPr>
      </w:pPr>
      <w:r w:rsidRPr="00486E69">
        <w:rPr>
          <w:rFonts w:ascii="Arial" w:hAnsi="Arial" w:cs="Arial"/>
          <w:b/>
          <w:lang w:val="es-MX"/>
        </w:rPr>
        <w:t xml:space="preserve">PRIMERO: </w:t>
      </w:r>
      <w:r w:rsidR="000200CE" w:rsidRPr="00486E69">
        <w:rPr>
          <w:rFonts w:ascii="Arial" w:hAnsi="Arial" w:cs="Arial"/>
          <w:b/>
          <w:lang w:val="es-MX"/>
        </w:rPr>
        <w:t>Adiciónese y  Aclárese</w:t>
      </w:r>
      <w:r w:rsidRPr="00486E69">
        <w:rPr>
          <w:rFonts w:ascii="Arial" w:hAnsi="Arial" w:cs="Arial"/>
          <w:lang w:val="es-MX"/>
        </w:rPr>
        <w:t xml:space="preserve"> </w:t>
      </w:r>
      <w:r w:rsidR="000200CE" w:rsidRPr="00486E69">
        <w:rPr>
          <w:rFonts w:ascii="Arial" w:hAnsi="Arial" w:cs="Arial"/>
          <w:lang w:val="es-MX"/>
        </w:rPr>
        <w:t>la</w:t>
      </w:r>
      <w:r w:rsidRPr="00486E69">
        <w:rPr>
          <w:rFonts w:ascii="Arial" w:hAnsi="Arial" w:cs="Arial"/>
          <w:lang w:val="es-MX"/>
        </w:rPr>
        <w:t xml:space="preserve"> parte </w:t>
      </w:r>
      <w:r w:rsidR="000200CE" w:rsidRPr="00486E69">
        <w:rPr>
          <w:rFonts w:ascii="Arial" w:hAnsi="Arial" w:cs="Arial"/>
          <w:lang w:val="es-MX"/>
        </w:rPr>
        <w:t>resolutiva</w:t>
      </w:r>
      <w:r w:rsidRPr="00486E69">
        <w:rPr>
          <w:rFonts w:ascii="Arial" w:hAnsi="Arial" w:cs="Arial"/>
          <w:lang w:val="es-MX"/>
        </w:rPr>
        <w:t xml:space="preserve"> del fallo del </w:t>
      </w:r>
      <w:r w:rsidR="000200CE" w:rsidRPr="00486E69">
        <w:rPr>
          <w:rFonts w:ascii="Arial" w:eastAsia="Times New Roman" w:hAnsi="Arial" w:cs="Arial"/>
          <w:bCs/>
          <w:lang w:val="es-MX" w:eastAsia="es-ES"/>
        </w:rPr>
        <w:t>29</w:t>
      </w:r>
      <w:r w:rsidRPr="00486E69">
        <w:rPr>
          <w:rFonts w:ascii="Arial" w:eastAsia="Times New Roman" w:hAnsi="Arial" w:cs="Arial"/>
          <w:bCs/>
          <w:lang w:val="es-MX" w:eastAsia="es-ES"/>
        </w:rPr>
        <w:t xml:space="preserve"> de </w:t>
      </w:r>
      <w:r w:rsidR="00E239AB">
        <w:rPr>
          <w:rFonts w:ascii="Arial" w:eastAsia="Times New Roman" w:hAnsi="Arial" w:cs="Arial"/>
          <w:bCs/>
          <w:lang w:val="es-MX" w:eastAsia="es-ES"/>
        </w:rPr>
        <w:t>m</w:t>
      </w:r>
      <w:r w:rsidR="000200CE" w:rsidRPr="00486E69">
        <w:rPr>
          <w:rFonts w:ascii="Arial" w:eastAsia="Times New Roman" w:hAnsi="Arial" w:cs="Arial"/>
          <w:bCs/>
          <w:lang w:val="es-MX" w:eastAsia="es-ES"/>
        </w:rPr>
        <w:t>arzo de 2019</w:t>
      </w:r>
      <w:r w:rsidRPr="00486E69">
        <w:rPr>
          <w:rFonts w:ascii="Arial" w:hAnsi="Arial" w:cs="Arial"/>
          <w:lang w:val="es-MX"/>
        </w:rPr>
        <w:t xml:space="preserve">, </w:t>
      </w:r>
      <w:r w:rsidR="000200CE" w:rsidRPr="00486E69">
        <w:rPr>
          <w:rFonts w:ascii="Arial" w:hAnsi="Arial" w:cs="Arial"/>
          <w:lang w:val="es-MX"/>
        </w:rPr>
        <w:t>la cual quedará así:</w:t>
      </w:r>
    </w:p>
    <w:p w:rsidR="000200CE" w:rsidRPr="00486E69" w:rsidRDefault="000200CE" w:rsidP="0030507B">
      <w:pPr>
        <w:spacing w:after="0" w:line="240" w:lineRule="auto"/>
        <w:jc w:val="both"/>
        <w:rPr>
          <w:rFonts w:ascii="Arial" w:hAnsi="Arial" w:cs="Arial"/>
          <w:lang w:val="es-MX"/>
        </w:rPr>
      </w:pPr>
    </w:p>
    <w:tbl>
      <w:tblPr>
        <w:tblStyle w:val="Tablaconcuadrcula"/>
        <w:tblW w:w="0" w:type="auto"/>
        <w:tblLook w:val="04A0" w:firstRow="1" w:lastRow="0" w:firstColumn="1" w:lastColumn="0" w:noHBand="0" w:noVBand="1"/>
      </w:tblPr>
      <w:tblGrid>
        <w:gridCol w:w="8828"/>
      </w:tblGrid>
      <w:tr w:rsidR="0030507B" w:rsidRPr="0052200B" w:rsidTr="00AC4F36">
        <w:tc>
          <w:tcPr>
            <w:tcW w:w="8828" w:type="dxa"/>
          </w:tcPr>
          <w:p w:rsidR="0030507B" w:rsidRPr="0052200B" w:rsidRDefault="005660E7" w:rsidP="00A2127B">
            <w:pPr>
              <w:jc w:val="center"/>
              <w:rPr>
                <w:rFonts w:ascii="Century Gothic" w:eastAsia="Calibri" w:hAnsi="Century Gothic" w:cs="Arial"/>
                <w:b/>
                <w:sz w:val="20"/>
                <w:szCs w:val="20"/>
              </w:rPr>
            </w:pPr>
            <w:r w:rsidRPr="0052200B">
              <w:rPr>
                <w:rFonts w:ascii="Century Gothic" w:eastAsia="Calibri" w:hAnsi="Century Gothic" w:cs="Arial"/>
                <w:b/>
                <w:sz w:val="20"/>
                <w:szCs w:val="20"/>
              </w:rPr>
              <w:t>FALLA:</w:t>
            </w:r>
          </w:p>
          <w:p w:rsidR="00A2127B" w:rsidRPr="0052200B" w:rsidRDefault="00A2127B" w:rsidP="00A2127B">
            <w:pPr>
              <w:jc w:val="center"/>
              <w:rPr>
                <w:rFonts w:ascii="Century Gothic" w:eastAsia="Calibri" w:hAnsi="Century Gothic" w:cs="Arial"/>
                <w:sz w:val="20"/>
                <w:szCs w:val="20"/>
              </w:rPr>
            </w:pPr>
          </w:p>
          <w:p w:rsidR="005660E7" w:rsidRPr="0052200B" w:rsidRDefault="005660E7" w:rsidP="00AC4F36">
            <w:pPr>
              <w:jc w:val="both"/>
              <w:rPr>
                <w:rFonts w:ascii="Century Gothic" w:eastAsia="Calibri" w:hAnsi="Century Gothic" w:cs="Arial"/>
                <w:sz w:val="20"/>
                <w:szCs w:val="20"/>
              </w:rPr>
            </w:pPr>
            <w:r w:rsidRPr="0052200B">
              <w:rPr>
                <w:rFonts w:ascii="Century Gothic" w:eastAsia="Calibri" w:hAnsi="Century Gothic" w:cs="Arial"/>
                <w:b/>
                <w:sz w:val="20"/>
                <w:szCs w:val="20"/>
              </w:rPr>
              <w:t>PRIMERO: Declárense</w:t>
            </w:r>
            <w:r w:rsidRPr="0052200B">
              <w:rPr>
                <w:rFonts w:ascii="Century Gothic" w:eastAsia="Calibri" w:hAnsi="Century Gothic" w:cs="Arial"/>
                <w:sz w:val="20"/>
                <w:szCs w:val="20"/>
              </w:rPr>
              <w:t xml:space="preserve"> no probadas las excepciones propuestas por las demandadas. </w:t>
            </w:r>
          </w:p>
          <w:p w:rsidR="005660E7" w:rsidRPr="0052200B" w:rsidRDefault="005660E7" w:rsidP="00AC4F36">
            <w:pPr>
              <w:jc w:val="both"/>
              <w:rPr>
                <w:rFonts w:ascii="Century Gothic" w:eastAsia="Calibri" w:hAnsi="Century Gothic" w:cs="Arial"/>
                <w:sz w:val="20"/>
                <w:szCs w:val="20"/>
              </w:rPr>
            </w:pPr>
          </w:p>
          <w:p w:rsidR="006C41D3" w:rsidRPr="0052200B" w:rsidRDefault="005660E7" w:rsidP="00AC4F36">
            <w:pPr>
              <w:jc w:val="both"/>
              <w:rPr>
                <w:rFonts w:ascii="Century Gothic" w:eastAsia="Calibri" w:hAnsi="Century Gothic" w:cs="Arial"/>
                <w:b/>
                <w:sz w:val="20"/>
                <w:szCs w:val="20"/>
              </w:rPr>
            </w:pPr>
            <w:r w:rsidRPr="0052200B">
              <w:rPr>
                <w:rFonts w:ascii="Century Gothic" w:eastAsia="Calibri" w:hAnsi="Century Gothic" w:cs="Arial"/>
                <w:b/>
                <w:sz w:val="20"/>
                <w:szCs w:val="20"/>
              </w:rPr>
              <w:t xml:space="preserve">SEGUNDO: </w:t>
            </w:r>
            <w:r w:rsidR="00E239AB" w:rsidRPr="0052200B">
              <w:rPr>
                <w:rFonts w:ascii="Century Gothic" w:eastAsia="Calibri" w:hAnsi="Century Gothic" w:cs="Arial"/>
                <w:b/>
                <w:color w:val="FF0000"/>
                <w:sz w:val="20"/>
                <w:szCs w:val="20"/>
              </w:rPr>
              <w:t>A</w:t>
            </w:r>
            <w:r w:rsidR="006C41D3" w:rsidRPr="0052200B">
              <w:rPr>
                <w:rFonts w:ascii="Century Gothic" w:eastAsia="Calibri" w:hAnsi="Century Gothic" w:cs="Arial"/>
                <w:b/>
                <w:color w:val="C00000"/>
                <w:sz w:val="20"/>
                <w:szCs w:val="20"/>
              </w:rPr>
              <w:t xml:space="preserve">bsuélvase al </w:t>
            </w:r>
            <w:r w:rsidR="006C41D3" w:rsidRPr="0052200B">
              <w:rPr>
                <w:rFonts w:ascii="Century Gothic" w:eastAsia="Calibri" w:hAnsi="Century Gothic" w:cs="Arial"/>
                <w:color w:val="C00000"/>
                <w:sz w:val="20"/>
                <w:szCs w:val="20"/>
              </w:rPr>
              <w:t xml:space="preserve"> </w:t>
            </w:r>
            <w:r w:rsidR="006C41D3" w:rsidRPr="0052200B">
              <w:rPr>
                <w:rFonts w:ascii="Century Gothic" w:eastAsia="Calibri" w:hAnsi="Century Gothic" w:cs="Arial"/>
                <w:b/>
                <w:color w:val="C00000"/>
                <w:sz w:val="20"/>
                <w:szCs w:val="20"/>
              </w:rPr>
              <w:t>CONSORCIO AU &amp; GO</w:t>
            </w:r>
            <w:r w:rsidR="006C41D3" w:rsidRPr="0052200B">
              <w:rPr>
                <w:rFonts w:ascii="Century Gothic" w:eastAsia="Calibri" w:hAnsi="Century Gothic" w:cs="Arial"/>
                <w:color w:val="C00000"/>
                <w:sz w:val="20"/>
                <w:szCs w:val="20"/>
              </w:rPr>
              <w:t xml:space="preserve"> de toda responsabilidad frente a los perjuicios causados al demandante </w:t>
            </w:r>
            <w:r w:rsidR="006C41D3" w:rsidRPr="0052200B">
              <w:rPr>
                <w:rFonts w:ascii="Century Gothic" w:eastAsia="Calibri" w:hAnsi="Century Gothic" w:cs="Arial"/>
                <w:b/>
                <w:color w:val="C00000"/>
                <w:sz w:val="20"/>
                <w:szCs w:val="20"/>
              </w:rPr>
              <w:t>SOCIEDAD VINDICO SAS</w:t>
            </w:r>
            <w:r w:rsidR="006C41D3" w:rsidRPr="0052200B">
              <w:rPr>
                <w:rFonts w:ascii="Century Gothic" w:eastAsia="Calibri" w:hAnsi="Century Gothic" w:cs="Arial"/>
                <w:color w:val="C00000"/>
                <w:sz w:val="20"/>
                <w:szCs w:val="20"/>
              </w:rPr>
              <w:t xml:space="preserve"> de acuerdo a lo expuesto en la parte motiva de esta sentencia.</w:t>
            </w:r>
          </w:p>
          <w:p w:rsidR="006C41D3" w:rsidRPr="0052200B" w:rsidRDefault="006C41D3" w:rsidP="00AC4F36">
            <w:pPr>
              <w:jc w:val="both"/>
              <w:rPr>
                <w:rFonts w:ascii="Century Gothic" w:eastAsia="Calibri" w:hAnsi="Century Gothic" w:cs="Arial"/>
                <w:b/>
                <w:sz w:val="20"/>
                <w:szCs w:val="20"/>
              </w:rPr>
            </w:pPr>
          </w:p>
          <w:p w:rsidR="005660E7" w:rsidRPr="0052200B" w:rsidRDefault="006C41D3" w:rsidP="00AC4F36">
            <w:pPr>
              <w:jc w:val="both"/>
              <w:rPr>
                <w:rFonts w:ascii="Century Gothic" w:eastAsia="Calibri" w:hAnsi="Century Gothic" w:cs="Arial"/>
                <w:sz w:val="20"/>
                <w:szCs w:val="20"/>
              </w:rPr>
            </w:pPr>
            <w:r w:rsidRPr="0052200B">
              <w:rPr>
                <w:rFonts w:ascii="Century Gothic" w:eastAsia="Calibri" w:hAnsi="Century Gothic" w:cs="Arial"/>
                <w:b/>
                <w:sz w:val="20"/>
                <w:szCs w:val="20"/>
              </w:rPr>
              <w:t xml:space="preserve">TERCERO: </w:t>
            </w:r>
            <w:r w:rsidR="005660E7" w:rsidRPr="0052200B">
              <w:rPr>
                <w:rFonts w:ascii="Century Gothic" w:eastAsia="Calibri" w:hAnsi="Century Gothic" w:cs="Arial"/>
                <w:b/>
                <w:sz w:val="20"/>
                <w:szCs w:val="20"/>
              </w:rPr>
              <w:t>Declárese Contractualmente responsable</w:t>
            </w:r>
            <w:r w:rsidR="005660E7" w:rsidRPr="0052200B">
              <w:rPr>
                <w:rFonts w:ascii="Century Gothic" w:eastAsia="Calibri" w:hAnsi="Century Gothic" w:cs="Arial"/>
                <w:sz w:val="20"/>
                <w:szCs w:val="20"/>
              </w:rPr>
              <w:t xml:space="preserve"> al FONDO DE VIGILANCIA Y SEGURIDAD (HOY SECRETARÍA DISTRITAL DE SEGURIDAD, CONVIVENCIA Y JUSTICIA) de los perjuicios causados al demandante SOCIEDAD VINDICO SAS de acuerdo con lo expuesto en la parte motiva de esta providencia. </w:t>
            </w:r>
          </w:p>
          <w:p w:rsidR="005660E7" w:rsidRPr="0052200B" w:rsidRDefault="005660E7" w:rsidP="00AC4F36">
            <w:pPr>
              <w:jc w:val="both"/>
              <w:rPr>
                <w:rFonts w:ascii="Century Gothic" w:eastAsia="Calibri" w:hAnsi="Century Gothic" w:cs="Arial"/>
                <w:b/>
                <w:sz w:val="20"/>
                <w:szCs w:val="20"/>
              </w:rPr>
            </w:pPr>
          </w:p>
          <w:p w:rsidR="005660E7" w:rsidRPr="0052200B" w:rsidRDefault="006C41D3" w:rsidP="00AC4F36">
            <w:pPr>
              <w:jc w:val="both"/>
              <w:rPr>
                <w:rFonts w:ascii="Century Gothic" w:eastAsia="Calibri" w:hAnsi="Century Gothic" w:cs="Arial"/>
                <w:sz w:val="20"/>
                <w:szCs w:val="20"/>
              </w:rPr>
            </w:pPr>
            <w:r w:rsidRPr="0052200B">
              <w:rPr>
                <w:rFonts w:ascii="Century Gothic" w:eastAsia="Calibri" w:hAnsi="Century Gothic" w:cs="Arial"/>
                <w:b/>
                <w:color w:val="C00000"/>
                <w:sz w:val="20"/>
                <w:szCs w:val="20"/>
              </w:rPr>
              <w:t>CUARTO: Condénese</w:t>
            </w:r>
            <w:r w:rsidR="005660E7" w:rsidRPr="0052200B">
              <w:rPr>
                <w:rFonts w:ascii="Century Gothic" w:eastAsia="Calibri" w:hAnsi="Century Gothic" w:cs="Arial"/>
                <w:sz w:val="20"/>
                <w:szCs w:val="20"/>
              </w:rPr>
              <w:t xml:space="preserve"> al FONDO DE VIGILANCIA Y SEGURIDAD (HOY SECRETARÍA DISTRITAL DE SEGURIDAD, CONVIVENCIA Y JUSTICIA) a cancelar a la parte actora SOCIEDAD VINDICO SAS la suma de $337´968.914,80 por los motivos antes expuestos. </w:t>
            </w:r>
          </w:p>
          <w:p w:rsidR="005660E7" w:rsidRPr="0052200B" w:rsidRDefault="005660E7" w:rsidP="00AC4F36">
            <w:pPr>
              <w:jc w:val="both"/>
              <w:rPr>
                <w:rFonts w:ascii="Century Gothic" w:eastAsia="Calibri" w:hAnsi="Century Gothic" w:cs="Arial"/>
                <w:color w:val="C00000"/>
                <w:sz w:val="20"/>
                <w:szCs w:val="20"/>
              </w:rPr>
            </w:pPr>
          </w:p>
          <w:p w:rsidR="005660E7" w:rsidRPr="0052200B" w:rsidRDefault="005660E7" w:rsidP="00AC4F36">
            <w:pPr>
              <w:jc w:val="both"/>
              <w:rPr>
                <w:rFonts w:ascii="Century Gothic" w:eastAsia="Calibri" w:hAnsi="Century Gothic" w:cs="Arial"/>
                <w:color w:val="C00000"/>
                <w:sz w:val="20"/>
                <w:szCs w:val="20"/>
              </w:rPr>
            </w:pPr>
            <w:r w:rsidRPr="0052200B">
              <w:rPr>
                <w:rFonts w:ascii="Century Gothic" w:eastAsia="Calibri" w:hAnsi="Century Gothic" w:cs="Arial"/>
                <w:b/>
                <w:color w:val="C00000"/>
                <w:sz w:val="20"/>
                <w:szCs w:val="20"/>
              </w:rPr>
              <w:t>QUINTO: Niéguense</w:t>
            </w:r>
            <w:r w:rsidRPr="0052200B">
              <w:rPr>
                <w:rFonts w:ascii="Century Gothic" w:eastAsia="Calibri" w:hAnsi="Century Gothic" w:cs="Arial"/>
                <w:color w:val="C00000"/>
                <w:sz w:val="20"/>
                <w:szCs w:val="20"/>
              </w:rPr>
              <w:t xml:space="preserve"> las demás pretensiones de la demanda.</w:t>
            </w:r>
          </w:p>
          <w:p w:rsidR="005660E7" w:rsidRPr="0052200B" w:rsidRDefault="005660E7" w:rsidP="00AC4F36">
            <w:pPr>
              <w:jc w:val="both"/>
              <w:rPr>
                <w:rFonts w:ascii="Century Gothic" w:eastAsia="Calibri" w:hAnsi="Century Gothic" w:cs="Arial"/>
                <w:sz w:val="20"/>
                <w:szCs w:val="20"/>
              </w:rPr>
            </w:pPr>
          </w:p>
          <w:p w:rsidR="005660E7" w:rsidRPr="0052200B" w:rsidRDefault="005660E7" w:rsidP="00AC4F36">
            <w:pPr>
              <w:jc w:val="both"/>
              <w:rPr>
                <w:rFonts w:ascii="Century Gothic" w:eastAsia="Calibri" w:hAnsi="Century Gothic" w:cs="Arial"/>
                <w:sz w:val="20"/>
                <w:szCs w:val="20"/>
              </w:rPr>
            </w:pPr>
            <w:r w:rsidRPr="0052200B">
              <w:rPr>
                <w:rFonts w:ascii="Century Gothic" w:eastAsia="Calibri" w:hAnsi="Century Gothic" w:cs="Arial"/>
                <w:b/>
                <w:sz w:val="20"/>
                <w:szCs w:val="20"/>
              </w:rPr>
              <w:t>SEXTO:</w:t>
            </w:r>
            <w:r w:rsidRPr="0052200B">
              <w:rPr>
                <w:rFonts w:ascii="Century Gothic" w:eastAsia="Calibri" w:hAnsi="Century Gothic" w:cs="Arial"/>
                <w:sz w:val="20"/>
                <w:szCs w:val="20"/>
              </w:rPr>
              <w:t xml:space="preserve"> Sin condena en costas</w:t>
            </w:r>
          </w:p>
          <w:p w:rsidR="005660E7" w:rsidRPr="0052200B" w:rsidRDefault="005660E7" w:rsidP="00AC4F36">
            <w:pPr>
              <w:jc w:val="both"/>
              <w:rPr>
                <w:rFonts w:ascii="Century Gothic" w:eastAsia="Calibri" w:hAnsi="Century Gothic" w:cs="Arial"/>
                <w:sz w:val="20"/>
                <w:szCs w:val="20"/>
              </w:rPr>
            </w:pPr>
          </w:p>
          <w:p w:rsidR="005660E7" w:rsidRPr="0052200B" w:rsidRDefault="005660E7" w:rsidP="00AC4F36">
            <w:pPr>
              <w:jc w:val="both"/>
              <w:rPr>
                <w:rFonts w:ascii="Century Gothic" w:eastAsia="Calibri" w:hAnsi="Century Gothic" w:cs="Arial"/>
                <w:sz w:val="20"/>
                <w:szCs w:val="20"/>
              </w:rPr>
            </w:pPr>
            <w:r w:rsidRPr="0052200B">
              <w:rPr>
                <w:rFonts w:ascii="Century Gothic" w:eastAsia="Calibri" w:hAnsi="Century Gothic" w:cs="Arial"/>
                <w:b/>
                <w:sz w:val="20"/>
                <w:szCs w:val="20"/>
              </w:rPr>
              <w:lastRenderedPageBreak/>
              <w:t>SÉPTIMO</w:t>
            </w:r>
            <w:r w:rsidRPr="0052200B">
              <w:rPr>
                <w:rFonts w:ascii="Century Gothic" w:eastAsia="Calibri" w:hAnsi="Century Gothic" w:cs="Arial"/>
                <w:sz w:val="20"/>
                <w:szCs w:val="20"/>
              </w:rPr>
              <w:t xml:space="preserve">: Expídanse por secretaría copias con destino a las partes, con las precisiones del artículo 114 del Código General del Proceso. </w:t>
            </w:r>
          </w:p>
          <w:p w:rsidR="005660E7" w:rsidRPr="0052200B" w:rsidRDefault="005660E7" w:rsidP="00AC4F36">
            <w:pPr>
              <w:jc w:val="both"/>
              <w:rPr>
                <w:rFonts w:ascii="Century Gothic" w:eastAsia="Calibri" w:hAnsi="Century Gothic" w:cs="Arial"/>
                <w:sz w:val="20"/>
                <w:szCs w:val="20"/>
              </w:rPr>
            </w:pPr>
          </w:p>
          <w:p w:rsidR="005660E7" w:rsidRPr="0052200B" w:rsidRDefault="005660E7" w:rsidP="005660E7">
            <w:pPr>
              <w:jc w:val="both"/>
              <w:rPr>
                <w:rFonts w:ascii="Century Gothic" w:eastAsia="Calibri" w:hAnsi="Century Gothic" w:cs="Arial"/>
                <w:sz w:val="20"/>
                <w:szCs w:val="20"/>
              </w:rPr>
            </w:pPr>
            <w:r w:rsidRPr="0052200B">
              <w:rPr>
                <w:rFonts w:ascii="Century Gothic" w:eastAsia="Calibri" w:hAnsi="Century Gothic" w:cs="Arial"/>
                <w:b/>
                <w:sz w:val="20"/>
                <w:szCs w:val="20"/>
              </w:rPr>
              <w:t>OCTAVO:</w:t>
            </w:r>
            <w:r w:rsidRPr="0052200B">
              <w:rPr>
                <w:rFonts w:ascii="Century Gothic" w:eastAsia="Calibri" w:hAnsi="Century Gothic" w:cs="Arial"/>
                <w:sz w:val="20"/>
                <w:szCs w:val="20"/>
              </w:rPr>
              <w:t xml:space="preserve"> Por secretaría líbrense las comunicaciones necesarias para el cumplimiento de este fallo, de acuerdo con lo previsto en los artículos 203 del C.P.A.C.A y 329 del C.G.P.</w:t>
            </w:r>
          </w:p>
          <w:p w:rsidR="005660E7" w:rsidRPr="0052200B" w:rsidRDefault="005660E7" w:rsidP="005660E7">
            <w:pPr>
              <w:jc w:val="both"/>
              <w:rPr>
                <w:rFonts w:ascii="Century Gothic" w:eastAsia="Calibri" w:hAnsi="Century Gothic" w:cs="Arial"/>
                <w:sz w:val="20"/>
                <w:szCs w:val="20"/>
              </w:rPr>
            </w:pPr>
          </w:p>
          <w:p w:rsidR="005660E7" w:rsidRPr="0052200B" w:rsidRDefault="005660E7" w:rsidP="005660E7">
            <w:pPr>
              <w:jc w:val="both"/>
              <w:rPr>
                <w:rFonts w:ascii="Century Gothic" w:eastAsia="Calibri" w:hAnsi="Century Gothic" w:cs="Arial"/>
                <w:sz w:val="20"/>
                <w:szCs w:val="20"/>
              </w:rPr>
            </w:pPr>
            <w:r w:rsidRPr="0052200B">
              <w:rPr>
                <w:rFonts w:ascii="Century Gothic" w:eastAsia="Calibri" w:hAnsi="Century Gothic" w:cs="Arial"/>
                <w:b/>
                <w:sz w:val="20"/>
                <w:szCs w:val="20"/>
              </w:rPr>
              <w:t>NOVENO: Notifíquese</w:t>
            </w:r>
            <w:r w:rsidRPr="0052200B">
              <w:rPr>
                <w:rFonts w:ascii="Century Gothic" w:eastAsia="Calibri" w:hAnsi="Century Gothic" w:cs="Arial"/>
                <w:sz w:val="20"/>
                <w:szCs w:val="20"/>
              </w:rPr>
              <w:t xml:space="preserve"> a las partes del contenido de esta decisión en los términos del artículo 203 del CPACA</w:t>
            </w:r>
          </w:p>
          <w:p w:rsidR="006C41D3" w:rsidRPr="0052200B" w:rsidRDefault="006C41D3" w:rsidP="005660E7">
            <w:pPr>
              <w:jc w:val="both"/>
              <w:rPr>
                <w:rFonts w:ascii="Century Gothic" w:eastAsia="Calibri" w:hAnsi="Century Gothic" w:cs="Arial"/>
                <w:sz w:val="20"/>
                <w:szCs w:val="20"/>
              </w:rPr>
            </w:pPr>
          </w:p>
          <w:p w:rsidR="006C41D3" w:rsidRPr="0052200B" w:rsidRDefault="006C41D3" w:rsidP="005660E7">
            <w:pPr>
              <w:jc w:val="both"/>
              <w:rPr>
                <w:rFonts w:ascii="Century Gothic" w:eastAsia="Calibri" w:hAnsi="Century Gothic" w:cs="Arial"/>
                <w:sz w:val="20"/>
                <w:szCs w:val="20"/>
              </w:rPr>
            </w:pPr>
            <w:r w:rsidRPr="0052200B">
              <w:rPr>
                <w:rFonts w:ascii="Century Gothic" w:eastAsia="Calibri" w:hAnsi="Century Gothic" w:cs="Arial"/>
                <w:b/>
                <w:sz w:val="20"/>
                <w:szCs w:val="20"/>
              </w:rPr>
              <w:t>DECIMO:</w:t>
            </w:r>
            <w:r w:rsidRPr="0052200B">
              <w:rPr>
                <w:rFonts w:ascii="Century Gothic" w:eastAsia="Calibri" w:hAnsi="Century Gothic" w:cs="Arial"/>
                <w:sz w:val="20"/>
                <w:szCs w:val="20"/>
              </w:rPr>
              <w:t xml:space="preserve"> 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rsidR="005660E7" w:rsidRPr="0052200B" w:rsidRDefault="005660E7" w:rsidP="005660E7">
            <w:pPr>
              <w:jc w:val="both"/>
              <w:rPr>
                <w:rFonts w:ascii="Century Gothic" w:hAnsi="Century Gothic" w:cs="Arial"/>
                <w:sz w:val="20"/>
                <w:szCs w:val="20"/>
                <w:lang w:val="es-ES_tradnl" w:eastAsia="es-ES_tradnl"/>
              </w:rPr>
            </w:pPr>
          </w:p>
        </w:tc>
      </w:tr>
    </w:tbl>
    <w:p w:rsidR="0030507B" w:rsidRPr="00486E69" w:rsidRDefault="0030507B" w:rsidP="0030507B">
      <w:pPr>
        <w:spacing w:after="0" w:line="240" w:lineRule="auto"/>
        <w:jc w:val="both"/>
        <w:rPr>
          <w:rFonts w:ascii="Arial" w:eastAsia="Times New Roman" w:hAnsi="Arial" w:cs="Arial"/>
          <w:color w:val="000000"/>
          <w:lang w:eastAsia="es-ES"/>
        </w:rPr>
      </w:pPr>
    </w:p>
    <w:p w:rsidR="0030507B" w:rsidRPr="00486E69" w:rsidRDefault="0030507B" w:rsidP="0030507B">
      <w:pPr>
        <w:spacing w:after="0" w:line="240" w:lineRule="auto"/>
        <w:jc w:val="both"/>
        <w:rPr>
          <w:rFonts w:ascii="Arial" w:eastAsia="Times New Roman" w:hAnsi="Arial" w:cs="Arial"/>
          <w:b/>
          <w:bCs/>
          <w:lang w:val="es-ES" w:eastAsia="es-ES"/>
        </w:rPr>
      </w:pPr>
      <w:r w:rsidRPr="00486E69">
        <w:rPr>
          <w:rFonts w:ascii="Arial" w:eastAsia="Times New Roman" w:hAnsi="Arial" w:cs="Arial"/>
          <w:b/>
          <w:bCs/>
          <w:lang w:val="es-ES" w:eastAsia="es-ES"/>
        </w:rPr>
        <w:t>NOTIFÍQUESE Y CUMPLASE</w:t>
      </w:r>
    </w:p>
    <w:p w:rsidR="0030507B" w:rsidRDefault="0030507B" w:rsidP="0030507B">
      <w:pPr>
        <w:spacing w:after="0" w:line="240" w:lineRule="auto"/>
        <w:jc w:val="both"/>
        <w:rPr>
          <w:rFonts w:ascii="Arial" w:eastAsia="Times New Roman" w:hAnsi="Arial" w:cs="Arial"/>
          <w:b/>
          <w:bCs/>
          <w:lang w:val="es-ES" w:eastAsia="es-ES"/>
        </w:rPr>
      </w:pPr>
    </w:p>
    <w:p w:rsidR="007B65FA" w:rsidRPr="00486E69" w:rsidRDefault="007B65FA" w:rsidP="0030507B">
      <w:pPr>
        <w:spacing w:after="0" w:line="240" w:lineRule="auto"/>
        <w:jc w:val="both"/>
        <w:rPr>
          <w:rFonts w:ascii="Arial" w:eastAsia="Times New Roman" w:hAnsi="Arial" w:cs="Arial"/>
          <w:b/>
          <w:bCs/>
          <w:lang w:val="es-ES" w:eastAsia="es-ES"/>
        </w:rPr>
      </w:pPr>
    </w:p>
    <w:p w:rsidR="0030507B" w:rsidRPr="00486E69" w:rsidRDefault="0030507B" w:rsidP="0030507B">
      <w:pPr>
        <w:spacing w:after="0" w:line="240" w:lineRule="auto"/>
        <w:jc w:val="center"/>
        <w:rPr>
          <w:rFonts w:ascii="Arial" w:eastAsia="Times New Roman" w:hAnsi="Arial" w:cs="Arial"/>
          <w:b/>
          <w:bCs/>
          <w:lang w:val="es-ES" w:eastAsia="es-ES"/>
        </w:rPr>
      </w:pPr>
      <w:r w:rsidRPr="00486E69">
        <w:rPr>
          <w:rFonts w:ascii="Arial" w:eastAsia="Times New Roman" w:hAnsi="Arial" w:cs="Arial"/>
          <w:b/>
          <w:bCs/>
          <w:lang w:val="es-ES" w:eastAsia="es-ES"/>
        </w:rPr>
        <w:t>OLGA CECILIA HENAO MARÍN</w:t>
      </w:r>
    </w:p>
    <w:p w:rsidR="0030507B" w:rsidRPr="00486E69" w:rsidRDefault="0030507B" w:rsidP="0030507B">
      <w:pPr>
        <w:spacing w:after="0" w:line="240" w:lineRule="auto"/>
        <w:jc w:val="center"/>
        <w:rPr>
          <w:rFonts w:ascii="Arial" w:eastAsia="Times New Roman" w:hAnsi="Arial" w:cs="Arial"/>
          <w:bCs/>
          <w:lang w:val="es-ES" w:eastAsia="es-ES"/>
        </w:rPr>
      </w:pPr>
      <w:r w:rsidRPr="00486E69">
        <w:rPr>
          <w:rFonts w:ascii="Arial" w:eastAsia="Times New Roman" w:hAnsi="Arial" w:cs="Arial"/>
          <w:bCs/>
          <w:lang w:val="es-ES" w:eastAsia="es-ES"/>
        </w:rPr>
        <w:t>Juez</w:t>
      </w:r>
    </w:p>
    <w:p w:rsidR="0030507B" w:rsidRPr="00486E69" w:rsidRDefault="0030507B" w:rsidP="0030507B">
      <w:pPr>
        <w:tabs>
          <w:tab w:val="left" w:pos="426"/>
        </w:tabs>
        <w:spacing w:after="0" w:line="240" w:lineRule="auto"/>
        <w:jc w:val="both"/>
        <w:rPr>
          <w:rFonts w:ascii="Arial" w:hAnsi="Arial" w:cs="Arial"/>
        </w:rPr>
      </w:pPr>
    </w:p>
    <w:p w:rsidR="0030507B" w:rsidRPr="007B65FA" w:rsidRDefault="0030507B" w:rsidP="0030507B">
      <w:pPr>
        <w:tabs>
          <w:tab w:val="left" w:pos="426"/>
        </w:tabs>
        <w:spacing w:after="0" w:line="240" w:lineRule="auto"/>
        <w:jc w:val="both"/>
        <w:rPr>
          <w:rFonts w:ascii="Arial" w:hAnsi="Arial" w:cs="Arial"/>
          <w:sz w:val="16"/>
          <w:szCs w:val="16"/>
        </w:rPr>
      </w:pPr>
      <w:r w:rsidRPr="007B65FA">
        <w:rPr>
          <w:rFonts w:ascii="Arial" w:hAnsi="Arial" w:cs="Arial"/>
          <w:sz w:val="16"/>
          <w:szCs w:val="16"/>
        </w:rPr>
        <w:t>NNC</w:t>
      </w:r>
    </w:p>
    <w:p w:rsidR="0030507B" w:rsidRPr="00486E69" w:rsidRDefault="0030507B" w:rsidP="0030507B">
      <w:pPr>
        <w:tabs>
          <w:tab w:val="left" w:pos="426"/>
        </w:tabs>
        <w:spacing w:after="0" w:line="240" w:lineRule="auto"/>
        <w:jc w:val="both"/>
        <w:rPr>
          <w:rFonts w:ascii="Arial" w:hAnsi="Arial" w:cs="Arial"/>
        </w:rPr>
      </w:pPr>
    </w:p>
    <w:p w:rsidR="0030507B" w:rsidRPr="00486E69" w:rsidRDefault="0030507B" w:rsidP="0030507B">
      <w:pPr>
        <w:tabs>
          <w:tab w:val="left" w:pos="426"/>
        </w:tabs>
        <w:spacing w:after="0" w:line="240" w:lineRule="auto"/>
        <w:jc w:val="both"/>
        <w:rPr>
          <w:rFonts w:ascii="Arial" w:hAnsi="Arial" w:cs="Arial"/>
        </w:rPr>
      </w:pPr>
    </w:p>
    <w:p w:rsidR="0030507B" w:rsidRPr="00486E69" w:rsidRDefault="0030507B" w:rsidP="0030507B">
      <w:pPr>
        <w:tabs>
          <w:tab w:val="left" w:pos="426"/>
        </w:tabs>
        <w:spacing w:after="0" w:line="240" w:lineRule="auto"/>
        <w:jc w:val="both"/>
        <w:rPr>
          <w:rFonts w:ascii="Arial" w:hAnsi="Arial" w:cs="Arial"/>
        </w:rPr>
      </w:pPr>
    </w:p>
    <w:p w:rsidR="0030507B" w:rsidRPr="00486E69" w:rsidRDefault="0030507B" w:rsidP="0030507B">
      <w:pPr>
        <w:rPr>
          <w:rFonts w:ascii="Arial" w:hAnsi="Arial" w:cs="Arial"/>
        </w:rPr>
      </w:pPr>
    </w:p>
    <w:p w:rsidR="0035683C" w:rsidRPr="00486E69" w:rsidRDefault="00FA754D">
      <w:pPr>
        <w:rPr>
          <w:rFonts w:ascii="Arial" w:hAnsi="Arial" w:cs="Arial"/>
        </w:rPr>
      </w:pPr>
    </w:p>
    <w:sectPr w:rsidR="0035683C" w:rsidRPr="00486E69" w:rsidSect="00E668C5">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4D" w:rsidRDefault="00FA754D" w:rsidP="0030507B">
      <w:pPr>
        <w:spacing w:after="0" w:line="240" w:lineRule="auto"/>
      </w:pPr>
      <w:r>
        <w:separator/>
      </w:r>
    </w:p>
  </w:endnote>
  <w:endnote w:type="continuationSeparator" w:id="0">
    <w:p w:rsidR="00FA754D" w:rsidRDefault="00FA754D" w:rsidP="0030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4D" w:rsidRDefault="00FA754D" w:rsidP="0030507B">
      <w:pPr>
        <w:spacing w:after="0" w:line="240" w:lineRule="auto"/>
      </w:pPr>
      <w:r>
        <w:separator/>
      </w:r>
    </w:p>
  </w:footnote>
  <w:footnote w:type="continuationSeparator" w:id="0">
    <w:p w:rsidR="00FA754D" w:rsidRDefault="00FA754D" w:rsidP="0030507B">
      <w:pPr>
        <w:spacing w:after="0" w:line="240" w:lineRule="auto"/>
      </w:pPr>
      <w:r>
        <w:continuationSeparator/>
      </w:r>
    </w:p>
  </w:footnote>
  <w:footnote w:id="1">
    <w:p w:rsidR="0030507B" w:rsidRPr="00E51A09" w:rsidRDefault="0030507B" w:rsidP="0030507B">
      <w:pPr>
        <w:pStyle w:val="Textonotapie"/>
        <w:rPr>
          <w:rFonts w:ascii="Tahoma" w:hAnsi="Tahoma" w:cs="Tahoma"/>
          <w:sz w:val="11"/>
          <w:szCs w:val="11"/>
          <w:lang w:val="es-CO"/>
        </w:rPr>
      </w:pPr>
      <w:r w:rsidRPr="00E51A09">
        <w:rPr>
          <w:rStyle w:val="Refdenotaalpie"/>
          <w:rFonts w:ascii="Tahoma" w:hAnsi="Tahoma" w:cs="Tahoma"/>
          <w:sz w:val="11"/>
          <w:szCs w:val="11"/>
        </w:rPr>
        <w:footnoteRef/>
      </w:r>
      <w:r w:rsidRPr="00E51A09">
        <w:rPr>
          <w:rFonts w:ascii="Tahoma" w:hAnsi="Tahoma" w:cs="Tahoma"/>
          <w:sz w:val="11"/>
          <w:szCs w:val="11"/>
        </w:rPr>
        <w:t xml:space="preserve"> Folios </w:t>
      </w:r>
      <w:r w:rsidR="00151735">
        <w:rPr>
          <w:rFonts w:ascii="Tahoma" w:hAnsi="Tahoma" w:cs="Tahoma"/>
          <w:sz w:val="11"/>
          <w:szCs w:val="11"/>
          <w:lang w:val="es-CO"/>
        </w:rPr>
        <w:t>425-439</w:t>
      </w:r>
      <w:r w:rsidRPr="00E51A09">
        <w:rPr>
          <w:rFonts w:ascii="Tahoma" w:hAnsi="Tahoma" w:cs="Tahoma"/>
          <w:sz w:val="11"/>
          <w:szCs w:val="11"/>
          <w:lang w:val="es-CO"/>
        </w:rPr>
        <w:t xml:space="preserve"> cuaderno principal</w:t>
      </w:r>
    </w:p>
  </w:footnote>
  <w:footnote w:id="2">
    <w:p w:rsidR="0030507B" w:rsidRPr="00441A3D" w:rsidRDefault="0030507B" w:rsidP="0030507B">
      <w:pPr>
        <w:pStyle w:val="Textonotapie"/>
        <w:rPr>
          <w:rFonts w:ascii="Tahoma" w:hAnsi="Tahoma" w:cs="Tahoma"/>
          <w:sz w:val="11"/>
          <w:szCs w:val="11"/>
          <w:lang w:val="es-CO"/>
        </w:rPr>
      </w:pPr>
      <w:r w:rsidRPr="00441A3D">
        <w:rPr>
          <w:rStyle w:val="Refdenotaalpie"/>
          <w:rFonts w:ascii="Tahoma" w:hAnsi="Tahoma" w:cs="Tahoma"/>
          <w:sz w:val="11"/>
          <w:szCs w:val="11"/>
        </w:rPr>
        <w:footnoteRef/>
      </w:r>
      <w:r w:rsidRPr="00441A3D">
        <w:rPr>
          <w:rFonts w:ascii="Tahoma" w:hAnsi="Tahoma" w:cs="Tahoma"/>
          <w:sz w:val="11"/>
          <w:szCs w:val="11"/>
        </w:rPr>
        <w:t xml:space="preserve"> </w:t>
      </w:r>
      <w:r w:rsidR="00010BE7">
        <w:rPr>
          <w:rFonts w:ascii="Tahoma" w:hAnsi="Tahoma" w:cs="Tahoma"/>
          <w:sz w:val="11"/>
          <w:szCs w:val="11"/>
          <w:lang w:val="es-CO"/>
        </w:rPr>
        <w:t xml:space="preserve">Folio 445 </w:t>
      </w:r>
      <w:r w:rsidRPr="00441A3D">
        <w:rPr>
          <w:rFonts w:ascii="Tahoma" w:hAnsi="Tahoma" w:cs="Tahoma"/>
          <w:sz w:val="11"/>
          <w:szCs w:val="11"/>
          <w:lang w:val="es-CO"/>
        </w:rPr>
        <w:t>del cuaderno principal</w:t>
      </w:r>
    </w:p>
  </w:footnote>
  <w:footnote w:id="3">
    <w:p w:rsidR="00010BE7" w:rsidRPr="00441A3D" w:rsidRDefault="00010BE7" w:rsidP="00010BE7">
      <w:pPr>
        <w:pStyle w:val="Textonotapie"/>
        <w:rPr>
          <w:rFonts w:ascii="Tahoma" w:hAnsi="Tahoma" w:cs="Tahoma"/>
          <w:sz w:val="11"/>
          <w:szCs w:val="11"/>
          <w:lang w:val="es-CO"/>
        </w:rPr>
      </w:pPr>
      <w:r w:rsidRPr="00441A3D">
        <w:rPr>
          <w:rStyle w:val="Refdenotaalpie"/>
          <w:rFonts w:ascii="Tahoma" w:hAnsi="Tahoma" w:cs="Tahoma"/>
          <w:sz w:val="11"/>
          <w:szCs w:val="11"/>
        </w:rPr>
        <w:footnoteRef/>
      </w:r>
      <w:r w:rsidRPr="00441A3D">
        <w:rPr>
          <w:rFonts w:ascii="Tahoma" w:hAnsi="Tahoma" w:cs="Tahoma"/>
          <w:sz w:val="11"/>
          <w:szCs w:val="11"/>
        </w:rPr>
        <w:t xml:space="preserve"> </w:t>
      </w:r>
      <w:r w:rsidR="000C1BE0">
        <w:rPr>
          <w:rFonts w:ascii="Tahoma" w:hAnsi="Tahoma" w:cs="Tahoma"/>
          <w:sz w:val="11"/>
          <w:szCs w:val="11"/>
          <w:lang w:val="es-CO"/>
        </w:rPr>
        <w:t>Folio</w:t>
      </w:r>
      <w:r w:rsidRPr="00441A3D">
        <w:rPr>
          <w:rFonts w:ascii="Tahoma" w:hAnsi="Tahoma" w:cs="Tahoma"/>
          <w:sz w:val="11"/>
          <w:szCs w:val="11"/>
          <w:lang w:val="es-CO"/>
        </w:rPr>
        <w:t xml:space="preserve"> </w:t>
      </w:r>
      <w:r w:rsidR="000C1BE0">
        <w:rPr>
          <w:rFonts w:ascii="Tahoma" w:hAnsi="Tahoma" w:cs="Tahoma"/>
          <w:sz w:val="11"/>
          <w:szCs w:val="11"/>
          <w:lang w:val="es-CO"/>
        </w:rPr>
        <w:t xml:space="preserve">446 </w:t>
      </w:r>
      <w:r w:rsidRPr="00441A3D">
        <w:rPr>
          <w:rFonts w:ascii="Tahoma" w:hAnsi="Tahoma" w:cs="Tahoma"/>
          <w:sz w:val="11"/>
          <w:szCs w:val="11"/>
          <w:lang w:val="es-CO"/>
        </w:rPr>
        <w:t>del cuaderno principal</w:t>
      </w:r>
    </w:p>
  </w:footnote>
  <w:footnote w:id="4">
    <w:p w:rsidR="0030507B" w:rsidRPr="00502EFC" w:rsidRDefault="0030507B" w:rsidP="0030507B">
      <w:pPr>
        <w:pStyle w:val="Textonotapie"/>
        <w:rPr>
          <w:rFonts w:ascii="Tahoma" w:hAnsi="Tahoma" w:cs="Tahoma"/>
          <w:sz w:val="11"/>
          <w:szCs w:val="11"/>
          <w:lang w:val="es-CO"/>
        </w:rPr>
      </w:pPr>
      <w:r w:rsidRPr="00502EFC">
        <w:rPr>
          <w:rStyle w:val="Refdenotaalpie"/>
          <w:rFonts w:ascii="Tahoma" w:hAnsi="Tahoma" w:cs="Tahoma"/>
          <w:sz w:val="11"/>
          <w:szCs w:val="11"/>
        </w:rPr>
        <w:footnoteRef/>
      </w:r>
      <w:r w:rsidRPr="00502EFC">
        <w:rPr>
          <w:rFonts w:ascii="Tahoma" w:hAnsi="Tahoma" w:cs="Tahoma"/>
          <w:sz w:val="11"/>
          <w:szCs w:val="11"/>
        </w:rPr>
        <w:t xml:space="preserve"> </w:t>
      </w:r>
      <w:r>
        <w:rPr>
          <w:rFonts w:ascii="Tahoma" w:hAnsi="Tahoma" w:cs="Tahoma"/>
          <w:sz w:val="11"/>
          <w:szCs w:val="11"/>
          <w:lang w:val="es-CO"/>
        </w:rPr>
        <w:t>Folio</w:t>
      </w:r>
      <w:r w:rsidR="000C1BE0">
        <w:rPr>
          <w:rFonts w:ascii="Tahoma" w:hAnsi="Tahoma" w:cs="Tahoma"/>
          <w:sz w:val="11"/>
          <w:szCs w:val="11"/>
          <w:lang w:val="es-CO"/>
        </w:rPr>
        <w:t xml:space="preserve"> 251</w:t>
      </w:r>
      <w:r w:rsidRPr="00502EFC">
        <w:rPr>
          <w:rFonts w:ascii="Tahoma" w:hAnsi="Tahoma" w:cs="Tahoma"/>
          <w:sz w:val="11"/>
          <w:szCs w:val="11"/>
          <w:lang w:val="es-CO"/>
        </w:rPr>
        <w:t xml:space="preserve"> </w:t>
      </w:r>
      <w:r>
        <w:rPr>
          <w:rFonts w:ascii="Tahoma" w:hAnsi="Tahoma" w:cs="Tahoma"/>
          <w:sz w:val="11"/>
          <w:szCs w:val="11"/>
          <w:lang w:val="es-CO"/>
        </w:rPr>
        <w:t>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E0" w:rsidRPr="009B2C67" w:rsidRDefault="00A2127B" w:rsidP="0013580B">
    <w:pPr>
      <w:pStyle w:val="Encabezado"/>
      <w:jc w:val="right"/>
      <w:rPr>
        <w:sz w:val="18"/>
        <w:szCs w:val="12"/>
      </w:rPr>
    </w:pPr>
    <w:r w:rsidRPr="009B2C67">
      <w:rPr>
        <w:sz w:val="18"/>
        <w:szCs w:val="12"/>
        <w:lang w:val="es-MX"/>
      </w:rPr>
      <w:t xml:space="preserve">Expediente No. </w:t>
    </w:r>
    <w:r w:rsidR="009B2C67">
      <w:rPr>
        <w:sz w:val="18"/>
        <w:szCs w:val="12"/>
      </w:rPr>
      <w:t>2015-0135</w:t>
    </w:r>
  </w:p>
  <w:p w:rsidR="004F0FE0" w:rsidRPr="009B2C67" w:rsidRDefault="00A2127B" w:rsidP="0013580B">
    <w:pPr>
      <w:pStyle w:val="Encabezado"/>
      <w:jc w:val="right"/>
      <w:rPr>
        <w:sz w:val="18"/>
        <w:szCs w:val="12"/>
      </w:rPr>
    </w:pPr>
    <w:r w:rsidRPr="009B2C67">
      <w:rPr>
        <w:sz w:val="18"/>
        <w:szCs w:val="12"/>
      </w:rPr>
      <w:t xml:space="preserve">CORRIJE FALLO DE PRIMERA INSTANCIA </w:t>
    </w:r>
  </w:p>
  <w:p w:rsidR="004F0FE0" w:rsidRPr="009B2C67" w:rsidRDefault="00A2127B" w:rsidP="0013580B">
    <w:pPr>
      <w:pStyle w:val="Encabezado"/>
      <w:jc w:val="right"/>
      <w:rPr>
        <w:sz w:val="18"/>
        <w:szCs w:val="12"/>
      </w:rPr>
    </w:pPr>
    <w:r w:rsidRPr="009B2C67">
      <w:rPr>
        <w:sz w:val="18"/>
        <w:szCs w:val="12"/>
      </w:rPr>
      <w:t xml:space="preserve">Página </w:t>
    </w:r>
    <w:r w:rsidRPr="009B2C67">
      <w:rPr>
        <w:sz w:val="18"/>
        <w:szCs w:val="12"/>
      </w:rPr>
      <w:fldChar w:fldCharType="begin"/>
    </w:r>
    <w:r w:rsidRPr="009B2C67">
      <w:rPr>
        <w:sz w:val="18"/>
        <w:szCs w:val="12"/>
      </w:rPr>
      <w:instrText xml:space="preserve"> PAGE  \* Arabic  \* MERGEFORMAT </w:instrText>
    </w:r>
    <w:r w:rsidRPr="009B2C67">
      <w:rPr>
        <w:sz w:val="18"/>
        <w:szCs w:val="12"/>
      </w:rPr>
      <w:fldChar w:fldCharType="separate"/>
    </w:r>
    <w:r w:rsidR="00291D25">
      <w:rPr>
        <w:noProof/>
        <w:sz w:val="18"/>
        <w:szCs w:val="12"/>
      </w:rPr>
      <w:t>3</w:t>
    </w:r>
    <w:r w:rsidRPr="009B2C67">
      <w:rPr>
        <w:sz w:val="18"/>
        <w:szCs w:val="12"/>
      </w:rPr>
      <w:fldChar w:fldCharType="end"/>
    </w:r>
    <w:r w:rsidRPr="009B2C67">
      <w:rPr>
        <w:sz w:val="18"/>
        <w:szCs w:val="12"/>
      </w:rPr>
      <w:t xml:space="preserve"> de </w:t>
    </w:r>
    <w:r w:rsidRPr="009B2C67">
      <w:rPr>
        <w:sz w:val="18"/>
        <w:szCs w:val="12"/>
      </w:rPr>
      <w:fldChar w:fldCharType="begin"/>
    </w:r>
    <w:r w:rsidRPr="009B2C67">
      <w:rPr>
        <w:sz w:val="18"/>
        <w:szCs w:val="12"/>
      </w:rPr>
      <w:instrText xml:space="preserve"> NUMPAGES  \* Arabic  \* MERGEFORMAT </w:instrText>
    </w:r>
    <w:r w:rsidRPr="009B2C67">
      <w:rPr>
        <w:sz w:val="18"/>
        <w:szCs w:val="12"/>
      </w:rPr>
      <w:fldChar w:fldCharType="separate"/>
    </w:r>
    <w:r w:rsidR="00291D25">
      <w:rPr>
        <w:noProof/>
        <w:sz w:val="18"/>
        <w:szCs w:val="12"/>
      </w:rPr>
      <w:t>3</w:t>
    </w:r>
    <w:r w:rsidRPr="009B2C67">
      <w:rPr>
        <w:noProof/>
        <w:sz w:val="18"/>
        <w:szCs w:val="12"/>
      </w:rPr>
      <w:fldChar w:fldCharType="end"/>
    </w:r>
  </w:p>
  <w:p w:rsidR="004F0FE0" w:rsidRPr="00562446" w:rsidRDefault="00FA754D" w:rsidP="005624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E0" w:rsidRPr="00E668C5" w:rsidRDefault="00A2127B" w:rsidP="0013580B">
    <w:pPr>
      <w:pStyle w:val="Encabezado"/>
      <w:jc w:val="center"/>
      <w:rPr>
        <w:rFonts w:ascii="Arial" w:hAnsi="Arial" w:cs="Arial"/>
        <w:b/>
        <w:i/>
        <w:sz w:val="12"/>
        <w:szCs w:val="12"/>
      </w:rPr>
    </w:pPr>
    <w:r w:rsidRPr="00E668C5">
      <w:rPr>
        <w:rFonts w:ascii="Arial" w:hAnsi="Arial" w:cs="Arial"/>
        <w:b/>
        <w:i/>
        <w:noProof/>
        <w:sz w:val="12"/>
        <w:szCs w:val="12"/>
        <w:lang w:eastAsia="es-CO"/>
      </w:rPr>
      <w:drawing>
        <wp:inline distT="0" distB="0" distL="0" distR="0" wp14:anchorId="656D92B5" wp14:editId="37A215F4">
          <wp:extent cx="664210" cy="638175"/>
          <wp:effectExtent l="0" t="0" r="254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inline>
      </w:drawing>
    </w:r>
  </w:p>
  <w:p w:rsidR="004F0FE0" w:rsidRPr="00E668C5" w:rsidRDefault="00A2127B" w:rsidP="0013580B">
    <w:pPr>
      <w:pStyle w:val="Encabezado"/>
      <w:jc w:val="center"/>
      <w:rPr>
        <w:rFonts w:ascii="Tahoma" w:hAnsi="Tahoma" w:cs="Tahoma"/>
        <w:b/>
        <w:sz w:val="12"/>
        <w:szCs w:val="12"/>
        <w:lang w:val="es-MX"/>
      </w:rPr>
    </w:pPr>
    <w:r w:rsidRPr="00E668C5">
      <w:rPr>
        <w:rFonts w:ascii="Tahoma" w:hAnsi="Tahoma" w:cs="Tahoma"/>
        <w:b/>
        <w:sz w:val="12"/>
        <w:szCs w:val="12"/>
        <w:lang w:val="es-MX"/>
      </w:rPr>
      <w:t>JUZGADO TREINTA Y CUATRO ADMINISTRATIVO ORAL DEL</w:t>
    </w:r>
  </w:p>
  <w:p w:rsidR="004F0FE0" w:rsidRPr="00E668C5" w:rsidRDefault="00A2127B" w:rsidP="0013580B">
    <w:pPr>
      <w:pStyle w:val="Encabezado"/>
      <w:jc w:val="center"/>
      <w:rPr>
        <w:rFonts w:ascii="Tahoma" w:hAnsi="Tahoma" w:cs="Tahoma"/>
        <w:b/>
        <w:sz w:val="12"/>
        <w:szCs w:val="12"/>
        <w:lang w:val="es-MX"/>
      </w:rPr>
    </w:pPr>
    <w:r w:rsidRPr="00E668C5">
      <w:rPr>
        <w:rFonts w:ascii="Tahoma" w:hAnsi="Tahoma" w:cs="Tahoma"/>
        <w:b/>
        <w:sz w:val="12"/>
        <w:szCs w:val="12"/>
        <w:lang w:val="es-MX"/>
      </w:rPr>
      <w:t>CIRCUITO DE BOGOTÁ</w:t>
    </w:r>
  </w:p>
  <w:p w:rsidR="004F0FE0" w:rsidRPr="00E668C5" w:rsidRDefault="00A2127B" w:rsidP="0013580B">
    <w:pPr>
      <w:pStyle w:val="Encabezado"/>
      <w:jc w:val="center"/>
      <w:rPr>
        <w:rFonts w:ascii="Tahoma" w:hAnsi="Tahoma" w:cs="Tahoma"/>
        <w:b/>
        <w:sz w:val="12"/>
        <w:szCs w:val="12"/>
        <w:lang w:val="es-MX"/>
      </w:rPr>
    </w:pPr>
    <w:r w:rsidRPr="00E668C5">
      <w:rPr>
        <w:rFonts w:ascii="Tahoma" w:hAnsi="Tahoma" w:cs="Tahoma"/>
        <w:b/>
        <w:sz w:val="12"/>
        <w:szCs w:val="12"/>
        <w:lang w:val="es-MX"/>
      </w:rPr>
      <w:t>Sección Tercera</w:t>
    </w:r>
  </w:p>
  <w:p w:rsidR="004F0FE0" w:rsidRDefault="00FA75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46FEB"/>
    <w:multiLevelType w:val="multilevel"/>
    <w:tmpl w:val="CC461294"/>
    <w:lvl w:ilvl="0">
      <w:start w:val="2"/>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540" w:hanging="54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1">
    <w:nsid w:val="60125ACA"/>
    <w:multiLevelType w:val="hybridMultilevel"/>
    <w:tmpl w:val="A710B58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7B"/>
    <w:rsid w:val="00010BE7"/>
    <w:rsid w:val="000200CE"/>
    <w:rsid w:val="000C1BE0"/>
    <w:rsid w:val="000E1E38"/>
    <w:rsid w:val="00107699"/>
    <w:rsid w:val="001240CD"/>
    <w:rsid w:val="00151735"/>
    <w:rsid w:val="001D54C2"/>
    <w:rsid w:val="00291D25"/>
    <w:rsid w:val="0030507B"/>
    <w:rsid w:val="00321CD5"/>
    <w:rsid w:val="00373622"/>
    <w:rsid w:val="00383210"/>
    <w:rsid w:val="00486E69"/>
    <w:rsid w:val="0052200B"/>
    <w:rsid w:val="005660E7"/>
    <w:rsid w:val="005E7DB7"/>
    <w:rsid w:val="00660249"/>
    <w:rsid w:val="00683FBE"/>
    <w:rsid w:val="006B284C"/>
    <w:rsid w:val="006C41D3"/>
    <w:rsid w:val="00717A22"/>
    <w:rsid w:val="0072490B"/>
    <w:rsid w:val="007B65FA"/>
    <w:rsid w:val="008336DA"/>
    <w:rsid w:val="00881A3D"/>
    <w:rsid w:val="00940BD7"/>
    <w:rsid w:val="009B2C67"/>
    <w:rsid w:val="00A2127B"/>
    <w:rsid w:val="00BE7C0D"/>
    <w:rsid w:val="00D21D49"/>
    <w:rsid w:val="00D33223"/>
    <w:rsid w:val="00D3459F"/>
    <w:rsid w:val="00D74644"/>
    <w:rsid w:val="00DD2371"/>
    <w:rsid w:val="00E239AB"/>
    <w:rsid w:val="00FA75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8F414-8441-43A1-B807-0A289E7E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07B"/>
  </w:style>
  <w:style w:type="paragraph" w:styleId="Ttulo1">
    <w:name w:val="heading 1"/>
    <w:basedOn w:val="Normal"/>
    <w:next w:val="Normal"/>
    <w:link w:val="Ttulo1Car"/>
    <w:qFormat/>
    <w:rsid w:val="0030507B"/>
    <w:pPr>
      <w:keepNext/>
      <w:spacing w:after="0" w:line="240" w:lineRule="auto"/>
      <w:jc w:val="both"/>
      <w:outlineLvl w:val="0"/>
    </w:pPr>
    <w:rPr>
      <w:rFonts w:ascii="Tahoma" w:eastAsia="Times New Roman" w:hAnsi="Tahoma" w:cs="Tahoma"/>
      <w:b/>
      <w:sz w:val="18"/>
      <w:szCs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507B"/>
    <w:rPr>
      <w:rFonts w:ascii="Tahoma" w:eastAsia="Times New Roman" w:hAnsi="Tahoma" w:cs="Tahoma"/>
      <w:b/>
      <w:sz w:val="18"/>
      <w:szCs w:val="18"/>
      <w:lang w:val="es-MX" w:eastAsia="es-ES"/>
    </w:rPr>
  </w:style>
  <w:style w:type="paragraph" w:styleId="Encabezado">
    <w:name w:val="header"/>
    <w:basedOn w:val="Normal"/>
    <w:link w:val="EncabezadoCar"/>
    <w:uiPriority w:val="99"/>
    <w:unhideWhenUsed/>
    <w:rsid w:val="003050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507B"/>
  </w:style>
  <w:style w:type="paragraph" w:styleId="Sinespaciado">
    <w:name w:val="No Spacing"/>
    <w:uiPriority w:val="1"/>
    <w:qFormat/>
    <w:rsid w:val="0030507B"/>
    <w:pPr>
      <w:spacing w:after="0" w:line="240" w:lineRule="auto"/>
    </w:pPr>
    <w:rPr>
      <w:rFonts w:ascii="Calibri" w:eastAsia="Calibri" w:hAnsi="Calibri"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30507B"/>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3050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uiPriority w:val="99"/>
    <w:semiHidden/>
    <w:rsid w:val="0030507B"/>
    <w:rPr>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30507B"/>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30507B"/>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30507B"/>
    <w:pPr>
      <w:spacing w:after="0" w:line="240" w:lineRule="auto"/>
    </w:pPr>
    <w:rPr>
      <w:rFonts w:eastAsia="Times New Roman" w:cs="Calibr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40B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BD7"/>
    <w:rPr>
      <w:rFonts w:ascii="Tahoma" w:hAnsi="Tahoma" w:cs="Tahoma"/>
      <w:sz w:val="16"/>
      <w:szCs w:val="16"/>
    </w:rPr>
  </w:style>
  <w:style w:type="paragraph" w:styleId="Piedepgina">
    <w:name w:val="footer"/>
    <w:basedOn w:val="Normal"/>
    <w:link w:val="PiedepginaCar"/>
    <w:uiPriority w:val="99"/>
    <w:unhideWhenUsed/>
    <w:rsid w:val="009B2C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5856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2019-07-02T20:25:00Z</cp:lastPrinted>
  <dcterms:created xsi:type="dcterms:W3CDTF">2019-07-02T20:25:00Z</dcterms:created>
  <dcterms:modified xsi:type="dcterms:W3CDTF">2019-07-02T20:26:00Z</dcterms:modified>
</cp:coreProperties>
</file>