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946"/>
      </w:tblGrid>
      <w:tr w:rsidR="00A22723" w:rsidRPr="0041772B" w:rsidTr="00D25998">
        <w:tc>
          <w:tcPr>
            <w:tcW w:w="1985" w:type="dxa"/>
            <w:vAlign w:val="center"/>
          </w:tcPr>
          <w:p w:rsidR="00A22723" w:rsidRPr="0041772B" w:rsidRDefault="00A22723" w:rsidP="0041772B">
            <w:pPr>
              <w:spacing w:line="276" w:lineRule="auto"/>
              <w:jc w:val="both"/>
              <w:rPr>
                <w:rFonts w:ascii="Arial Narrow" w:hAnsi="Arial Narrow" w:cs="Arial"/>
                <w:sz w:val="20"/>
                <w:szCs w:val="20"/>
                <w:lang w:val="es-MX"/>
              </w:rPr>
            </w:pPr>
            <w:r w:rsidRPr="0041772B">
              <w:rPr>
                <w:rFonts w:ascii="Arial Narrow" w:hAnsi="Arial Narrow" w:cs="Arial"/>
                <w:sz w:val="20"/>
                <w:szCs w:val="20"/>
                <w:lang w:val="es-MX"/>
              </w:rPr>
              <w:t>CIUDAD Y FECHA</w:t>
            </w:r>
          </w:p>
        </w:tc>
        <w:tc>
          <w:tcPr>
            <w:tcW w:w="6946" w:type="dxa"/>
          </w:tcPr>
          <w:p w:rsidR="00A22723" w:rsidRPr="0041772B" w:rsidRDefault="00A22723" w:rsidP="0041772B">
            <w:pPr>
              <w:spacing w:line="276" w:lineRule="auto"/>
              <w:jc w:val="both"/>
              <w:rPr>
                <w:rFonts w:ascii="Arial Narrow" w:hAnsi="Arial Narrow" w:cs="Arial"/>
                <w:b/>
                <w:sz w:val="20"/>
                <w:szCs w:val="20"/>
                <w:lang w:val="es-MX"/>
              </w:rPr>
            </w:pPr>
            <w:r w:rsidRPr="0041772B">
              <w:rPr>
                <w:rFonts w:ascii="Arial Narrow" w:hAnsi="Arial Narrow" w:cs="Arial"/>
                <w:b/>
                <w:sz w:val="20"/>
                <w:szCs w:val="20"/>
                <w:lang w:val="es-MX"/>
              </w:rPr>
              <w:t xml:space="preserve">Bogotá, D.C., </w:t>
            </w:r>
            <w:r w:rsidRPr="0041772B">
              <w:rPr>
                <w:rFonts w:ascii="Arial Narrow" w:hAnsi="Arial Narrow" w:cs="Arial"/>
                <w:b/>
                <w:sz w:val="20"/>
                <w:szCs w:val="20"/>
                <w:lang w:val="es-MX"/>
              </w:rPr>
              <w:fldChar w:fldCharType="begin"/>
            </w:r>
            <w:r w:rsidRPr="0041772B">
              <w:rPr>
                <w:rFonts w:ascii="Arial Narrow" w:hAnsi="Arial Narrow" w:cs="Arial"/>
                <w:b/>
                <w:sz w:val="20"/>
                <w:szCs w:val="20"/>
                <w:lang w:val="es-MX"/>
              </w:rPr>
              <w:instrText xml:space="preserve"> MERGEFIELD FECHA_PROYECTÓ_EL_AUTO_ADMISORIO </w:instrText>
            </w:r>
            <w:r w:rsidRPr="0041772B">
              <w:rPr>
                <w:rFonts w:ascii="Arial Narrow" w:hAnsi="Arial Narrow" w:cs="Arial"/>
                <w:b/>
                <w:sz w:val="20"/>
                <w:szCs w:val="20"/>
                <w:lang w:val="es-MX"/>
              </w:rPr>
              <w:fldChar w:fldCharType="separate"/>
            </w:r>
            <w:r w:rsidR="0041772B">
              <w:rPr>
                <w:rFonts w:ascii="Arial Narrow" w:hAnsi="Arial Narrow" w:cs="Arial"/>
                <w:b/>
                <w:sz w:val="20"/>
                <w:szCs w:val="20"/>
                <w:lang w:val="es-MX"/>
              </w:rPr>
              <w:t xml:space="preserve">veinticuatro (24) </w:t>
            </w:r>
            <w:r w:rsidRPr="0041772B">
              <w:rPr>
                <w:rFonts w:ascii="Arial Narrow" w:hAnsi="Arial Narrow" w:cs="Arial"/>
                <w:b/>
                <w:noProof/>
                <w:sz w:val="20"/>
                <w:szCs w:val="20"/>
                <w:lang w:val="es-MX"/>
              </w:rPr>
              <w:t xml:space="preserve"> de mayo de dos mil diecinueve (2019) </w:t>
            </w:r>
            <w:r w:rsidRPr="0041772B">
              <w:rPr>
                <w:rFonts w:ascii="Arial Narrow" w:hAnsi="Arial Narrow" w:cs="Arial"/>
                <w:b/>
                <w:sz w:val="20"/>
                <w:szCs w:val="20"/>
                <w:lang w:val="es-MX"/>
              </w:rPr>
              <w:fldChar w:fldCharType="end"/>
            </w:r>
          </w:p>
        </w:tc>
      </w:tr>
      <w:tr w:rsidR="00A22723" w:rsidRPr="0041772B" w:rsidTr="00D25998">
        <w:tc>
          <w:tcPr>
            <w:tcW w:w="1985" w:type="dxa"/>
            <w:vAlign w:val="center"/>
          </w:tcPr>
          <w:p w:rsidR="00A22723" w:rsidRPr="0041772B" w:rsidRDefault="00A22723" w:rsidP="0041772B">
            <w:pPr>
              <w:spacing w:line="276" w:lineRule="auto"/>
              <w:jc w:val="both"/>
              <w:rPr>
                <w:rFonts w:ascii="Arial Narrow" w:hAnsi="Arial Narrow" w:cs="Arial"/>
                <w:sz w:val="20"/>
                <w:szCs w:val="20"/>
                <w:lang w:val="es-MX"/>
              </w:rPr>
            </w:pPr>
            <w:r w:rsidRPr="0041772B">
              <w:rPr>
                <w:rFonts w:ascii="Arial Narrow" w:hAnsi="Arial Narrow" w:cs="Arial"/>
                <w:sz w:val="20"/>
                <w:szCs w:val="20"/>
                <w:lang w:val="es-MX"/>
              </w:rPr>
              <w:t>REFERENCIA</w:t>
            </w:r>
          </w:p>
        </w:tc>
        <w:tc>
          <w:tcPr>
            <w:tcW w:w="6946" w:type="dxa"/>
          </w:tcPr>
          <w:p w:rsidR="00A22723" w:rsidRPr="0041772B" w:rsidRDefault="00A22723" w:rsidP="0041772B">
            <w:pPr>
              <w:spacing w:line="276" w:lineRule="auto"/>
              <w:jc w:val="both"/>
              <w:rPr>
                <w:rFonts w:ascii="Arial Narrow" w:hAnsi="Arial Narrow" w:cs="Arial"/>
                <w:b/>
                <w:sz w:val="20"/>
                <w:szCs w:val="20"/>
                <w:lang w:val="es-MX"/>
              </w:rPr>
            </w:pPr>
            <w:r w:rsidRPr="0041772B">
              <w:rPr>
                <w:rFonts w:ascii="Arial Narrow" w:hAnsi="Arial Narrow" w:cs="Arial"/>
                <w:b/>
                <w:sz w:val="20"/>
                <w:szCs w:val="20"/>
                <w:lang w:val="es-MX"/>
              </w:rPr>
              <w:t>Expediente No. 11001333603420190012400</w:t>
            </w:r>
          </w:p>
        </w:tc>
      </w:tr>
      <w:tr w:rsidR="00A22723" w:rsidRPr="0041772B" w:rsidTr="00D25998">
        <w:tc>
          <w:tcPr>
            <w:tcW w:w="1985" w:type="dxa"/>
            <w:vAlign w:val="center"/>
          </w:tcPr>
          <w:p w:rsidR="00A22723" w:rsidRPr="0041772B" w:rsidRDefault="00A22723" w:rsidP="0041772B">
            <w:pPr>
              <w:spacing w:line="276" w:lineRule="auto"/>
              <w:jc w:val="both"/>
              <w:rPr>
                <w:rFonts w:ascii="Arial Narrow" w:hAnsi="Arial Narrow" w:cs="Arial"/>
                <w:sz w:val="20"/>
                <w:szCs w:val="20"/>
                <w:lang w:val="es-MX"/>
              </w:rPr>
            </w:pPr>
            <w:r w:rsidRPr="0041772B">
              <w:rPr>
                <w:rFonts w:ascii="Arial Narrow" w:hAnsi="Arial Narrow" w:cs="Arial"/>
                <w:sz w:val="20"/>
                <w:szCs w:val="20"/>
                <w:lang w:val="es-MX"/>
              </w:rPr>
              <w:t>DEMANDANTE</w:t>
            </w:r>
          </w:p>
        </w:tc>
        <w:tc>
          <w:tcPr>
            <w:tcW w:w="6946" w:type="dxa"/>
          </w:tcPr>
          <w:p w:rsidR="00A22723" w:rsidRPr="0041772B" w:rsidRDefault="00166B4E" w:rsidP="0041772B">
            <w:pPr>
              <w:spacing w:line="276" w:lineRule="auto"/>
              <w:jc w:val="both"/>
              <w:rPr>
                <w:rFonts w:ascii="Arial Narrow" w:hAnsi="Arial Narrow" w:cs="Arial"/>
                <w:b/>
                <w:sz w:val="20"/>
                <w:szCs w:val="20"/>
                <w:lang w:val="es-MX"/>
              </w:rPr>
            </w:pPr>
            <w:r w:rsidRPr="0041772B">
              <w:rPr>
                <w:rFonts w:ascii="Arial Narrow" w:hAnsi="Arial Narrow" w:cs="Arial"/>
                <w:b/>
                <w:sz w:val="20"/>
                <w:szCs w:val="20"/>
                <w:lang w:val="es-MX"/>
              </w:rPr>
              <w:t>NÉSTOR</w:t>
            </w:r>
            <w:r w:rsidR="00A22723" w:rsidRPr="0041772B">
              <w:rPr>
                <w:rFonts w:ascii="Arial Narrow" w:hAnsi="Arial Narrow" w:cs="Arial"/>
                <w:b/>
                <w:sz w:val="20"/>
                <w:szCs w:val="20"/>
                <w:lang w:val="es-MX"/>
              </w:rPr>
              <w:t xml:space="preserve"> </w:t>
            </w:r>
            <w:r w:rsidRPr="0041772B">
              <w:rPr>
                <w:rFonts w:ascii="Arial Narrow" w:hAnsi="Arial Narrow" w:cs="Arial"/>
                <w:b/>
                <w:sz w:val="20"/>
                <w:szCs w:val="20"/>
                <w:lang w:val="es-MX"/>
              </w:rPr>
              <w:t>RAÚL</w:t>
            </w:r>
            <w:r w:rsidR="00A22723" w:rsidRPr="0041772B">
              <w:rPr>
                <w:rFonts w:ascii="Arial Narrow" w:hAnsi="Arial Narrow" w:cs="Arial"/>
                <w:b/>
                <w:sz w:val="20"/>
                <w:szCs w:val="20"/>
                <w:lang w:val="es-MX"/>
              </w:rPr>
              <w:t xml:space="preserve"> CORREA HENAO</w:t>
            </w:r>
          </w:p>
        </w:tc>
      </w:tr>
      <w:tr w:rsidR="00A22723" w:rsidRPr="0041772B" w:rsidTr="00D25998">
        <w:tc>
          <w:tcPr>
            <w:tcW w:w="1985" w:type="dxa"/>
            <w:vAlign w:val="center"/>
          </w:tcPr>
          <w:p w:rsidR="00A22723" w:rsidRPr="0041772B" w:rsidRDefault="00A22723" w:rsidP="0041772B">
            <w:pPr>
              <w:spacing w:line="276" w:lineRule="auto"/>
              <w:jc w:val="both"/>
              <w:rPr>
                <w:rFonts w:ascii="Arial Narrow" w:hAnsi="Arial Narrow" w:cs="Arial"/>
                <w:sz w:val="20"/>
                <w:szCs w:val="20"/>
                <w:lang w:val="es-MX"/>
              </w:rPr>
            </w:pPr>
            <w:r w:rsidRPr="0041772B">
              <w:rPr>
                <w:rFonts w:ascii="Arial Narrow" w:hAnsi="Arial Narrow" w:cs="Arial"/>
                <w:sz w:val="20"/>
                <w:szCs w:val="20"/>
                <w:lang w:val="es-MX"/>
              </w:rPr>
              <w:t>DEMANDADO</w:t>
            </w:r>
          </w:p>
        </w:tc>
        <w:tc>
          <w:tcPr>
            <w:tcW w:w="6946" w:type="dxa"/>
          </w:tcPr>
          <w:p w:rsidR="00A22723" w:rsidRPr="0041772B" w:rsidRDefault="00A22723" w:rsidP="0041772B">
            <w:pPr>
              <w:spacing w:line="276" w:lineRule="auto"/>
              <w:jc w:val="both"/>
              <w:rPr>
                <w:rFonts w:ascii="Arial Narrow" w:hAnsi="Arial Narrow" w:cs="Arial"/>
                <w:b/>
                <w:sz w:val="20"/>
                <w:szCs w:val="20"/>
              </w:rPr>
            </w:pPr>
            <w:r w:rsidRPr="0041772B">
              <w:rPr>
                <w:rFonts w:ascii="Arial Narrow" w:hAnsi="Arial Narrow" w:cs="Arial"/>
                <w:b/>
                <w:sz w:val="20"/>
                <w:szCs w:val="20"/>
              </w:rPr>
              <w:t xml:space="preserve">PROCURADURÍA GENERAL DE LA NACIÓN </w:t>
            </w:r>
          </w:p>
        </w:tc>
      </w:tr>
      <w:tr w:rsidR="00A22723" w:rsidRPr="0041772B" w:rsidTr="00D25998">
        <w:tc>
          <w:tcPr>
            <w:tcW w:w="1985" w:type="dxa"/>
            <w:vAlign w:val="center"/>
          </w:tcPr>
          <w:p w:rsidR="00A22723" w:rsidRPr="0041772B" w:rsidRDefault="00A22723" w:rsidP="0041772B">
            <w:pPr>
              <w:spacing w:line="276" w:lineRule="auto"/>
              <w:jc w:val="both"/>
              <w:rPr>
                <w:rFonts w:ascii="Arial Narrow" w:hAnsi="Arial Narrow" w:cs="Arial"/>
                <w:sz w:val="20"/>
                <w:szCs w:val="20"/>
                <w:lang w:val="es-MX"/>
              </w:rPr>
            </w:pPr>
            <w:r w:rsidRPr="0041772B">
              <w:rPr>
                <w:rFonts w:ascii="Arial Narrow" w:hAnsi="Arial Narrow" w:cs="Arial"/>
                <w:sz w:val="20"/>
                <w:szCs w:val="20"/>
                <w:lang w:val="es-MX"/>
              </w:rPr>
              <w:t>MEDIO DE CONTROL</w:t>
            </w:r>
          </w:p>
        </w:tc>
        <w:tc>
          <w:tcPr>
            <w:tcW w:w="6946" w:type="dxa"/>
          </w:tcPr>
          <w:p w:rsidR="00A22723" w:rsidRPr="0041772B" w:rsidRDefault="00A22723" w:rsidP="0041772B">
            <w:pPr>
              <w:spacing w:line="276" w:lineRule="auto"/>
              <w:jc w:val="both"/>
              <w:rPr>
                <w:rFonts w:ascii="Arial Narrow" w:hAnsi="Arial Narrow" w:cs="Arial"/>
                <w:b/>
                <w:sz w:val="20"/>
                <w:szCs w:val="20"/>
                <w:lang w:val="es-MX"/>
              </w:rPr>
            </w:pPr>
            <w:r w:rsidRPr="0041772B">
              <w:rPr>
                <w:rFonts w:ascii="Arial Narrow" w:hAnsi="Arial Narrow" w:cs="Arial"/>
                <w:b/>
                <w:sz w:val="20"/>
                <w:szCs w:val="20"/>
                <w:lang w:val="es-MX"/>
              </w:rPr>
              <w:t>TUTELA</w:t>
            </w:r>
          </w:p>
        </w:tc>
      </w:tr>
      <w:tr w:rsidR="00A22723" w:rsidRPr="0041772B" w:rsidTr="00D25998">
        <w:tc>
          <w:tcPr>
            <w:tcW w:w="1985" w:type="dxa"/>
            <w:vAlign w:val="center"/>
          </w:tcPr>
          <w:p w:rsidR="00A22723" w:rsidRPr="0041772B" w:rsidRDefault="00A22723" w:rsidP="0041772B">
            <w:pPr>
              <w:spacing w:line="276" w:lineRule="auto"/>
              <w:jc w:val="both"/>
              <w:rPr>
                <w:rFonts w:ascii="Arial Narrow" w:hAnsi="Arial Narrow" w:cs="Arial"/>
                <w:sz w:val="20"/>
                <w:szCs w:val="20"/>
                <w:lang w:val="es-MX"/>
              </w:rPr>
            </w:pPr>
            <w:r w:rsidRPr="0041772B">
              <w:rPr>
                <w:rFonts w:ascii="Arial Narrow" w:hAnsi="Arial Narrow" w:cs="Arial"/>
                <w:sz w:val="20"/>
                <w:szCs w:val="20"/>
                <w:lang w:val="es-MX"/>
              </w:rPr>
              <w:t>ASUNTO</w:t>
            </w:r>
          </w:p>
        </w:tc>
        <w:tc>
          <w:tcPr>
            <w:tcW w:w="6946" w:type="dxa"/>
          </w:tcPr>
          <w:p w:rsidR="00A22723" w:rsidRPr="0041772B" w:rsidRDefault="00A22723" w:rsidP="0041772B">
            <w:pPr>
              <w:spacing w:line="276" w:lineRule="auto"/>
              <w:jc w:val="both"/>
              <w:rPr>
                <w:rFonts w:ascii="Arial Narrow" w:hAnsi="Arial Narrow" w:cs="Arial"/>
                <w:b/>
                <w:sz w:val="20"/>
                <w:szCs w:val="20"/>
                <w:lang w:val="es-MX"/>
              </w:rPr>
            </w:pPr>
            <w:r w:rsidRPr="0041772B">
              <w:rPr>
                <w:rFonts w:ascii="Arial Narrow" w:hAnsi="Arial Narrow" w:cs="Arial"/>
                <w:b/>
                <w:sz w:val="20"/>
                <w:szCs w:val="20"/>
                <w:lang w:val="es-MX"/>
              </w:rPr>
              <w:t xml:space="preserve">FALLO DE PRIMERA INSTANCIA </w:t>
            </w:r>
          </w:p>
        </w:tc>
      </w:tr>
    </w:tbl>
    <w:p w:rsidR="00A22723" w:rsidRPr="0041772B" w:rsidRDefault="00A22723" w:rsidP="0041772B">
      <w:pPr>
        <w:spacing w:line="276" w:lineRule="auto"/>
        <w:jc w:val="both"/>
        <w:rPr>
          <w:rFonts w:ascii="Arial" w:hAnsi="Arial" w:cs="Arial"/>
          <w:sz w:val="22"/>
          <w:szCs w:val="22"/>
          <w:highlight w:val="green"/>
          <w:lang w:val="es-MX"/>
        </w:rPr>
      </w:pPr>
    </w:p>
    <w:p w:rsidR="00A22723" w:rsidRPr="0041772B" w:rsidRDefault="00166B4E" w:rsidP="0041772B">
      <w:pPr>
        <w:spacing w:line="276" w:lineRule="auto"/>
        <w:jc w:val="both"/>
        <w:rPr>
          <w:rFonts w:ascii="Arial" w:hAnsi="Arial" w:cs="Arial"/>
          <w:sz w:val="22"/>
          <w:szCs w:val="22"/>
          <w:lang w:val="es-MX"/>
        </w:rPr>
      </w:pPr>
      <w:r w:rsidRPr="0041772B">
        <w:rPr>
          <w:rFonts w:ascii="Arial" w:hAnsi="Arial" w:cs="Arial"/>
          <w:sz w:val="22"/>
          <w:szCs w:val="22"/>
          <w:lang w:val="es-MX"/>
        </w:rPr>
        <w:t>NÉSTOR</w:t>
      </w:r>
      <w:r w:rsidR="00A22723" w:rsidRPr="0041772B">
        <w:rPr>
          <w:rFonts w:ascii="Arial" w:hAnsi="Arial" w:cs="Arial"/>
          <w:sz w:val="22"/>
          <w:szCs w:val="22"/>
          <w:lang w:val="es-MX"/>
        </w:rPr>
        <w:t xml:space="preserve"> </w:t>
      </w:r>
      <w:r w:rsidRPr="0041772B">
        <w:rPr>
          <w:rFonts w:ascii="Arial" w:hAnsi="Arial" w:cs="Arial"/>
          <w:sz w:val="22"/>
          <w:szCs w:val="22"/>
          <w:lang w:val="es-MX"/>
        </w:rPr>
        <w:t>RAÚL</w:t>
      </w:r>
      <w:r w:rsidR="00A22723" w:rsidRPr="0041772B">
        <w:rPr>
          <w:rFonts w:ascii="Arial" w:hAnsi="Arial" w:cs="Arial"/>
          <w:sz w:val="22"/>
          <w:szCs w:val="22"/>
          <w:lang w:val="es-MX"/>
        </w:rPr>
        <w:t xml:space="preserve"> CORREA HENAO actuando en nombre propio interpuso acción de tutela en contra de la PROCURADURÍA GENERAL DE LA NACIÓN con el fin de proteger su derecho fundamental al debido proceso, buen nombre y honra, los cuales remiten a la dignidad humana.</w:t>
      </w:r>
    </w:p>
    <w:p w:rsidR="00A22723" w:rsidRPr="0041772B" w:rsidRDefault="00A22723" w:rsidP="0041772B">
      <w:pPr>
        <w:tabs>
          <w:tab w:val="left" w:pos="5472"/>
        </w:tabs>
        <w:spacing w:line="276" w:lineRule="auto"/>
        <w:jc w:val="both"/>
        <w:rPr>
          <w:rFonts w:ascii="Arial" w:hAnsi="Arial" w:cs="Arial"/>
          <w:sz w:val="22"/>
          <w:szCs w:val="22"/>
          <w:highlight w:val="green"/>
          <w:lang w:val="es-MX"/>
        </w:rPr>
      </w:pPr>
    </w:p>
    <w:p w:rsidR="00A22723" w:rsidRPr="0041772B" w:rsidRDefault="00A22723" w:rsidP="0041772B">
      <w:pPr>
        <w:pStyle w:val="Textoindependiente"/>
        <w:numPr>
          <w:ilvl w:val="0"/>
          <w:numId w:val="1"/>
        </w:numPr>
        <w:tabs>
          <w:tab w:val="left" w:pos="0"/>
        </w:tabs>
        <w:spacing w:after="0" w:line="276" w:lineRule="auto"/>
        <w:jc w:val="both"/>
        <w:rPr>
          <w:rFonts w:cs="Arial"/>
          <w:b/>
          <w:sz w:val="22"/>
          <w:szCs w:val="22"/>
          <w:lang w:val="es-CO"/>
        </w:rPr>
      </w:pPr>
      <w:r w:rsidRPr="0041772B">
        <w:rPr>
          <w:rFonts w:cs="Arial"/>
          <w:b/>
          <w:sz w:val="22"/>
          <w:szCs w:val="22"/>
          <w:lang w:val="es-CO"/>
        </w:rPr>
        <w:t>LA DEMANDA:</w:t>
      </w:r>
    </w:p>
    <w:p w:rsidR="00A22723" w:rsidRPr="0041772B" w:rsidRDefault="00A22723" w:rsidP="0041772B">
      <w:pPr>
        <w:pStyle w:val="Textoindependiente"/>
        <w:spacing w:after="0" w:line="276" w:lineRule="auto"/>
        <w:jc w:val="both"/>
        <w:rPr>
          <w:rFonts w:cs="Arial"/>
          <w:b/>
          <w:sz w:val="22"/>
          <w:szCs w:val="22"/>
          <w:highlight w:val="green"/>
          <w:lang w:val="es-CO"/>
        </w:rPr>
      </w:pPr>
    </w:p>
    <w:p w:rsidR="00A22723" w:rsidRPr="0041772B" w:rsidRDefault="00A22723" w:rsidP="0041772B">
      <w:pPr>
        <w:pStyle w:val="Textoindependiente"/>
        <w:spacing w:after="0" w:line="276" w:lineRule="auto"/>
        <w:jc w:val="both"/>
        <w:rPr>
          <w:rFonts w:cs="Arial"/>
          <w:b/>
          <w:sz w:val="22"/>
          <w:szCs w:val="22"/>
          <w:lang w:val="es-CO"/>
        </w:rPr>
      </w:pPr>
      <w:r w:rsidRPr="0041772B">
        <w:rPr>
          <w:rFonts w:cs="Arial"/>
          <w:b/>
          <w:sz w:val="22"/>
          <w:szCs w:val="22"/>
          <w:lang w:val="es-CO"/>
        </w:rPr>
        <w:t>El accionante solicita que se ordene a la PROCURADURÍA GENERAL DE LA NACIÓN ANULAR todo lo actuado desde el 27 de junio de 2018 y el fallo de primera instancia proferido el 6 de mayo de 2019 por el Procurador Segundo Delegado para la Vigilancia Administrativo, en el proceso disciplinario radicado con el número IUS E -2018-256635; IUC D- 2018-1130718.</w:t>
      </w:r>
    </w:p>
    <w:p w:rsidR="00A22723" w:rsidRPr="0041772B" w:rsidRDefault="00A22723" w:rsidP="0041772B">
      <w:pPr>
        <w:pStyle w:val="Textoindependiente"/>
        <w:spacing w:after="0" w:line="276" w:lineRule="auto"/>
        <w:jc w:val="both"/>
        <w:rPr>
          <w:rFonts w:cs="Arial"/>
          <w:b/>
          <w:sz w:val="22"/>
          <w:szCs w:val="22"/>
          <w:highlight w:val="green"/>
          <w:lang w:val="es-CO"/>
        </w:rPr>
      </w:pPr>
    </w:p>
    <w:p w:rsidR="00A22723" w:rsidRPr="0041772B" w:rsidRDefault="00A22723" w:rsidP="0041772B">
      <w:pPr>
        <w:pStyle w:val="Textoindependiente"/>
        <w:spacing w:after="0" w:line="276" w:lineRule="auto"/>
        <w:jc w:val="both"/>
        <w:rPr>
          <w:rFonts w:cs="Arial"/>
          <w:sz w:val="22"/>
          <w:szCs w:val="22"/>
          <w:lang w:val="es-CO"/>
        </w:rPr>
      </w:pPr>
      <w:r w:rsidRPr="0041772B">
        <w:rPr>
          <w:rFonts w:cs="Arial"/>
          <w:sz w:val="22"/>
          <w:szCs w:val="22"/>
          <w:lang w:val="es-CO"/>
        </w:rPr>
        <w:t>Como</w:t>
      </w:r>
      <w:r w:rsidRPr="0041772B">
        <w:rPr>
          <w:rFonts w:cs="Arial"/>
          <w:b/>
          <w:sz w:val="22"/>
          <w:szCs w:val="22"/>
          <w:lang w:val="es-CO"/>
        </w:rPr>
        <w:t xml:space="preserve"> hechos </w:t>
      </w:r>
      <w:r w:rsidRPr="0041772B">
        <w:rPr>
          <w:rFonts w:cs="Arial"/>
          <w:sz w:val="22"/>
          <w:szCs w:val="22"/>
          <w:lang w:val="es-CO"/>
        </w:rPr>
        <w:t>sustento de las pretensiones anotadas se aducen los siguientes:</w:t>
      </w:r>
    </w:p>
    <w:p w:rsidR="00A22723" w:rsidRPr="0041772B" w:rsidRDefault="00A22723" w:rsidP="0041772B">
      <w:pPr>
        <w:pStyle w:val="Textoindependiente"/>
        <w:spacing w:after="0" w:line="276" w:lineRule="auto"/>
        <w:jc w:val="both"/>
        <w:rPr>
          <w:rFonts w:cs="Arial"/>
          <w:sz w:val="22"/>
          <w:szCs w:val="22"/>
          <w:lang w:val="es-CO"/>
        </w:rPr>
      </w:pPr>
    </w:p>
    <w:p w:rsidR="00A22723" w:rsidRPr="00D25998" w:rsidRDefault="00A22723" w:rsidP="0041772B">
      <w:pPr>
        <w:pStyle w:val="Textoindependiente"/>
        <w:spacing w:after="0" w:line="276" w:lineRule="auto"/>
        <w:jc w:val="both"/>
        <w:rPr>
          <w:rFonts w:cs="Arial"/>
          <w:i/>
          <w:sz w:val="20"/>
          <w:szCs w:val="22"/>
          <w:lang w:val="es-CO"/>
        </w:rPr>
      </w:pPr>
      <w:r w:rsidRPr="00D25998">
        <w:rPr>
          <w:rFonts w:cs="Arial"/>
          <w:i/>
          <w:sz w:val="20"/>
          <w:szCs w:val="22"/>
          <w:lang w:val="es-CO"/>
        </w:rPr>
        <w:t>El día 5 de junio de 2018 la presidenta de la JEP Patricia Linares, interpuso contra el señor Néstor Raúl Correa Henao denuncia disciplinaria con ocasión de los permisos de salida del país expedidos por él mientras desempeñaba el cargo de Secretario Ejecutivo de la Jurisdicción Especial para la paz, no obstante, de hacer perdido la competencia para tal efecto desde el 15 de enero de 2018.</w:t>
      </w:r>
    </w:p>
    <w:p w:rsidR="00A22723" w:rsidRPr="00D25998" w:rsidRDefault="00A22723" w:rsidP="0041772B">
      <w:pPr>
        <w:pStyle w:val="Textoindependiente"/>
        <w:spacing w:after="0" w:line="276" w:lineRule="auto"/>
        <w:jc w:val="both"/>
        <w:rPr>
          <w:rFonts w:cs="Arial"/>
          <w:i/>
          <w:sz w:val="20"/>
          <w:szCs w:val="22"/>
          <w:lang w:val="es-CO"/>
        </w:rPr>
      </w:pPr>
      <w:r w:rsidRPr="00D25998">
        <w:rPr>
          <w:rFonts w:cs="Arial"/>
          <w:i/>
          <w:sz w:val="20"/>
          <w:szCs w:val="22"/>
          <w:lang w:val="es-CO"/>
        </w:rPr>
        <w:t>El día 27 de Junio de 2018 la Procuraduría Segunda Delegada para la Vigilancia Administrativa, avocó conocimiento del respectivo proceso disciplinario, con el radicado: IUS E – 2018-256635; IUC D – 2018-1130718.</w:t>
      </w:r>
    </w:p>
    <w:p w:rsidR="00A22723" w:rsidRPr="00D25998" w:rsidRDefault="00A22723" w:rsidP="0041772B">
      <w:pPr>
        <w:pStyle w:val="Textoindependiente"/>
        <w:spacing w:after="0" w:line="276" w:lineRule="auto"/>
        <w:jc w:val="both"/>
        <w:rPr>
          <w:rFonts w:cs="Arial"/>
          <w:i/>
          <w:sz w:val="20"/>
          <w:szCs w:val="22"/>
          <w:lang w:val="es-CO"/>
        </w:rPr>
      </w:pPr>
      <w:r w:rsidRPr="00D25998">
        <w:rPr>
          <w:rFonts w:cs="Arial"/>
          <w:i/>
          <w:sz w:val="20"/>
          <w:szCs w:val="22"/>
          <w:lang w:val="es-CO"/>
        </w:rPr>
        <w:t>El 8 de octubre de 2018 la Procuraduría mediante Auto resolvió adecuar el trámite al procedimiento verbal y citar al señor Néstor Raúl Correa Henao porque presuntamente “autorizó la salida del país a excombatientes de las FARC –EP, sometidos a dicha jurisdicción, posteriormente a que cesaran las funciones jurisdiccionales que la ley le había otorgado en forma transitoria, esto es, con posterioridad al 15 de enero de 2018, fecha en la cual perdió competencia para desempeñar funciones jurisdiccionales”.</w:t>
      </w:r>
    </w:p>
    <w:p w:rsidR="00A22723" w:rsidRPr="00D25998" w:rsidRDefault="00A22723" w:rsidP="0041772B">
      <w:pPr>
        <w:pStyle w:val="Textoindependiente"/>
        <w:spacing w:after="0" w:line="276" w:lineRule="auto"/>
        <w:jc w:val="both"/>
        <w:rPr>
          <w:rFonts w:cs="Arial"/>
          <w:i/>
          <w:sz w:val="20"/>
          <w:szCs w:val="22"/>
          <w:lang w:val="es-CO"/>
        </w:rPr>
      </w:pPr>
      <w:r w:rsidRPr="00D25998">
        <w:rPr>
          <w:rFonts w:cs="Arial"/>
          <w:i/>
          <w:sz w:val="20"/>
          <w:szCs w:val="22"/>
          <w:lang w:val="es-CO"/>
        </w:rPr>
        <w:t xml:space="preserve">El 17 de octubre de 2018, el señor Néstor Raúl Correa Henao advierte por </w:t>
      </w:r>
      <w:r w:rsidRPr="00D25998">
        <w:rPr>
          <w:rFonts w:cs="Arial"/>
          <w:b/>
          <w:i/>
          <w:sz w:val="20"/>
          <w:szCs w:val="22"/>
          <w:lang w:val="es-CO"/>
        </w:rPr>
        <w:t>primera vez</w:t>
      </w:r>
      <w:r w:rsidRPr="00D25998">
        <w:rPr>
          <w:rFonts w:cs="Arial"/>
          <w:i/>
          <w:sz w:val="20"/>
          <w:szCs w:val="22"/>
          <w:lang w:val="es-CO"/>
        </w:rPr>
        <w:t xml:space="preserve"> a la Procuraduría que carece de competencia para investigarlo, puesto que “con fundamento en los artículos 193 y 194, en concordancia con los art. 82 y 143, 145, 146 y 147 del Código Disciplinario Único (CDU), Ley 734 DE 2002, solicito se DECLARE LA NULIDAD de lo actuado, por falta de competencia, desde el Auto del 27 de junio de 2018, que ordenó el inicio de las investigación, inclusive, y se remita el expediente al competente, o sea la Sala Disciplinaria del Consejo Seccional de la Judicatura. Ello por cuanto yo, mientras me desempeñé como Secretario Ejecutivo de la JEP, fui servidor público que ejercí funciones jurisdiccionales transitorias”. </w:t>
      </w:r>
    </w:p>
    <w:p w:rsidR="00A22723" w:rsidRPr="00D25998" w:rsidRDefault="00A22723" w:rsidP="0041772B">
      <w:pPr>
        <w:pStyle w:val="Textoindependiente"/>
        <w:spacing w:after="0" w:line="276" w:lineRule="auto"/>
        <w:jc w:val="both"/>
        <w:rPr>
          <w:rFonts w:cs="Arial"/>
          <w:i/>
          <w:sz w:val="20"/>
          <w:szCs w:val="22"/>
          <w:lang w:val="es-CO"/>
        </w:rPr>
      </w:pPr>
      <w:r w:rsidRPr="00D25998">
        <w:rPr>
          <w:rFonts w:cs="Arial"/>
          <w:i/>
          <w:sz w:val="20"/>
          <w:szCs w:val="22"/>
          <w:lang w:val="es-CO"/>
        </w:rPr>
        <w:t xml:space="preserve">El 7 de noviembre de 2018, el señor Néstor Raúl Correa Henao advierte por </w:t>
      </w:r>
      <w:r w:rsidRPr="00D25998">
        <w:rPr>
          <w:rFonts w:cs="Arial"/>
          <w:b/>
          <w:i/>
          <w:sz w:val="20"/>
          <w:szCs w:val="22"/>
          <w:lang w:val="es-CO"/>
        </w:rPr>
        <w:t>segunda vez</w:t>
      </w:r>
      <w:r w:rsidRPr="00D25998">
        <w:rPr>
          <w:rFonts w:cs="Arial"/>
          <w:i/>
          <w:sz w:val="20"/>
          <w:szCs w:val="22"/>
          <w:lang w:val="es-CO"/>
        </w:rPr>
        <w:t xml:space="preserve"> a la Procuraduría que carece de competencia para investigarlo, al momento de rendir versión libre.</w:t>
      </w:r>
    </w:p>
    <w:p w:rsidR="00A22723" w:rsidRPr="00D25998" w:rsidRDefault="00A22723" w:rsidP="0041772B">
      <w:pPr>
        <w:pStyle w:val="Textoindependiente"/>
        <w:spacing w:after="0" w:line="276" w:lineRule="auto"/>
        <w:jc w:val="both"/>
        <w:rPr>
          <w:rFonts w:cs="Arial"/>
          <w:i/>
          <w:sz w:val="20"/>
          <w:szCs w:val="22"/>
          <w:lang w:val="es-CO"/>
        </w:rPr>
      </w:pPr>
      <w:r w:rsidRPr="00D25998">
        <w:rPr>
          <w:rFonts w:cs="Arial"/>
          <w:i/>
          <w:sz w:val="20"/>
          <w:szCs w:val="22"/>
          <w:lang w:val="es-CO"/>
        </w:rPr>
        <w:t xml:space="preserve">El 9 de abril de 2019 el apoderado del señor Néstor Raúl Correa Henao, </w:t>
      </w:r>
      <w:r w:rsidRPr="00D25998">
        <w:rPr>
          <w:rFonts w:cs="Arial"/>
          <w:b/>
          <w:i/>
          <w:sz w:val="20"/>
          <w:szCs w:val="22"/>
          <w:lang w:val="es-CO"/>
        </w:rPr>
        <w:t xml:space="preserve">advirtió por tercera vez </w:t>
      </w:r>
      <w:r w:rsidRPr="00D25998">
        <w:rPr>
          <w:rFonts w:cs="Arial"/>
          <w:i/>
          <w:sz w:val="20"/>
          <w:szCs w:val="22"/>
          <w:lang w:val="es-CO"/>
        </w:rPr>
        <w:t>a la Procuraduría que carece de competencia para investigar.</w:t>
      </w:r>
    </w:p>
    <w:p w:rsidR="00A22723" w:rsidRPr="00D25998" w:rsidRDefault="00A22723" w:rsidP="0041772B">
      <w:pPr>
        <w:pStyle w:val="Textoindependiente"/>
        <w:spacing w:after="0" w:line="276" w:lineRule="auto"/>
        <w:jc w:val="both"/>
        <w:rPr>
          <w:rFonts w:cs="Arial"/>
          <w:i/>
          <w:sz w:val="20"/>
          <w:szCs w:val="22"/>
          <w:lang w:val="es-CO"/>
        </w:rPr>
      </w:pPr>
      <w:r w:rsidRPr="00D25998">
        <w:rPr>
          <w:rFonts w:cs="Arial"/>
          <w:i/>
          <w:sz w:val="20"/>
          <w:szCs w:val="22"/>
          <w:lang w:val="es-CO"/>
        </w:rPr>
        <w:t>El 6 de mayo de 2019 la Procuraduría Segunda Delegada para la Vigilancia Administrativa falla en primera instancia la investigación disciplinaria, estableciendo en la parte resolutiva:</w:t>
      </w:r>
    </w:p>
    <w:p w:rsidR="00A22723" w:rsidRPr="00D25998" w:rsidRDefault="00A22723" w:rsidP="0041772B">
      <w:pPr>
        <w:pStyle w:val="Textoindependiente"/>
        <w:spacing w:after="0" w:line="276" w:lineRule="auto"/>
        <w:ind w:left="708"/>
        <w:jc w:val="both"/>
        <w:rPr>
          <w:rFonts w:cs="Arial"/>
          <w:i/>
          <w:sz w:val="20"/>
          <w:szCs w:val="22"/>
          <w:lang w:val="es-CO"/>
        </w:rPr>
      </w:pPr>
      <w:r w:rsidRPr="00D25998">
        <w:rPr>
          <w:rFonts w:cs="Arial"/>
          <w:i/>
          <w:sz w:val="20"/>
          <w:szCs w:val="22"/>
          <w:lang w:val="es-CO"/>
        </w:rPr>
        <w:t xml:space="preserve"> “PRIMERO: DECLARAR probada y no desvirtuado el cargo imputado a Néstor Raul Correa.</w:t>
      </w:r>
    </w:p>
    <w:p w:rsidR="00A22723" w:rsidRPr="00D25998" w:rsidRDefault="00A22723" w:rsidP="0041772B">
      <w:pPr>
        <w:pStyle w:val="Textoindependiente"/>
        <w:spacing w:after="0" w:line="276" w:lineRule="auto"/>
        <w:ind w:left="708"/>
        <w:jc w:val="both"/>
        <w:rPr>
          <w:rFonts w:cs="Arial"/>
          <w:i/>
          <w:sz w:val="20"/>
          <w:szCs w:val="22"/>
          <w:lang w:val="es-CO"/>
        </w:rPr>
      </w:pPr>
      <w:r w:rsidRPr="00D25998">
        <w:rPr>
          <w:rFonts w:cs="Arial"/>
          <w:i/>
          <w:sz w:val="20"/>
          <w:szCs w:val="22"/>
          <w:lang w:val="es-CO"/>
        </w:rPr>
        <w:t xml:space="preserve">SEGUNDO: SANCIONAR… por la comisión de una FALTA DISCIPLINARIA GRAVE cometida a título de CULPA GRAVE, con SUSPENSIÓN POR EL TÉRMINO DE CINCO (5) </w:t>
      </w:r>
      <w:r w:rsidRPr="00D25998">
        <w:rPr>
          <w:rFonts w:cs="Arial"/>
          <w:i/>
          <w:sz w:val="20"/>
          <w:szCs w:val="22"/>
          <w:lang w:val="es-CO"/>
        </w:rPr>
        <w:lastRenderedPageBreak/>
        <w:t>MESES… El término de suspensión se convirtió, al momento de su ejecución, a CINCO (5) SALARIOS”</w:t>
      </w:r>
    </w:p>
    <w:p w:rsidR="00A22723" w:rsidRPr="00D25998" w:rsidRDefault="00A22723" w:rsidP="0041772B">
      <w:pPr>
        <w:pStyle w:val="Textoindependiente"/>
        <w:spacing w:after="0" w:line="276" w:lineRule="auto"/>
        <w:jc w:val="both"/>
        <w:rPr>
          <w:rFonts w:cs="Arial"/>
          <w:i/>
          <w:sz w:val="20"/>
          <w:szCs w:val="22"/>
          <w:lang w:val="es-CO"/>
        </w:rPr>
      </w:pPr>
      <w:r w:rsidRPr="00D25998">
        <w:rPr>
          <w:rFonts w:cs="Arial"/>
          <w:i/>
          <w:sz w:val="20"/>
          <w:szCs w:val="22"/>
          <w:lang w:val="es-CO"/>
        </w:rPr>
        <w:t>El 6 de mayo de 2019, durante la audiencia, la prensa publicó el fallo antes de proferirse éste y cuando la audiencia aún no había terminado. A la 1:04 pm se informó por las redes sociales.</w:t>
      </w:r>
    </w:p>
    <w:p w:rsidR="00A22723" w:rsidRPr="00D25998" w:rsidRDefault="00A22723" w:rsidP="0041772B">
      <w:pPr>
        <w:pStyle w:val="Textoindependiente"/>
        <w:spacing w:after="0" w:line="276" w:lineRule="auto"/>
        <w:jc w:val="both"/>
        <w:rPr>
          <w:rFonts w:cs="Arial"/>
          <w:i/>
          <w:sz w:val="20"/>
          <w:szCs w:val="22"/>
          <w:lang w:val="es-CO"/>
        </w:rPr>
      </w:pPr>
      <w:r w:rsidRPr="00D25998">
        <w:rPr>
          <w:rFonts w:cs="Arial"/>
          <w:i/>
          <w:sz w:val="20"/>
          <w:szCs w:val="22"/>
          <w:lang w:val="es-CO"/>
        </w:rPr>
        <w:t xml:space="preserve"> </w:t>
      </w:r>
    </w:p>
    <w:p w:rsidR="00A22723" w:rsidRPr="0041772B" w:rsidRDefault="00A22723" w:rsidP="0041772B">
      <w:pPr>
        <w:pStyle w:val="Cita"/>
        <w:numPr>
          <w:ilvl w:val="0"/>
          <w:numId w:val="1"/>
        </w:numPr>
        <w:spacing w:line="276" w:lineRule="auto"/>
        <w:jc w:val="both"/>
        <w:rPr>
          <w:rFonts w:ascii="Arial" w:hAnsi="Arial" w:cs="Arial"/>
          <w:b/>
          <w:i w:val="0"/>
          <w:sz w:val="22"/>
          <w:szCs w:val="22"/>
          <w:lang w:val="es-CO"/>
        </w:rPr>
      </w:pPr>
      <w:r w:rsidRPr="0041772B">
        <w:rPr>
          <w:rFonts w:ascii="Arial" w:hAnsi="Arial" w:cs="Arial"/>
          <w:b/>
          <w:i w:val="0"/>
          <w:sz w:val="22"/>
          <w:szCs w:val="22"/>
          <w:lang w:val="es-CO"/>
        </w:rPr>
        <w:t>ACTUACIÓN PROCESAL</w:t>
      </w:r>
    </w:p>
    <w:p w:rsidR="00A22723" w:rsidRPr="0041772B" w:rsidRDefault="00A22723" w:rsidP="0041772B">
      <w:pPr>
        <w:pStyle w:val="Textoindependiente"/>
        <w:spacing w:after="0" w:line="276" w:lineRule="auto"/>
        <w:jc w:val="both"/>
        <w:rPr>
          <w:rFonts w:cs="Arial"/>
          <w:sz w:val="22"/>
          <w:szCs w:val="22"/>
          <w:lang w:val="es-CO"/>
        </w:rPr>
      </w:pPr>
    </w:p>
    <w:p w:rsidR="00A22723" w:rsidRPr="0041772B" w:rsidRDefault="00A22723" w:rsidP="0041772B">
      <w:pPr>
        <w:pStyle w:val="Textoindependiente"/>
        <w:numPr>
          <w:ilvl w:val="1"/>
          <w:numId w:val="3"/>
        </w:numPr>
        <w:tabs>
          <w:tab w:val="left" w:pos="426"/>
        </w:tabs>
        <w:spacing w:after="0" w:line="276" w:lineRule="auto"/>
        <w:ind w:left="0" w:firstLine="0"/>
        <w:jc w:val="both"/>
        <w:rPr>
          <w:rFonts w:cs="Arial"/>
          <w:b/>
          <w:sz w:val="22"/>
          <w:szCs w:val="22"/>
          <w:lang w:val="es-CO"/>
        </w:rPr>
      </w:pPr>
      <w:r w:rsidRPr="0041772B">
        <w:rPr>
          <w:rFonts w:cs="Arial"/>
          <w:sz w:val="22"/>
          <w:szCs w:val="22"/>
          <w:lang w:val="es-CO"/>
        </w:rPr>
        <w:t>La presente demanda fue radicada el 10 de mayo de 2019.</w:t>
      </w:r>
    </w:p>
    <w:p w:rsidR="00A22723" w:rsidRPr="0041772B" w:rsidRDefault="00A22723" w:rsidP="0041772B">
      <w:pPr>
        <w:pStyle w:val="Textoindependiente"/>
        <w:spacing w:after="0" w:line="276" w:lineRule="auto"/>
        <w:ind w:left="360"/>
        <w:jc w:val="both"/>
        <w:rPr>
          <w:rFonts w:cs="Arial"/>
          <w:b/>
          <w:sz w:val="22"/>
          <w:szCs w:val="22"/>
          <w:lang w:val="es-CO"/>
        </w:rPr>
      </w:pPr>
    </w:p>
    <w:p w:rsidR="00A22723" w:rsidRPr="0041772B" w:rsidRDefault="00A22723" w:rsidP="0041772B">
      <w:pPr>
        <w:pStyle w:val="Textoindependiente"/>
        <w:numPr>
          <w:ilvl w:val="1"/>
          <w:numId w:val="3"/>
        </w:numPr>
        <w:tabs>
          <w:tab w:val="left" w:pos="426"/>
        </w:tabs>
        <w:spacing w:after="0" w:line="276" w:lineRule="auto"/>
        <w:ind w:left="0" w:firstLine="0"/>
        <w:jc w:val="both"/>
        <w:rPr>
          <w:rFonts w:cs="Arial"/>
          <w:b/>
          <w:sz w:val="22"/>
          <w:szCs w:val="22"/>
          <w:lang w:val="es-CO"/>
        </w:rPr>
      </w:pPr>
      <w:r w:rsidRPr="0041772B">
        <w:rPr>
          <w:rFonts w:cs="Arial"/>
          <w:b/>
          <w:sz w:val="22"/>
          <w:szCs w:val="22"/>
          <w:lang w:val="es-CO"/>
        </w:rPr>
        <w:t xml:space="preserve"> </w:t>
      </w:r>
      <w:r w:rsidRPr="0041772B">
        <w:rPr>
          <w:rFonts w:cs="Arial"/>
          <w:sz w:val="22"/>
          <w:szCs w:val="22"/>
          <w:lang w:val="es-CO"/>
        </w:rPr>
        <w:t>Con auto del 13 de mayo de 2019 se admitió la demanda y se ordenó notificar al demandado.</w:t>
      </w:r>
    </w:p>
    <w:p w:rsidR="00A22723" w:rsidRPr="0041772B" w:rsidRDefault="00A22723" w:rsidP="0041772B">
      <w:pPr>
        <w:pStyle w:val="Prrafodelista"/>
        <w:spacing w:line="276" w:lineRule="auto"/>
        <w:rPr>
          <w:rFonts w:cs="Arial"/>
          <w:sz w:val="22"/>
          <w:szCs w:val="22"/>
          <w:highlight w:val="green"/>
        </w:rPr>
      </w:pPr>
    </w:p>
    <w:p w:rsidR="00A22723" w:rsidRPr="0041772B" w:rsidRDefault="00A22723" w:rsidP="0041772B">
      <w:pPr>
        <w:pStyle w:val="Textoindependiente"/>
        <w:numPr>
          <w:ilvl w:val="0"/>
          <w:numId w:val="1"/>
        </w:numPr>
        <w:spacing w:after="0" w:line="276" w:lineRule="auto"/>
        <w:jc w:val="both"/>
        <w:rPr>
          <w:rFonts w:cs="Arial"/>
          <w:b/>
          <w:sz w:val="22"/>
          <w:szCs w:val="22"/>
          <w:lang w:val="es-CO"/>
        </w:rPr>
      </w:pPr>
      <w:r w:rsidRPr="0041772B">
        <w:rPr>
          <w:rFonts w:cs="Arial"/>
          <w:b/>
          <w:sz w:val="22"/>
          <w:szCs w:val="22"/>
          <w:lang w:val="es-CO"/>
        </w:rPr>
        <w:t xml:space="preserve">LA IMPUGNACIÓN </w:t>
      </w:r>
      <w:r w:rsidRPr="0041772B">
        <w:rPr>
          <w:rFonts w:cs="Arial"/>
          <w:b/>
          <w:bCs/>
          <w:i/>
          <w:sz w:val="22"/>
          <w:szCs w:val="22"/>
        </w:rPr>
        <w:t xml:space="preserve"> </w:t>
      </w:r>
    </w:p>
    <w:p w:rsidR="00A22723" w:rsidRPr="0041772B" w:rsidRDefault="00A22723" w:rsidP="0041772B">
      <w:pPr>
        <w:pStyle w:val="Textoindependiente"/>
        <w:spacing w:after="0" w:line="276" w:lineRule="auto"/>
        <w:jc w:val="both"/>
        <w:rPr>
          <w:rFonts w:cs="Arial"/>
          <w:b/>
          <w:bCs/>
          <w:i/>
          <w:sz w:val="22"/>
          <w:szCs w:val="22"/>
          <w:lang w:val="es-CO"/>
        </w:rPr>
      </w:pPr>
    </w:p>
    <w:p w:rsidR="00A22723" w:rsidRPr="0041772B" w:rsidRDefault="00A22723" w:rsidP="0041772B">
      <w:pPr>
        <w:pStyle w:val="Textoindependiente"/>
        <w:spacing w:after="0" w:line="276" w:lineRule="auto"/>
        <w:jc w:val="both"/>
        <w:rPr>
          <w:rFonts w:cs="Arial"/>
          <w:sz w:val="22"/>
          <w:szCs w:val="22"/>
          <w:lang w:val="es-CO"/>
        </w:rPr>
      </w:pPr>
      <w:r w:rsidRPr="0041772B">
        <w:rPr>
          <w:rFonts w:cs="Arial"/>
          <w:bCs/>
          <w:sz w:val="22"/>
          <w:szCs w:val="22"/>
          <w:lang w:val="es-CO"/>
        </w:rPr>
        <w:t>Notificado el demandado el día 14</w:t>
      </w:r>
      <w:r w:rsidRPr="0041772B">
        <w:rPr>
          <w:rFonts w:cs="Arial"/>
          <w:sz w:val="22"/>
          <w:szCs w:val="22"/>
          <w:lang w:val="es-CO"/>
        </w:rPr>
        <w:t xml:space="preserve"> de mayo de 2019 manifestó: </w:t>
      </w:r>
    </w:p>
    <w:p w:rsidR="00A22723" w:rsidRPr="001D1F0E" w:rsidRDefault="00A22723" w:rsidP="0041772B">
      <w:pPr>
        <w:pStyle w:val="Style13"/>
        <w:widowControl/>
        <w:spacing w:before="130" w:line="276" w:lineRule="auto"/>
        <w:ind w:left="708"/>
        <w:rPr>
          <w:rStyle w:val="FontStyle30"/>
          <w:i/>
          <w:sz w:val="20"/>
          <w:szCs w:val="22"/>
          <w:lang w:val="es-ES_tradnl" w:eastAsia="es-ES_tradnl"/>
        </w:rPr>
      </w:pPr>
      <w:r w:rsidRPr="001D1F0E">
        <w:rPr>
          <w:rStyle w:val="FontStyle30"/>
          <w:i/>
          <w:sz w:val="20"/>
          <w:szCs w:val="22"/>
          <w:lang w:val="es-ES_tradnl" w:eastAsia="es-ES_tradnl"/>
        </w:rPr>
        <w:t>SOBRE LA CARENCIA ACTUAL DE OBJETO.</w:t>
      </w:r>
    </w:p>
    <w:p w:rsidR="00A22723" w:rsidRPr="001D1F0E" w:rsidRDefault="00A22723" w:rsidP="0041772B">
      <w:pPr>
        <w:pStyle w:val="Style14"/>
        <w:widowControl/>
        <w:spacing w:before="197" w:line="276" w:lineRule="auto"/>
        <w:ind w:left="708" w:right="14"/>
        <w:rPr>
          <w:rStyle w:val="FontStyle31"/>
          <w:i/>
          <w:sz w:val="20"/>
          <w:szCs w:val="22"/>
          <w:lang w:val="es-ES_tradnl" w:eastAsia="es-ES_tradnl"/>
        </w:rPr>
      </w:pPr>
      <w:r w:rsidRPr="001D1F0E">
        <w:rPr>
          <w:rStyle w:val="FontStyle31"/>
          <w:i/>
          <w:sz w:val="20"/>
          <w:szCs w:val="22"/>
          <w:lang w:val="es-ES_tradnl" w:eastAsia="es-ES_tradnl"/>
        </w:rPr>
        <w:t>De conformidad con lo señalado por la Corte Constitucional en la Sentencia T-130 de 2014 el objeto de la acción de tutela es la protección efectiva, inmediata, concreta y subsidiaria de los derechos fundamentales, "cuando quiera que éstos resulten vulnerados o amenazados por la acción o la omisión de cualquier autoridad pública o de los particulares". En ese sentido, se desprende que el mecanismo de amparo constitucional se torna improcedente, entre otras, cuando no existe una actuación u omisión del agente accionado a la que se le pueda endilgar la supuesta amenaza o vulneración de las garantías fundamentales en cuestión.</w:t>
      </w:r>
    </w:p>
    <w:p w:rsidR="00A22723" w:rsidRPr="001D1F0E" w:rsidRDefault="00A22723" w:rsidP="0041772B">
      <w:pPr>
        <w:pStyle w:val="Style14"/>
        <w:widowControl/>
        <w:spacing w:before="182" w:line="276" w:lineRule="auto"/>
        <w:ind w:left="708" w:right="10"/>
        <w:rPr>
          <w:rStyle w:val="FontStyle31"/>
          <w:i/>
          <w:sz w:val="20"/>
          <w:szCs w:val="22"/>
          <w:lang w:val="es-ES_tradnl" w:eastAsia="es-ES_tradnl"/>
        </w:rPr>
      </w:pPr>
      <w:r w:rsidRPr="001D1F0E">
        <w:rPr>
          <w:rStyle w:val="FontStyle31"/>
          <w:i/>
          <w:sz w:val="20"/>
          <w:szCs w:val="22"/>
          <w:lang w:val="es-ES_tradnl" w:eastAsia="es-ES_tradnl"/>
        </w:rPr>
        <w:t>En el presente asunto no existe objeto sobre el cual dirigir la acción de amparo constitucional, toda vez que dentro del proceso disciplinario Rad. IUS 2018-256635 IUC D-2018-1130718, solamente se ha proferido fallo de Primera Instancia de fecha 06 de mayo de 2019 proferido por la Procuraduría Segunda Delegada para la Vigilancia Administrativa por la Procuraduría Regional del Cesar, tal como lo reconoce el actor en los argumentos de la tutela. En efecto, mediante Oficio SIAF No. 58939 de 09 de mayo de 2019. La Procuraduría Segunda Delegada para la Vigilancia Administrativa remitió el expediente a la Sala Disciplinaria de la Procuraduría General de la Nación para desatar el Recurso de Apelación presentado contra el Fallo de Primera Instancia.</w:t>
      </w:r>
    </w:p>
    <w:p w:rsidR="00A22723" w:rsidRPr="0041772B" w:rsidRDefault="00A22723" w:rsidP="0041772B">
      <w:pPr>
        <w:pStyle w:val="Style14"/>
        <w:widowControl/>
        <w:spacing w:before="187" w:line="276" w:lineRule="auto"/>
        <w:ind w:left="708"/>
        <w:rPr>
          <w:sz w:val="22"/>
          <w:szCs w:val="22"/>
          <w:lang w:val="es-ES_tradnl" w:eastAsia="es-ES_tradnl"/>
        </w:rPr>
      </w:pPr>
      <w:r w:rsidRPr="001D1F0E">
        <w:rPr>
          <w:rStyle w:val="FontStyle31"/>
          <w:i/>
          <w:sz w:val="20"/>
          <w:szCs w:val="22"/>
          <w:lang w:val="es-ES_tradnl" w:eastAsia="es-ES_tradnl"/>
        </w:rPr>
        <w:t>La anterior circunstancia hace improcedente que el accionante concurra ante la administración de justicia sin que exista o se haya consumado el hecho del presunto daño ocasionado. Hasta tanto no se conozca la decisión final de la Entidad no hay lugar a considerar o estudiar de fondo la acción de tutela, pues aún es incierta la existencia de la sanción disciplinaria fundamento del amparo constitucional”</w:t>
      </w:r>
    </w:p>
    <w:p w:rsidR="00A22723" w:rsidRPr="0041772B" w:rsidRDefault="00A22723" w:rsidP="0041772B">
      <w:pPr>
        <w:pStyle w:val="Textoindependiente"/>
        <w:spacing w:after="0" w:line="276" w:lineRule="auto"/>
        <w:jc w:val="both"/>
        <w:rPr>
          <w:rFonts w:cs="Arial"/>
          <w:i/>
          <w:sz w:val="22"/>
          <w:szCs w:val="22"/>
          <w:lang w:val="es-CO"/>
        </w:rPr>
      </w:pPr>
    </w:p>
    <w:p w:rsidR="00A22723" w:rsidRPr="0041772B" w:rsidRDefault="00A22723" w:rsidP="0041772B">
      <w:pPr>
        <w:pStyle w:val="Textoindependiente"/>
        <w:spacing w:after="0" w:line="276" w:lineRule="auto"/>
        <w:jc w:val="both"/>
        <w:rPr>
          <w:rFonts w:cs="Arial"/>
          <w:sz w:val="22"/>
          <w:szCs w:val="22"/>
          <w:lang w:val="es-CO"/>
        </w:rPr>
      </w:pPr>
      <w:r w:rsidRPr="0041772B">
        <w:rPr>
          <w:rFonts w:cs="Arial"/>
          <w:b/>
          <w:sz w:val="22"/>
          <w:szCs w:val="22"/>
          <w:lang w:val="es-CO"/>
        </w:rPr>
        <w:t>4. LAS PRUEBAS:</w:t>
      </w:r>
    </w:p>
    <w:p w:rsidR="00A22723" w:rsidRPr="0041772B" w:rsidRDefault="00A22723" w:rsidP="0041772B">
      <w:pPr>
        <w:pStyle w:val="Textoindependiente"/>
        <w:spacing w:after="0" w:line="276" w:lineRule="auto"/>
        <w:jc w:val="both"/>
        <w:rPr>
          <w:rFonts w:cs="Arial"/>
          <w:sz w:val="22"/>
          <w:szCs w:val="22"/>
          <w:lang w:val="es-CO"/>
        </w:rPr>
      </w:pPr>
    </w:p>
    <w:p w:rsidR="00A22723" w:rsidRPr="0041772B" w:rsidRDefault="00A22723" w:rsidP="0041772B">
      <w:pPr>
        <w:pStyle w:val="Textoindependiente"/>
        <w:spacing w:after="0" w:line="276" w:lineRule="auto"/>
        <w:jc w:val="both"/>
        <w:rPr>
          <w:rFonts w:cs="Arial"/>
          <w:sz w:val="22"/>
          <w:szCs w:val="22"/>
          <w:lang w:val="es-CO"/>
        </w:rPr>
      </w:pPr>
      <w:r w:rsidRPr="0041772B">
        <w:rPr>
          <w:rFonts w:cs="Arial"/>
          <w:sz w:val="22"/>
          <w:szCs w:val="22"/>
          <w:lang w:val="es-CO"/>
        </w:rPr>
        <w:t>Como medio probatorio, destinado a acreditar los supuestos de hecho de la demanda se allegaron los siguientes documentos:</w:t>
      </w:r>
    </w:p>
    <w:p w:rsidR="00A22723" w:rsidRPr="0041772B" w:rsidRDefault="00A22723" w:rsidP="0041772B">
      <w:pPr>
        <w:pStyle w:val="Textoindependiente"/>
        <w:spacing w:after="0" w:line="276" w:lineRule="auto"/>
        <w:jc w:val="both"/>
        <w:rPr>
          <w:rFonts w:cs="Arial"/>
          <w:sz w:val="22"/>
          <w:szCs w:val="22"/>
          <w:lang w:val="es-CO"/>
        </w:rPr>
      </w:pPr>
    </w:p>
    <w:p w:rsidR="00A22723" w:rsidRPr="0041772B" w:rsidRDefault="00A22723" w:rsidP="0041772B">
      <w:pPr>
        <w:spacing w:line="276" w:lineRule="auto"/>
        <w:rPr>
          <w:rFonts w:ascii="Arial" w:hAnsi="Arial" w:cs="Arial"/>
          <w:sz w:val="22"/>
          <w:szCs w:val="22"/>
        </w:rPr>
      </w:pPr>
      <w:r w:rsidRPr="0041772B">
        <w:rPr>
          <w:rFonts w:ascii="Arial" w:hAnsi="Arial" w:cs="Arial"/>
          <w:sz w:val="22"/>
          <w:szCs w:val="22"/>
        </w:rPr>
        <w:t>1. Copia de la denuncia disciplinaria interpuesta el 5 de junio por la presidenta de la JEP</w:t>
      </w:r>
    </w:p>
    <w:p w:rsidR="00A22723" w:rsidRPr="0041772B" w:rsidRDefault="00A22723" w:rsidP="0041772B">
      <w:pPr>
        <w:spacing w:line="276" w:lineRule="auto"/>
        <w:rPr>
          <w:rFonts w:ascii="Arial" w:hAnsi="Arial" w:cs="Arial"/>
          <w:sz w:val="22"/>
          <w:szCs w:val="22"/>
        </w:rPr>
      </w:pPr>
      <w:r w:rsidRPr="0041772B">
        <w:rPr>
          <w:rFonts w:ascii="Arial" w:hAnsi="Arial" w:cs="Arial"/>
          <w:sz w:val="22"/>
          <w:szCs w:val="22"/>
        </w:rPr>
        <w:t>2. Copia del memorial mío del 17 de octubre de 2019</w:t>
      </w:r>
    </w:p>
    <w:p w:rsidR="00A22723" w:rsidRPr="0041772B" w:rsidRDefault="00A22723" w:rsidP="0041772B">
      <w:pPr>
        <w:spacing w:line="276" w:lineRule="auto"/>
        <w:rPr>
          <w:rFonts w:ascii="Arial" w:hAnsi="Arial" w:cs="Arial"/>
          <w:sz w:val="22"/>
          <w:szCs w:val="22"/>
        </w:rPr>
      </w:pPr>
      <w:r w:rsidRPr="0041772B">
        <w:rPr>
          <w:rFonts w:ascii="Arial" w:hAnsi="Arial" w:cs="Arial"/>
          <w:sz w:val="22"/>
          <w:szCs w:val="22"/>
        </w:rPr>
        <w:t>3. Extracto de la versión libre que rendí el día 7 de noviembre de 2018</w:t>
      </w:r>
    </w:p>
    <w:p w:rsidR="00A22723" w:rsidRPr="0041772B" w:rsidRDefault="00A22723" w:rsidP="0041772B">
      <w:pPr>
        <w:spacing w:line="276" w:lineRule="auto"/>
        <w:rPr>
          <w:rFonts w:ascii="Arial" w:hAnsi="Arial" w:cs="Arial"/>
          <w:sz w:val="22"/>
          <w:szCs w:val="22"/>
        </w:rPr>
      </w:pPr>
      <w:r w:rsidRPr="0041772B">
        <w:rPr>
          <w:rFonts w:ascii="Arial" w:hAnsi="Arial" w:cs="Arial"/>
          <w:sz w:val="22"/>
          <w:szCs w:val="22"/>
        </w:rPr>
        <w:t>4. Extracto del alegato de conclusión de Gustavo Quintero Navas, del 8 de abril del 2019</w:t>
      </w:r>
    </w:p>
    <w:p w:rsidR="00A22723" w:rsidRPr="0041772B" w:rsidRDefault="00A22723" w:rsidP="0041772B">
      <w:pPr>
        <w:spacing w:line="276" w:lineRule="auto"/>
        <w:rPr>
          <w:rFonts w:ascii="Arial" w:hAnsi="Arial" w:cs="Arial"/>
          <w:sz w:val="22"/>
          <w:szCs w:val="22"/>
        </w:rPr>
      </w:pPr>
      <w:r w:rsidRPr="0041772B">
        <w:rPr>
          <w:rFonts w:ascii="Arial" w:hAnsi="Arial" w:cs="Arial"/>
          <w:sz w:val="22"/>
          <w:szCs w:val="22"/>
        </w:rPr>
        <w:t xml:space="preserve">5. Fallo de primera instancia de la Procuraduría del día 6 de mayo de 2019. </w:t>
      </w:r>
    </w:p>
    <w:p w:rsidR="00A22723" w:rsidRPr="0041772B" w:rsidRDefault="00A22723" w:rsidP="0041772B">
      <w:pPr>
        <w:spacing w:line="276" w:lineRule="auto"/>
        <w:rPr>
          <w:rFonts w:ascii="Arial" w:hAnsi="Arial" w:cs="Arial"/>
          <w:sz w:val="22"/>
          <w:szCs w:val="22"/>
        </w:rPr>
      </w:pPr>
      <w:r w:rsidRPr="0041772B">
        <w:rPr>
          <w:rFonts w:ascii="Arial" w:hAnsi="Arial" w:cs="Arial"/>
          <w:sz w:val="22"/>
          <w:szCs w:val="22"/>
        </w:rPr>
        <w:t>6. Mensaje por redes sociales del 6 de mayo de 2019, a la 1:04 pm</w:t>
      </w:r>
    </w:p>
    <w:p w:rsidR="00A22723" w:rsidRPr="0041772B" w:rsidRDefault="00A22723" w:rsidP="0041772B">
      <w:pPr>
        <w:spacing w:line="276" w:lineRule="auto"/>
        <w:rPr>
          <w:rFonts w:ascii="Arial" w:hAnsi="Arial" w:cs="Arial"/>
          <w:sz w:val="22"/>
          <w:szCs w:val="22"/>
        </w:rPr>
      </w:pPr>
      <w:r w:rsidRPr="0041772B">
        <w:rPr>
          <w:rFonts w:ascii="Arial" w:hAnsi="Arial" w:cs="Arial"/>
          <w:sz w:val="22"/>
          <w:szCs w:val="22"/>
        </w:rPr>
        <w:t>7. Comunicado de prensa de la Procuraduría colgado en su página web en mayo 6 de 2019.</w:t>
      </w:r>
    </w:p>
    <w:p w:rsidR="00A22723" w:rsidRPr="0041772B" w:rsidRDefault="00A22723" w:rsidP="0041772B">
      <w:pPr>
        <w:spacing w:line="276" w:lineRule="auto"/>
        <w:rPr>
          <w:rFonts w:ascii="Arial" w:hAnsi="Arial" w:cs="Arial"/>
          <w:sz w:val="22"/>
          <w:szCs w:val="22"/>
          <w:highlight w:val="green"/>
        </w:rPr>
      </w:pPr>
    </w:p>
    <w:p w:rsidR="00A22723" w:rsidRPr="0041772B" w:rsidRDefault="00A22723" w:rsidP="0041772B">
      <w:pPr>
        <w:pStyle w:val="Sangra2detindependiente"/>
        <w:widowControl/>
        <w:numPr>
          <w:ilvl w:val="0"/>
          <w:numId w:val="1"/>
        </w:numPr>
        <w:spacing w:line="276" w:lineRule="auto"/>
        <w:jc w:val="center"/>
        <w:rPr>
          <w:rFonts w:cs="Arial"/>
          <w:b/>
          <w:sz w:val="22"/>
          <w:szCs w:val="22"/>
          <w:lang w:val="es-CO"/>
        </w:rPr>
      </w:pPr>
      <w:r w:rsidRPr="0041772B">
        <w:rPr>
          <w:rFonts w:cs="Arial"/>
          <w:b/>
          <w:sz w:val="22"/>
          <w:szCs w:val="22"/>
          <w:lang w:val="es-CO"/>
        </w:rPr>
        <w:t>CONSIDERACIONES:</w:t>
      </w:r>
    </w:p>
    <w:p w:rsidR="00A22723" w:rsidRPr="0041772B" w:rsidRDefault="00A22723" w:rsidP="0041772B">
      <w:pPr>
        <w:pStyle w:val="Sangra2detindependiente"/>
        <w:widowControl/>
        <w:spacing w:line="276" w:lineRule="auto"/>
        <w:ind w:left="360" w:firstLine="0"/>
        <w:rPr>
          <w:rFonts w:cs="Arial"/>
          <w:b/>
          <w:sz w:val="22"/>
          <w:szCs w:val="22"/>
          <w:lang w:val="es-CO"/>
        </w:rPr>
      </w:pPr>
    </w:p>
    <w:p w:rsidR="00A22723" w:rsidRPr="0041772B" w:rsidRDefault="00A22723" w:rsidP="0041772B">
      <w:pPr>
        <w:numPr>
          <w:ilvl w:val="1"/>
          <w:numId w:val="2"/>
        </w:numPr>
        <w:tabs>
          <w:tab w:val="left" w:pos="0"/>
          <w:tab w:val="left" w:pos="284"/>
          <w:tab w:val="left" w:pos="426"/>
        </w:tabs>
        <w:spacing w:line="276" w:lineRule="auto"/>
        <w:ind w:left="0" w:firstLine="0"/>
        <w:jc w:val="both"/>
        <w:rPr>
          <w:rFonts w:ascii="Arial" w:eastAsia="Calibri" w:hAnsi="Arial" w:cs="Arial"/>
          <w:b/>
          <w:sz w:val="22"/>
          <w:szCs w:val="22"/>
        </w:rPr>
      </w:pPr>
      <w:r w:rsidRPr="0041772B">
        <w:rPr>
          <w:rFonts w:ascii="Arial" w:eastAsia="Calibri" w:hAnsi="Arial" w:cs="Arial"/>
          <w:sz w:val="22"/>
          <w:szCs w:val="22"/>
        </w:rPr>
        <w:t xml:space="preserve">De conformidad con lo dispuesto en el artículo 86 de la Constitución Política, en el articulado general y, en particular, en los Artículos 1°, 5° y 8° del Decreto – Ley 2591 de 1991 </w:t>
      </w:r>
      <w:r w:rsidRPr="001D1F0E">
        <w:rPr>
          <w:rFonts w:ascii="Arial" w:eastAsia="Calibri" w:hAnsi="Arial" w:cs="Arial"/>
          <w:sz w:val="20"/>
          <w:szCs w:val="22"/>
        </w:rPr>
        <w:t>“</w:t>
      </w:r>
      <w:r w:rsidRPr="001D1F0E">
        <w:rPr>
          <w:rFonts w:ascii="Arial" w:eastAsia="Calibri" w:hAnsi="Arial" w:cs="Arial"/>
          <w:i/>
          <w:sz w:val="20"/>
          <w:szCs w:val="22"/>
        </w:rPr>
        <w:t>Por el cual se reglamenta la acción de tutela consagrada en el artículo 86 de la Constitución Política”</w:t>
      </w:r>
      <w:r w:rsidRPr="001D1F0E">
        <w:rPr>
          <w:rFonts w:ascii="Arial" w:eastAsia="Calibri" w:hAnsi="Arial" w:cs="Arial"/>
          <w:sz w:val="20"/>
          <w:szCs w:val="22"/>
        </w:rPr>
        <w:t xml:space="preserve">, </w:t>
      </w:r>
      <w:r w:rsidRPr="0041772B">
        <w:rPr>
          <w:rFonts w:ascii="Arial" w:eastAsia="Calibri" w:hAnsi="Arial" w:cs="Arial"/>
          <w:sz w:val="22"/>
          <w:szCs w:val="22"/>
        </w:rPr>
        <w:t>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A22723" w:rsidRPr="0041772B" w:rsidRDefault="00A22723" w:rsidP="0041772B">
      <w:pPr>
        <w:spacing w:line="276" w:lineRule="auto"/>
        <w:ind w:left="708"/>
        <w:jc w:val="both"/>
        <w:rPr>
          <w:rFonts w:ascii="Arial" w:eastAsia="Calibri" w:hAnsi="Arial" w:cs="Arial"/>
          <w:sz w:val="22"/>
          <w:szCs w:val="22"/>
        </w:rPr>
      </w:pPr>
    </w:p>
    <w:p w:rsidR="00A22723" w:rsidRPr="0041772B" w:rsidRDefault="00A22723" w:rsidP="0041772B">
      <w:pPr>
        <w:spacing w:line="276" w:lineRule="auto"/>
        <w:jc w:val="both"/>
        <w:rPr>
          <w:rFonts w:ascii="Arial" w:eastAsia="Calibri" w:hAnsi="Arial" w:cs="Arial"/>
          <w:sz w:val="22"/>
          <w:szCs w:val="22"/>
        </w:rPr>
      </w:pPr>
      <w:r w:rsidRPr="0041772B">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A22723" w:rsidRPr="0041772B" w:rsidRDefault="00A22723" w:rsidP="0041772B">
      <w:pPr>
        <w:tabs>
          <w:tab w:val="left" w:pos="709"/>
        </w:tabs>
        <w:spacing w:line="276" w:lineRule="auto"/>
        <w:jc w:val="both"/>
        <w:rPr>
          <w:rFonts w:ascii="Arial" w:eastAsia="Calibri" w:hAnsi="Arial" w:cs="Arial"/>
          <w:sz w:val="22"/>
          <w:szCs w:val="22"/>
        </w:rPr>
      </w:pPr>
    </w:p>
    <w:p w:rsidR="00A22723" w:rsidRPr="0041772B" w:rsidRDefault="00A22723" w:rsidP="0041772B">
      <w:pPr>
        <w:spacing w:line="276" w:lineRule="auto"/>
        <w:jc w:val="both"/>
        <w:rPr>
          <w:rFonts w:ascii="Arial" w:hAnsi="Arial" w:cs="Arial"/>
          <w:sz w:val="22"/>
          <w:szCs w:val="22"/>
          <w:lang w:val="es-MX"/>
        </w:rPr>
      </w:pPr>
      <w:r w:rsidRPr="0041772B">
        <w:rPr>
          <w:rFonts w:ascii="Arial" w:hAnsi="Arial" w:cs="Arial"/>
          <w:b/>
          <w:sz w:val="22"/>
          <w:szCs w:val="22"/>
          <w:lang w:val="es-ES_tradnl"/>
        </w:rPr>
        <w:t xml:space="preserve">5.2. </w:t>
      </w:r>
      <w:r w:rsidRPr="0041772B">
        <w:rPr>
          <w:rFonts w:ascii="Arial" w:hAnsi="Arial" w:cs="Arial"/>
          <w:sz w:val="22"/>
          <w:szCs w:val="22"/>
          <w:lang w:val="es-ES_tradnl"/>
        </w:rPr>
        <w:t>Observa el Despacho que el derecho fundamental del cual pretende obtener protección el accionante es a debido proceso, buen nombre y honra toda vez que la entidad accionada no declaró la falta de competencia dentro del proceso IUS-E2018-256635/IUC D-2018-1130718.</w:t>
      </w:r>
    </w:p>
    <w:p w:rsidR="00A22723" w:rsidRPr="0041772B" w:rsidRDefault="00A22723" w:rsidP="0041772B">
      <w:pPr>
        <w:pStyle w:val="Prrafodelista"/>
        <w:tabs>
          <w:tab w:val="left" w:pos="142"/>
        </w:tabs>
        <w:spacing w:line="276" w:lineRule="auto"/>
        <w:ind w:left="0"/>
        <w:jc w:val="both"/>
        <w:rPr>
          <w:rFonts w:cs="Arial"/>
          <w:sz w:val="22"/>
          <w:szCs w:val="22"/>
        </w:rPr>
      </w:pPr>
    </w:p>
    <w:p w:rsidR="00A22723" w:rsidRPr="0041772B" w:rsidRDefault="00A22723" w:rsidP="0041772B">
      <w:pPr>
        <w:spacing w:line="276" w:lineRule="auto"/>
        <w:jc w:val="both"/>
        <w:rPr>
          <w:rFonts w:ascii="Arial" w:hAnsi="Arial" w:cs="Arial"/>
          <w:b/>
          <w:sz w:val="22"/>
          <w:szCs w:val="22"/>
          <w:lang w:val="es-MX"/>
        </w:rPr>
      </w:pPr>
      <w:r w:rsidRPr="0041772B">
        <w:rPr>
          <w:rFonts w:ascii="Arial" w:hAnsi="Arial" w:cs="Arial"/>
          <w:sz w:val="22"/>
          <w:szCs w:val="22"/>
          <w:lang w:val="es-MX"/>
        </w:rPr>
        <w:t xml:space="preserve">Así las cosas, cabe preguntarse </w:t>
      </w:r>
      <w:r w:rsidRPr="0041772B">
        <w:rPr>
          <w:rFonts w:ascii="Arial" w:hAnsi="Arial" w:cs="Arial"/>
          <w:b/>
          <w:sz w:val="22"/>
          <w:szCs w:val="22"/>
          <w:lang w:val="es-MX"/>
        </w:rPr>
        <w:t>¿Debe tutelarse los derechos fundamentales del accionantes ante la decisión de la entidad?</w:t>
      </w:r>
    </w:p>
    <w:p w:rsidR="00A22723" w:rsidRPr="0041772B" w:rsidRDefault="00A22723" w:rsidP="0041772B">
      <w:pPr>
        <w:spacing w:line="276" w:lineRule="auto"/>
        <w:jc w:val="both"/>
        <w:rPr>
          <w:rFonts w:ascii="Arial" w:hAnsi="Arial" w:cs="Arial"/>
          <w:b/>
          <w:sz w:val="22"/>
          <w:szCs w:val="22"/>
          <w:lang w:val="es-MX"/>
        </w:rPr>
      </w:pPr>
    </w:p>
    <w:p w:rsidR="00A22723" w:rsidRPr="0041772B" w:rsidRDefault="00A22723" w:rsidP="0041772B">
      <w:pPr>
        <w:pStyle w:val="Sangradetextonormal"/>
        <w:spacing w:line="276" w:lineRule="auto"/>
        <w:ind w:left="0"/>
        <w:rPr>
          <w:rFonts w:cs="Arial"/>
          <w:b/>
          <w:sz w:val="22"/>
          <w:szCs w:val="22"/>
        </w:rPr>
      </w:pPr>
      <w:r w:rsidRPr="0041772B">
        <w:rPr>
          <w:rFonts w:cs="Arial"/>
          <w:sz w:val="22"/>
          <w:szCs w:val="22"/>
        </w:rPr>
        <w:t xml:space="preserve">Previo a resolver la pregunta debe este Despacho determinar si la acción de tutela es procedente. </w:t>
      </w:r>
    </w:p>
    <w:p w:rsidR="00A22723" w:rsidRPr="0041772B" w:rsidRDefault="00A22723" w:rsidP="0041772B">
      <w:pPr>
        <w:spacing w:line="276" w:lineRule="auto"/>
        <w:ind w:left="360"/>
        <w:jc w:val="both"/>
        <w:rPr>
          <w:rFonts w:ascii="Arial" w:hAnsi="Arial" w:cs="Arial"/>
          <w:b/>
          <w:sz w:val="22"/>
          <w:szCs w:val="22"/>
        </w:rPr>
      </w:pPr>
    </w:p>
    <w:p w:rsidR="00A22723" w:rsidRPr="0041772B" w:rsidRDefault="00A22723" w:rsidP="0041772B">
      <w:pPr>
        <w:spacing w:line="276" w:lineRule="auto"/>
        <w:jc w:val="both"/>
        <w:rPr>
          <w:rFonts w:ascii="Arial" w:hAnsi="Arial" w:cs="Arial"/>
          <w:sz w:val="22"/>
          <w:szCs w:val="22"/>
        </w:rPr>
      </w:pPr>
      <w:r w:rsidRPr="0041772B">
        <w:rPr>
          <w:rFonts w:ascii="Arial" w:hAnsi="Arial" w:cs="Arial"/>
          <w:sz w:val="22"/>
          <w:szCs w:val="22"/>
        </w:rPr>
        <w:t>Lo anterior, dado el carácter residual o subsidiario de la acción de tutela, de modo que puede acudirse a ella a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de tutela es la más indicada para proteger de manera definitiva o transitoria el derecho desconocido o amenazado.</w:t>
      </w:r>
    </w:p>
    <w:p w:rsidR="00A22723" w:rsidRPr="0041772B" w:rsidRDefault="00A22723" w:rsidP="0041772B">
      <w:pPr>
        <w:spacing w:line="276" w:lineRule="auto"/>
        <w:jc w:val="both"/>
        <w:rPr>
          <w:rFonts w:ascii="Arial" w:hAnsi="Arial" w:cs="Arial"/>
          <w:sz w:val="22"/>
          <w:szCs w:val="22"/>
        </w:rPr>
      </w:pPr>
    </w:p>
    <w:p w:rsidR="00A22723" w:rsidRPr="0041772B" w:rsidRDefault="00A22723" w:rsidP="0041772B">
      <w:pPr>
        <w:pStyle w:val="Sangradetextonormal"/>
        <w:spacing w:line="276" w:lineRule="auto"/>
        <w:ind w:left="0"/>
        <w:rPr>
          <w:rFonts w:cs="Arial"/>
          <w:sz w:val="22"/>
          <w:szCs w:val="22"/>
        </w:rPr>
      </w:pPr>
      <w:r w:rsidRPr="0041772B">
        <w:rPr>
          <w:rFonts w:cs="Arial"/>
          <w:sz w:val="22"/>
          <w:szCs w:val="22"/>
        </w:rPr>
        <w:t>El numeral 1 del artículo 6 del decreto 2591 de 1991 señala que</w:t>
      </w:r>
      <w:r w:rsidRPr="001D1F0E">
        <w:rPr>
          <w:rFonts w:cs="Arial"/>
          <w:sz w:val="20"/>
          <w:szCs w:val="22"/>
        </w:rPr>
        <w:t>: “</w:t>
      </w:r>
      <w:r w:rsidRPr="001D1F0E">
        <w:rPr>
          <w:rFonts w:cs="Arial"/>
          <w:i/>
          <w:sz w:val="20"/>
          <w:szCs w:val="22"/>
        </w:rPr>
        <w:t xml:space="preserve">La acción de tutela no procederá: 1. Cuando existan otros recursos o medios de defensa judiciales, </w:t>
      </w:r>
      <w:r w:rsidRPr="001D1F0E">
        <w:rPr>
          <w:rFonts w:cs="Arial"/>
          <w:i/>
          <w:sz w:val="20"/>
          <w:szCs w:val="22"/>
          <w:u w:val="single"/>
        </w:rPr>
        <w:t xml:space="preserve">salvo que aquella se </w:t>
      </w:r>
      <w:r w:rsidRPr="001D1F0E">
        <w:rPr>
          <w:rFonts w:cs="Arial"/>
          <w:i/>
          <w:sz w:val="20"/>
          <w:szCs w:val="22"/>
          <w:u w:val="single"/>
        </w:rPr>
        <w:lastRenderedPageBreak/>
        <w:t>utilice como mecanismo transitorio para evitar un perjuicio irremediable</w:t>
      </w:r>
      <w:r w:rsidRPr="0041772B">
        <w:rPr>
          <w:rStyle w:val="Refdenotaalpie"/>
          <w:rFonts w:cs="Arial"/>
          <w:sz w:val="22"/>
          <w:szCs w:val="22"/>
          <w:u w:val="single"/>
        </w:rPr>
        <w:footnoteReference w:id="1"/>
      </w:r>
      <w:r w:rsidRPr="0041772B">
        <w:rPr>
          <w:rFonts w:cs="Arial"/>
          <w:i/>
          <w:sz w:val="22"/>
          <w:szCs w:val="22"/>
        </w:rPr>
        <w:t>”</w:t>
      </w:r>
      <w:r w:rsidRPr="0041772B">
        <w:rPr>
          <w:rFonts w:cs="Arial"/>
          <w:sz w:val="22"/>
          <w:szCs w:val="22"/>
        </w:rPr>
        <w:t xml:space="preserve"> (Subrayado fuera de texto).</w:t>
      </w:r>
    </w:p>
    <w:p w:rsidR="00A22723" w:rsidRPr="0041772B" w:rsidRDefault="00A22723" w:rsidP="0041772B">
      <w:pPr>
        <w:pStyle w:val="Sangradetextonormal"/>
        <w:spacing w:line="276" w:lineRule="auto"/>
        <w:ind w:left="0"/>
        <w:rPr>
          <w:rFonts w:cs="Arial"/>
          <w:sz w:val="22"/>
          <w:szCs w:val="22"/>
        </w:rPr>
      </w:pPr>
    </w:p>
    <w:p w:rsidR="00A22723" w:rsidRPr="0041772B" w:rsidRDefault="00A22723" w:rsidP="0041772B">
      <w:pPr>
        <w:shd w:val="clear" w:color="auto" w:fill="FFFFFF"/>
        <w:spacing w:line="276" w:lineRule="auto"/>
        <w:jc w:val="both"/>
        <w:rPr>
          <w:rFonts w:ascii="Arial" w:hAnsi="Arial" w:cs="Arial"/>
          <w:sz w:val="22"/>
          <w:szCs w:val="22"/>
          <w:lang w:eastAsia="es-CO"/>
        </w:rPr>
      </w:pPr>
      <w:r w:rsidRPr="0041772B">
        <w:rPr>
          <w:rFonts w:ascii="Arial" w:hAnsi="Arial" w:cs="Arial"/>
          <w:sz w:val="22"/>
          <w:szCs w:val="22"/>
          <w:lang w:eastAsia="es-CO"/>
        </w:rPr>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 teniendo en cuenta que la jurisprudencia ha reiterado el vínculo estrecho que une al mínimo vital y la vida digna con la recepción de ciertas acreencias prestacionales.</w:t>
      </w:r>
    </w:p>
    <w:p w:rsidR="00A22723" w:rsidRPr="0041772B" w:rsidRDefault="00A22723" w:rsidP="0041772B">
      <w:pPr>
        <w:shd w:val="clear" w:color="auto" w:fill="FFFFFF"/>
        <w:spacing w:line="276" w:lineRule="auto"/>
        <w:jc w:val="both"/>
        <w:rPr>
          <w:rFonts w:ascii="Arial" w:hAnsi="Arial" w:cs="Arial"/>
          <w:sz w:val="22"/>
          <w:szCs w:val="22"/>
          <w:lang w:eastAsia="es-CO"/>
        </w:rPr>
      </w:pPr>
      <w:r w:rsidRPr="0041772B">
        <w:rPr>
          <w:rFonts w:ascii="Arial" w:hAnsi="Arial" w:cs="Arial"/>
          <w:sz w:val="22"/>
          <w:szCs w:val="22"/>
          <w:lang w:eastAsia="es-CO"/>
        </w:rPr>
        <w:t> </w:t>
      </w:r>
    </w:p>
    <w:p w:rsidR="00A22723" w:rsidRPr="0041772B" w:rsidRDefault="00A22723" w:rsidP="0041772B">
      <w:pPr>
        <w:shd w:val="clear" w:color="auto" w:fill="FFFFFF"/>
        <w:spacing w:line="276" w:lineRule="auto"/>
        <w:jc w:val="both"/>
        <w:rPr>
          <w:rFonts w:ascii="Arial" w:hAnsi="Arial" w:cs="Arial"/>
          <w:sz w:val="22"/>
          <w:szCs w:val="22"/>
          <w:lang w:eastAsia="es-CO"/>
        </w:rPr>
      </w:pPr>
      <w:r w:rsidRPr="0041772B">
        <w:rPr>
          <w:rFonts w:ascii="Arial" w:hAnsi="Arial" w:cs="Arial"/>
          <w:sz w:val="22"/>
          <w:szCs w:val="22"/>
          <w:lang w:eastAsia="es-CO"/>
        </w:rPr>
        <w:t>Así pues, la determinación de la procedencia excepcional de la acción de tutela exige del juez un análisis de la situación particular del actor,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rsidR="00A22723" w:rsidRPr="0041772B" w:rsidRDefault="00A22723" w:rsidP="0041772B">
      <w:pPr>
        <w:shd w:val="clear" w:color="auto" w:fill="FFFFFF"/>
        <w:spacing w:line="276" w:lineRule="auto"/>
        <w:jc w:val="both"/>
        <w:rPr>
          <w:rFonts w:ascii="Arial" w:hAnsi="Arial" w:cs="Arial"/>
          <w:sz w:val="22"/>
          <w:szCs w:val="22"/>
          <w:lang w:eastAsia="es-CO"/>
        </w:rPr>
      </w:pPr>
      <w:r w:rsidRPr="0041772B">
        <w:rPr>
          <w:rFonts w:ascii="Arial" w:hAnsi="Arial" w:cs="Arial"/>
          <w:sz w:val="22"/>
          <w:szCs w:val="22"/>
          <w:lang w:eastAsia="es-CO"/>
        </w:rPr>
        <w:t>  </w:t>
      </w:r>
    </w:p>
    <w:p w:rsidR="00A22723" w:rsidRPr="001D1F0E" w:rsidRDefault="00A22723" w:rsidP="0041772B">
      <w:pPr>
        <w:shd w:val="clear" w:color="auto" w:fill="FFFFFF"/>
        <w:spacing w:line="276" w:lineRule="auto"/>
        <w:jc w:val="both"/>
        <w:rPr>
          <w:rFonts w:ascii="Arial" w:hAnsi="Arial" w:cs="Arial"/>
          <w:i/>
          <w:sz w:val="20"/>
          <w:szCs w:val="22"/>
          <w:lang w:eastAsia="es-CO"/>
        </w:rPr>
      </w:pPr>
      <w:r w:rsidRPr="0041772B">
        <w:rPr>
          <w:rFonts w:ascii="Arial" w:hAnsi="Arial" w:cs="Arial"/>
          <w:sz w:val="22"/>
          <w:szCs w:val="22"/>
          <w:lang w:eastAsia="es-CO"/>
        </w:rPr>
        <w:t xml:space="preserve">Frente a las acciones de tutela como mecanismo para controvertir actos administrativos  la Corte Constitucional ha mencionado: </w:t>
      </w:r>
      <w:r w:rsidRPr="001D1F0E">
        <w:rPr>
          <w:rFonts w:ascii="Arial" w:hAnsi="Arial" w:cs="Arial"/>
          <w:b/>
          <w:i/>
          <w:sz w:val="20"/>
          <w:szCs w:val="22"/>
          <w:lang w:eastAsia="es-CO"/>
        </w:rPr>
        <w:t>“la tutela no constituye un mecanismo o una instancia para definir aquellos conflictos que la ley ha establecido como competencia de otras jurisdicciones</w:t>
      </w:r>
      <w:r w:rsidRPr="001D1F0E">
        <w:rPr>
          <w:rFonts w:ascii="Arial" w:hAnsi="Arial" w:cs="Arial"/>
          <w:b/>
          <w:i/>
          <w:sz w:val="18"/>
          <w:szCs w:val="22"/>
          <w:lang w:eastAsia="es-CO"/>
        </w:rPr>
        <w:t>.</w:t>
      </w:r>
      <w:r w:rsidRPr="001D1F0E">
        <w:rPr>
          <w:rFonts w:ascii="Arial" w:hAnsi="Arial" w:cs="Arial"/>
          <w:i/>
          <w:sz w:val="18"/>
          <w:szCs w:val="22"/>
          <w:lang w:eastAsia="es-CO"/>
        </w:rPr>
        <w:t xml:space="preserve"> </w:t>
      </w:r>
      <w:r w:rsidRPr="001D1F0E">
        <w:rPr>
          <w:rFonts w:ascii="Arial" w:hAnsi="Arial" w:cs="Arial"/>
          <w:i/>
          <w:sz w:val="20"/>
          <w:szCs w:val="22"/>
          <w:lang w:eastAsia="es-CO"/>
        </w:rPr>
        <w:t xml:space="preserve">Esto, por cuanto el ordenamiento jurídico dispone la existencia de jurisdicciones diferentes a la constitucional, que de forma especializada atienden cada uno de los diferentes conflictos que los ciudadanos elevan ante la administración de justicia. Pero precisando además, que las decisiones de todas las autoridades, incluidas por supuesto las judiciales, deben someterse al ordenamiento jurídico (arts. 4º y 230 C. Pol.), marco dentro del cual los derechos fundamentales tienen un carácter primordial.[15] </w:t>
      </w:r>
    </w:p>
    <w:p w:rsidR="00A22723" w:rsidRPr="0041772B" w:rsidRDefault="00A22723" w:rsidP="0041772B">
      <w:pPr>
        <w:shd w:val="clear" w:color="auto" w:fill="FFFFFF"/>
        <w:spacing w:line="276" w:lineRule="auto"/>
        <w:jc w:val="both"/>
        <w:rPr>
          <w:rFonts w:ascii="Arial" w:hAnsi="Arial" w:cs="Arial"/>
          <w:i/>
          <w:sz w:val="22"/>
          <w:szCs w:val="22"/>
          <w:lang w:eastAsia="es-CO"/>
        </w:rPr>
      </w:pPr>
    </w:p>
    <w:p w:rsidR="00A22723" w:rsidRPr="0041772B" w:rsidRDefault="00A22723" w:rsidP="0041772B">
      <w:pPr>
        <w:shd w:val="clear" w:color="auto" w:fill="FFFFFF"/>
        <w:spacing w:line="276" w:lineRule="auto"/>
        <w:jc w:val="both"/>
        <w:rPr>
          <w:rFonts w:ascii="Arial" w:hAnsi="Arial" w:cs="Arial"/>
          <w:i/>
          <w:sz w:val="22"/>
          <w:szCs w:val="22"/>
          <w:lang w:eastAsia="es-CO"/>
        </w:rPr>
      </w:pPr>
      <w:r w:rsidRPr="0041772B">
        <w:rPr>
          <w:rFonts w:ascii="Arial" w:hAnsi="Arial" w:cs="Arial"/>
          <w:i/>
          <w:sz w:val="22"/>
          <w:szCs w:val="22"/>
          <w:lang w:eastAsia="es-CO"/>
        </w:rPr>
        <w:t xml:space="preserve"> </w:t>
      </w:r>
      <w:r w:rsidRPr="001D1F0E">
        <w:rPr>
          <w:rFonts w:ascii="Arial" w:hAnsi="Arial" w:cs="Arial"/>
          <w:i/>
          <w:sz w:val="20"/>
          <w:szCs w:val="22"/>
          <w:lang w:eastAsia="es-CO"/>
        </w:rPr>
        <w:t xml:space="preserve">De manera que si los procesos ordinarios están diseñados para solucionar los conflictos jurídicos y, por tanto, para proteger los derechos de las personas, la tutela no puede ser empleada como un mecanismo alterno o complementario. </w:t>
      </w:r>
      <w:r w:rsidRPr="001D1F0E">
        <w:rPr>
          <w:rFonts w:ascii="Arial" w:hAnsi="Arial" w:cs="Arial"/>
          <w:i/>
          <w:sz w:val="20"/>
          <w:szCs w:val="22"/>
          <w:u w:val="single"/>
          <w:lang w:eastAsia="es-CO"/>
        </w:rPr>
        <w:t>Bajo esta premisa, la procedencia de la tutela está supeditada a que para su ejercicio se hayan agotado todas las instancias y los recursos con los que cuenta el afectado para la protección de sus derechos.</w:t>
      </w:r>
      <w:r w:rsidRPr="001D1F0E">
        <w:rPr>
          <w:rStyle w:val="Refdenotaalpie"/>
          <w:rFonts w:ascii="Arial" w:hAnsi="Arial" w:cs="Arial"/>
          <w:b/>
          <w:i/>
          <w:sz w:val="20"/>
          <w:szCs w:val="22"/>
          <w:lang w:eastAsia="es-CO"/>
        </w:rPr>
        <w:footnoteReference w:id="2"/>
      </w:r>
      <w:r w:rsidRPr="001D1F0E">
        <w:rPr>
          <w:rFonts w:ascii="Arial" w:hAnsi="Arial" w:cs="Arial"/>
          <w:b/>
          <w:i/>
          <w:sz w:val="20"/>
          <w:szCs w:val="22"/>
          <w:lang w:eastAsia="es-CO"/>
        </w:rPr>
        <w:t xml:space="preserve"> </w:t>
      </w:r>
      <w:r w:rsidRPr="0041772B">
        <w:rPr>
          <w:rFonts w:ascii="Arial" w:hAnsi="Arial" w:cs="Arial"/>
          <w:i/>
          <w:sz w:val="22"/>
          <w:szCs w:val="22"/>
          <w:lang w:eastAsia="es-CO"/>
        </w:rPr>
        <w:t>(Subraya  fuera de texto)</w:t>
      </w:r>
    </w:p>
    <w:p w:rsidR="00A22723" w:rsidRPr="0041772B" w:rsidRDefault="00A22723" w:rsidP="0041772B">
      <w:pPr>
        <w:spacing w:line="276" w:lineRule="auto"/>
        <w:jc w:val="both"/>
        <w:rPr>
          <w:rFonts w:ascii="Arial" w:hAnsi="Arial" w:cs="Arial"/>
          <w:sz w:val="22"/>
          <w:szCs w:val="22"/>
          <w:highlight w:val="green"/>
        </w:rPr>
      </w:pPr>
    </w:p>
    <w:p w:rsidR="00A22723" w:rsidRPr="0041772B" w:rsidRDefault="00A22723" w:rsidP="0041772B">
      <w:pPr>
        <w:spacing w:line="276" w:lineRule="auto"/>
        <w:jc w:val="both"/>
        <w:rPr>
          <w:rFonts w:ascii="Arial" w:hAnsi="Arial" w:cs="Arial"/>
          <w:sz w:val="22"/>
          <w:szCs w:val="22"/>
        </w:rPr>
      </w:pPr>
      <w:r w:rsidRPr="0041772B">
        <w:rPr>
          <w:rFonts w:ascii="Arial" w:hAnsi="Arial" w:cs="Arial"/>
          <w:sz w:val="22"/>
          <w:szCs w:val="22"/>
        </w:rPr>
        <w:t xml:space="preserve">En el presente caso, el señor Nelson Raúl Correa Henao es parte pasiva dentro del proceso disciplinario IUS 2018-256635/IUC D-2018-1130718, proceso que a la fecha se encuentra pendiente de decisión de la segunda instancia. </w:t>
      </w:r>
      <w:bookmarkStart w:id="0" w:name="_GoBack"/>
      <w:r w:rsidR="00FF6275">
        <w:rPr>
          <w:rFonts w:ascii="Arial" w:hAnsi="Arial" w:cs="Arial"/>
          <w:sz w:val="22"/>
          <w:szCs w:val="22"/>
        </w:rPr>
        <w:t>Sin embargo</w:t>
      </w:r>
      <w:bookmarkEnd w:id="0"/>
      <w:r w:rsidR="00FF6275">
        <w:rPr>
          <w:rFonts w:ascii="Arial" w:hAnsi="Arial" w:cs="Arial"/>
          <w:sz w:val="22"/>
          <w:szCs w:val="22"/>
        </w:rPr>
        <w:t>,</w:t>
      </w:r>
      <w:r w:rsidRPr="0041772B">
        <w:rPr>
          <w:rFonts w:ascii="Arial" w:hAnsi="Arial" w:cs="Arial"/>
          <w:sz w:val="22"/>
          <w:szCs w:val="22"/>
        </w:rPr>
        <w:t xml:space="preserve"> el accionante pretende que por medio de la presente acción se declare la nulidad de todo lo actuado y ordenar el archivo del proceso disciplinario, en razón a la presunta falta de competencia del accionado PROCURADURÍA GENERAL DE LA NACIÓN.</w:t>
      </w:r>
    </w:p>
    <w:p w:rsidR="00A22723" w:rsidRPr="0041772B" w:rsidRDefault="00A22723" w:rsidP="0041772B">
      <w:pPr>
        <w:spacing w:line="276" w:lineRule="auto"/>
        <w:jc w:val="both"/>
        <w:rPr>
          <w:rFonts w:ascii="Arial" w:hAnsi="Arial" w:cs="Arial"/>
          <w:sz w:val="22"/>
          <w:szCs w:val="22"/>
        </w:rPr>
      </w:pPr>
    </w:p>
    <w:p w:rsidR="00A22723" w:rsidRPr="0041772B" w:rsidRDefault="00A22723" w:rsidP="0041772B">
      <w:pPr>
        <w:spacing w:line="276" w:lineRule="auto"/>
        <w:jc w:val="both"/>
        <w:rPr>
          <w:rFonts w:ascii="Arial" w:hAnsi="Arial" w:cs="Arial"/>
          <w:sz w:val="22"/>
          <w:szCs w:val="22"/>
        </w:rPr>
      </w:pPr>
      <w:r w:rsidRPr="0041772B">
        <w:rPr>
          <w:rFonts w:ascii="Arial" w:hAnsi="Arial" w:cs="Arial"/>
          <w:sz w:val="22"/>
          <w:szCs w:val="22"/>
        </w:rPr>
        <w:t>Al respecto, con fundamento en lo expresado por la Corte Constitucional, citado anteriormente, no resulta la tutela ser el mecanismo idóneo para acceder a las pretensiones del accionante puesto que, a la fecha está en estudio un recurso de apelación, por lo que aún no se han agotados todas las instancias y recursos que ofrece el procedimiento disciplinario al accionante, es decir que no hay una decisión final sobre la situación del procesado.</w:t>
      </w:r>
    </w:p>
    <w:p w:rsidR="00A22723" w:rsidRPr="0041772B" w:rsidRDefault="00A22723" w:rsidP="0041772B">
      <w:pPr>
        <w:spacing w:line="276" w:lineRule="auto"/>
        <w:jc w:val="both"/>
        <w:rPr>
          <w:rFonts w:ascii="Arial" w:hAnsi="Arial" w:cs="Arial"/>
          <w:sz w:val="22"/>
          <w:szCs w:val="22"/>
        </w:rPr>
      </w:pPr>
    </w:p>
    <w:p w:rsidR="00A22723" w:rsidRPr="0041772B" w:rsidRDefault="00A22723" w:rsidP="0041772B">
      <w:pPr>
        <w:spacing w:line="276" w:lineRule="auto"/>
        <w:jc w:val="both"/>
        <w:rPr>
          <w:rFonts w:ascii="Arial" w:hAnsi="Arial" w:cs="Arial"/>
          <w:sz w:val="22"/>
          <w:szCs w:val="22"/>
        </w:rPr>
      </w:pPr>
      <w:r w:rsidRPr="0041772B">
        <w:rPr>
          <w:rFonts w:ascii="Arial" w:hAnsi="Arial" w:cs="Arial"/>
          <w:sz w:val="22"/>
          <w:szCs w:val="22"/>
        </w:rPr>
        <w:t xml:space="preserve">Igualmente, una vez se profiera la decisión de segunda instancia en caso de que el accionante lo considere necesario por estar inconforme con la decisión, puede acudir ante la jurisdicción contenciosa administrativa a través de la  acción de nulidad o nulidad y restablecimiento del derecho, dentro de la cual se pueden alegar las violaciones que se estimen frente al ordenamiento jurídico, entre otras, contra derechos constitucionales fundamentales; igualmente, puede solicitar las medidas cautelares que considere necesarias. Por lo tanto, la tutela no tiene cabida por tener el carácter de subsidiaria. </w:t>
      </w:r>
    </w:p>
    <w:p w:rsidR="00A22723" w:rsidRPr="0041772B" w:rsidRDefault="00A22723" w:rsidP="0041772B">
      <w:pPr>
        <w:spacing w:line="276" w:lineRule="auto"/>
        <w:jc w:val="both"/>
        <w:rPr>
          <w:rFonts w:ascii="Arial" w:hAnsi="Arial" w:cs="Arial"/>
          <w:sz w:val="22"/>
          <w:szCs w:val="22"/>
          <w:highlight w:val="green"/>
        </w:rPr>
      </w:pPr>
    </w:p>
    <w:p w:rsidR="00A22723" w:rsidRPr="001D1F0E" w:rsidRDefault="00A22723" w:rsidP="0041772B">
      <w:pPr>
        <w:pStyle w:val="Puesto"/>
        <w:tabs>
          <w:tab w:val="left" w:pos="0"/>
          <w:tab w:val="left" w:pos="709"/>
          <w:tab w:val="left" w:pos="993"/>
        </w:tabs>
        <w:spacing w:line="276" w:lineRule="auto"/>
        <w:jc w:val="both"/>
        <w:rPr>
          <w:rFonts w:cs="Arial"/>
          <w:b w:val="0"/>
          <w:sz w:val="20"/>
          <w:szCs w:val="22"/>
        </w:rPr>
      </w:pPr>
      <w:r w:rsidRPr="0041772B">
        <w:rPr>
          <w:rFonts w:cs="Arial"/>
          <w:b w:val="0"/>
          <w:sz w:val="22"/>
          <w:szCs w:val="22"/>
        </w:rPr>
        <w:t xml:space="preserve">El medio de control de tutela tampoco tendría cabida como mecanismo transitorio, porque no está demostrado que la demandante padezca un perjuicio irremediable y como lo ha resuelto el Consejo de Estado en casos similares al estudiado </w:t>
      </w:r>
      <w:r w:rsidRPr="001D1F0E">
        <w:rPr>
          <w:rFonts w:cs="Arial"/>
          <w:b w:val="0"/>
          <w:sz w:val="20"/>
          <w:szCs w:val="22"/>
        </w:rPr>
        <w:t>“</w:t>
      </w:r>
      <w:r w:rsidR="00166B4E">
        <w:rPr>
          <w:rFonts w:cs="Arial"/>
          <w:b w:val="0"/>
          <w:sz w:val="20"/>
          <w:szCs w:val="22"/>
        </w:rPr>
        <w:t>(</w:t>
      </w:r>
      <w:r w:rsidRPr="001D1F0E">
        <w:rPr>
          <w:rFonts w:cs="Arial"/>
          <w:b w:val="0"/>
          <w:i/>
          <w:sz w:val="20"/>
          <w:szCs w:val="22"/>
        </w:rPr>
        <w:t>…</w:t>
      </w:r>
      <w:r w:rsidR="00166B4E">
        <w:rPr>
          <w:rFonts w:cs="Arial"/>
          <w:b w:val="0"/>
          <w:i/>
          <w:sz w:val="20"/>
          <w:szCs w:val="22"/>
        </w:rPr>
        <w:t xml:space="preserve">) </w:t>
      </w:r>
      <w:r w:rsidRPr="001D1F0E">
        <w:rPr>
          <w:rFonts w:cs="Arial"/>
          <w:b w:val="0"/>
          <w:i/>
          <w:sz w:val="20"/>
          <w:szCs w:val="22"/>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1D1F0E">
        <w:rPr>
          <w:rFonts w:cs="Arial"/>
          <w:b w:val="0"/>
          <w:i/>
          <w:sz w:val="20"/>
          <w:szCs w:val="22"/>
          <w:vertAlign w:val="superscript"/>
        </w:rPr>
        <w:footnoteReference w:id="3"/>
      </w:r>
      <w:r w:rsidRPr="001D1F0E">
        <w:rPr>
          <w:rFonts w:cs="Arial"/>
          <w:b w:val="0"/>
          <w:i/>
          <w:sz w:val="20"/>
          <w:szCs w:val="22"/>
        </w:rPr>
        <w:t>.”</w:t>
      </w:r>
    </w:p>
    <w:p w:rsidR="00A22723" w:rsidRPr="0041772B" w:rsidRDefault="00A22723" w:rsidP="0041772B">
      <w:pPr>
        <w:pStyle w:val="Puesto"/>
        <w:tabs>
          <w:tab w:val="left" w:pos="0"/>
          <w:tab w:val="left" w:pos="709"/>
          <w:tab w:val="left" w:pos="993"/>
        </w:tabs>
        <w:spacing w:line="276" w:lineRule="auto"/>
        <w:jc w:val="both"/>
        <w:rPr>
          <w:rFonts w:cs="Arial"/>
          <w:b w:val="0"/>
          <w:sz w:val="22"/>
          <w:szCs w:val="22"/>
        </w:rPr>
      </w:pPr>
    </w:p>
    <w:p w:rsidR="00A22723" w:rsidRPr="0041772B" w:rsidRDefault="00A22723" w:rsidP="0041772B">
      <w:pPr>
        <w:spacing w:line="276" w:lineRule="auto"/>
        <w:jc w:val="both"/>
        <w:rPr>
          <w:rFonts w:ascii="Arial" w:hAnsi="Arial" w:cs="Arial"/>
          <w:sz w:val="22"/>
          <w:szCs w:val="22"/>
        </w:rPr>
      </w:pPr>
      <w:r w:rsidRPr="0041772B">
        <w:rPr>
          <w:rFonts w:ascii="Arial" w:hAnsi="Arial" w:cs="Arial"/>
          <w:iCs/>
          <w:sz w:val="22"/>
          <w:szCs w:val="22"/>
        </w:rPr>
        <w:t xml:space="preserve">Es decir, para que proceda la tutela transitoria se requiere que el daño aún no se haya causado y que de causarse no pueda remediarse. </w:t>
      </w:r>
      <w:r w:rsidRPr="0041772B">
        <w:rPr>
          <w:rFonts w:ascii="Arial" w:hAnsi="Arial" w:cs="Arial"/>
          <w:spacing w:val="-3"/>
          <w:sz w:val="22"/>
          <w:szCs w:val="22"/>
        </w:rPr>
        <w:t xml:space="preserve">Cabe anotar que, el 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 </w:t>
      </w:r>
      <w:r w:rsidRPr="0041772B">
        <w:rPr>
          <w:rFonts w:ascii="Arial" w:hAnsi="Arial" w:cs="Arial"/>
          <w:sz w:val="22"/>
          <w:szCs w:val="22"/>
        </w:rPr>
        <w:t>las pruebas aportadas al expediente no se infiere la existencia de un perjuicio de carácter irremediable que pudiere evitarse con el ejercicio transitorio de ésta acción, pues según Sentencia de la Corte Constitucional</w:t>
      </w:r>
      <w:r w:rsidRPr="00166B4E">
        <w:rPr>
          <w:rFonts w:ascii="Arial" w:hAnsi="Arial" w:cs="Arial"/>
          <w:sz w:val="20"/>
          <w:szCs w:val="22"/>
        </w:rPr>
        <w:t xml:space="preserve">: </w:t>
      </w:r>
      <w:r w:rsidRPr="00166B4E">
        <w:rPr>
          <w:rFonts w:ascii="Arial" w:hAnsi="Arial" w:cs="Arial"/>
          <w:b/>
          <w:i/>
          <w:sz w:val="20"/>
          <w:szCs w:val="22"/>
        </w:rPr>
        <w:t>“no basta pues, afirmar la irreparabilidad del perjuicio de un daño, sino, ofrecer las explicaciones y pruebas correspondientes, para que el juez de tutela adquiera certeza sobre su decisión</w:t>
      </w:r>
      <w:r w:rsidRPr="0041772B">
        <w:rPr>
          <w:rFonts w:ascii="Arial" w:hAnsi="Arial" w:cs="Arial"/>
          <w:b/>
          <w:i/>
          <w:sz w:val="22"/>
          <w:szCs w:val="22"/>
        </w:rPr>
        <w:t>”</w:t>
      </w:r>
      <w:r w:rsidRPr="0041772B">
        <w:rPr>
          <w:rFonts w:ascii="Arial" w:hAnsi="Arial" w:cs="Arial"/>
          <w:sz w:val="22"/>
          <w:szCs w:val="22"/>
        </w:rPr>
        <w:t xml:space="preserve"> (Sentencia T-449 de </w:t>
      </w:r>
      <w:smartTag w:uri="urn:schemas-microsoft-com:office:smarttags" w:element="metricconverter">
        <w:smartTagPr>
          <w:attr w:name="ProductID" w:val="1998, M"/>
        </w:smartTagPr>
        <w:r w:rsidRPr="0041772B">
          <w:rPr>
            <w:rFonts w:ascii="Arial" w:hAnsi="Arial" w:cs="Arial"/>
            <w:sz w:val="22"/>
            <w:szCs w:val="22"/>
          </w:rPr>
          <w:t>1998, M</w:t>
        </w:r>
      </w:smartTag>
      <w:r w:rsidRPr="0041772B">
        <w:rPr>
          <w:rFonts w:ascii="Arial" w:hAnsi="Arial" w:cs="Arial"/>
          <w:sz w:val="22"/>
          <w:szCs w:val="22"/>
        </w:rPr>
        <w:t>.P. Dr. Alfredo Beltrán Sierra).</w:t>
      </w:r>
    </w:p>
    <w:p w:rsidR="00A22723" w:rsidRPr="0041772B" w:rsidRDefault="00A22723" w:rsidP="0041772B">
      <w:pPr>
        <w:spacing w:line="276" w:lineRule="auto"/>
        <w:jc w:val="both"/>
        <w:rPr>
          <w:rFonts w:ascii="Arial" w:hAnsi="Arial" w:cs="Arial"/>
          <w:sz w:val="22"/>
          <w:szCs w:val="22"/>
          <w:highlight w:val="green"/>
        </w:rPr>
      </w:pPr>
    </w:p>
    <w:p w:rsidR="00A22723" w:rsidRPr="0041772B" w:rsidRDefault="00A22723" w:rsidP="0041772B">
      <w:pPr>
        <w:spacing w:line="276" w:lineRule="auto"/>
        <w:jc w:val="both"/>
        <w:rPr>
          <w:rFonts w:ascii="Arial" w:hAnsi="Arial" w:cs="Arial"/>
          <w:sz w:val="22"/>
          <w:szCs w:val="22"/>
        </w:rPr>
      </w:pPr>
      <w:r w:rsidRPr="0041772B">
        <w:rPr>
          <w:rFonts w:ascii="Arial" w:hAnsi="Arial" w:cs="Arial"/>
          <w:sz w:val="22"/>
          <w:szCs w:val="22"/>
        </w:rPr>
        <w:t>Teniendo en cuenta lo anotado, aun cuando el accionante solicita el amparo de su derecho fundamental, la acción de tutela no es el medio apropiado para su protección, toda vez que existe otro mecanismo de defensa judicial idóneo para la satisfacción de sus pretensiones por lo que la acción incoada es improcedente.</w:t>
      </w:r>
    </w:p>
    <w:p w:rsidR="00A22723" w:rsidRPr="0041772B" w:rsidRDefault="00A22723" w:rsidP="0041772B">
      <w:pPr>
        <w:pStyle w:val="Sangradetextonormal"/>
        <w:spacing w:line="276" w:lineRule="auto"/>
        <w:ind w:left="0"/>
        <w:rPr>
          <w:rFonts w:cs="Arial"/>
          <w:sz w:val="22"/>
          <w:szCs w:val="22"/>
          <w:lang w:val="es-CO"/>
        </w:rPr>
      </w:pPr>
    </w:p>
    <w:p w:rsidR="00A22723" w:rsidRPr="0041772B" w:rsidRDefault="00A22723" w:rsidP="0041772B">
      <w:pPr>
        <w:pStyle w:val="Sangradetextonormal"/>
        <w:spacing w:line="276" w:lineRule="auto"/>
        <w:ind w:left="0"/>
        <w:rPr>
          <w:rFonts w:cs="Arial"/>
          <w:sz w:val="22"/>
          <w:szCs w:val="22"/>
          <w:lang w:val="es-CO"/>
        </w:rPr>
      </w:pPr>
      <w:r w:rsidRPr="0041772B">
        <w:rPr>
          <w:rFonts w:cs="Arial"/>
          <w:sz w:val="22"/>
          <w:szCs w:val="22"/>
          <w:lang w:val="es-CO"/>
        </w:rPr>
        <w:t xml:space="preserve">En mérito de lo expuesto, el </w:t>
      </w:r>
      <w:r w:rsidRPr="0041772B">
        <w:rPr>
          <w:rFonts w:cs="Arial"/>
          <w:b/>
          <w:sz w:val="22"/>
          <w:szCs w:val="22"/>
          <w:lang w:val="es-CO"/>
        </w:rPr>
        <w:t>JUZGADO TREINTA Y CUATRO (34) ADMINISTRATIVO DEL CIRCUITO DE BOGOTÁ</w:t>
      </w:r>
      <w:r w:rsidRPr="0041772B">
        <w:rPr>
          <w:rFonts w:cs="Arial"/>
          <w:sz w:val="22"/>
          <w:szCs w:val="22"/>
          <w:lang w:val="es-CO"/>
        </w:rPr>
        <w:t xml:space="preserve">, administrando justicia en nombre de la República de Colombia y por autoridad de la ley, </w:t>
      </w:r>
    </w:p>
    <w:p w:rsidR="00A22723" w:rsidRPr="0041772B" w:rsidRDefault="00A22723" w:rsidP="0041772B">
      <w:pPr>
        <w:pStyle w:val="Sangradetextonormal"/>
        <w:spacing w:line="276" w:lineRule="auto"/>
        <w:ind w:left="0"/>
        <w:rPr>
          <w:rFonts w:cs="Arial"/>
          <w:sz w:val="22"/>
          <w:szCs w:val="22"/>
          <w:lang w:val="es-CO"/>
        </w:rPr>
      </w:pPr>
    </w:p>
    <w:p w:rsidR="00A22723" w:rsidRPr="0041772B" w:rsidRDefault="00A22723" w:rsidP="0041772B">
      <w:pPr>
        <w:pStyle w:val="Sangradetextonormal"/>
        <w:spacing w:line="276" w:lineRule="auto"/>
        <w:ind w:left="0"/>
        <w:jc w:val="center"/>
        <w:rPr>
          <w:rFonts w:cs="Arial"/>
          <w:b/>
          <w:sz w:val="22"/>
          <w:szCs w:val="22"/>
          <w:lang w:val="es-CO"/>
        </w:rPr>
      </w:pPr>
      <w:r w:rsidRPr="0041772B">
        <w:rPr>
          <w:rFonts w:cs="Arial"/>
          <w:b/>
          <w:sz w:val="22"/>
          <w:szCs w:val="22"/>
          <w:lang w:val="es-CO"/>
        </w:rPr>
        <w:t>FALLA:</w:t>
      </w:r>
    </w:p>
    <w:p w:rsidR="00A22723" w:rsidRPr="0041772B" w:rsidRDefault="00A22723" w:rsidP="0041772B">
      <w:pPr>
        <w:pStyle w:val="Sangradetextonormal"/>
        <w:spacing w:line="276" w:lineRule="auto"/>
        <w:ind w:left="0"/>
        <w:jc w:val="center"/>
        <w:rPr>
          <w:rFonts w:cs="Arial"/>
          <w:b/>
          <w:sz w:val="22"/>
          <w:szCs w:val="22"/>
          <w:lang w:val="es-CO"/>
        </w:rPr>
      </w:pPr>
    </w:p>
    <w:p w:rsidR="00A22723" w:rsidRPr="0041772B" w:rsidRDefault="00A22723" w:rsidP="0041772B">
      <w:pPr>
        <w:pStyle w:val="Sangradetextonormal"/>
        <w:tabs>
          <w:tab w:val="left" w:pos="426"/>
        </w:tabs>
        <w:spacing w:line="276" w:lineRule="auto"/>
        <w:ind w:left="0"/>
        <w:rPr>
          <w:rFonts w:cs="Arial"/>
          <w:b/>
          <w:sz w:val="22"/>
          <w:szCs w:val="22"/>
          <w:lang w:val="es-ES"/>
        </w:rPr>
      </w:pPr>
      <w:r w:rsidRPr="0041772B">
        <w:rPr>
          <w:rFonts w:cs="Arial"/>
          <w:b/>
          <w:sz w:val="22"/>
          <w:szCs w:val="22"/>
          <w:lang w:val="es-ES"/>
        </w:rPr>
        <w:t>PRIMERO:</w:t>
      </w:r>
      <w:r w:rsidRPr="0041772B">
        <w:rPr>
          <w:rFonts w:cs="Arial"/>
          <w:sz w:val="22"/>
          <w:szCs w:val="22"/>
          <w:lang w:val="es-ES"/>
        </w:rPr>
        <w:t xml:space="preserve"> </w:t>
      </w:r>
      <w:r w:rsidRPr="0041772B">
        <w:rPr>
          <w:rFonts w:cs="Arial"/>
          <w:sz w:val="22"/>
          <w:szCs w:val="22"/>
        </w:rPr>
        <w:t>NIÉGUESE la Acción de Tutela impetrada por NÉSTOR RAÚL CORREA HENAO por las razones expuestas en la parte motiva de esta providencia.</w:t>
      </w:r>
    </w:p>
    <w:p w:rsidR="00A22723" w:rsidRPr="0041772B" w:rsidRDefault="00A22723" w:rsidP="0041772B">
      <w:pPr>
        <w:pStyle w:val="Textoindependiente"/>
        <w:spacing w:after="0" w:line="276" w:lineRule="auto"/>
        <w:jc w:val="both"/>
        <w:rPr>
          <w:rFonts w:cs="Arial"/>
          <w:sz w:val="22"/>
          <w:szCs w:val="22"/>
          <w:lang w:val="es-ES"/>
        </w:rPr>
      </w:pPr>
    </w:p>
    <w:p w:rsidR="00A22723" w:rsidRPr="0041772B" w:rsidRDefault="00A22723" w:rsidP="0041772B">
      <w:pPr>
        <w:spacing w:line="276" w:lineRule="auto"/>
        <w:jc w:val="both"/>
        <w:rPr>
          <w:rFonts w:ascii="Arial" w:hAnsi="Arial" w:cs="Arial"/>
          <w:sz w:val="22"/>
          <w:szCs w:val="22"/>
        </w:rPr>
      </w:pPr>
      <w:r w:rsidRPr="0041772B">
        <w:rPr>
          <w:rFonts w:ascii="Arial" w:hAnsi="Arial" w:cs="Arial"/>
          <w:b/>
          <w:sz w:val="22"/>
          <w:szCs w:val="22"/>
        </w:rPr>
        <w:t>SEGUNDO:</w:t>
      </w:r>
      <w:r w:rsidRPr="0041772B">
        <w:rPr>
          <w:rFonts w:ascii="Arial" w:hAnsi="Arial" w:cs="Arial"/>
          <w:sz w:val="22"/>
          <w:szCs w:val="22"/>
        </w:rPr>
        <w:t xml:space="preserve"> Comuníquese por el medio más expedito la presente providencia al accionante  y al PROCURADURÍA GENERAL DE LA NACIÓN y/o a quien haga sus veces.</w:t>
      </w:r>
    </w:p>
    <w:p w:rsidR="00A22723" w:rsidRPr="0041772B" w:rsidRDefault="00A22723" w:rsidP="0041772B">
      <w:pPr>
        <w:spacing w:line="276" w:lineRule="auto"/>
        <w:jc w:val="both"/>
        <w:rPr>
          <w:rFonts w:ascii="Arial" w:hAnsi="Arial" w:cs="Arial"/>
          <w:sz w:val="22"/>
          <w:szCs w:val="22"/>
          <w:highlight w:val="green"/>
        </w:rPr>
      </w:pPr>
    </w:p>
    <w:p w:rsidR="00A22723" w:rsidRPr="0041772B" w:rsidRDefault="00A22723" w:rsidP="0041772B">
      <w:pPr>
        <w:spacing w:line="276" w:lineRule="auto"/>
        <w:jc w:val="both"/>
        <w:rPr>
          <w:rFonts w:ascii="Arial" w:hAnsi="Arial" w:cs="Arial"/>
          <w:noProof/>
          <w:sz w:val="22"/>
          <w:szCs w:val="22"/>
        </w:rPr>
      </w:pPr>
      <w:r w:rsidRPr="0041772B">
        <w:rPr>
          <w:rFonts w:ascii="Arial" w:hAnsi="Arial" w:cs="Arial"/>
          <w:b/>
          <w:noProof/>
          <w:sz w:val="22"/>
          <w:szCs w:val="22"/>
        </w:rPr>
        <w:lastRenderedPageBreak/>
        <w:t>TERCERO.-</w:t>
      </w:r>
      <w:r w:rsidRPr="0041772B">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A22723" w:rsidRPr="0041772B" w:rsidRDefault="00A22723" w:rsidP="0041772B">
      <w:pPr>
        <w:spacing w:line="276" w:lineRule="auto"/>
        <w:jc w:val="both"/>
        <w:rPr>
          <w:rFonts w:ascii="Arial" w:hAnsi="Arial" w:cs="Arial"/>
          <w:sz w:val="22"/>
          <w:szCs w:val="22"/>
        </w:rPr>
      </w:pPr>
    </w:p>
    <w:p w:rsidR="00A22723" w:rsidRPr="0041772B" w:rsidRDefault="00A22723" w:rsidP="0041772B">
      <w:pPr>
        <w:pStyle w:val="Sangra2detindependiente"/>
        <w:spacing w:line="276" w:lineRule="auto"/>
        <w:ind w:firstLine="0"/>
        <w:rPr>
          <w:rFonts w:cs="Arial"/>
          <w:b/>
          <w:sz w:val="22"/>
          <w:szCs w:val="22"/>
          <w:lang w:val="es-CO"/>
        </w:rPr>
      </w:pPr>
      <w:r w:rsidRPr="0041772B">
        <w:rPr>
          <w:rFonts w:cs="Arial"/>
          <w:b/>
          <w:sz w:val="22"/>
          <w:szCs w:val="22"/>
          <w:lang w:val="es-CO"/>
        </w:rPr>
        <w:t>CÓPIESE, NOTIFÍQUESE y CÚMPLASE,</w:t>
      </w:r>
    </w:p>
    <w:p w:rsidR="00A22723" w:rsidRPr="0041772B" w:rsidRDefault="00A22723" w:rsidP="0041772B">
      <w:pPr>
        <w:pStyle w:val="Sangra2detindependiente"/>
        <w:spacing w:line="276" w:lineRule="auto"/>
        <w:ind w:firstLine="0"/>
        <w:rPr>
          <w:rFonts w:cs="Arial"/>
          <w:b/>
          <w:sz w:val="22"/>
          <w:szCs w:val="22"/>
          <w:lang w:val="es-CO"/>
        </w:rPr>
      </w:pPr>
    </w:p>
    <w:p w:rsidR="00A22723" w:rsidRPr="0041772B" w:rsidRDefault="00A22723" w:rsidP="0041772B">
      <w:pPr>
        <w:spacing w:line="276" w:lineRule="auto"/>
        <w:jc w:val="center"/>
        <w:rPr>
          <w:rFonts w:ascii="Arial" w:hAnsi="Arial" w:cs="Arial"/>
          <w:b/>
          <w:sz w:val="22"/>
          <w:szCs w:val="22"/>
        </w:rPr>
      </w:pPr>
      <w:r w:rsidRPr="0041772B">
        <w:rPr>
          <w:rFonts w:ascii="Arial" w:hAnsi="Arial" w:cs="Arial"/>
          <w:b/>
          <w:sz w:val="22"/>
          <w:szCs w:val="22"/>
        </w:rPr>
        <w:t>OLGA CECILIA HENAO MARÍN</w:t>
      </w:r>
    </w:p>
    <w:p w:rsidR="00A22723" w:rsidRPr="0041772B" w:rsidRDefault="00A22723" w:rsidP="0041772B">
      <w:pPr>
        <w:spacing w:line="276" w:lineRule="auto"/>
        <w:jc w:val="center"/>
        <w:rPr>
          <w:rFonts w:ascii="Arial" w:hAnsi="Arial" w:cs="Arial"/>
          <w:sz w:val="22"/>
          <w:szCs w:val="22"/>
        </w:rPr>
      </w:pPr>
      <w:r w:rsidRPr="0041772B">
        <w:rPr>
          <w:rFonts w:ascii="Arial" w:hAnsi="Arial" w:cs="Arial"/>
          <w:sz w:val="22"/>
          <w:szCs w:val="22"/>
        </w:rPr>
        <w:t>Juez</w:t>
      </w:r>
    </w:p>
    <w:p w:rsidR="00A22723" w:rsidRPr="0041772B" w:rsidRDefault="00A22723" w:rsidP="0041772B">
      <w:pPr>
        <w:spacing w:line="276" w:lineRule="auto"/>
        <w:jc w:val="center"/>
        <w:rPr>
          <w:rFonts w:ascii="Arial" w:hAnsi="Arial" w:cs="Arial"/>
          <w:sz w:val="22"/>
          <w:szCs w:val="22"/>
        </w:rPr>
      </w:pPr>
    </w:p>
    <w:p w:rsidR="00A22723" w:rsidRPr="00166B4E" w:rsidRDefault="00A22723" w:rsidP="0041772B">
      <w:pPr>
        <w:spacing w:line="276" w:lineRule="auto"/>
        <w:jc w:val="both"/>
        <w:rPr>
          <w:rFonts w:ascii="Arial" w:hAnsi="Arial" w:cs="Arial"/>
          <w:sz w:val="12"/>
          <w:szCs w:val="22"/>
        </w:rPr>
      </w:pPr>
      <w:r w:rsidRPr="00166B4E">
        <w:rPr>
          <w:rFonts w:ascii="Arial" w:hAnsi="Arial" w:cs="Arial"/>
          <w:sz w:val="12"/>
          <w:szCs w:val="22"/>
        </w:rPr>
        <w:t>JBR</w:t>
      </w:r>
    </w:p>
    <w:p w:rsidR="00A22723" w:rsidRPr="0041772B" w:rsidRDefault="00A22723" w:rsidP="0041772B">
      <w:pPr>
        <w:spacing w:line="276" w:lineRule="auto"/>
        <w:jc w:val="center"/>
        <w:rPr>
          <w:rFonts w:ascii="Arial" w:hAnsi="Arial" w:cs="Arial"/>
          <w:sz w:val="22"/>
          <w:szCs w:val="22"/>
        </w:rPr>
      </w:pPr>
    </w:p>
    <w:p w:rsidR="00A22723" w:rsidRPr="0041772B" w:rsidRDefault="00A22723" w:rsidP="0041772B">
      <w:pPr>
        <w:spacing w:line="276" w:lineRule="auto"/>
        <w:rPr>
          <w:rFonts w:ascii="Arial" w:hAnsi="Arial" w:cs="Arial"/>
          <w:sz w:val="22"/>
          <w:szCs w:val="22"/>
        </w:rPr>
      </w:pPr>
    </w:p>
    <w:p w:rsidR="00A22723" w:rsidRPr="0041772B" w:rsidRDefault="00A22723" w:rsidP="0041772B">
      <w:pPr>
        <w:spacing w:line="276" w:lineRule="auto"/>
        <w:rPr>
          <w:rFonts w:ascii="Arial" w:hAnsi="Arial" w:cs="Arial"/>
          <w:sz w:val="22"/>
          <w:szCs w:val="22"/>
        </w:rPr>
      </w:pPr>
    </w:p>
    <w:p w:rsidR="00A22723" w:rsidRPr="0041772B" w:rsidRDefault="00A22723" w:rsidP="0041772B">
      <w:pPr>
        <w:spacing w:line="276" w:lineRule="auto"/>
        <w:rPr>
          <w:rFonts w:ascii="Arial" w:hAnsi="Arial" w:cs="Arial"/>
          <w:sz w:val="22"/>
          <w:szCs w:val="22"/>
        </w:rPr>
      </w:pPr>
    </w:p>
    <w:p w:rsidR="00A22723" w:rsidRPr="0041772B" w:rsidRDefault="00A22723" w:rsidP="0041772B">
      <w:pPr>
        <w:spacing w:line="276" w:lineRule="auto"/>
        <w:rPr>
          <w:rFonts w:ascii="Arial" w:hAnsi="Arial" w:cs="Arial"/>
          <w:sz w:val="22"/>
          <w:szCs w:val="22"/>
        </w:rPr>
      </w:pPr>
    </w:p>
    <w:p w:rsidR="00A22723" w:rsidRPr="0041772B" w:rsidRDefault="00A22723" w:rsidP="0041772B">
      <w:pPr>
        <w:spacing w:line="276" w:lineRule="auto"/>
        <w:rPr>
          <w:rFonts w:ascii="Arial" w:hAnsi="Arial" w:cs="Arial"/>
          <w:sz w:val="22"/>
          <w:szCs w:val="22"/>
        </w:rPr>
      </w:pPr>
    </w:p>
    <w:p w:rsidR="00977E91" w:rsidRPr="0041772B" w:rsidRDefault="00287B22" w:rsidP="0041772B">
      <w:pPr>
        <w:spacing w:line="276" w:lineRule="auto"/>
        <w:rPr>
          <w:rFonts w:ascii="Arial" w:hAnsi="Arial" w:cs="Arial"/>
          <w:sz w:val="22"/>
          <w:szCs w:val="22"/>
        </w:rPr>
      </w:pPr>
    </w:p>
    <w:sectPr w:rsidR="00977E91" w:rsidRPr="0041772B" w:rsidSect="00196F6C">
      <w:headerReference w:type="default" r:id="rId7"/>
      <w:headerReference w:type="first" r:id="rId8"/>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B22" w:rsidRDefault="00287B22" w:rsidP="00A22723">
      <w:r>
        <w:separator/>
      </w:r>
    </w:p>
  </w:endnote>
  <w:endnote w:type="continuationSeparator" w:id="0">
    <w:p w:rsidR="00287B22" w:rsidRDefault="00287B22" w:rsidP="00A2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B22" w:rsidRDefault="00287B22" w:rsidP="00A22723">
      <w:r>
        <w:separator/>
      </w:r>
    </w:p>
  </w:footnote>
  <w:footnote w:type="continuationSeparator" w:id="0">
    <w:p w:rsidR="00287B22" w:rsidRDefault="00287B22" w:rsidP="00A22723">
      <w:r>
        <w:continuationSeparator/>
      </w:r>
    </w:p>
  </w:footnote>
  <w:footnote w:id="1">
    <w:p w:rsidR="00A22723" w:rsidRPr="005D2CA0" w:rsidRDefault="00A22723" w:rsidP="00A22723">
      <w:pPr>
        <w:jc w:val="both"/>
        <w:rPr>
          <w:rFonts w:ascii="Tahoma" w:hAnsi="Tahoma" w:cs="Tahoma"/>
          <w:sz w:val="16"/>
          <w:szCs w:val="16"/>
        </w:rPr>
      </w:pPr>
      <w:r w:rsidRPr="005D2CA0">
        <w:rPr>
          <w:rStyle w:val="Refdenotaalpie"/>
          <w:rFonts w:ascii="Tahoma" w:hAnsi="Tahoma" w:cs="Tahoma"/>
          <w:sz w:val="16"/>
          <w:szCs w:val="16"/>
        </w:rPr>
        <w:footnoteRef/>
      </w:r>
      <w:r w:rsidRPr="005D2CA0">
        <w:rPr>
          <w:rFonts w:ascii="Tahoma" w:hAnsi="Tahoma" w:cs="Tahoma"/>
          <w:sz w:val="16"/>
          <w:szCs w:val="16"/>
        </w:rPr>
        <w:t xml:space="preserve"> Según Sentencia de la Corte Constitucional: </w:t>
      </w:r>
      <w:r w:rsidRPr="005D2CA0">
        <w:rPr>
          <w:rFonts w:ascii="Tahoma" w:hAnsi="Tahoma" w:cs="Tahoma"/>
          <w:b/>
          <w:i/>
          <w:sz w:val="16"/>
          <w:szCs w:val="16"/>
        </w:rPr>
        <w:t>“no basta pues, afirmar la irreparabilidad del perjuicio de un daño, sino, ofrecer las explicaciones y pruebas correspondientes, para que el juez de tutela adquiera certeza sobre su decisión”</w:t>
      </w:r>
      <w:r w:rsidRPr="005D2CA0">
        <w:rPr>
          <w:rFonts w:ascii="Tahoma" w:hAnsi="Tahoma" w:cs="Tahoma"/>
          <w:sz w:val="16"/>
          <w:szCs w:val="16"/>
        </w:rPr>
        <w:t xml:space="preserve"> (</w:t>
      </w:r>
      <w:r w:rsidRPr="005D2CA0">
        <w:rPr>
          <w:rFonts w:ascii="Tahoma" w:hAnsi="Tahoma" w:cs="Tahoma"/>
          <w:b/>
          <w:sz w:val="16"/>
          <w:szCs w:val="16"/>
        </w:rPr>
        <w:t xml:space="preserve">Sentencia T-449 de </w:t>
      </w:r>
      <w:smartTag w:uri="urn:schemas-microsoft-com:office:smarttags" w:element="metricconverter">
        <w:smartTagPr>
          <w:attr w:name="ProductID" w:val="1998, M"/>
        </w:smartTagPr>
        <w:r w:rsidRPr="005D2CA0">
          <w:rPr>
            <w:rFonts w:ascii="Tahoma" w:hAnsi="Tahoma" w:cs="Tahoma"/>
            <w:b/>
            <w:sz w:val="16"/>
            <w:szCs w:val="16"/>
          </w:rPr>
          <w:t>1998, M</w:t>
        </w:r>
      </w:smartTag>
      <w:r w:rsidRPr="005D2CA0">
        <w:rPr>
          <w:rFonts w:ascii="Tahoma" w:hAnsi="Tahoma" w:cs="Tahoma"/>
          <w:b/>
          <w:sz w:val="16"/>
          <w:szCs w:val="16"/>
        </w:rPr>
        <w:t>.P. Dr. Alfredo Beltrán Sierra</w:t>
      </w:r>
      <w:r w:rsidRPr="005D2CA0">
        <w:rPr>
          <w:rFonts w:ascii="Tahoma" w:hAnsi="Tahoma" w:cs="Tahoma"/>
          <w:sz w:val="16"/>
          <w:szCs w:val="16"/>
        </w:rPr>
        <w:t>).</w:t>
      </w:r>
    </w:p>
    <w:p w:rsidR="00A22723" w:rsidRPr="005D2CA0" w:rsidRDefault="00A22723" w:rsidP="00A22723">
      <w:pPr>
        <w:pStyle w:val="Textoindependiente2"/>
        <w:spacing w:after="0" w:line="240" w:lineRule="auto"/>
        <w:jc w:val="both"/>
        <w:rPr>
          <w:rFonts w:ascii="Tahoma" w:hAnsi="Tahoma" w:cs="Tahoma"/>
          <w:b/>
          <w:i/>
          <w:sz w:val="16"/>
          <w:szCs w:val="16"/>
        </w:rPr>
      </w:pPr>
      <w:r w:rsidRPr="005D2CA0">
        <w:rPr>
          <w:rFonts w:ascii="Tahoma" w:hAnsi="Tahoma" w:cs="Tahoma"/>
          <w:iCs/>
          <w:sz w:val="16"/>
          <w:szCs w:val="16"/>
          <w:lang w:val="es-ES_tradnl"/>
        </w:rPr>
        <w:t>La definición y características del perjuicio irremediable han sido señaladas por la Corte Constitucional así:</w:t>
      </w:r>
      <w:r w:rsidRPr="005D2CA0">
        <w:rPr>
          <w:rFonts w:ascii="Tahoma" w:hAnsi="Tahoma" w:cs="Tahoma"/>
          <w:i/>
          <w:sz w:val="16"/>
          <w:szCs w:val="16"/>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5D2CA0">
        <w:rPr>
          <w:rFonts w:ascii="Tahoma" w:hAnsi="Tahoma" w:cs="Tahoma"/>
          <w:b/>
          <w:i/>
          <w:sz w:val="16"/>
          <w:szCs w:val="16"/>
        </w:rPr>
        <w:t>Sentencia T-348/97, M.P. Dr. Eduardo Cifuentes M.)</w:t>
      </w:r>
    </w:p>
  </w:footnote>
  <w:footnote w:id="2">
    <w:p w:rsidR="00A22723" w:rsidRPr="005D2CA0" w:rsidRDefault="00A22723" w:rsidP="00A22723">
      <w:pPr>
        <w:pStyle w:val="Textonotapie"/>
        <w:rPr>
          <w:rFonts w:ascii="Tahoma" w:hAnsi="Tahoma" w:cs="Tahoma"/>
          <w:sz w:val="16"/>
          <w:szCs w:val="16"/>
        </w:rPr>
      </w:pPr>
      <w:r w:rsidRPr="005D2CA0">
        <w:rPr>
          <w:rStyle w:val="Refdenotaalpie"/>
          <w:rFonts w:ascii="Tahoma" w:hAnsi="Tahoma" w:cs="Tahoma"/>
          <w:sz w:val="16"/>
          <w:szCs w:val="16"/>
        </w:rPr>
        <w:footnoteRef/>
      </w:r>
      <w:r w:rsidRPr="005D2CA0">
        <w:rPr>
          <w:rFonts w:ascii="Tahoma" w:hAnsi="Tahoma" w:cs="Tahoma"/>
          <w:sz w:val="16"/>
          <w:szCs w:val="16"/>
        </w:rPr>
        <w:t xml:space="preserve"> Sentencia T- 473 – 2017 Magistrado Ponente: IVÁN HUMBERTO ESCRUCERÍA MAYOLO</w:t>
      </w:r>
    </w:p>
  </w:footnote>
  <w:footnote w:id="3">
    <w:p w:rsidR="00A22723" w:rsidRPr="005D2CA0" w:rsidRDefault="00A22723" w:rsidP="00A22723">
      <w:pPr>
        <w:jc w:val="both"/>
        <w:rPr>
          <w:rFonts w:ascii="Tahoma" w:hAnsi="Tahoma" w:cs="Tahoma"/>
          <w:i/>
          <w:sz w:val="16"/>
          <w:szCs w:val="16"/>
        </w:rPr>
      </w:pPr>
      <w:r w:rsidRPr="005D2CA0">
        <w:rPr>
          <w:rStyle w:val="Refdenotaalpie"/>
          <w:rFonts w:ascii="Tahoma" w:hAnsi="Tahoma" w:cs="Tahoma"/>
          <w:i/>
          <w:sz w:val="16"/>
          <w:szCs w:val="16"/>
        </w:rPr>
        <w:footnoteRef/>
      </w:r>
      <w:r w:rsidRPr="005D2CA0">
        <w:rPr>
          <w:rFonts w:ascii="Tahoma" w:hAnsi="Tahoma" w:cs="Tahoma"/>
          <w:i/>
          <w:sz w:val="16"/>
          <w:szCs w:val="16"/>
        </w:rPr>
        <w:t xml:space="preserve"> Santa Fe de Bogotá, D.C., veinticuatro de junio de mil novecientos noventa y ocho - CONSEJO DE ESTADO - SALA DE LO CONTENCIOSO ADMINISTRATIVO - </w:t>
      </w:r>
      <w:r w:rsidR="00166B4E" w:rsidRPr="005D2CA0">
        <w:rPr>
          <w:rFonts w:ascii="Tahoma" w:hAnsi="Tahoma" w:cs="Tahoma"/>
          <w:i/>
          <w:sz w:val="16"/>
          <w:szCs w:val="16"/>
        </w:rPr>
        <w:t>SECCIÓN</w:t>
      </w:r>
      <w:r w:rsidRPr="005D2CA0">
        <w:rPr>
          <w:rFonts w:ascii="Tahoma" w:hAnsi="Tahoma" w:cs="Tahoma"/>
          <w:i/>
          <w:sz w:val="16"/>
          <w:szCs w:val="16"/>
        </w:rPr>
        <w:t xml:space="preserve"> PRIMERA - Consejero ponente: LIBARDO RODRIGUEZ RODRÍGUEZ - Radicación número: AC-5988.</w:t>
      </w:r>
    </w:p>
    <w:p w:rsidR="00A22723" w:rsidRPr="005D2CA0" w:rsidRDefault="00A22723" w:rsidP="00A22723">
      <w:pPr>
        <w:pStyle w:val="Textonotapie"/>
        <w:jc w:val="both"/>
        <w:rPr>
          <w:rFonts w:ascii="Tahoma" w:hAnsi="Tahoma" w:cs="Tahoma"/>
          <w:i/>
          <w:sz w:val="16"/>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087" w:rsidRPr="00325084" w:rsidRDefault="0063111A" w:rsidP="00196F6C">
    <w:pPr>
      <w:pStyle w:val="Encabezado"/>
      <w:tabs>
        <w:tab w:val="left" w:pos="8789"/>
      </w:tabs>
      <w:ind w:right="51"/>
      <w:jc w:val="right"/>
      <w:rPr>
        <w:rFonts w:ascii="Tahoma" w:hAnsi="Tahoma" w:cs="Tahoma"/>
        <w:smallCaps/>
        <w:sz w:val="13"/>
        <w:szCs w:val="13"/>
        <w:lang w:val="es-MX"/>
      </w:rPr>
    </w:pPr>
    <w:r w:rsidRPr="00325084">
      <w:rPr>
        <w:rFonts w:ascii="Tahoma" w:hAnsi="Tahoma" w:cs="Tahoma"/>
        <w:smallCaps/>
        <w:sz w:val="13"/>
        <w:szCs w:val="13"/>
        <w:lang w:val="es-MX"/>
      </w:rPr>
      <w:t>Expediente No. 2019-0124</w:t>
    </w:r>
  </w:p>
  <w:p w:rsidR="00691087" w:rsidRPr="00325084" w:rsidRDefault="0063111A" w:rsidP="00196F6C">
    <w:pPr>
      <w:pStyle w:val="Encabezado"/>
      <w:tabs>
        <w:tab w:val="left" w:pos="8789"/>
      </w:tabs>
      <w:ind w:right="51"/>
      <w:jc w:val="right"/>
      <w:rPr>
        <w:rFonts w:ascii="Tahoma" w:hAnsi="Tahoma" w:cs="Tahoma"/>
        <w:smallCaps/>
        <w:sz w:val="13"/>
        <w:szCs w:val="13"/>
        <w:lang w:val="es-MX"/>
      </w:rPr>
    </w:pPr>
    <w:r w:rsidRPr="00325084">
      <w:rPr>
        <w:rFonts w:ascii="Tahoma" w:hAnsi="Tahoma" w:cs="Tahoma"/>
        <w:smallCaps/>
        <w:sz w:val="13"/>
        <w:szCs w:val="13"/>
        <w:lang w:val="es-MX"/>
      </w:rPr>
      <w:t>FALLO DE PRIMERA INSTANCIA</w:t>
    </w:r>
  </w:p>
  <w:p w:rsidR="00691087" w:rsidRPr="00325084" w:rsidRDefault="0063111A" w:rsidP="00196F6C">
    <w:pPr>
      <w:pStyle w:val="Encabezado"/>
      <w:tabs>
        <w:tab w:val="left" w:pos="8789"/>
      </w:tabs>
      <w:ind w:right="51"/>
      <w:jc w:val="right"/>
      <w:rPr>
        <w:rFonts w:ascii="Tahoma" w:hAnsi="Tahoma" w:cs="Tahoma"/>
        <w:smallCaps/>
        <w:sz w:val="13"/>
        <w:szCs w:val="13"/>
        <w:lang w:val="es-MX"/>
      </w:rPr>
    </w:pPr>
    <w:r w:rsidRPr="00325084">
      <w:rPr>
        <w:rFonts w:ascii="Tahoma" w:hAnsi="Tahoma" w:cs="Tahoma"/>
        <w:smallCaps/>
        <w:sz w:val="13"/>
        <w:szCs w:val="13"/>
        <w:lang w:val="es-MX"/>
      </w:rPr>
      <w:t>ACCIÓN DE TUTELA</w:t>
    </w:r>
  </w:p>
  <w:p w:rsidR="00691087" w:rsidRPr="00C61423" w:rsidRDefault="0063111A" w:rsidP="00196F6C">
    <w:pPr>
      <w:pStyle w:val="Encabezado"/>
      <w:tabs>
        <w:tab w:val="left" w:pos="8789"/>
      </w:tabs>
      <w:ind w:right="51"/>
      <w:jc w:val="right"/>
      <w:rPr>
        <w:rFonts w:ascii="Tahoma" w:hAnsi="Tahoma" w:cs="Tahoma"/>
        <w:smallCaps/>
        <w:sz w:val="13"/>
        <w:szCs w:val="13"/>
        <w:lang w:val="es-MX"/>
      </w:rPr>
    </w:pPr>
    <w:r w:rsidRPr="00325084">
      <w:rPr>
        <w:rFonts w:ascii="Tahoma" w:hAnsi="Tahoma" w:cs="Tahoma"/>
        <w:smallCaps/>
        <w:sz w:val="13"/>
        <w:szCs w:val="13"/>
        <w:lang w:val="es-MX"/>
      </w:rPr>
      <w:t xml:space="preserve">Página </w:t>
    </w:r>
    <w:r w:rsidRPr="00325084">
      <w:rPr>
        <w:rFonts w:ascii="Tahoma" w:hAnsi="Tahoma" w:cs="Tahoma"/>
        <w:smallCaps/>
        <w:sz w:val="13"/>
        <w:szCs w:val="13"/>
        <w:lang w:val="es-MX"/>
      </w:rPr>
      <w:fldChar w:fldCharType="begin"/>
    </w:r>
    <w:r w:rsidRPr="00325084">
      <w:rPr>
        <w:rFonts w:ascii="Tahoma" w:hAnsi="Tahoma" w:cs="Tahoma"/>
        <w:smallCaps/>
        <w:sz w:val="13"/>
        <w:szCs w:val="13"/>
        <w:lang w:val="es-MX"/>
      </w:rPr>
      <w:instrText xml:space="preserve"> PAGE </w:instrText>
    </w:r>
    <w:r w:rsidRPr="00325084">
      <w:rPr>
        <w:rFonts w:ascii="Tahoma" w:hAnsi="Tahoma" w:cs="Tahoma"/>
        <w:smallCaps/>
        <w:sz w:val="13"/>
        <w:szCs w:val="13"/>
        <w:lang w:val="es-MX"/>
      </w:rPr>
      <w:fldChar w:fldCharType="separate"/>
    </w:r>
    <w:r w:rsidR="00FF6275">
      <w:rPr>
        <w:rFonts w:ascii="Tahoma" w:hAnsi="Tahoma" w:cs="Tahoma"/>
        <w:smallCaps/>
        <w:noProof/>
        <w:sz w:val="13"/>
        <w:szCs w:val="13"/>
        <w:lang w:val="es-MX"/>
      </w:rPr>
      <w:t>4</w:t>
    </w:r>
    <w:r w:rsidRPr="00325084">
      <w:rPr>
        <w:rFonts w:ascii="Tahoma" w:hAnsi="Tahoma" w:cs="Tahoma"/>
        <w:smallCaps/>
        <w:sz w:val="13"/>
        <w:szCs w:val="13"/>
        <w:lang w:val="es-MX"/>
      </w:rPr>
      <w:fldChar w:fldCharType="end"/>
    </w:r>
    <w:r w:rsidRPr="00325084">
      <w:rPr>
        <w:rFonts w:ascii="Tahoma" w:hAnsi="Tahoma" w:cs="Tahoma"/>
        <w:smallCaps/>
        <w:sz w:val="13"/>
        <w:szCs w:val="13"/>
        <w:lang w:val="es-MX"/>
      </w:rPr>
      <w:t xml:space="preserve"> de </w:t>
    </w:r>
    <w:r w:rsidRPr="00325084">
      <w:rPr>
        <w:rFonts w:ascii="Tahoma" w:hAnsi="Tahoma" w:cs="Tahoma"/>
        <w:smallCaps/>
        <w:sz w:val="13"/>
        <w:szCs w:val="13"/>
        <w:lang w:val="es-MX"/>
      </w:rPr>
      <w:fldChar w:fldCharType="begin"/>
    </w:r>
    <w:r w:rsidRPr="00325084">
      <w:rPr>
        <w:rFonts w:ascii="Tahoma" w:hAnsi="Tahoma" w:cs="Tahoma"/>
        <w:smallCaps/>
        <w:sz w:val="13"/>
        <w:szCs w:val="13"/>
        <w:lang w:val="es-MX"/>
      </w:rPr>
      <w:instrText xml:space="preserve"> NUMPAGES </w:instrText>
    </w:r>
    <w:r w:rsidRPr="00325084">
      <w:rPr>
        <w:rFonts w:ascii="Tahoma" w:hAnsi="Tahoma" w:cs="Tahoma"/>
        <w:smallCaps/>
        <w:sz w:val="13"/>
        <w:szCs w:val="13"/>
        <w:lang w:val="es-MX"/>
      </w:rPr>
      <w:fldChar w:fldCharType="separate"/>
    </w:r>
    <w:r w:rsidR="00FF6275">
      <w:rPr>
        <w:rFonts w:ascii="Tahoma" w:hAnsi="Tahoma" w:cs="Tahoma"/>
        <w:smallCaps/>
        <w:noProof/>
        <w:sz w:val="13"/>
        <w:szCs w:val="13"/>
        <w:lang w:val="es-MX"/>
      </w:rPr>
      <w:t>6</w:t>
    </w:r>
    <w:r w:rsidRPr="00325084">
      <w:rPr>
        <w:rFonts w:ascii="Tahoma" w:hAnsi="Tahoma" w:cs="Tahoma"/>
        <w:smallCaps/>
        <w:sz w:val="13"/>
        <w:szCs w:val="13"/>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087" w:rsidRPr="00571774" w:rsidRDefault="0063111A" w:rsidP="00196F6C">
    <w:pPr>
      <w:tabs>
        <w:tab w:val="center" w:pos="4419"/>
        <w:tab w:val="right" w:pos="8838"/>
      </w:tabs>
      <w:jc w:val="center"/>
      <w:rPr>
        <w:rFonts w:ascii="Tahoma" w:eastAsiaTheme="minorHAnsi" w:hAnsi="Tahoma" w:cs="Tahoma"/>
        <w:sz w:val="16"/>
        <w:szCs w:val="16"/>
        <w:lang w:val="es-CO" w:eastAsia="en-US"/>
      </w:rPr>
    </w:pPr>
    <w:r w:rsidRPr="00571774">
      <w:rPr>
        <w:rFonts w:ascii="Tahoma" w:hAnsi="Tahoma" w:cs="Tahoma"/>
        <w:noProof/>
        <w:sz w:val="16"/>
        <w:szCs w:val="16"/>
        <w:lang w:val="es-CO" w:eastAsia="es-CO"/>
      </w:rPr>
      <w:drawing>
        <wp:inline distT="0" distB="0" distL="0" distR="0" wp14:anchorId="6842106E" wp14:editId="497D489B">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691087" w:rsidRPr="00571774" w:rsidRDefault="0063111A" w:rsidP="00196F6C">
    <w:pPr>
      <w:pStyle w:val="Encabezado"/>
      <w:jc w:val="center"/>
      <w:rPr>
        <w:rFonts w:ascii="Tahoma" w:hAnsi="Tahoma" w:cs="Tahoma"/>
        <w:b/>
        <w:sz w:val="16"/>
        <w:szCs w:val="16"/>
        <w:lang w:val="es-MX"/>
      </w:rPr>
    </w:pPr>
    <w:r w:rsidRPr="00571774">
      <w:rPr>
        <w:rFonts w:ascii="Tahoma" w:hAnsi="Tahoma" w:cs="Tahoma"/>
        <w:b/>
        <w:sz w:val="16"/>
        <w:szCs w:val="16"/>
        <w:lang w:val="es-MX"/>
      </w:rPr>
      <w:t>JUZGADO TREINTA Y CUATRO ADMINISTRATIVO</w:t>
    </w:r>
  </w:p>
  <w:p w:rsidR="00691087" w:rsidRPr="00571774" w:rsidRDefault="0063111A" w:rsidP="00196F6C">
    <w:pPr>
      <w:pStyle w:val="Encabezado"/>
      <w:jc w:val="center"/>
      <w:rPr>
        <w:rFonts w:ascii="Tahoma" w:hAnsi="Tahoma" w:cs="Tahoma"/>
        <w:b/>
        <w:sz w:val="16"/>
        <w:szCs w:val="16"/>
        <w:lang w:val="es-MX"/>
      </w:rPr>
    </w:pPr>
    <w:r w:rsidRPr="00571774">
      <w:rPr>
        <w:rFonts w:ascii="Tahoma" w:hAnsi="Tahoma" w:cs="Tahoma"/>
        <w:b/>
        <w:sz w:val="16"/>
        <w:szCs w:val="16"/>
        <w:lang w:val="es-MX"/>
      </w:rPr>
      <w:t>ORAL DEL CIRCUITO DE BOGOTÁ</w:t>
    </w:r>
  </w:p>
  <w:p w:rsidR="00691087" w:rsidRPr="00571774" w:rsidRDefault="0063111A" w:rsidP="00196F6C">
    <w:pPr>
      <w:pStyle w:val="Encabezado"/>
      <w:jc w:val="center"/>
      <w:rPr>
        <w:rFonts w:ascii="Tahoma" w:hAnsi="Tahoma" w:cs="Tahoma"/>
        <w:b/>
        <w:sz w:val="16"/>
        <w:szCs w:val="16"/>
        <w:lang w:val="es-MX"/>
      </w:rPr>
    </w:pPr>
    <w:r w:rsidRPr="00571774">
      <w:rPr>
        <w:rFonts w:ascii="Tahoma" w:hAnsi="Tahoma" w:cs="Tahoma"/>
        <w:b/>
        <w:sz w:val="16"/>
        <w:szCs w:val="16"/>
        <w:lang w:val="es-MX"/>
      </w:rPr>
      <w:t>Sección Tercera</w:t>
    </w:r>
  </w:p>
  <w:p w:rsidR="00691087" w:rsidRPr="00571774" w:rsidRDefault="00287B22">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48F21D14"/>
    <w:multiLevelType w:val="singleLevel"/>
    <w:tmpl w:val="7990EE06"/>
    <w:lvl w:ilvl="0">
      <w:start w:val="72"/>
      <w:numFmt w:val="decimal"/>
      <w:lvlText w:val="%1."/>
      <w:legacy w:legacy="1" w:legacySpace="0" w:legacyIndent="345"/>
      <w:lvlJc w:val="left"/>
      <w:rPr>
        <w:rFonts w:ascii="Arial" w:hAnsi="Arial" w:cs="Arial" w:hint="default"/>
      </w:rPr>
    </w:lvl>
  </w:abstractNum>
  <w:abstractNum w:abstractNumId="2">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3">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23"/>
    <w:rsid w:val="00041F99"/>
    <w:rsid w:val="00166B4E"/>
    <w:rsid w:val="00167985"/>
    <w:rsid w:val="001D1F0E"/>
    <w:rsid w:val="00287B22"/>
    <w:rsid w:val="00380A99"/>
    <w:rsid w:val="003C778E"/>
    <w:rsid w:val="0041772B"/>
    <w:rsid w:val="0056159C"/>
    <w:rsid w:val="005D2CA0"/>
    <w:rsid w:val="0063111A"/>
    <w:rsid w:val="0098707E"/>
    <w:rsid w:val="00A22723"/>
    <w:rsid w:val="00B355E6"/>
    <w:rsid w:val="00C360B1"/>
    <w:rsid w:val="00D25998"/>
    <w:rsid w:val="00FF62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BDCF832-409D-4D19-8BF3-E20A7A01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72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22723"/>
    <w:rPr>
      <w:sz w:val="20"/>
      <w:szCs w:val="20"/>
    </w:rPr>
  </w:style>
  <w:style w:type="character" w:customStyle="1" w:styleId="TextonotapieCar">
    <w:name w:val="Texto nota pie Car"/>
    <w:basedOn w:val="Fuentedeprrafopredeter"/>
    <w:link w:val="Textonotapie"/>
    <w:uiPriority w:val="99"/>
    <w:rsid w:val="00A22723"/>
    <w:rPr>
      <w:rFonts w:ascii="Times New Roman" w:eastAsia="Times New Roman" w:hAnsi="Times New Roman" w:cs="Times New Roman"/>
      <w:sz w:val="20"/>
      <w:szCs w:val="20"/>
      <w:lang w:eastAsia="es-ES"/>
    </w:rPr>
  </w:style>
  <w:style w:type="character" w:styleId="Refdenotaalpie">
    <w:name w:val="footnote reference"/>
    <w:basedOn w:val="Fuentedeprrafopredeter"/>
    <w:unhideWhenUsed/>
    <w:rsid w:val="00A22723"/>
    <w:rPr>
      <w:vertAlign w:val="superscript"/>
    </w:rPr>
  </w:style>
  <w:style w:type="paragraph" w:styleId="Sangradetextonormal">
    <w:name w:val="Body Text Indent"/>
    <w:basedOn w:val="Normal"/>
    <w:link w:val="SangradetextonormalCar"/>
    <w:rsid w:val="00A22723"/>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A22723"/>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A22723"/>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A22723"/>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A22723"/>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A22723"/>
    <w:rPr>
      <w:rFonts w:ascii="Arial" w:eastAsia="Times New Roman" w:hAnsi="Arial" w:cs="Times New Roman"/>
      <w:sz w:val="24"/>
      <w:szCs w:val="20"/>
      <w:lang w:val="x-none" w:eastAsia="es-ES"/>
    </w:rPr>
  </w:style>
  <w:style w:type="paragraph" w:styleId="Prrafodelista">
    <w:name w:val="List Paragraph"/>
    <w:basedOn w:val="Normal"/>
    <w:uiPriority w:val="34"/>
    <w:qFormat/>
    <w:rsid w:val="00A22723"/>
    <w:pPr>
      <w:ind w:left="720"/>
      <w:contextualSpacing/>
    </w:pPr>
    <w:rPr>
      <w:rFonts w:ascii="Arial" w:hAnsi="Arial"/>
      <w:szCs w:val="20"/>
      <w:lang w:val="es-CO"/>
    </w:rPr>
  </w:style>
  <w:style w:type="paragraph" w:styleId="Cita">
    <w:name w:val="Quote"/>
    <w:basedOn w:val="Normal"/>
    <w:next w:val="Normal"/>
    <w:link w:val="CitaCar"/>
    <w:uiPriority w:val="29"/>
    <w:qFormat/>
    <w:rsid w:val="00A22723"/>
    <w:rPr>
      <w:i/>
      <w:iCs/>
      <w:color w:val="000000" w:themeColor="text1"/>
    </w:rPr>
  </w:style>
  <w:style w:type="character" w:customStyle="1" w:styleId="CitaCar">
    <w:name w:val="Cita Car"/>
    <w:basedOn w:val="Fuentedeprrafopredeter"/>
    <w:link w:val="Cita"/>
    <w:uiPriority w:val="29"/>
    <w:rsid w:val="00A22723"/>
    <w:rPr>
      <w:rFonts w:ascii="Times New Roman" w:eastAsia="Times New Roman" w:hAnsi="Times New Roman" w:cs="Times New Roman"/>
      <w:i/>
      <w:iCs/>
      <w:color w:val="000000" w:themeColor="text1"/>
      <w:sz w:val="24"/>
      <w:szCs w:val="24"/>
      <w:lang w:eastAsia="es-ES"/>
    </w:rPr>
  </w:style>
  <w:style w:type="paragraph" w:styleId="Encabezado">
    <w:name w:val="header"/>
    <w:basedOn w:val="Normal"/>
    <w:link w:val="EncabezadoCar"/>
    <w:unhideWhenUsed/>
    <w:rsid w:val="00A22723"/>
    <w:pPr>
      <w:tabs>
        <w:tab w:val="center" w:pos="4419"/>
        <w:tab w:val="right" w:pos="8838"/>
      </w:tabs>
    </w:pPr>
  </w:style>
  <w:style w:type="character" w:customStyle="1" w:styleId="EncabezadoCar">
    <w:name w:val="Encabezado Car"/>
    <w:basedOn w:val="Fuentedeprrafopredeter"/>
    <w:link w:val="Encabezado"/>
    <w:rsid w:val="00A22723"/>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A22723"/>
    <w:pPr>
      <w:spacing w:after="120" w:line="480" w:lineRule="auto"/>
    </w:pPr>
  </w:style>
  <w:style w:type="character" w:customStyle="1" w:styleId="Textoindependiente2Car">
    <w:name w:val="Texto independiente 2 Car"/>
    <w:basedOn w:val="Fuentedeprrafopredeter"/>
    <w:link w:val="Textoindependiente2"/>
    <w:uiPriority w:val="99"/>
    <w:rsid w:val="00A22723"/>
    <w:rPr>
      <w:rFonts w:ascii="Times New Roman" w:eastAsia="Times New Roman" w:hAnsi="Times New Roman" w:cs="Times New Roman"/>
      <w:sz w:val="24"/>
      <w:szCs w:val="24"/>
      <w:lang w:eastAsia="es-ES"/>
    </w:rPr>
  </w:style>
  <w:style w:type="paragraph" w:styleId="Puesto">
    <w:name w:val="Title"/>
    <w:basedOn w:val="Normal"/>
    <w:link w:val="PuestoCar"/>
    <w:qFormat/>
    <w:rsid w:val="00A22723"/>
    <w:pPr>
      <w:overflowPunct w:val="0"/>
      <w:autoSpaceDE w:val="0"/>
      <w:autoSpaceDN w:val="0"/>
      <w:adjustRightInd w:val="0"/>
      <w:jc w:val="center"/>
      <w:textAlignment w:val="baseline"/>
    </w:pPr>
    <w:rPr>
      <w:rFonts w:ascii="Arial" w:hAnsi="Arial"/>
      <w:b/>
      <w:sz w:val="28"/>
      <w:szCs w:val="20"/>
      <w:lang w:val="es-CO"/>
    </w:rPr>
  </w:style>
  <w:style w:type="character" w:customStyle="1" w:styleId="PuestoCar">
    <w:name w:val="Puesto Car"/>
    <w:basedOn w:val="Fuentedeprrafopredeter"/>
    <w:link w:val="Puesto"/>
    <w:rsid w:val="00A22723"/>
    <w:rPr>
      <w:rFonts w:ascii="Arial" w:eastAsia="Times New Roman" w:hAnsi="Arial" w:cs="Times New Roman"/>
      <w:b/>
      <w:sz w:val="28"/>
      <w:szCs w:val="20"/>
      <w:lang w:val="es-CO" w:eastAsia="es-ES"/>
    </w:rPr>
  </w:style>
  <w:style w:type="paragraph" w:customStyle="1" w:styleId="Style14">
    <w:name w:val="Style14"/>
    <w:basedOn w:val="Normal"/>
    <w:uiPriority w:val="99"/>
    <w:rsid w:val="00A22723"/>
    <w:pPr>
      <w:widowControl w:val="0"/>
      <w:autoSpaceDE w:val="0"/>
      <w:autoSpaceDN w:val="0"/>
      <w:adjustRightInd w:val="0"/>
      <w:spacing w:line="281" w:lineRule="exact"/>
      <w:jc w:val="both"/>
    </w:pPr>
    <w:rPr>
      <w:rFonts w:ascii="Arial" w:eastAsiaTheme="minorEastAsia" w:hAnsi="Arial" w:cs="Arial"/>
      <w:lang w:val="es-CO" w:eastAsia="es-CO"/>
    </w:rPr>
  </w:style>
  <w:style w:type="character" w:customStyle="1" w:styleId="FontStyle31">
    <w:name w:val="Font Style31"/>
    <w:basedOn w:val="Fuentedeprrafopredeter"/>
    <w:uiPriority w:val="99"/>
    <w:rsid w:val="00A22723"/>
    <w:rPr>
      <w:rFonts w:ascii="Arial" w:hAnsi="Arial" w:cs="Arial"/>
      <w:sz w:val="18"/>
      <w:szCs w:val="18"/>
    </w:rPr>
  </w:style>
  <w:style w:type="paragraph" w:customStyle="1" w:styleId="Style12">
    <w:name w:val="Style12"/>
    <w:basedOn w:val="Normal"/>
    <w:uiPriority w:val="99"/>
    <w:rsid w:val="00A22723"/>
    <w:pPr>
      <w:widowControl w:val="0"/>
      <w:autoSpaceDE w:val="0"/>
      <w:autoSpaceDN w:val="0"/>
      <w:adjustRightInd w:val="0"/>
      <w:spacing w:line="281" w:lineRule="exact"/>
      <w:jc w:val="both"/>
    </w:pPr>
    <w:rPr>
      <w:rFonts w:ascii="Arial" w:eastAsiaTheme="minorEastAsia" w:hAnsi="Arial" w:cs="Arial"/>
      <w:lang w:val="es-CO" w:eastAsia="es-CO"/>
    </w:rPr>
  </w:style>
  <w:style w:type="character" w:customStyle="1" w:styleId="FontStyle32">
    <w:name w:val="Font Style32"/>
    <w:basedOn w:val="Fuentedeprrafopredeter"/>
    <w:uiPriority w:val="99"/>
    <w:rsid w:val="00A22723"/>
    <w:rPr>
      <w:rFonts w:ascii="Arial" w:hAnsi="Arial" w:cs="Arial"/>
      <w:i/>
      <w:iCs/>
      <w:sz w:val="18"/>
      <w:szCs w:val="18"/>
    </w:rPr>
  </w:style>
  <w:style w:type="paragraph" w:customStyle="1" w:styleId="Style13">
    <w:name w:val="Style13"/>
    <w:basedOn w:val="Normal"/>
    <w:uiPriority w:val="99"/>
    <w:rsid w:val="00A22723"/>
    <w:pPr>
      <w:widowControl w:val="0"/>
      <w:autoSpaceDE w:val="0"/>
      <w:autoSpaceDN w:val="0"/>
      <w:adjustRightInd w:val="0"/>
      <w:spacing w:line="278" w:lineRule="exact"/>
    </w:pPr>
    <w:rPr>
      <w:rFonts w:ascii="Arial" w:eastAsiaTheme="minorEastAsia" w:hAnsi="Arial" w:cs="Arial"/>
      <w:lang w:val="es-CO" w:eastAsia="es-CO"/>
    </w:rPr>
  </w:style>
  <w:style w:type="paragraph" w:customStyle="1" w:styleId="Style22">
    <w:name w:val="Style22"/>
    <w:basedOn w:val="Normal"/>
    <w:uiPriority w:val="99"/>
    <w:rsid w:val="00A22723"/>
    <w:pPr>
      <w:widowControl w:val="0"/>
      <w:autoSpaceDE w:val="0"/>
      <w:autoSpaceDN w:val="0"/>
      <w:adjustRightInd w:val="0"/>
      <w:spacing w:line="242" w:lineRule="exact"/>
      <w:jc w:val="both"/>
    </w:pPr>
    <w:rPr>
      <w:rFonts w:ascii="Arial" w:eastAsiaTheme="minorEastAsia" w:hAnsi="Arial" w:cs="Arial"/>
      <w:lang w:val="es-CO" w:eastAsia="es-CO"/>
    </w:rPr>
  </w:style>
  <w:style w:type="character" w:customStyle="1" w:styleId="FontStyle30">
    <w:name w:val="Font Style30"/>
    <w:basedOn w:val="Fuentedeprrafopredeter"/>
    <w:uiPriority w:val="99"/>
    <w:rsid w:val="00A22723"/>
    <w:rPr>
      <w:rFonts w:ascii="Arial" w:hAnsi="Arial" w:cs="Arial"/>
      <w:b/>
      <w:bCs/>
      <w:sz w:val="18"/>
      <w:szCs w:val="18"/>
    </w:rPr>
  </w:style>
  <w:style w:type="paragraph" w:styleId="Textodeglobo">
    <w:name w:val="Balloon Text"/>
    <w:basedOn w:val="Normal"/>
    <w:link w:val="TextodegloboCar"/>
    <w:uiPriority w:val="99"/>
    <w:semiHidden/>
    <w:unhideWhenUsed/>
    <w:rsid w:val="00A22723"/>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723"/>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A22723"/>
    <w:pPr>
      <w:tabs>
        <w:tab w:val="center" w:pos="4252"/>
        <w:tab w:val="right" w:pos="8504"/>
      </w:tabs>
    </w:pPr>
  </w:style>
  <w:style w:type="character" w:customStyle="1" w:styleId="PiedepginaCar">
    <w:name w:val="Pie de página Car"/>
    <w:basedOn w:val="Fuentedeprrafopredeter"/>
    <w:link w:val="Piedepgina"/>
    <w:uiPriority w:val="99"/>
    <w:rsid w:val="00A2272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2601</Words>
  <Characters>14308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vilma sabrina bowley garcia</cp:lastModifiedBy>
  <cp:revision>2</cp:revision>
  <dcterms:created xsi:type="dcterms:W3CDTF">2019-05-23T22:40:00Z</dcterms:created>
  <dcterms:modified xsi:type="dcterms:W3CDTF">2019-05-27T12:58:00Z</dcterms:modified>
</cp:coreProperties>
</file>