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B5550">
            <w:pPr>
              <w:spacing w:line="276" w:lineRule="auto"/>
              <w:jc w:val="both"/>
              <w:rPr>
                <w:rFonts w:ascii="Arial Narrow" w:hAnsi="Arial Narrow" w:cs="Arial"/>
                <w:b/>
                <w:sz w:val="20"/>
                <w:szCs w:val="22"/>
                <w:lang w:val="es-CO" w:eastAsia="en-US"/>
              </w:rPr>
            </w:pPr>
            <w:r w:rsidRPr="00CC659B">
              <w:rPr>
                <w:rFonts w:ascii="Arial Narrow" w:hAnsi="Arial Narrow" w:cs="Arial"/>
                <w:b/>
                <w:sz w:val="20"/>
                <w:szCs w:val="22"/>
                <w:lang w:val="es-CO" w:eastAsia="en-US"/>
              </w:rPr>
              <w:t xml:space="preserve">Bogotá, D.C., </w:t>
            </w:r>
            <w:r w:rsidR="00CB5550">
              <w:rPr>
                <w:rFonts w:ascii="Arial Narrow" w:hAnsi="Arial Narrow" w:cs="Arial"/>
                <w:b/>
                <w:sz w:val="20"/>
                <w:szCs w:val="22"/>
                <w:lang w:val="es-CO" w:eastAsia="en-US"/>
              </w:rPr>
              <w:t>veintiséis (26)</w:t>
            </w:r>
            <w:r w:rsidRPr="00CC659B">
              <w:rPr>
                <w:rFonts w:ascii="Arial Narrow" w:hAnsi="Arial Narrow" w:cs="Arial"/>
                <w:b/>
                <w:sz w:val="20"/>
                <w:szCs w:val="22"/>
                <w:lang w:val="es-CO" w:eastAsia="en-US"/>
              </w:rPr>
              <w:fldChar w:fldCharType="begin"/>
            </w:r>
            <w:r w:rsidRPr="00CC659B">
              <w:rPr>
                <w:rFonts w:ascii="Arial Narrow" w:hAnsi="Arial Narrow" w:cs="Arial"/>
                <w:b/>
                <w:sz w:val="20"/>
                <w:szCs w:val="22"/>
                <w:lang w:val="es-CO" w:eastAsia="en-US"/>
              </w:rPr>
              <w:instrText xml:space="preserve"> MERGEFIELD FECHA_PROYECTÓ_EL_AUTO_ADMISORIO </w:instrText>
            </w:r>
            <w:r w:rsidRPr="00CC659B">
              <w:rPr>
                <w:rFonts w:ascii="Arial Narrow" w:hAnsi="Arial Narrow" w:cs="Arial"/>
                <w:b/>
                <w:sz w:val="20"/>
                <w:szCs w:val="22"/>
                <w:lang w:val="es-CO" w:eastAsia="en-US"/>
              </w:rPr>
              <w:fldChar w:fldCharType="separate"/>
            </w:r>
            <w:r w:rsidRPr="00CC659B">
              <w:rPr>
                <w:rFonts w:ascii="Arial Narrow" w:hAnsi="Arial Narrow" w:cs="Arial"/>
                <w:b/>
                <w:sz w:val="20"/>
                <w:szCs w:val="22"/>
                <w:lang w:val="es-CO" w:eastAsia="en-US"/>
              </w:rPr>
              <w:t xml:space="preserve"> de septiembre de dos mil diecinueve (2019)</w:t>
            </w:r>
            <w:r w:rsidRPr="00CC659B">
              <w:rPr>
                <w:rFonts w:ascii="Arial Narrow" w:hAnsi="Arial Narrow" w:cs="Arial"/>
                <w:b/>
                <w:sz w:val="20"/>
                <w:szCs w:val="22"/>
                <w:lang w:val="es-CO" w:eastAsia="en-US"/>
              </w:rPr>
              <w:fldChar w:fldCharType="end"/>
            </w:r>
          </w:p>
        </w:tc>
      </w:tr>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1710C">
            <w:pPr>
              <w:spacing w:line="276" w:lineRule="auto"/>
              <w:jc w:val="both"/>
              <w:rPr>
                <w:rFonts w:ascii="Arial Narrow" w:hAnsi="Arial Narrow" w:cs="Arial"/>
                <w:b/>
                <w:sz w:val="20"/>
                <w:szCs w:val="22"/>
                <w:lang w:val="es-CO" w:eastAsia="en-US"/>
              </w:rPr>
            </w:pPr>
            <w:r w:rsidRPr="00CC659B">
              <w:rPr>
                <w:rFonts w:ascii="Arial Narrow" w:hAnsi="Arial Narrow" w:cs="Arial"/>
                <w:b/>
                <w:sz w:val="20"/>
                <w:szCs w:val="22"/>
                <w:lang w:val="es-CO" w:eastAsia="en-US"/>
              </w:rPr>
              <w:t>Expediente No. 110013336034</w:t>
            </w:r>
            <w:r w:rsidRPr="00CC659B">
              <w:rPr>
                <w:rFonts w:ascii="Arial Narrow" w:hAnsi="Arial Narrow" w:cs="Arial"/>
                <w:b/>
                <w:sz w:val="20"/>
                <w:szCs w:val="22"/>
                <w:lang w:val="es-CO" w:eastAsia="en-US"/>
              </w:rPr>
              <w:fldChar w:fldCharType="begin"/>
            </w:r>
            <w:r w:rsidRPr="00CC659B">
              <w:rPr>
                <w:rFonts w:ascii="Arial Narrow" w:hAnsi="Arial Narrow" w:cs="Arial"/>
                <w:b/>
                <w:sz w:val="20"/>
                <w:szCs w:val="22"/>
                <w:lang w:val="es-CO" w:eastAsia="en-US"/>
              </w:rPr>
              <w:instrText xml:space="preserve"> MERGEFIELD Año </w:instrText>
            </w:r>
            <w:r w:rsidRPr="00CC659B">
              <w:rPr>
                <w:rFonts w:ascii="Arial Narrow" w:hAnsi="Arial Narrow" w:cs="Arial"/>
                <w:b/>
                <w:sz w:val="20"/>
                <w:szCs w:val="22"/>
                <w:lang w:val="es-CO" w:eastAsia="en-US"/>
              </w:rPr>
              <w:fldChar w:fldCharType="separate"/>
            </w:r>
            <w:r w:rsidRPr="00CC659B">
              <w:rPr>
                <w:rFonts w:ascii="Arial Narrow" w:hAnsi="Arial Narrow" w:cs="Arial"/>
                <w:b/>
                <w:sz w:val="20"/>
                <w:szCs w:val="22"/>
                <w:lang w:val="es-CO" w:eastAsia="en-US"/>
              </w:rPr>
              <w:t>2019</w:t>
            </w:r>
            <w:r w:rsidRPr="00CC659B">
              <w:rPr>
                <w:rFonts w:ascii="Arial Narrow" w:hAnsi="Arial Narrow" w:cs="Arial"/>
                <w:b/>
                <w:sz w:val="20"/>
                <w:szCs w:val="22"/>
                <w:lang w:val="es-CO" w:eastAsia="en-US"/>
              </w:rPr>
              <w:fldChar w:fldCharType="end"/>
            </w:r>
            <w:r w:rsidRPr="00CC659B">
              <w:rPr>
                <w:rFonts w:ascii="Arial Narrow" w:hAnsi="Arial Narrow" w:cs="Arial"/>
                <w:b/>
                <w:sz w:val="20"/>
                <w:szCs w:val="22"/>
                <w:lang w:val="es-CO" w:eastAsia="en-US"/>
              </w:rPr>
              <w:t>0027000</w:t>
            </w:r>
          </w:p>
        </w:tc>
      </w:tr>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1710C">
            <w:pPr>
              <w:spacing w:line="276" w:lineRule="auto"/>
              <w:jc w:val="both"/>
              <w:rPr>
                <w:rFonts w:ascii="Arial Narrow" w:hAnsi="Arial Narrow" w:cs="Arial"/>
                <w:b/>
                <w:sz w:val="20"/>
                <w:szCs w:val="22"/>
                <w:lang w:val="es-CO" w:eastAsia="en-US"/>
              </w:rPr>
            </w:pPr>
            <w:r w:rsidRPr="00CC659B">
              <w:rPr>
                <w:rFonts w:ascii="Arial Narrow" w:hAnsi="Arial Narrow" w:cs="Arial"/>
                <w:b/>
                <w:sz w:val="20"/>
                <w:szCs w:val="22"/>
                <w:lang w:val="es-CO" w:eastAsia="en-US"/>
              </w:rPr>
              <w:t>CLAUDIO ERNESTO CANO IBÁÑEZ</w:t>
            </w:r>
          </w:p>
        </w:tc>
      </w:tr>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1710C">
            <w:pPr>
              <w:spacing w:line="276" w:lineRule="auto"/>
              <w:jc w:val="both"/>
              <w:rPr>
                <w:rFonts w:ascii="Arial Narrow" w:hAnsi="Arial Narrow" w:cs="Arial"/>
                <w:b/>
                <w:sz w:val="20"/>
                <w:szCs w:val="22"/>
                <w:lang w:val="es-CO" w:eastAsia="en-US"/>
              </w:rPr>
            </w:pPr>
            <w:r w:rsidRPr="00CC659B">
              <w:rPr>
                <w:rFonts w:ascii="Arial Narrow" w:hAnsi="Arial Narrow" w:cs="Arial"/>
                <w:b/>
                <w:sz w:val="20"/>
                <w:szCs w:val="22"/>
                <w:lang w:val="es-CO" w:eastAsia="en-US"/>
              </w:rPr>
              <w:t>ADMINISTRADORA COLOMBIANA DE PENSIONES (COLPENSIONES) - FIDUAGRARIA</w:t>
            </w:r>
          </w:p>
        </w:tc>
      </w:tr>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1710C">
            <w:pPr>
              <w:spacing w:line="276" w:lineRule="auto"/>
              <w:jc w:val="both"/>
              <w:rPr>
                <w:rFonts w:ascii="Arial Narrow" w:hAnsi="Arial Narrow" w:cs="Arial"/>
                <w:b/>
                <w:sz w:val="20"/>
                <w:szCs w:val="22"/>
                <w:lang w:val="es-CO" w:eastAsia="en-US"/>
              </w:rPr>
            </w:pPr>
            <w:r w:rsidRPr="00CC659B">
              <w:rPr>
                <w:rFonts w:ascii="Arial Narrow" w:hAnsi="Arial Narrow" w:cs="Arial"/>
                <w:b/>
                <w:sz w:val="20"/>
                <w:szCs w:val="22"/>
                <w:lang w:val="es-CO" w:eastAsia="en-US"/>
              </w:rPr>
              <w:t>TUTELA</w:t>
            </w:r>
          </w:p>
        </w:tc>
      </w:tr>
      <w:tr w:rsidR="00836DC1" w:rsidRPr="00CC659B" w:rsidTr="00C1710C">
        <w:tc>
          <w:tcPr>
            <w:tcW w:w="2127" w:type="dxa"/>
            <w:tcBorders>
              <w:top w:val="single" w:sz="4" w:space="0" w:color="auto"/>
              <w:left w:val="single" w:sz="4" w:space="0" w:color="auto"/>
              <w:bottom w:val="single" w:sz="4" w:space="0" w:color="auto"/>
              <w:right w:val="single" w:sz="4" w:space="0" w:color="auto"/>
            </w:tcBorders>
            <w:vAlign w:val="center"/>
            <w:hideMark/>
          </w:tcPr>
          <w:p w:rsidR="00836DC1" w:rsidRPr="00CC659B" w:rsidRDefault="00836DC1" w:rsidP="00C1710C">
            <w:pPr>
              <w:spacing w:line="276" w:lineRule="auto"/>
              <w:jc w:val="both"/>
              <w:rPr>
                <w:rFonts w:ascii="Arial Narrow" w:hAnsi="Arial Narrow" w:cs="Arial"/>
                <w:sz w:val="20"/>
                <w:szCs w:val="22"/>
                <w:lang w:val="es-CO" w:eastAsia="en-US"/>
              </w:rPr>
            </w:pPr>
            <w:r w:rsidRPr="00CC659B">
              <w:rPr>
                <w:rFonts w:ascii="Arial Narrow" w:hAnsi="Arial Narrow" w:cs="Arial"/>
                <w:sz w:val="20"/>
                <w:szCs w:val="22"/>
                <w:lang w:val="es-CO"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rsidR="00836DC1" w:rsidRPr="00CC659B" w:rsidRDefault="00836DC1" w:rsidP="00C1710C">
            <w:pPr>
              <w:spacing w:line="276" w:lineRule="auto"/>
              <w:jc w:val="both"/>
              <w:rPr>
                <w:rFonts w:ascii="Arial Narrow" w:hAnsi="Arial Narrow" w:cs="Arial"/>
                <w:b/>
                <w:sz w:val="20"/>
                <w:szCs w:val="22"/>
                <w:lang w:val="es-CO" w:eastAsia="en-US"/>
              </w:rPr>
            </w:pPr>
            <w:r>
              <w:rPr>
                <w:rFonts w:ascii="Arial Narrow" w:hAnsi="Arial Narrow" w:cs="Arial"/>
                <w:b/>
                <w:sz w:val="20"/>
                <w:szCs w:val="22"/>
                <w:lang w:val="es-CO" w:eastAsia="en-US"/>
              </w:rPr>
              <w:t xml:space="preserve">FALLO DE PRIMERA INSTANCIA </w:t>
            </w:r>
          </w:p>
        </w:tc>
      </w:tr>
    </w:tbl>
    <w:p w:rsidR="00836DC1" w:rsidRPr="00CC659B" w:rsidRDefault="00836DC1" w:rsidP="00836DC1">
      <w:pPr>
        <w:spacing w:line="276" w:lineRule="auto"/>
        <w:jc w:val="both"/>
        <w:rPr>
          <w:rFonts w:ascii="Arial" w:eastAsia="Calibri" w:hAnsi="Arial" w:cs="Arial"/>
          <w:b/>
          <w:sz w:val="22"/>
          <w:szCs w:val="22"/>
          <w:lang w:val="es-CO"/>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sz w:val="22"/>
          <w:szCs w:val="22"/>
          <w:lang w:val="es-CO"/>
        </w:rPr>
        <w:t xml:space="preserve">Claudio Ernesto Cano Ibáñez actuando mediante apoderado interpuso acción de tutela en contra de la </w:t>
      </w:r>
      <w:r w:rsidRPr="00CC659B">
        <w:rPr>
          <w:rFonts w:ascii="Arial" w:hAnsi="Arial" w:cs="Arial"/>
          <w:b/>
          <w:sz w:val="22"/>
          <w:szCs w:val="22"/>
          <w:lang w:val="es-CO"/>
        </w:rPr>
        <w:t xml:space="preserve">ADMINISTRADORA COLOMBIANA DE PENSIONES (COLPENSIONES) Y FIDUAGRARIA </w:t>
      </w:r>
      <w:r w:rsidRPr="00CC659B">
        <w:rPr>
          <w:rFonts w:ascii="Arial" w:hAnsi="Arial" w:cs="Arial"/>
          <w:sz w:val="22"/>
          <w:szCs w:val="22"/>
          <w:lang w:val="es-CO"/>
        </w:rPr>
        <w:t>con el fin de proteger su derecho fundamental a la dignidad humana, mínimo vital, seguridad social, pago oportuno de las pensiones legales, igualdad, vida, salud y protección de la tercera edad.</w:t>
      </w:r>
    </w:p>
    <w:p w:rsidR="00836DC1" w:rsidRPr="00CC659B" w:rsidRDefault="00836DC1" w:rsidP="00836DC1">
      <w:pPr>
        <w:tabs>
          <w:tab w:val="left" w:pos="5472"/>
        </w:tabs>
        <w:spacing w:line="276" w:lineRule="auto"/>
        <w:jc w:val="both"/>
        <w:rPr>
          <w:rFonts w:ascii="Arial" w:hAnsi="Arial" w:cs="Arial"/>
          <w:sz w:val="22"/>
          <w:szCs w:val="22"/>
          <w:lang w:val="es-CO"/>
        </w:rPr>
      </w:pPr>
    </w:p>
    <w:p w:rsidR="00836DC1" w:rsidRPr="00CC659B" w:rsidRDefault="00836DC1" w:rsidP="00836DC1">
      <w:pPr>
        <w:pStyle w:val="Textoindependiente"/>
        <w:numPr>
          <w:ilvl w:val="0"/>
          <w:numId w:val="1"/>
        </w:numPr>
        <w:tabs>
          <w:tab w:val="left" w:pos="0"/>
        </w:tabs>
        <w:spacing w:after="0" w:line="276" w:lineRule="auto"/>
        <w:jc w:val="both"/>
        <w:rPr>
          <w:rFonts w:cs="Arial"/>
          <w:b/>
          <w:sz w:val="22"/>
          <w:szCs w:val="22"/>
          <w:lang w:val="es-CO"/>
        </w:rPr>
      </w:pPr>
      <w:r w:rsidRPr="00CC659B">
        <w:rPr>
          <w:rFonts w:cs="Arial"/>
          <w:b/>
          <w:sz w:val="22"/>
          <w:szCs w:val="22"/>
          <w:lang w:val="es-CO"/>
        </w:rPr>
        <w:t>LA DEMANDA:</w:t>
      </w:r>
    </w:p>
    <w:p w:rsidR="00836DC1" w:rsidRPr="00CC659B" w:rsidRDefault="00836DC1" w:rsidP="00836DC1">
      <w:pPr>
        <w:pStyle w:val="Textoindependiente"/>
        <w:spacing w:after="0" w:line="276" w:lineRule="auto"/>
        <w:jc w:val="both"/>
        <w:rPr>
          <w:rFonts w:cs="Arial"/>
          <w:b/>
          <w:sz w:val="22"/>
          <w:szCs w:val="22"/>
          <w:lang w:val="es-CO"/>
        </w:rPr>
      </w:pPr>
    </w:p>
    <w:p w:rsidR="00836DC1" w:rsidRPr="00CC659B" w:rsidRDefault="00836DC1" w:rsidP="00836DC1">
      <w:pPr>
        <w:pStyle w:val="Textoindependiente"/>
        <w:spacing w:after="0" w:line="276" w:lineRule="auto"/>
        <w:jc w:val="both"/>
        <w:rPr>
          <w:rFonts w:cs="Arial"/>
          <w:b/>
          <w:sz w:val="22"/>
          <w:szCs w:val="22"/>
          <w:lang w:val="es-CO"/>
        </w:rPr>
      </w:pPr>
      <w:r w:rsidRPr="00CC659B">
        <w:rPr>
          <w:rFonts w:cs="Arial"/>
          <w:b/>
          <w:sz w:val="22"/>
          <w:szCs w:val="22"/>
          <w:lang w:val="es-CO"/>
        </w:rPr>
        <w:t>La accionante solicita que se ordene al representante legal de las entidades demandadas que proceda dentro de las 48 horas siguientes a la notificación de esta providencia al pago del subsidio de pensión y al reconocimiento la misma, dado que cumple con el requisito de la edad y semanas.</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 xml:space="preserve">Como </w:t>
      </w:r>
      <w:r w:rsidRPr="00CC659B">
        <w:rPr>
          <w:rFonts w:cs="Arial"/>
          <w:b/>
          <w:sz w:val="22"/>
          <w:szCs w:val="22"/>
          <w:lang w:val="es-CO"/>
        </w:rPr>
        <w:t>hechos</w:t>
      </w:r>
      <w:r w:rsidRPr="00CC659B">
        <w:rPr>
          <w:rFonts w:cs="Arial"/>
          <w:sz w:val="22"/>
          <w:szCs w:val="22"/>
          <w:lang w:val="es-CO"/>
        </w:rPr>
        <w:t xml:space="preserve"> sustento de las pretensiones anotadas se aducen los siguientes: </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 xml:space="preserve">El señor Claudio Ernesto Cano Ibañez tiene a la fecha 62 años, realizó aportes para el riesgo de pensión a Colpensiones siendo empleado de entidades de carácter público y privado acreditando un total de 1.337.85 semanas. </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En 1 de mayo de 2016 se vinculó al programa “Colombia Mayor” l régimen subsidiado de pensiones, desde el 2016 el accionante ha solicitado el reconocimiento de su pensión a Colpensiones, ya que cumple con los requisitos</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Con resoluciones SUB 294738 de 22 de diciembre de 2017 y confirmada por la resolución Nº DIR 8475 de 3 de mayo de 2018 la entidad se niega al reconocimiento indicando que para febrero de 2018 el solicitante únicamente acreditaba 1259 semanas.</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 xml:space="preserve">El 25 de enero del presente año nuevamente se solicitó ante Colpensiones el reconocimiento de la pensión de vejez y el pago de interese  a la tasa más alta. Frente a esta solicitud la entidad contestó mediante resolución Nº SUB 149455 negado la solicitud por cuanto se registra una deuda por no pago de los ciclos 2019 02 y 2019 05 por part de la Fidugraria. </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 xml:space="preserve">Frente a esa decisión se interpuso recurso de apelación, el cual fue resuelto mediante acto administrativo Nº DEP 9036 de 3 de septiembre de 2019 confirmado la resolución, argumentado, entre otras cosas, que en el mes de octubre de 2019 se  incluirán los ciclos de pago marcado como no pagos. </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 xml:space="preserve">Manifiesta que el señor Claudio Ernesto Cano Ibañez ha pagado cumplidamente lo aportes, en la actualidad cuenta con condiciones de vida precaria y es una persona de la tercera edad. </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numPr>
          <w:ilvl w:val="0"/>
          <w:numId w:val="1"/>
        </w:numPr>
        <w:spacing w:after="0" w:line="276" w:lineRule="auto"/>
        <w:jc w:val="both"/>
        <w:rPr>
          <w:rFonts w:cs="Arial"/>
          <w:b/>
          <w:i/>
          <w:sz w:val="22"/>
          <w:szCs w:val="22"/>
          <w:lang w:val="es-CO"/>
        </w:rPr>
      </w:pPr>
      <w:r w:rsidRPr="00CC659B">
        <w:rPr>
          <w:rFonts w:cs="Arial"/>
          <w:b/>
          <w:sz w:val="22"/>
          <w:szCs w:val="22"/>
          <w:lang w:val="es-CO"/>
        </w:rPr>
        <w:lastRenderedPageBreak/>
        <w:t>ACTUACIÓN PROCESAL</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numPr>
          <w:ilvl w:val="1"/>
          <w:numId w:val="3"/>
        </w:numPr>
        <w:tabs>
          <w:tab w:val="left" w:pos="426"/>
        </w:tabs>
        <w:spacing w:after="0" w:line="276" w:lineRule="auto"/>
        <w:ind w:left="0" w:firstLine="0"/>
        <w:jc w:val="both"/>
        <w:rPr>
          <w:rFonts w:cs="Arial"/>
          <w:b/>
          <w:sz w:val="22"/>
          <w:szCs w:val="22"/>
          <w:lang w:val="es-CO"/>
        </w:rPr>
      </w:pPr>
      <w:r w:rsidRPr="00CC659B">
        <w:rPr>
          <w:rFonts w:cs="Arial"/>
          <w:sz w:val="22"/>
          <w:szCs w:val="22"/>
          <w:lang w:val="es-CO"/>
        </w:rPr>
        <w:t>La presente demanda fue radicada el 13 de septiembre de 2019.</w:t>
      </w:r>
    </w:p>
    <w:p w:rsidR="00836DC1" w:rsidRPr="00CC659B" w:rsidRDefault="00836DC1" w:rsidP="00836DC1">
      <w:pPr>
        <w:pStyle w:val="Textoindependiente"/>
        <w:spacing w:after="0" w:line="276" w:lineRule="auto"/>
        <w:ind w:left="360"/>
        <w:jc w:val="both"/>
        <w:rPr>
          <w:rFonts w:cs="Arial"/>
          <w:b/>
          <w:sz w:val="22"/>
          <w:szCs w:val="22"/>
          <w:lang w:val="es-CO"/>
        </w:rPr>
      </w:pPr>
    </w:p>
    <w:p w:rsidR="00836DC1" w:rsidRPr="00CC659B" w:rsidRDefault="00836DC1" w:rsidP="00836DC1">
      <w:pPr>
        <w:pStyle w:val="Textoindependiente"/>
        <w:numPr>
          <w:ilvl w:val="1"/>
          <w:numId w:val="3"/>
        </w:numPr>
        <w:tabs>
          <w:tab w:val="left" w:pos="426"/>
        </w:tabs>
        <w:spacing w:after="0" w:line="276" w:lineRule="auto"/>
        <w:ind w:left="0" w:firstLine="0"/>
        <w:jc w:val="both"/>
        <w:rPr>
          <w:rFonts w:cs="Arial"/>
          <w:b/>
          <w:sz w:val="22"/>
          <w:szCs w:val="22"/>
          <w:lang w:val="es-CO"/>
        </w:rPr>
      </w:pPr>
      <w:r w:rsidRPr="00CC659B">
        <w:rPr>
          <w:rFonts w:cs="Arial"/>
          <w:b/>
          <w:sz w:val="22"/>
          <w:szCs w:val="22"/>
          <w:lang w:val="es-CO"/>
        </w:rPr>
        <w:t xml:space="preserve"> </w:t>
      </w:r>
      <w:r w:rsidRPr="00CC659B">
        <w:rPr>
          <w:rFonts w:cs="Arial"/>
          <w:sz w:val="22"/>
          <w:szCs w:val="22"/>
          <w:lang w:val="es-CO"/>
        </w:rPr>
        <w:t>Con auto del 17 de septiembre de 2019 se admitió la demanda y se ordenó notificar al demandado.</w:t>
      </w:r>
    </w:p>
    <w:p w:rsidR="00836DC1" w:rsidRPr="00CC659B" w:rsidRDefault="00836DC1" w:rsidP="00836DC1">
      <w:pPr>
        <w:pStyle w:val="Prrafodelista"/>
        <w:spacing w:line="276" w:lineRule="auto"/>
        <w:rPr>
          <w:rFonts w:cs="Arial"/>
          <w:sz w:val="22"/>
          <w:szCs w:val="22"/>
        </w:rPr>
      </w:pPr>
    </w:p>
    <w:p w:rsidR="00836DC1" w:rsidRPr="00CC659B" w:rsidRDefault="00836DC1" w:rsidP="00836DC1">
      <w:pPr>
        <w:pStyle w:val="Textoindependiente"/>
        <w:numPr>
          <w:ilvl w:val="0"/>
          <w:numId w:val="1"/>
        </w:numPr>
        <w:spacing w:after="0" w:line="276" w:lineRule="auto"/>
        <w:jc w:val="both"/>
        <w:rPr>
          <w:rFonts w:cs="Arial"/>
          <w:b/>
          <w:sz w:val="22"/>
          <w:szCs w:val="22"/>
          <w:lang w:val="es-CO"/>
        </w:rPr>
      </w:pPr>
      <w:r w:rsidRPr="00CC659B">
        <w:rPr>
          <w:rFonts w:cs="Arial"/>
          <w:b/>
          <w:sz w:val="22"/>
          <w:szCs w:val="22"/>
          <w:lang w:val="es-CO"/>
        </w:rPr>
        <w:t xml:space="preserve">LA IMPUGNACIÓN </w:t>
      </w:r>
      <w:r w:rsidRPr="00CC659B">
        <w:rPr>
          <w:rFonts w:cs="Arial"/>
          <w:b/>
          <w:bCs/>
          <w:i/>
          <w:sz w:val="22"/>
          <w:szCs w:val="22"/>
          <w:lang w:val="es-CO"/>
        </w:rPr>
        <w:t xml:space="preserve"> </w:t>
      </w:r>
    </w:p>
    <w:p w:rsidR="00836DC1" w:rsidRPr="00CC659B" w:rsidRDefault="00836DC1" w:rsidP="00836DC1">
      <w:pPr>
        <w:pStyle w:val="Textoindependiente"/>
        <w:spacing w:after="0" w:line="276" w:lineRule="auto"/>
        <w:jc w:val="both"/>
        <w:rPr>
          <w:rFonts w:cs="Arial"/>
          <w:b/>
          <w:bCs/>
          <w:i/>
          <w:sz w:val="22"/>
          <w:szCs w:val="22"/>
          <w:highlight w:val="yellow"/>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
          <w:bCs/>
          <w:sz w:val="22"/>
          <w:szCs w:val="22"/>
          <w:lang w:val="es-CO"/>
        </w:rPr>
        <w:t>3.1</w:t>
      </w:r>
      <w:r w:rsidRPr="00CC659B">
        <w:rPr>
          <w:rFonts w:cs="Arial"/>
          <w:bCs/>
          <w:sz w:val="22"/>
          <w:szCs w:val="22"/>
          <w:lang w:val="es-CO"/>
        </w:rPr>
        <w:t xml:space="preserve">. Notificado el demandado </w:t>
      </w:r>
      <w:r w:rsidRPr="00CC659B">
        <w:rPr>
          <w:rFonts w:cs="Arial"/>
          <w:b/>
          <w:bCs/>
          <w:sz w:val="22"/>
          <w:szCs w:val="22"/>
          <w:lang w:val="es-CO"/>
        </w:rPr>
        <w:t>ADMINISTRADORA COLOMBIANA DE PENSIONES (COLPENSIONES)</w:t>
      </w:r>
      <w:r w:rsidRPr="00CC659B">
        <w:rPr>
          <w:rFonts w:cs="Arial"/>
          <w:bCs/>
          <w:sz w:val="22"/>
          <w:szCs w:val="22"/>
          <w:lang w:val="es-CO"/>
        </w:rPr>
        <w:t xml:space="preserve"> el 19 de septiembre de 2019, contestó en síntesis lo siguiente: </w:t>
      </w:r>
    </w:p>
    <w:p w:rsidR="00836DC1" w:rsidRPr="00CC659B" w:rsidRDefault="00836DC1" w:rsidP="00836DC1">
      <w:pPr>
        <w:pStyle w:val="Textoindependiente"/>
        <w:spacing w:after="0" w:line="276" w:lineRule="auto"/>
        <w:jc w:val="both"/>
        <w:rPr>
          <w:rFonts w:cs="Arial"/>
          <w:bCs/>
          <w:sz w:val="22"/>
          <w:szCs w:val="22"/>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Cs/>
          <w:sz w:val="22"/>
          <w:szCs w:val="22"/>
          <w:lang w:val="es-CO"/>
        </w:rPr>
        <w:t xml:space="preserve">La acción de tutela no es el mecanismo idóneo para discutir la presente controversia, pues existen otros mecanismo judiciales una vez se agotan todos los procedimiento administrativos, como ya sucedió en el presente caso, donde la entidad mediante varias resoluciones ha fundamentado la razones para negar le reconocimiento  de la pensión de vejez. </w:t>
      </w:r>
    </w:p>
    <w:p w:rsidR="00836DC1" w:rsidRPr="00CC659B" w:rsidRDefault="00836DC1" w:rsidP="00836DC1">
      <w:pPr>
        <w:pStyle w:val="Textoindependiente"/>
        <w:spacing w:after="0" w:line="276" w:lineRule="auto"/>
        <w:jc w:val="both"/>
        <w:rPr>
          <w:rFonts w:cs="Arial"/>
          <w:bCs/>
          <w:sz w:val="22"/>
          <w:szCs w:val="22"/>
          <w:highlight w:val="yellow"/>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Cs/>
          <w:sz w:val="22"/>
          <w:szCs w:val="22"/>
          <w:lang w:val="es-CO"/>
        </w:rPr>
        <w:t xml:space="preserve">Por lo anterior, solicita se desestime la presente acción de tutela, ya que Colpensiones no ha vulnerado los derechos fundamentales del accionante y la acción se torna improcedente. </w:t>
      </w:r>
    </w:p>
    <w:p w:rsidR="00836DC1" w:rsidRPr="00CC659B" w:rsidRDefault="00836DC1" w:rsidP="00836DC1">
      <w:pPr>
        <w:pStyle w:val="Textoindependiente"/>
        <w:spacing w:after="0" w:line="276" w:lineRule="auto"/>
        <w:jc w:val="both"/>
        <w:rPr>
          <w:rFonts w:cs="Arial"/>
          <w:bCs/>
          <w:sz w:val="22"/>
          <w:szCs w:val="22"/>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
          <w:bCs/>
          <w:sz w:val="22"/>
          <w:szCs w:val="22"/>
          <w:lang w:val="es-CO"/>
        </w:rPr>
        <w:t>3.2.</w:t>
      </w:r>
      <w:r w:rsidRPr="00CC659B">
        <w:rPr>
          <w:rFonts w:cs="Arial"/>
          <w:bCs/>
          <w:sz w:val="22"/>
          <w:szCs w:val="22"/>
          <w:lang w:val="es-CO"/>
        </w:rPr>
        <w:t xml:space="preserve"> Notificado el demandado - </w:t>
      </w:r>
      <w:r w:rsidRPr="00CC659B">
        <w:rPr>
          <w:rFonts w:cs="Arial"/>
          <w:b/>
          <w:bCs/>
          <w:sz w:val="22"/>
          <w:szCs w:val="22"/>
          <w:lang w:val="es-CO"/>
        </w:rPr>
        <w:t xml:space="preserve">FIDUAGRARIA </w:t>
      </w:r>
      <w:r w:rsidRPr="00CC659B">
        <w:rPr>
          <w:rFonts w:cs="Arial"/>
          <w:bCs/>
          <w:sz w:val="22"/>
          <w:szCs w:val="22"/>
          <w:lang w:val="es-CO"/>
        </w:rPr>
        <w:t xml:space="preserve">el 19 de septiembre de 2019, contestó en síntesis lo siguiente: </w:t>
      </w:r>
    </w:p>
    <w:p w:rsidR="00836DC1" w:rsidRPr="00CC659B" w:rsidRDefault="00836DC1" w:rsidP="00836DC1">
      <w:pPr>
        <w:pStyle w:val="Textoindependiente"/>
        <w:spacing w:after="0" w:line="276" w:lineRule="auto"/>
        <w:jc w:val="both"/>
        <w:rPr>
          <w:rFonts w:cs="Arial"/>
          <w:bCs/>
          <w:sz w:val="22"/>
          <w:szCs w:val="22"/>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Cs/>
          <w:sz w:val="22"/>
          <w:szCs w:val="22"/>
          <w:lang w:val="es-CO"/>
        </w:rPr>
        <w:t xml:space="preserve">Manifiesta que el Señor Claudio Ernesto Cano Ibañez se encuentra afiliado desde 1de mayo de 2016 en el grupo poblacional TRABAJADOR INDEPENDIENTE y su estado actual es ACTIVO. Que se han realizado giros de subsidio a favor del accionante hasta el abril de 209 y que el mes de mayo está programado para la nómina mensual y se verá reflejado en un término máximo de 3 meses. </w:t>
      </w:r>
    </w:p>
    <w:p w:rsidR="00836DC1" w:rsidRPr="00CC659B" w:rsidRDefault="00836DC1" w:rsidP="00836DC1">
      <w:pPr>
        <w:pStyle w:val="Textoindependiente"/>
        <w:spacing w:after="0" w:line="276" w:lineRule="auto"/>
        <w:jc w:val="both"/>
        <w:rPr>
          <w:rFonts w:cs="Arial"/>
          <w:bCs/>
          <w:sz w:val="22"/>
          <w:szCs w:val="22"/>
          <w:lang w:val="es-CO"/>
        </w:rPr>
      </w:pPr>
    </w:p>
    <w:p w:rsidR="00836DC1" w:rsidRPr="00CC659B" w:rsidRDefault="00836DC1" w:rsidP="00836DC1">
      <w:pPr>
        <w:pStyle w:val="Textoindependiente"/>
        <w:spacing w:after="0" w:line="276" w:lineRule="auto"/>
        <w:jc w:val="both"/>
        <w:rPr>
          <w:rFonts w:cs="Arial"/>
          <w:bCs/>
          <w:sz w:val="22"/>
          <w:szCs w:val="22"/>
          <w:lang w:val="es-CO"/>
        </w:rPr>
      </w:pPr>
      <w:r w:rsidRPr="00CC659B">
        <w:rPr>
          <w:rFonts w:cs="Arial"/>
          <w:bCs/>
          <w:sz w:val="22"/>
          <w:szCs w:val="22"/>
          <w:lang w:val="es-CO"/>
        </w:rPr>
        <w:t>Igualmente, solita que se vincule al Ministerio del Trabajo, dado que Fidugraria es una cuenta especial sin personería jurídica.</w:t>
      </w:r>
    </w:p>
    <w:p w:rsidR="00836DC1" w:rsidRPr="00CC659B" w:rsidRDefault="00836DC1" w:rsidP="00836DC1">
      <w:pPr>
        <w:pStyle w:val="Textoindependiente"/>
        <w:spacing w:after="0" w:line="276" w:lineRule="auto"/>
        <w:jc w:val="both"/>
        <w:rPr>
          <w:rFonts w:cs="Arial"/>
          <w:bCs/>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b/>
          <w:sz w:val="22"/>
          <w:szCs w:val="22"/>
          <w:lang w:val="es-CO"/>
        </w:rPr>
        <w:t>4. LAS PRUEBAS:</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Textoindependiente"/>
        <w:spacing w:after="0" w:line="276" w:lineRule="auto"/>
        <w:jc w:val="both"/>
        <w:rPr>
          <w:rFonts w:cs="Arial"/>
          <w:sz w:val="22"/>
          <w:szCs w:val="22"/>
          <w:lang w:val="es-CO"/>
        </w:rPr>
      </w:pPr>
      <w:r w:rsidRPr="00CC659B">
        <w:rPr>
          <w:rFonts w:cs="Arial"/>
          <w:sz w:val="22"/>
          <w:szCs w:val="22"/>
          <w:lang w:val="es-CO"/>
        </w:rPr>
        <w:t>Como medio probatorio, destinado a acreditar los supuestos de hecho de la demanda se allegaron los siguientes documentos:</w:t>
      </w:r>
    </w:p>
    <w:p w:rsidR="00836DC1" w:rsidRPr="00CC659B" w:rsidRDefault="00836DC1" w:rsidP="00836DC1">
      <w:pPr>
        <w:pStyle w:val="Textoindependiente"/>
        <w:spacing w:after="0" w:line="276" w:lineRule="auto"/>
        <w:jc w:val="both"/>
        <w:rPr>
          <w:rFonts w:cs="Arial"/>
          <w:sz w:val="22"/>
          <w:szCs w:val="22"/>
          <w:lang w:val="es-CO"/>
        </w:rPr>
      </w:pP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de la c.c Claudio Ernesto Cano Ibañez. (folio 2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dela historia laboral de Claudio Ernesto Cano Ibañez. (folio 3 a 8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la Resolución Nº SUB 294738 de 22 de diciembre de 2017. (folio 9 a 11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la Resolución Nº DIR 8475 del 3 de mayo de 2018 (folio 12 a 18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Constancia de radicación de solicitud Nº 2019_1056173 (dolio 19 y 20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declaración de no pensión. (folio 21 de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formato de información (folio 22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derecho de petición. (folio 23 a 26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la Resolución Nº SUB 149455 de junio 11 de 2019. (folio 27 a 29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 xml:space="preserve"> Copia simple de recurso de apelación interpuesto contra la Resolución Nº SUB 149455 de junio 11 de 2019. (folio 30 a 32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lastRenderedPageBreak/>
        <w:t>Copia simple de resolución DEP 9036 del 03 de septiembre de 2019. (folio 33 a 40 del cp)</w:t>
      </w:r>
    </w:p>
    <w:p w:rsidR="00836DC1" w:rsidRPr="00CC659B" w:rsidRDefault="00836DC1" w:rsidP="00836DC1">
      <w:pPr>
        <w:pStyle w:val="Prrafodelista"/>
        <w:numPr>
          <w:ilvl w:val="0"/>
          <w:numId w:val="4"/>
        </w:numPr>
        <w:spacing w:line="276" w:lineRule="auto"/>
        <w:jc w:val="both"/>
        <w:rPr>
          <w:rFonts w:cs="Arial"/>
          <w:sz w:val="22"/>
          <w:szCs w:val="22"/>
        </w:rPr>
      </w:pPr>
      <w:r w:rsidRPr="00CC659B">
        <w:rPr>
          <w:rFonts w:cs="Arial"/>
          <w:sz w:val="22"/>
          <w:szCs w:val="22"/>
        </w:rPr>
        <w:t>Copia simple de declaración extraproceso. (folio 41 y 42 del cp)</w:t>
      </w:r>
    </w:p>
    <w:p w:rsidR="00836DC1" w:rsidRPr="00CC659B" w:rsidRDefault="00836DC1" w:rsidP="00836DC1">
      <w:pPr>
        <w:spacing w:line="276" w:lineRule="auto"/>
        <w:rPr>
          <w:rFonts w:ascii="Arial" w:hAnsi="Arial" w:cs="Arial"/>
          <w:sz w:val="22"/>
          <w:szCs w:val="22"/>
          <w:lang w:val="es-CO"/>
        </w:rPr>
      </w:pPr>
    </w:p>
    <w:p w:rsidR="00836DC1" w:rsidRPr="00CC659B" w:rsidRDefault="00836DC1" w:rsidP="00836DC1">
      <w:pPr>
        <w:pStyle w:val="Sangra2detindependiente"/>
        <w:widowControl/>
        <w:numPr>
          <w:ilvl w:val="0"/>
          <w:numId w:val="5"/>
        </w:numPr>
        <w:spacing w:line="276" w:lineRule="auto"/>
        <w:jc w:val="center"/>
        <w:rPr>
          <w:rFonts w:cs="Arial"/>
          <w:b/>
          <w:sz w:val="22"/>
          <w:szCs w:val="22"/>
          <w:lang w:val="es-CO"/>
        </w:rPr>
      </w:pPr>
      <w:r w:rsidRPr="00CC659B">
        <w:rPr>
          <w:rFonts w:cs="Arial"/>
          <w:b/>
          <w:sz w:val="22"/>
          <w:szCs w:val="22"/>
          <w:lang w:val="es-CO"/>
        </w:rPr>
        <w:t>CONSIDERACIONES:</w:t>
      </w:r>
    </w:p>
    <w:p w:rsidR="00836DC1" w:rsidRPr="00CC659B" w:rsidRDefault="00836DC1" w:rsidP="00836DC1">
      <w:pPr>
        <w:pStyle w:val="Sangra2detindependiente"/>
        <w:widowControl/>
        <w:spacing w:line="276" w:lineRule="auto"/>
        <w:ind w:left="360" w:firstLine="0"/>
        <w:rPr>
          <w:rFonts w:cs="Arial"/>
          <w:b/>
          <w:sz w:val="22"/>
          <w:szCs w:val="22"/>
          <w:lang w:val="es-CO"/>
        </w:rPr>
      </w:pPr>
    </w:p>
    <w:p w:rsidR="00836DC1" w:rsidRPr="00CC659B" w:rsidRDefault="00836DC1" w:rsidP="00836DC1">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CC659B">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CC659B">
        <w:rPr>
          <w:rFonts w:ascii="Arial" w:eastAsia="Calibri" w:hAnsi="Arial" w:cs="Arial"/>
          <w:i/>
          <w:sz w:val="22"/>
          <w:szCs w:val="22"/>
          <w:lang w:val="es-CO"/>
        </w:rPr>
        <w:t>Por el cual se reglamenta la acción de tutela consagrada en el artículo 86 de la Constitución Política”</w:t>
      </w:r>
      <w:r w:rsidRPr="00CC659B">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36DC1" w:rsidRPr="00CC659B" w:rsidRDefault="00836DC1" w:rsidP="00836DC1">
      <w:pPr>
        <w:spacing w:line="276" w:lineRule="auto"/>
        <w:ind w:left="708"/>
        <w:jc w:val="both"/>
        <w:rPr>
          <w:rFonts w:ascii="Arial" w:eastAsia="Calibri" w:hAnsi="Arial" w:cs="Arial"/>
          <w:sz w:val="22"/>
          <w:szCs w:val="22"/>
          <w:lang w:val="es-CO"/>
        </w:rPr>
      </w:pPr>
    </w:p>
    <w:p w:rsidR="00836DC1" w:rsidRPr="00CC659B" w:rsidRDefault="00836DC1" w:rsidP="00836DC1">
      <w:pPr>
        <w:spacing w:line="276" w:lineRule="auto"/>
        <w:jc w:val="both"/>
        <w:rPr>
          <w:rFonts w:ascii="Arial" w:eastAsia="Calibri" w:hAnsi="Arial" w:cs="Arial"/>
          <w:sz w:val="22"/>
          <w:szCs w:val="22"/>
          <w:lang w:val="es-CO"/>
        </w:rPr>
      </w:pPr>
      <w:r w:rsidRPr="00CC659B">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36DC1" w:rsidRPr="00CC659B" w:rsidRDefault="00836DC1" w:rsidP="00836DC1">
      <w:pPr>
        <w:tabs>
          <w:tab w:val="left" w:pos="709"/>
        </w:tabs>
        <w:spacing w:line="276" w:lineRule="auto"/>
        <w:jc w:val="both"/>
        <w:rPr>
          <w:rFonts w:ascii="Arial" w:eastAsia="Calibri" w:hAnsi="Arial" w:cs="Arial"/>
          <w:sz w:val="22"/>
          <w:szCs w:val="22"/>
          <w:lang w:val="es-CO"/>
        </w:rPr>
      </w:pPr>
    </w:p>
    <w:p w:rsidR="00836DC1" w:rsidRPr="00CC659B" w:rsidRDefault="00836DC1" w:rsidP="00836DC1">
      <w:pPr>
        <w:pStyle w:val="Prrafodelista"/>
        <w:numPr>
          <w:ilvl w:val="1"/>
          <w:numId w:val="5"/>
        </w:numPr>
        <w:tabs>
          <w:tab w:val="left" w:pos="284"/>
          <w:tab w:val="left" w:pos="426"/>
        </w:tabs>
        <w:spacing w:line="276" w:lineRule="auto"/>
        <w:ind w:left="0" w:firstLine="0"/>
        <w:jc w:val="both"/>
        <w:rPr>
          <w:rFonts w:cs="Arial"/>
          <w:sz w:val="22"/>
          <w:szCs w:val="22"/>
        </w:rPr>
      </w:pPr>
      <w:r w:rsidRPr="00CC659B">
        <w:rPr>
          <w:rFonts w:cs="Arial"/>
          <w:sz w:val="22"/>
          <w:szCs w:val="22"/>
        </w:rPr>
        <w:t xml:space="preserve"> Observa el Despacho que el derecho fundamental del cual pretende obtener protección el accionante es dignidad humana, mínimo vital, seguridad social, pago oportuno de las pensiones legales, igualdad, vida, salud y protección de la tercera edad, toda vez que las demandadas no han reconocido su pensión de vejez .</w:t>
      </w:r>
    </w:p>
    <w:p w:rsidR="00836DC1" w:rsidRPr="00CC659B" w:rsidRDefault="00836DC1" w:rsidP="00836DC1">
      <w:pPr>
        <w:pStyle w:val="Prrafodelista"/>
        <w:tabs>
          <w:tab w:val="left" w:pos="284"/>
          <w:tab w:val="left" w:pos="426"/>
        </w:tabs>
        <w:spacing w:line="276" w:lineRule="auto"/>
        <w:ind w:left="0"/>
        <w:jc w:val="both"/>
        <w:rPr>
          <w:rFonts w:cs="Arial"/>
          <w:sz w:val="22"/>
          <w:szCs w:val="22"/>
        </w:rPr>
      </w:pPr>
    </w:p>
    <w:p w:rsidR="00836DC1" w:rsidRPr="00CC659B" w:rsidRDefault="00836DC1" w:rsidP="00836DC1">
      <w:pPr>
        <w:spacing w:line="276" w:lineRule="auto"/>
        <w:jc w:val="both"/>
        <w:rPr>
          <w:rFonts w:ascii="Arial" w:hAnsi="Arial" w:cs="Arial"/>
          <w:b/>
          <w:sz w:val="22"/>
          <w:szCs w:val="22"/>
          <w:lang w:val="es-CO"/>
        </w:rPr>
      </w:pPr>
      <w:r w:rsidRPr="00CC659B">
        <w:rPr>
          <w:rFonts w:ascii="Arial" w:hAnsi="Arial" w:cs="Arial"/>
          <w:sz w:val="22"/>
          <w:szCs w:val="22"/>
          <w:lang w:val="es-CO"/>
        </w:rPr>
        <w:t xml:space="preserve">Así las cosas, cabe preguntarse </w:t>
      </w:r>
      <w:r w:rsidRPr="00CC659B">
        <w:rPr>
          <w:rFonts w:ascii="Arial" w:hAnsi="Arial" w:cs="Arial"/>
          <w:b/>
          <w:sz w:val="22"/>
          <w:szCs w:val="22"/>
          <w:lang w:val="es-CO"/>
        </w:rPr>
        <w:t>¿es procedente la acción de tutela para ordenar a las entidades demandadas el reconocimiento de la pensión de vejez?</w:t>
      </w:r>
    </w:p>
    <w:p w:rsidR="00836DC1" w:rsidRPr="00CC659B" w:rsidRDefault="00836DC1" w:rsidP="00836DC1">
      <w:pPr>
        <w:spacing w:line="276" w:lineRule="auto"/>
        <w:jc w:val="both"/>
        <w:rPr>
          <w:rFonts w:ascii="Arial" w:hAnsi="Arial" w:cs="Arial"/>
          <w:b/>
          <w:sz w:val="22"/>
          <w:szCs w:val="22"/>
          <w:lang w:val="es-CO"/>
        </w:rPr>
      </w:pPr>
    </w:p>
    <w:p w:rsidR="00836DC1" w:rsidRPr="00CC659B" w:rsidRDefault="00836DC1" w:rsidP="00836DC1">
      <w:pPr>
        <w:pStyle w:val="Sangradetextonormal"/>
        <w:spacing w:line="276" w:lineRule="auto"/>
        <w:ind w:left="0"/>
        <w:rPr>
          <w:rFonts w:cs="Arial"/>
          <w:sz w:val="22"/>
          <w:szCs w:val="22"/>
          <w:lang w:val="es-CO"/>
        </w:rPr>
      </w:pPr>
      <w:r w:rsidRPr="00CC659B">
        <w:rPr>
          <w:rFonts w:cs="Arial"/>
          <w:sz w:val="22"/>
          <w:szCs w:val="22"/>
          <w:lang w:val="es-CO"/>
        </w:rPr>
        <w:t xml:space="preserve">La respuesta al anterior interrogante es </w:t>
      </w:r>
      <w:r w:rsidRPr="00CC659B">
        <w:rPr>
          <w:rFonts w:cs="Arial"/>
          <w:b/>
          <w:sz w:val="22"/>
          <w:szCs w:val="22"/>
          <w:lang w:val="es-CO"/>
        </w:rPr>
        <w:t>negativa</w:t>
      </w:r>
      <w:r w:rsidRPr="00CC659B">
        <w:rPr>
          <w:rFonts w:cs="Arial"/>
          <w:sz w:val="22"/>
          <w:szCs w:val="22"/>
          <w:lang w:val="es-CO"/>
        </w:rPr>
        <w:t xml:space="preserve"> por las siguientes razones:</w:t>
      </w:r>
    </w:p>
    <w:p w:rsidR="00836DC1" w:rsidRPr="00CC659B" w:rsidRDefault="00836DC1" w:rsidP="00836DC1">
      <w:pPr>
        <w:spacing w:line="276" w:lineRule="auto"/>
        <w:ind w:left="360"/>
        <w:jc w:val="both"/>
        <w:rPr>
          <w:rFonts w:ascii="Arial" w:hAnsi="Arial" w:cs="Arial"/>
          <w:b/>
          <w:sz w:val="22"/>
          <w:szCs w:val="22"/>
          <w:lang w:val="es-CO"/>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sz w:val="22"/>
          <w:szCs w:val="22"/>
          <w:lang w:val="es-CO"/>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836DC1" w:rsidRPr="00CC659B" w:rsidRDefault="00836DC1" w:rsidP="00836DC1">
      <w:pPr>
        <w:spacing w:line="276" w:lineRule="auto"/>
        <w:jc w:val="both"/>
        <w:rPr>
          <w:rFonts w:ascii="Arial" w:hAnsi="Arial" w:cs="Arial"/>
          <w:sz w:val="22"/>
          <w:szCs w:val="22"/>
          <w:lang w:val="es-CO"/>
        </w:rPr>
      </w:pPr>
    </w:p>
    <w:p w:rsidR="00836DC1" w:rsidRPr="00CC659B" w:rsidRDefault="00836DC1" w:rsidP="00836DC1">
      <w:pPr>
        <w:pStyle w:val="Sangradetextonormal"/>
        <w:spacing w:line="276" w:lineRule="auto"/>
        <w:ind w:left="0"/>
        <w:rPr>
          <w:rFonts w:cs="Arial"/>
          <w:sz w:val="22"/>
          <w:szCs w:val="22"/>
          <w:lang w:val="es-CO"/>
        </w:rPr>
      </w:pPr>
      <w:r w:rsidRPr="00CC659B">
        <w:rPr>
          <w:rFonts w:cs="Arial"/>
          <w:sz w:val="22"/>
          <w:szCs w:val="22"/>
          <w:lang w:val="es-CO"/>
        </w:rPr>
        <w:t xml:space="preserve">El numeral 1 del artículo 6 del decreto 2591 de 1991 señala que: </w:t>
      </w:r>
      <w:r w:rsidRPr="00CC659B">
        <w:rPr>
          <w:rFonts w:cs="Arial"/>
          <w:sz w:val="20"/>
          <w:szCs w:val="22"/>
          <w:lang w:val="es-CO"/>
        </w:rPr>
        <w:t>“</w:t>
      </w:r>
      <w:r w:rsidRPr="00CC659B">
        <w:rPr>
          <w:rFonts w:cs="Arial"/>
          <w:i/>
          <w:sz w:val="20"/>
          <w:szCs w:val="22"/>
          <w:lang w:val="es-CO"/>
        </w:rPr>
        <w:t xml:space="preserve">La acción de tutela no procederá: 1. Cuando existan otros recursos o medios de defensa judiciales, </w:t>
      </w:r>
      <w:r w:rsidRPr="00CC659B">
        <w:rPr>
          <w:rFonts w:cs="Arial"/>
          <w:i/>
          <w:sz w:val="20"/>
          <w:szCs w:val="22"/>
          <w:u w:val="single"/>
          <w:lang w:val="es-CO"/>
        </w:rPr>
        <w:t xml:space="preserve">salvo que aquella se </w:t>
      </w:r>
      <w:r w:rsidRPr="00CC659B">
        <w:rPr>
          <w:rFonts w:cs="Arial"/>
          <w:i/>
          <w:sz w:val="20"/>
          <w:szCs w:val="22"/>
          <w:u w:val="single"/>
          <w:lang w:val="es-CO"/>
        </w:rPr>
        <w:lastRenderedPageBreak/>
        <w:t>utilice como mecanismo transitorio para evitar un perjuicio irremediable</w:t>
      </w:r>
      <w:r w:rsidRPr="00CC659B">
        <w:rPr>
          <w:rStyle w:val="Refdenotaalpie"/>
          <w:rFonts w:cs="Arial"/>
          <w:sz w:val="20"/>
          <w:szCs w:val="22"/>
          <w:u w:val="single"/>
          <w:lang w:val="es-CO"/>
        </w:rPr>
        <w:footnoteReference w:id="1"/>
      </w:r>
      <w:r w:rsidRPr="00CC659B">
        <w:rPr>
          <w:rFonts w:cs="Arial"/>
          <w:i/>
          <w:sz w:val="20"/>
          <w:szCs w:val="22"/>
          <w:lang w:val="es-CO"/>
        </w:rPr>
        <w:t>”</w:t>
      </w:r>
      <w:r w:rsidRPr="00CC659B">
        <w:rPr>
          <w:rFonts w:cs="Arial"/>
          <w:sz w:val="20"/>
          <w:szCs w:val="22"/>
          <w:lang w:val="es-CO"/>
        </w:rPr>
        <w:t xml:space="preserve"> </w:t>
      </w:r>
      <w:r w:rsidRPr="00CC659B">
        <w:rPr>
          <w:rFonts w:cs="Arial"/>
          <w:sz w:val="22"/>
          <w:szCs w:val="22"/>
          <w:lang w:val="es-CO"/>
        </w:rPr>
        <w:t>(Subrayado fuera de texto).</w:t>
      </w:r>
    </w:p>
    <w:p w:rsidR="00836DC1" w:rsidRPr="00CC659B" w:rsidRDefault="00836DC1" w:rsidP="00836DC1">
      <w:pPr>
        <w:pStyle w:val="Sangradetextonormal"/>
        <w:spacing w:line="276" w:lineRule="auto"/>
        <w:ind w:left="0"/>
        <w:rPr>
          <w:rFonts w:cs="Arial"/>
          <w:sz w:val="22"/>
          <w:szCs w:val="22"/>
          <w:lang w:val="es-CO"/>
        </w:rPr>
      </w:pPr>
    </w:p>
    <w:p w:rsidR="00836DC1" w:rsidRPr="00CC659B" w:rsidRDefault="00836DC1" w:rsidP="00836DC1">
      <w:pPr>
        <w:pStyle w:val="Sangradetextonormal"/>
        <w:spacing w:line="276" w:lineRule="auto"/>
        <w:ind w:left="0"/>
        <w:rPr>
          <w:rFonts w:cs="Arial"/>
          <w:sz w:val="22"/>
          <w:szCs w:val="22"/>
          <w:lang w:val="es-CO" w:eastAsia="es-CO"/>
        </w:rPr>
      </w:pPr>
      <w:r w:rsidRPr="00CC659B">
        <w:rPr>
          <w:rFonts w:cs="Arial"/>
          <w:sz w:val="22"/>
          <w:szCs w:val="22"/>
          <w:lang w:val="es-CO"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836DC1" w:rsidRPr="00CC659B" w:rsidRDefault="00836DC1" w:rsidP="00836DC1">
      <w:pPr>
        <w:shd w:val="clear" w:color="auto" w:fill="FFFFFF"/>
        <w:spacing w:line="276" w:lineRule="auto"/>
        <w:jc w:val="both"/>
        <w:rPr>
          <w:rFonts w:ascii="Arial" w:hAnsi="Arial" w:cs="Arial"/>
          <w:sz w:val="22"/>
          <w:szCs w:val="22"/>
          <w:lang w:val="es-CO" w:eastAsia="es-CO"/>
        </w:rPr>
      </w:pPr>
      <w:r w:rsidRPr="00CC659B">
        <w:rPr>
          <w:rFonts w:ascii="Arial" w:hAnsi="Arial" w:cs="Arial"/>
          <w:sz w:val="22"/>
          <w:szCs w:val="22"/>
          <w:lang w:val="es-CO" w:eastAsia="es-CO"/>
        </w:rPr>
        <w:t> </w:t>
      </w:r>
    </w:p>
    <w:p w:rsidR="00836DC1" w:rsidRPr="00CC659B" w:rsidRDefault="00836DC1" w:rsidP="00836DC1">
      <w:pPr>
        <w:shd w:val="clear" w:color="auto" w:fill="FFFFFF"/>
        <w:spacing w:line="276" w:lineRule="auto"/>
        <w:jc w:val="both"/>
        <w:rPr>
          <w:rFonts w:ascii="Arial" w:hAnsi="Arial" w:cs="Arial"/>
          <w:sz w:val="22"/>
          <w:szCs w:val="22"/>
          <w:lang w:eastAsia="es-CO"/>
        </w:rPr>
      </w:pPr>
      <w:r w:rsidRPr="00CC659B">
        <w:rPr>
          <w:rFonts w:ascii="Arial" w:hAnsi="Arial" w:cs="Arial"/>
          <w:sz w:val="22"/>
          <w:szCs w:val="22"/>
          <w:lang w:eastAsia="es-CO"/>
        </w:rPr>
        <w:t xml:space="preserve">En efecto, dicho enfoque ha sido adoptado por La Corte Constitucional en eventos donde se comprueba la existencia de personas en </w:t>
      </w:r>
      <w:r w:rsidRPr="00CC659B">
        <w:rPr>
          <w:rFonts w:ascii="Arial" w:hAnsi="Arial" w:cs="Arial"/>
          <w:b/>
          <w:sz w:val="22"/>
          <w:szCs w:val="22"/>
          <w:lang w:eastAsia="es-CO"/>
        </w:rPr>
        <w:t>circunstancias de debilidad manifiesta, que dependen económicamente de la prestación reclamada y que carecen de capacidad económica para garantizarse su propia subsistencia</w:t>
      </w:r>
      <w:r w:rsidRPr="00CC659B">
        <w:rPr>
          <w:rFonts w:ascii="Arial" w:hAnsi="Arial" w:cs="Arial"/>
          <w:sz w:val="22"/>
          <w:szCs w:val="22"/>
          <w:lang w:eastAsia="es-CO"/>
        </w:rPr>
        <w:t>. 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836DC1" w:rsidRPr="00CC659B" w:rsidRDefault="00836DC1" w:rsidP="00836DC1">
      <w:pPr>
        <w:spacing w:line="276" w:lineRule="auto"/>
        <w:jc w:val="both"/>
        <w:rPr>
          <w:rFonts w:ascii="Arial" w:hAnsi="Arial" w:cs="Arial"/>
          <w:sz w:val="22"/>
          <w:szCs w:val="22"/>
        </w:rPr>
      </w:pPr>
    </w:p>
    <w:p w:rsidR="00836DC1" w:rsidRPr="00CC659B" w:rsidRDefault="00836DC1" w:rsidP="00836DC1">
      <w:pPr>
        <w:spacing w:line="276" w:lineRule="auto"/>
        <w:jc w:val="both"/>
        <w:rPr>
          <w:rFonts w:ascii="Arial" w:hAnsi="Arial" w:cs="Arial"/>
          <w:sz w:val="22"/>
          <w:szCs w:val="22"/>
        </w:rPr>
      </w:pPr>
      <w:r w:rsidRPr="00CC659B">
        <w:rPr>
          <w:rFonts w:ascii="Arial" w:hAnsi="Arial" w:cs="Arial"/>
          <w:sz w:val="22"/>
          <w:szCs w:val="22"/>
        </w:rPr>
        <w:t xml:space="preserve">En el presente caso el accionante CLAUDIO ERNESTO CANO IBÁÑEZ interpone acción de tutela, con el fin de que se ordene a las entidades demandadas el reconocimiento de la pensión de vejez  al cual tiene derecho, dado que cumple con los requisitos que establece la Ley y además es una persona de la tercera edad. </w:t>
      </w:r>
    </w:p>
    <w:p w:rsidR="00836DC1" w:rsidRPr="00CC659B" w:rsidRDefault="00836DC1" w:rsidP="00836DC1">
      <w:pPr>
        <w:spacing w:line="276" w:lineRule="auto"/>
        <w:jc w:val="both"/>
        <w:rPr>
          <w:rFonts w:ascii="Arial" w:hAnsi="Arial" w:cs="Arial"/>
          <w:sz w:val="22"/>
          <w:szCs w:val="22"/>
        </w:rPr>
      </w:pPr>
    </w:p>
    <w:p w:rsidR="00836DC1" w:rsidRPr="00CC659B" w:rsidRDefault="00D22E52" w:rsidP="00836DC1">
      <w:pPr>
        <w:spacing w:line="276" w:lineRule="auto"/>
        <w:jc w:val="both"/>
        <w:rPr>
          <w:rFonts w:ascii="Arial" w:hAnsi="Arial" w:cs="Arial"/>
          <w:sz w:val="22"/>
          <w:szCs w:val="22"/>
        </w:rPr>
      </w:pPr>
      <w:r>
        <w:rPr>
          <w:rFonts w:ascii="Arial" w:hAnsi="Arial" w:cs="Arial"/>
          <w:sz w:val="22"/>
          <w:szCs w:val="22"/>
        </w:rPr>
        <w:t>Manifiesta que</w:t>
      </w:r>
      <w:r w:rsidR="00836DC1" w:rsidRPr="00CC659B">
        <w:rPr>
          <w:rFonts w:ascii="Arial" w:hAnsi="Arial" w:cs="Arial"/>
          <w:sz w:val="22"/>
          <w:szCs w:val="22"/>
        </w:rPr>
        <w:t xml:space="preserve"> presentó solicitud ante la demanda Colpensiones solicitando dicho reconocimiento y la entidad mediante Resolución Nº SUB 149455 de junio 11 de 2019 y confirmada en Resolución Nº DPE 9036 de septiembre de 3 de 2019</w:t>
      </w:r>
      <w:r w:rsidR="004D47E8">
        <w:rPr>
          <w:rFonts w:ascii="Arial" w:hAnsi="Arial" w:cs="Arial"/>
          <w:sz w:val="22"/>
          <w:szCs w:val="22"/>
        </w:rPr>
        <w:t xml:space="preserve"> se negó  argumentado que el accionante no cumple con lo</w:t>
      </w:r>
      <w:r w:rsidR="009E7D9B">
        <w:rPr>
          <w:rFonts w:ascii="Arial" w:hAnsi="Arial" w:cs="Arial"/>
          <w:sz w:val="22"/>
          <w:szCs w:val="22"/>
        </w:rPr>
        <w:t>s</w:t>
      </w:r>
      <w:r w:rsidR="004D47E8">
        <w:rPr>
          <w:rFonts w:ascii="Arial" w:hAnsi="Arial" w:cs="Arial"/>
          <w:sz w:val="22"/>
          <w:szCs w:val="22"/>
        </w:rPr>
        <w:t xml:space="preserve"> requisitos. </w:t>
      </w:r>
      <w:r w:rsidR="00836DC1" w:rsidRPr="00CC659B">
        <w:rPr>
          <w:rFonts w:ascii="Arial" w:hAnsi="Arial" w:cs="Arial"/>
          <w:sz w:val="22"/>
          <w:szCs w:val="22"/>
        </w:rPr>
        <w:t xml:space="preserve">. </w:t>
      </w:r>
    </w:p>
    <w:p w:rsidR="00836DC1" w:rsidRPr="00CC659B" w:rsidRDefault="00836DC1" w:rsidP="00836DC1">
      <w:pPr>
        <w:shd w:val="clear" w:color="auto" w:fill="FFFFFF"/>
        <w:spacing w:line="276" w:lineRule="auto"/>
        <w:jc w:val="both"/>
        <w:rPr>
          <w:rFonts w:ascii="Arial" w:hAnsi="Arial" w:cs="Arial"/>
          <w:sz w:val="22"/>
          <w:szCs w:val="22"/>
          <w:highlight w:val="yellow"/>
          <w:lang w:val="es-CO" w:eastAsia="es-CO"/>
        </w:rPr>
      </w:pPr>
    </w:p>
    <w:p w:rsidR="00836DC1" w:rsidRPr="00CC659B" w:rsidRDefault="005E7B5B" w:rsidP="00836DC1">
      <w:pPr>
        <w:shd w:val="clear" w:color="auto" w:fill="FFFFFF"/>
        <w:spacing w:line="276" w:lineRule="auto"/>
        <w:jc w:val="both"/>
        <w:rPr>
          <w:rFonts w:ascii="Arial" w:hAnsi="Arial" w:cs="Arial"/>
          <w:sz w:val="22"/>
          <w:szCs w:val="22"/>
          <w:lang w:val="es-CO" w:eastAsia="es-CO"/>
        </w:rPr>
      </w:pPr>
      <w:r>
        <w:rPr>
          <w:rFonts w:ascii="Arial" w:hAnsi="Arial" w:cs="Arial"/>
          <w:sz w:val="22"/>
          <w:szCs w:val="22"/>
          <w:lang w:val="es-CO" w:eastAsia="es-CO"/>
        </w:rPr>
        <w:t>De lo anterior, o</w:t>
      </w:r>
      <w:r w:rsidR="00836DC1" w:rsidRPr="00CC659B">
        <w:rPr>
          <w:rFonts w:ascii="Arial" w:hAnsi="Arial" w:cs="Arial"/>
          <w:sz w:val="22"/>
          <w:szCs w:val="22"/>
          <w:lang w:val="es-CO" w:eastAsia="es-CO"/>
        </w:rPr>
        <w:t xml:space="preserve">bserva el Despacho que para el caso </w:t>
      </w:r>
      <w:r w:rsidR="00836DC1" w:rsidRPr="00CC659B">
        <w:rPr>
          <w:rFonts w:ascii="Arial" w:hAnsi="Arial" w:cs="Arial"/>
          <w:i/>
          <w:sz w:val="22"/>
          <w:szCs w:val="22"/>
          <w:lang w:val="es-CO" w:eastAsia="es-CO"/>
        </w:rPr>
        <w:t>sub examine</w:t>
      </w:r>
      <w:r w:rsidR="00836DC1" w:rsidRPr="00CC659B">
        <w:rPr>
          <w:rFonts w:ascii="Arial" w:hAnsi="Arial" w:cs="Arial"/>
          <w:sz w:val="22"/>
          <w:szCs w:val="22"/>
          <w:lang w:val="es-CO" w:eastAsia="es-CO"/>
        </w:rPr>
        <w:t xml:space="preserve"> existe otro mecanismo judicial donde puede controvertir dicho reconocimiento, esto es a través de un proceso ordinario laboral ante la jurisdicción ordinaria, ya que es este el mecanismo idóneo donde las partes pueden someter a discusión  probatoria la diferencia de semanas para que el juez especializado en estos temas sea quien decida si le asiste o no razón al demandante. </w:t>
      </w:r>
    </w:p>
    <w:p w:rsidR="00836DC1" w:rsidRPr="00CC659B" w:rsidRDefault="00836DC1" w:rsidP="00836DC1">
      <w:pPr>
        <w:shd w:val="clear" w:color="auto" w:fill="FFFFFF"/>
        <w:spacing w:line="276" w:lineRule="auto"/>
        <w:jc w:val="both"/>
        <w:textAlignment w:val="baseline"/>
        <w:rPr>
          <w:rFonts w:ascii="Arial" w:hAnsi="Arial" w:cs="Arial"/>
          <w:sz w:val="22"/>
          <w:szCs w:val="22"/>
          <w:shd w:val="clear" w:color="auto" w:fill="FFFFFF"/>
        </w:rPr>
      </w:pPr>
    </w:p>
    <w:p w:rsidR="00836DC1" w:rsidRPr="00CC659B" w:rsidRDefault="00836DC1" w:rsidP="00836DC1">
      <w:pPr>
        <w:shd w:val="clear" w:color="auto" w:fill="FFFFFF"/>
        <w:spacing w:line="276" w:lineRule="auto"/>
        <w:jc w:val="both"/>
        <w:textAlignment w:val="baseline"/>
        <w:rPr>
          <w:rFonts w:ascii="Arial" w:hAnsi="Arial" w:cs="Arial"/>
          <w:i/>
          <w:sz w:val="20"/>
          <w:szCs w:val="22"/>
          <w:shd w:val="clear" w:color="auto" w:fill="FFFFFF"/>
        </w:rPr>
      </w:pPr>
      <w:r w:rsidRPr="00CC659B">
        <w:rPr>
          <w:rFonts w:ascii="Arial" w:hAnsi="Arial" w:cs="Arial"/>
          <w:sz w:val="22"/>
          <w:szCs w:val="22"/>
          <w:shd w:val="clear" w:color="auto" w:fill="FFFFFF"/>
        </w:rPr>
        <w:t xml:space="preserve">En el presente caso, el accionante tampoco demostró encontrarse en alguna de las situaciones que la Corte Constitucional  ha sometido a un trato distinto, pues  </w:t>
      </w:r>
      <w:r w:rsidRPr="00CC659B">
        <w:rPr>
          <w:rFonts w:ascii="Arial" w:hAnsi="Arial" w:cs="Arial"/>
          <w:sz w:val="22"/>
          <w:szCs w:val="22"/>
          <w:u w:val="single"/>
          <w:shd w:val="clear" w:color="auto" w:fill="FFFFFF"/>
        </w:rPr>
        <w:t>no pertenece a un grupo de especial protección</w:t>
      </w:r>
      <w:r w:rsidRPr="00CC659B">
        <w:rPr>
          <w:rFonts w:ascii="Arial" w:hAnsi="Arial" w:cs="Arial"/>
          <w:sz w:val="22"/>
          <w:szCs w:val="22"/>
          <w:shd w:val="clear" w:color="auto" w:fill="FFFFFF"/>
        </w:rPr>
        <w:t>; al respecto cabe mencionar que si bien el señor indica que pertenece al grupo de la tercera edad, ya que tiene 62 años de edad, con base en los criterios de la Corte Constitucional no es cierto, pues  en sentencia T015-2019 se reiteró lo siguiente: “</w:t>
      </w:r>
      <w:r w:rsidRPr="00CC659B">
        <w:rPr>
          <w:rFonts w:ascii="Arial" w:hAnsi="Arial" w:cs="Arial"/>
          <w:i/>
          <w:sz w:val="20"/>
          <w:szCs w:val="22"/>
          <w:shd w:val="clear" w:color="auto" w:fill="FFFFFF"/>
        </w:rPr>
        <w:t>Para efecto de precisar a qué edad una persona puede catalogarse en la tercera edad, esta Corporación ha acudido a la esperanza de vida certificada por el DANE[31]. Ha asumido que la tercera edad inicia cuando la persona supera la expectativa de vida fijada por aquel organismo público, misma que varía periódicamente. A esta se le conoce como la tesis de la vida probable, que en este caso concreto fue aplicada por el ad quem.</w:t>
      </w:r>
    </w:p>
    <w:p w:rsidR="00836DC1" w:rsidRPr="00CC659B" w:rsidRDefault="00836DC1" w:rsidP="00836DC1">
      <w:pPr>
        <w:shd w:val="clear" w:color="auto" w:fill="FFFFFF"/>
        <w:spacing w:line="276" w:lineRule="auto"/>
        <w:jc w:val="both"/>
        <w:textAlignment w:val="baseline"/>
        <w:rPr>
          <w:rFonts w:ascii="Arial" w:hAnsi="Arial" w:cs="Arial"/>
          <w:i/>
          <w:sz w:val="20"/>
          <w:szCs w:val="22"/>
          <w:shd w:val="clear" w:color="auto" w:fill="FFFFFF"/>
        </w:rPr>
      </w:pPr>
    </w:p>
    <w:p w:rsidR="00836DC1" w:rsidRPr="00CC659B" w:rsidRDefault="00836DC1" w:rsidP="00836DC1">
      <w:pPr>
        <w:shd w:val="clear" w:color="auto" w:fill="FFFFFF"/>
        <w:spacing w:line="276" w:lineRule="auto"/>
        <w:jc w:val="both"/>
        <w:textAlignment w:val="baseline"/>
        <w:rPr>
          <w:rFonts w:ascii="Arial" w:hAnsi="Arial" w:cs="Arial"/>
          <w:b/>
          <w:i/>
          <w:sz w:val="20"/>
          <w:szCs w:val="22"/>
          <w:shd w:val="clear" w:color="auto" w:fill="FFFFFF"/>
        </w:rPr>
      </w:pPr>
      <w:r w:rsidRPr="00CC659B">
        <w:rPr>
          <w:rFonts w:ascii="Arial" w:hAnsi="Arial" w:cs="Arial"/>
          <w:i/>
          <w:sz w:val="20"/>
          <w:szCs w:val="22"/>
          <w:shd w:val="clear" w:color="auto" w:fill="FFFFFF"/>
        </w:rPr>
        <w:t xml:space="preserve">Durante el periodo comprendido entre 2015 y 2020, conforme el documento titulado “Indicadores Demográficos Según Departamento 1985-2020. Conciliación Censal 1985-2005 y Proyecciones de Población 2005-2020” emitido por el DANE[32], la esperanza de vida al nacer para la totalidad de la población en Colombia (sin distinguir entre hombres y mujeres), se encuentra estimada en los 76 años. </w:t>
      </w:r>
      <w:r w:rsidRPr="00CC659B">
        <w:rPr>
          <w:rFonts w:ascii="Arial" w:hAnsi="Arial" w:cs="Arial"/>
          <w:b/>
          <w:i/>
          <w:sz w:val="20"/>
          <w:szCs w:val="22"/>
          <w:shd w:val="clear" w:color="auto" w:fill="FFFFFF"/>
        </w:rPr>
        <w:t>Por lo tanto, una persona será considerada de la tercera edad solo cuando supere esa edad, o aquella que certifique el DANE para cada periodo específico.” (Negrilla fuera de texto)</w:t>
      </w:r>
    </w:p>
    <w:p w:rsidR="00836DC1" w:rsidRPr="00CC659B" w:rsidRDefault="00836DC1" w:rsidP="00836DC1">
      <w:pPr>
        <w:shd w:val="clear" w:color="auto" w:fill="FFFFFF"/>
        <w:spacing w:line="276" w:lineRule="auto"/>
        <w:jc w:val="both"/>
        <w:textAlignment w:val="baseline"/>
        <w:rPr>
          <w:rFonts w:ascii="Arial" w:hAnsi="Arial" w:cs="Arial"/>
          <w:b/>
          <w:i/>
          <w:sz w:val="22"/>
          <w:szCs w:val="22"/>
          <w:shd w:val="clear" w:color="auto" w:fill="FFFFFF"/>
        </w:rPr>
      </w:pPr>
    </w:p>
    <w:p w:rsidR="00836DC1" w:rsidRPr="00CC659B" w:rsidRDefault="00A13C6D" w:rsidP="00836DC1">
      <w:pPr>
        <w:spacing w:line="276" w:lineRule="auto"/>
        <w:jc w:val="both"/>
        <w:rPr>
          <w:rFonts w:ascii="Arial" w:hAnsi="Arial" w:cs="Arial"/>
          <w:spacing w:val="8"/>
          <w:sz w:val="22"/>
          <w:szCs w:val="22"/>
          <w:lang w:val="es-MX"/>
        </w:rPr>
      </w:pPr>
      <w:r>
        <w:rPr>
          <w:rFonts w:ascii="Arial" w:hAnsi="Arial" w:cs="Arial"/>
          <w:spacing w:val="8"/>
          <w:sz w:val="22"/>
          <w:szCs w:val="22"/>
          <w:lang w:val="es-MX"/>
        </w:rPr>
        <w:t xml:space="preserve">Por tanto, </w:t>
      </w:r>
      <w:r w:rsidR="00836DC1" w:rsidRPr="00CC659B">
        <w:rPr>
          <w:rFonts w:ascii="Arial" w:hAnsi="Arial" w:cs="Arial"/>
          <w:spacing w:val="8"/>
          <w:sz w:val="22"/>
          <w:szCs w:val="22"/>
          <w:lang w:val="es-MX"/>
        </w:rPr>
        <w:t xml:space="preserve"> teniendo en cuenta el material probatorio aportado por la parte accionante dentro del cual se encuentra la cédula de ciudadanía del Señor </w:t>
      </w:r>
      <w:r w:rsidR="00836DC1" w:rsidRPr="00CC659B">
        <w:rPr>
          <w:rFonts w:ascii="Arial" w:hAnsi="Arial" w:cs="Arial"/>
          <w:b/>
          <w:spacing w:val="8"/>
          <w:sz w:val="22"/>
          <w:szCs w:val="22"/>
          <w:lang w:val="es-MX"/>
        </w:rPr>
        <w:t>Claudio Ernesto Cano Ibañez</w:t>
      </w:r>
      <w:r w:rsidR="00836DC1" w:rsidRPr="00CC659B">
        <w:rPr>
          <w:rFonts w:ascii="Arial" w:hAnsi="Arial" w:cs="Arial"/>
          <w:spacing w:val="8"/>
          <w:sz w:val="22"/>
          <w:szCs w:val="22"/>
          <w:lang w:val="es-MX"/>
        </w:rPr>
        <w:t xml:space="preserve">, </w:t>
      </w:r>
      <w:r w:rsidR="00EB1047">
        <w:rPr>
          <w:rFonts w:ascii="Arial" w:hAnsi="Arial" w:cs="Arial"/>
          <w:spacing w:val="8"/>
          <w:sz w:val="22"/>
          <w:szCs w:val="22"/>
          <w:lang w:val="es-MX"/>
        </w:rPr>
        <w:t>donde</w:t>
      </w:r>
      <w:r w:rsidR="00836DC1" w:rsidRPr="00CC659B">
        <w:rPr>
          <w:rFonts w:ascii="Arial" w:hAnsi="Arial" w:cs="Arial"/>
          <w:spacing w:val="8"/>
          <w:sz w:val="22"/>
          <w:szCs w:val="22"/>
          <w:lang w:val="es-MX"/>
        </w:rPr>
        <w:t xml:space="preserve"> indica que su fecha de nacimiento data de 1955, no se trataría de una persona </w:t>
      </w:r>
      <w:r w:rsidR="00EB1047">
        <w:rPr>
          <w:rFonts w:ascii="Arial" w:hAnsi="Arial" w:cs="Arial"/>
          <w:spacing w:val="8"/>
          <w:sz w:val="22"/>
          <w:szCs w:val="22"/>
          <w:lang w:val="es-MX"/>
        </w:rPr>
        <w:t>perteneciente a la tercera edad;</w:t>
      </w:r>
      <w:r w:rsidR="00836DC1" w:rsidRPr="00CC659B">
        <w:rPr>
          <w:rFonts w:ascii="Arial" w:hAnsi="Arial" w:cs="Arial"/>
          <w:spacing w:val="8"/>
          <w:sz w:val="22"/>
          <w:szCs w:val="22"/>
          <w:lang w:val="es-MX"/>
        </w:rPr>
        <w:t xml:space="preserve"> por ende, no estaría cobijado por la protección constitucional que se la ha reconocido a las personas mayores de  SETENTA Y SEIS  (76) años; así las cosas, resultaría improcedente tutelar los dere</w:t>
      </w:r>
      <w:r w:rsidR="00EB1047">
        <w:rPr>
          <w:rFonts w:ascii="Arial" w:hAnsi="Arial" w:cs="Arial"/>
          <w:spacing w:val="8"/>
          <w:sz w:val="22"/>
          <w:szCs w:val="22"/>
          <w:lang w:val="es-MX"/>
        </w:rPr>
        <w:t>chos que el accionante solicita,</w:t>
      </w:r>
      <w:bookmarkStart w:id="0" w:name="_GoBack"/>
      <w:bookmarkEnd w:id="0"/>
      <w:r w:rsidR="00836DC1" w:rsidRPr="00CC659B">
        <w:rPr>
          <w:rFonts w:ascii="Arial" w:hAnsi="Arial" w:cs="Arial"/>
          <w:spacing w:val="8"/>
          <w:sz w:val="22"/>
          <w:szCs w:val="22"/>
          <w:lang w:val="es-MX"/>
        </w:rPr>
        <w:t xml:space="preserve"> toda vez que las vías judiciales ordinarias no pueden ser reemplazados vía tutela, en virtud de su carácter subsidiario. </w:t>
      </w:r>
    </w:p>
    <w:p w:rsidR="00836DC1" w:rsidRPr="00CC659B" w:rsidRDefault="00836DC1" w:rsidP="00836DC1">
      <w:pPr>
        <w:shd w:val="clear" w:color="auto" w:fill="FFFFFF"/>
        <w:spacing w:line="276" w:lineRule="auto"/>
        <w:jc w:val="both"/>
        <w:textAlignment w:val="baseline"/>
        <w:rPr>
          <w:rFonts w:ascii="Arial" w:hAnsi="Arial" w:cs="Arial"/>
          <w:sz w:val="22"/>
          <w:szCs w:val="22"/>
        </w:rPr>
      </w:pPr>
      <w:r w:rsidRPr="00CC659B">
        <w:rPr>
          <w:rFonts w:ascii="Arial" w:hAnsi="Arial" w:cs="Arial"/>
          <w:sz w:val="22"/>
          <w:szCs w:val="22"/>
          <w:bdr w:val="none" w:sz="0" w:space="0" w:color="auto" w:frame="1"/>
        </w:rPr>
        <w:t xml:space="preserve"> </w:t>
      </w:r>
    </w:p>
    <w:p w:rsidR="00836DC1" w:rsidRPr="00CC659B" w:rsidRDefault="00836DC1" w:rsidP="00836DC1">
      <w:pPr>
        <w:shd w:val="clear" w:color="auto" w:fill="FFFFFF"/>
        <w:spacing w:line="276" w:lineRule="auto"/>
        <w:jc w:val="both"/>
        <w:textAlignment w:val="baseline"/>
        <w:rPr>
          <w:rFonts w:ascii="Arial" w:hAnsi="Arial" w:cs="Arial"/>
          <w:sz w:val="22"/>
          <w:szCs w:val="22"/>
        </w:rPr>
      </w:pPr>
      <w:r w:rsidRPr="00CC659B">
        <w:rPr>
          <w:rFonts w:ascii="Arial" w:hAnsi="Arial" w:cs="Arial"/>
          <w:sz w:val="22"/>
          <w:szCs w:val="22"/>
        </w:rPr>
        <w:t xml:space="preserve">Tampoco probó siquiera sumariamente que se encuentre en una </w:t>
      </w:r>
      <w:r w:rsidRPr="00CC659B">
        <w:rPr>
          <w:rFonts w:ascii="Arial" w:hAnsi="Arial" w:cs="Arial"/>
          <w:sz w:val="22"/>
          <w:szCs w:val="22"/>
          <w:u w:val="single"/>
        </w:rPr>
        <w:t>situación de riesgo de amenaza o violación frente a los derechos vulnerados</w:t>
      </w:r>
      <w:r w:rsidRPr="00CC659B">
        <w:rPr>
          <w:rFonts w:ascii="Arial" w:hAnsi="Arial" w:cs="Arial"/>
          <w:sz w:val="22"/>
          <w:szCs w:val="22"/>
        </w:rPr>
        <w:t>, pues no está acreditado dentro de expediente l</w:t>
      </w:r>
      <w:r w:rsidRPr="00CC659B">
        <w:rPr>
          <w:rFonts w:ascii="Arial" w:hAnsi="Arial" w:cs="Arial"/>
          <w:sz w:val="22"/>
          <w:szCs w:val="22"/>
          <w:shd w:val="clear" w:color="auto" w:fill="FFFFFF"/>
        </w:rPr>
        <w:t>a supuesta violación de su derecho al mínimo vital.</w:t>
      </w:r>
    </w:p>
    <w:p w:rsidR="00836DC1" w:rsidRPr="00CC659B" w:rsidRDefault="00836DC1" w:rsidP="00836DC1">
      <w:pPr>
        <w:shd w:val="clear" w:color="auto" w:fill="FFFFFF"/>
        <w:spacing w:line="276" w:lineRule="auto"/>
        <w:jc w:val="both"/>
        <w:textAlignment w:val="baseline"/>
        <w:rPr>
          <w:rFonts w:ascii="Arial" w:hAnsi="Arial" w:cs="Arial"/>
          <w:sz w:val="22"/>
          <w:szCs w:val="22"/>
        </w:rPr>
      </w:pPr>
    </w:p>
    <w:p w:rsidR="00836DC1" w:rsidRPr="00CC659B" w:rsidRDefault="00836DC1" w:rsidP="00836DC1">
      <w:pPr>
        <w:pStyle w:val="Puesto"/>
        <w:tabs>
          <w:tab w:val="left" w:pos="0"/>
          <w:tab w:val="left" w:pos="709"/>
          <w:tab w:val="left" w:pos="993"/>
        </w:tabs>
        <w:spacing w:line="276" w:lineRule="auto"/>
        <w:jc w:val="both"/>
        <w:rPr>
          <w:rFonts w:cs="Arial"/>
          <w:b w:val="0"/>
          <w:sz w:val="20"/>
          <w:szCs w:val="22"/>
        </w:rPr>
      </w:pPr>
      <w:r w:rsidRPr="00CC659B">
        <w:rPr>
          <w:rFonts w:cs="Arial"/>
          <w:b w:val="0"/>
          <w:sz w:val="22"/>
          <w:szCs w:val="22"/>
        </w:rPr>
        <w:t xml:space="preserve">Por último, el medio de control de tutela tampoco tendría cabida como mecanismo transitorio, porque no está demostrado que la demandante padezca un perjuicio irremediable y como lo ha resuelto el Consejo de Estado en casos similares al estudiado </w:t>
      </w:r>
      <w:r w:rsidRPr="00CC659B">
        <w:rPr>
          <w:rFonts w:cs="Arial"/>
          <w:b w:val="0"/>
          <w:sz w:val="20"/>
          <w:szCs w:val="22"/>
        </w:rPr>
        <w:t>“</w:t>
      </w:r>
      <w:r w:rsidRPr="00CC659B">
        <w:rPr>
          <w:rFonts w:cs="Arial"/>
          <w:b w:val="0"/>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CC659B">
        <w:rPr>
          <w:rFonts w:cs="Arial"/>
          <w:b w:val="0"/>
          <w:i/>
          <w:sz w:val="20"/>
          <w:szCs w:val="22"/>
          <w:vertAlign w:val="superscript"/>
        </w:rPr>
        <w:footnoteReference w:id="2"/>
      </w:r>
      <w:r w:rsidRPr="00CC659B">
        <w:rPr>
          <w:rFonts w:cs="Arial"/>
          <w:b w:val="0"/>
          <w:i/>
          <w:sz w:val="20"/>
          <w:szCs w:val="22"/>
        </w:rPr>
        <w:t>.”</w:t>
      </w:r>
    </w:p>
    <w:p w:rsidR="00836DC1" w:rsidRPr="00CC659B" w:rsidRDefault="00836DC1" w:rsidP="00836DC1">
      <w:pPr>
        <w:pStyle w:val="Puesto"/>
        <w:tabs>
          <w:tab w:val="left" w:pos="0"/>
          <w:tab w:val="left" w:pos="709"/>
          <w:tab w:val="left" w:pos="993"/>
        </w:tabs>
        <w:spacing w:line="276" w:lineRule="auto"/>
        <w:jc w:val="both"/>
        <w:rPr>
          <w:rFonts w:cs="Arial"/>
          <w:b w:val="0"/>
          <w:sz w:val="22"/>
          <w:szCs w:val="22"/>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iCs/>
          <w:sz w:val="22"/>
          <w:szCs w:val="22"/>
          <w:lang w:val="es-CO"/>
        </w:rPr>
        <w:t xml:space="preserve">Es decir, para que proceda la tutela transitoria se requiere que el daño aún no se haya causado y que de causarse no pueda remediarse. </w:t>
      </w:r>
      <w:r w:rsidRPr="00CC659B">
        <w:rPr>
          <w:rFonts w:ascii="Arial" w:hAnsi="Arial" w:cs="Arial"/>
          <w:spacing w:val="-3"/>
          <w:sz w:val="22"/>
          <w:szCs w:val="22"/>
          <w:lang w:val="es-CO"/>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CC659B">
        <w:rPr>
          <w:rFonts w:ascii="Arial" w:hAnsi="Arial" w:cs="Arial"/>
          <w:sz w:val="22"/>
          <w:szCs w:val="22"/>
          <w:lang w:val="es-CO"/>
        </w:rPr>
        <w:t xml:space="preserve">las pruebas aportadas al expediente no se infiere la existencia de un perjuicio de carácter irremediable que pudiere evitarse con el ejercicio transitorio de ésta acción, pues según Sentencia de la Corte Constitucional: </w:t>
      </w:r>
      <w:r w:rsidRPr="00CC659B">
        <w:rPr>
          <w:rFonts w:ascii="Arial" w:hAnsi="Arial" w:cs="Arial"/>
          <w:b/>
          <w:i/>
          <w:sz w:val="20"/>
          <w:szCs w:val="22"/>
          <w:lang w:val="es-CO"/>
        </w:rPr>
        <w:t>“no basta pues, afirmar la irreparabilidad del perjuicio de un daño, sino, ofrecer las explicaciones y pruebas correspondientes, para que el juez de tutela adquiera certeza sobre su decisión”</w:t>
      </w:r>
      <w:r w:rsidRPr="00CC659B">
        <w:rPr>
          <w:rFonts w:ascii="Arial" w:hAnsi="Arial" w:cs="Arial"/>
          <w:sz w:val="20"/>
          <w:szCs w:val="22"/>
          <w:lang w:val="es-CO"/>
        </w:rPr>
        <w:t xml:space="preserve"> </w:t>
      </w:r>
      <w:r w:rsidRPr="00CC659B">
        <w:rPr>
          <w:rFonts w:ascii="Arial" w:hAnsi="Arial" w:cs="Arial"/>
          <w:sz w:val="22"/>
          <w:szCs w:val="22"/>
          <w:lang w:val="es-CO"/>
        </w:rPr>
        <w:t xml:space="preserve">(Sentencia T-449 de </w:t>
      </w:r>
      <w:smartTag w:uri="urn:schemas-microsoft-com:office:smarttags" w:element="metricconverter">
        <w:smartTagPr>
          <w:attr w:name="ProductID" w:val="1998, M"/>
        </w:smartTagPr>
        <w:r w:rsidRPr="00CC659B">
          <w:rPr>
            <w:rFonts w:ascii="Arial" w:hAnsi="Arial" w:cs="Arial"/>
            <w:sz w:val="22"/>
            <w:szCs w:val="22"/>
            <w:lang w:val="es-CO"/>
          </w:rPr>
          <w:t>1998, M</w:t>
        </w:r>
      </w:smartTag>
      <w:r w:rsidRPr="00CC659B">
        <w:rPr>
          <w:rFonts w:ascii="Arial" w:hAnsi="Arial" w:cs="Arial"/>
          <w:sz w:val="22"/>
          <w:szCs w:val="22"/>
          <w:lang w:val="es-CO"/>
        </w:rPr>
        <w:t>.P. Dr. Alfredo Beltrán Sierra).</w:t>
      </w:r>
    </w:p>
    <w:p w:rsidR="00836DC1" w:rsidRPr="00CC659B" w:rsidRDefault="00836DC1" w:rsidP="00836DC1">
      <w:pPr>
        <w:spacing w:line="276" w:lineRule="auto"/>
        <w:jc w:val="both"/>
        <w:rPr>
          <w:rFonts w:ascii="Arial" w:hAnsi="Arial" w:cs="Arial"/>
          <w:sz w:val="22"/>
          <w:szCs w:val="22"/>
          <w:highlight w:val="yellow"/>
          <w:lang w:val="es-CO"/>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sz w:val="22"/>
          <w:szCs w:val="22"/>
          <w:lang w:val="es-CO"/>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836DC1" w:rsidRPr="00CC659B" w:rsidRDefault="00836DC1" w:rsidP="00836DC1">
      <w:pPr>
        <w:pStyle w:val="Sangradetextonormal"/>
        <w:spacing w:line="276" w:lineRule="auto"/>
        <w:ind w:left="0"/>
        <w:rPr>
          <w:rFonts w:cs="Arial"/>
          <w:sz w:val="22"/>
          <w:szCs w:val="22"/>
          <w:lang w:val="es-CO"/>
        </w:rPr>
      </w:pPr>
    </w:p>
    <w:p w:rsidR="00836DC1" w:rsidRPr="00CC659B" w:rsidRDefault="00836DC1" w:rsidP="00836DC1">
      <w:pPr>
        <w:pStyle w:val="Sangradetextonormal"/>
        <w:spacing w:line="276" w:lineRule="auto"/>
        <w:ind w:left="0"/>
        <w:rPr>
          <w:rFonts w:cs="Arial"/>
          <w:sz w:val="22"/>
          <w:szCs w:val="22"/>
          <w:lang w:val="es-CO"/>
        </w:rPr>
      </w:pPr>
      <w:r w:rsidRPr="00CC659B">
        <w:rPr>
          <w:rFonts w:cs="Arial"/>
          <w:sz w:val="22"/>
          <w:szCs w:val="22"/>
          <w:lang w:val="es-CO"/>
        </w:rPr>
        <w:t xml:space="preserve">En mérito de lo expuesto, el </w:t>
      </w:r>
      <w:r w:rsidRPr="00CC659B">
        <w:rPr>
          <w:rFonts w:cs="Arial"/>
          <w:b/>
          <w:sz w:val="22"/>
          <w:szCs w:val="22"/>
          <w:lang w:val="es-CO"/>
        </w:rPr>
        <w:t>JUZGADO TREINTA Y CUATRO (34) ADMINISTRATIVO DEL CIRCUITO DE BOGOTÁ</w:t>
      </w:r>
      <w:r w:rsidRPr="00CC659B">
        <w:rPr>
          <w:rFonts w:cs="Arial"/>
          <w:sz w:val="22"/>
          <w:szCs w:val="22"/>
          <w:lang w:val="es-CO"/>
        </w:rPr>
        <w:t xml:space="preserve">, administrando justicia en nombre de la República de Colombia y por autoridad de la ley, </w:t>
      </w:r>
    </w:p>
    <w:p w:rsidR="00836DC1" w:rsidRPr="00CC659B" w:rsidRDefault="00836DC1" w:rsidP="00836DC1">
      <w:pPr>
        <w:pStyle w:val="Sangradetextonormal"/>
        <w:spacing w:line="276" w:lineRule="auto"/>
        <w:ind w:left="0"/>
        <w:rPr>
          <w:rFonts w:cs="Arial"/>
          <w:sz w:val="22"/>
          <w:szCs w:val="22"/>
          <w:lang w:val="es-CO"/>
        </w:rPr>
      </w:pPr>
    </w:p>
    <w:p w:rsidR="00836DC1" w:rsidRPr="00CC659B" w:rsidRDefault="00836DC1" w:rsidP="00836DC1">
      <w:pPr>
        <w:pStyle w:val="Sangradetextonormal"/>
        <w:spacing w:line="276" w:lineRule="auto"/>
        <w:ind w:left="0"/>
        <w:jc w:val="center"/>
        <w:rPr>
          <w:rFonts w:cs="Arial"/>
          <w:b/>
          <w:sz w:val="22"/>
          <w:szCs w:val="22"/>
          <w:lang w:val="es-CO"/>
        </w:rPr>
      </w:pPr>
      <w:r w:rsidRPr="00CC659B">
        <w:rPr>
          <w:rFonts w:cs="Arial"/>
          <w:b/>
          <w:sz w:val="22"/>
          <w:szCs w:val="22"/>
          <w:lang w:val="es-CO"/>
        </w:rPr>
        <w:t>FALLA:</w:t>
      </w:r>
    </w:p>
    <w:p w:rsidR="00836DC1" w:rsidRPr="00CC659B" w:rsidRDefault="00836DC1" w:rsidP="00836DC1">
      <w:pPr>
        <w:pStyle w:val="Sangradetextonormal"/>
        <w:spacing w:line="276" w:lineRule="auto"/>
        <w:ind w:left="0"/>
        <w:jc w:val="center"/>
        <w:rPr>
          <w:rFonts w:cs="Arial"/>
          <w:b/>
          <w:sz w:val="22"/>
          <w:szCs w:val="22"/>
          <w:highlight w:val="yellow"/>
          <w:lang w:val="es-CO"/>
        </w:rPr>
      </w:pPr>
    </w:p>
    <w:p w:rsidR="00836DC1" w:rsidRPr="00CC659B" w:rsidRDefault="00836DC1" w:rsidP="00836DC1">
      <w:pPr>
        <w:pStyle w:val="Sangradetextonormal"/>
        <w:tabs>
          <w:tab w:val="left" w:pos="426"/>
        </w:tabs>
        <w:spacing w:line="276" w:lineRule="auto"/>
        <w:ind w:left="0"/>
        <w:rPr>
          <w:rFonts w:cs="Arial"/>
          <w:b/>
          <w:sz w:val="22"/>
          <w:szCs w:val="22"/>
          <w:lang w:val="es-CO"/>
        </w:rPr>
      </w:pPr>
      <w:r w:rsidRPr="00CC659B">
        <w:rPr>
          <w:rFonts w:cs="Arial"/>
          <w:b/>
          <w:sz w:val="22"/>
          <w:szCs w:val="22"/>
          <w:lang w:val="es-CO"/>
        </w:rPr>
        <w:t>PRIMERO:</w:t>
      </w:r>
      <w:r w:rsidRPr="00CC659B">
        <w:rPr>
          <w:rFonts w:cs="Arial"/>
          <w:sz w:val="22"/>
          <w:szCs w:val="22"/>
          <w:lang w:val="es-CO"/>
        </w:rPr>
        <w:t xml:space="preserve"> NIÉGUESE </w:t>
      </w:r>
      <w:r>
        <w:rPr>
          <w:rFonts w:cs="Arial"/>
          <w:sz w:val="22"/>
          <w:szCs w:val="22"/>
          <w:lang w:val="es-CO"/>
        </w:rPr>
        <w:t xml:space="preserve">POR IMPROCEDENTE </w:t>
      </w:r>
      <w:r w:rsidRPr="00CC659B">
        <w:rPr>
          <w:rFonts w:cs="Arial"/>
          <w:sz w:val="22"/>
          <w:szCs w:val="22"/>
          <w:lang w:val="es-CO"/>
        </w:rPr>
        <w:t>la Acción de Tutela impetrada por CLAUDIO ERNESTO CANO IBÁÑEZ, por las razones expuestas en la parte motiva de esta providencia.</w:t>
      </w:r>
    </w:p>
    <w:p w:rsidR="00836DC1" w:rsidRPr="00CC659B" w:rsidRDefault="00836DC1" w:rsidP="00836DC1">
      <w:pPr>
        <w:pStyle w:val="Textoindependiente"/>
        <w:spacing w:after="0" w:line="276" w:lineRule="auto"/>
        <w:jc w:val="both"/>
        <w:rPr>
          <w:rFonts w:cs="Arial"/>
          <w:sz w:val="22"/>
          <w:szCs w:val="22"/>
          <w:highlight w:val="yellow"/>
          <w:lang w:val="es-CO"/>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b/>
          <w:sz w:val="22"/>
          <w:szCs w:val="22"/>
          <w:lang w:val="es-CO"/>
        </w:rPr>
        <w:t>SEGUNDO:</w:t>
      </w:r>
      <w:r w:rsidRPr="00CC659B">
        <w:rPr>
          <w:rFonts w:ascii="Arial" w:hAnsi="Arial" w:cs="Arial"/>
          <w:sz w:val="22"/>
          <w:szCs w:val="22"/>
          <w:lang w:val="es-CO"/>
        </w:rPr>
        <w:t xml:space="preserve"> Comuníquese por el medio más expedito la presente providencia a la accionante CLAUDIO ERNESTO CANO IBÁÑEZ y al </w:t>
      </w:r>
      <w:r w:rsidRPr="00CC659B">
        <w:rPr>
          <w:rFonts w:ascii="Arial" w:hAnsi="Arial" w:cs="Arial"/>
          <w:sz w:val="22"/>
          <w:szCs w:val="22"/>
          <w:lang w:val="es-MX"/>
        </w:rPr>
        <w:t>Representante Legal de la</w:t>
      </w:r>
      <w:r w:rsidRPr="00CC659B">
        <w:rPr>
          <w:rFonts w:ascii="Arial" w:hAnsi="Arial" w:cs="Arial"/>
          <w:sz w:val="22"/>
          <w:szCs w:val="22"/>
        </w:rPr>
        <w:t xml:space="preserve"> </w:t>
      </w:r>
      <w:r w:rsidRPr="00CC659B">
        <w:rPr>
          <w:rFonts w:ascii="Arial" w:hAnsi="Arial" w:cs="Arial"/>
          <w:sz w:val="22"/>
          <w:szCs w:val="22"/>
          <w:lang w:val="es-MX"/>
        </w:rPr>
        <w:t xml:space="preserve">ADMINISTRADORA COLOMBIANA DE PENSIONES (COLPENSIONES) y de FIDUAGRARIA </w:t>
      </w:r>
      <w:r w:rsidRPr="00CC659B">
        <w:rPr>
          <w:rFonts w:ascii="Arial" w:hAnsi="Arial" w:cs="Arial"/>
          <w:sz w:val="22"/>
          <w:szCs w:val="22"/>
        </w:rPr>
        <w:t xml:space="preserve"> y/o a quien haga sus veces</w:t>
      </w:r>
      <w:r w:rsidRPr="00CC659B">
        <w:rPr>
          <w:rFonts w:ascii="Arial" w:hAnsi="Arial" w:cs="Arial"/>
          <w:sz w:val="22"/>
          <w:szCs w:val="22"/>
          <w:lang w:val="es-CO"/>
        </w:rPr>
        <w:t xml:space="preserve">. </w:t>
      </w:r>
    </w:p>
    <w:p w:rsidR="00836DC1" w:rsidRPr="00CC659B" w:rsidRDefault="00836DC1" w:rsidP="00836DC1">
      <w:pPr>
        <w:spacing w:line="276" w:lineRule="auto"/>
        <w:jc w:val="both"/>
        <w:rPr>
          <w:rFonts w:ascii="Arial" w:hAnsi="Arial" w:cs="Arial"/>
          <w:sz w:val="22"/>
          <w:szCs w:val="22"/>
          <w:lang w:val="es-CO"/>
        </w:rPr>
      </w:pPr>
    </w:p>
    <w:p w:rsidR="00836DC1" w:rsidRPr="00CC659B" w:rsidRDefault="00836DC1" w:rsidP="00836DC1">
      <w:pPr>
        <w:spacing w:line="276" w:lineRule="auto"/>
        <w:jc w:val="both"/>
        <w:rPr>
          <w:rFonts w:ascii="Arial" w:hAnsi="Arial" w:cs="Arial"/>
          <w:sz w:val="22"/>
          <w:szCs w:val="22"/>
          <w:lang w:val="es-CO"/>
        </w:rPr>
      </w:pPr>
      <w:r w:rsidRPr="00CC659B">
        <w:rPr>
          <w:rFonts w:ascii="Arial" w:hAnsi="Arial" w:cs="Arial"/>
          <w:b/>
          <w:sz w:val="22"/>
          <w:szCs w:val="22"/>
          <w:lang w:val="es-CO"/>
        </w:rPr>
        <w:t>TERCERO.-</w:t>
      </w:r>
      <w:r w:rsidRPr="00CC659B">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836DC1" w:rsidRPr="00CC659B" w:rsidRDefault="00836DC1" w:rsidP="00836DC1">
      <w:pPr>
        <w:spacing w:line="276" w:lineRule="auto"/>
        <w:jc w:val="both"/>
        <w:rPr>
          <w:rFonts w:ascii="Arial" w:hAnsi="Arial" w:cs="Arial"/>
          <w:sz w:val="22"/>
          <w:szCs w:val="22"/>
          <w:lang w:val="es-CO"/>
        </w:rPr>
      </w:pPr>
    </w:p>
    <w:p w:rsidR="00836DC1" w:rsidRPr="00CC659B" w:rsidRDefault="00836DC1" w:rsidP="00836DC1">
      <w:pPr>
        <w:pStyle w:val="Sangra2detindependiente"/>
        <w:spacing w:line="276" w:lineRule="auto"/>
        <w:ind w:firstLine="0"/>
        <w:rPr>
          <w:rFonts w:cs="Arial"/>
          <w:b/>
          <w:sz w:val="22"/>
          <w:szCs w:val="22"/>
          <w:lang w:val="es-CO"/>
        </w:rPr>
      </w:pPr>
      <w:r w:rsidRPr="00CC659B">
        <w:rPr>
          <w:rFonts w:cs="Arial"/>
          <w:b/>
          <w:sz w:val="22"/>
          <w:szCs w:val="22"/>
          <w:lang w:val="es-CO"/>
        </w:rPr>
        <w:t>CÓPIESE, NOTIFÍQUESE y CÚMPLASE,</w:t>
      </w:r>
    </w:p>
    <w:p w:rsidR="00836DC1" w:rsidRPr="00CC659B" w:rsidRDefault="00836DC1" w:rsidP="00836DC1">
      <w:pPr>
        <w:pStyle w:val="Sangra2detindependiente"/>
        <w:spacing w:line="276" w:lineRule="auto"/>
        <w:ind w:firstLine="0"/>
        <w:rPr>
          <w:rFonts w:cs="Arial"/>
          <w:b/>
          <w:sz w:val="22"/>
          <w:szCs w:val="22"/>
          <w:lang w:val="es-CO"/>
        </w:rPr>
      </w:pPr>
    </w:p>
    <w:p w:rsidR="00836DC1" w:rsidRPr="00CC659B" w:rsidRDefault="00836DC1" w:rsidP="00836DC1">
      <w:pPr>
        <w:spacing w:line="276" w:lineRule="auto"/>
        <w:jc w:val="center"/>
        <w:rPr>
          <w:rFonts w:ascii="Arial" w:hAnsi="Arial" w:cs="Arial"/>
          <w:b/>
          <w:sz w:val="22"/>
          <w:szCs w:val="22"/>
          <w:lang w:val="es-CO"/>
        </w:rPr>
      </w:pPr>
      <w:r w:rsidRPr="00CC659B">
        <w:rPr>
          <w:rFonts w:ascii="Arial" w:hAnsi="Arial" w:cs="Arial"/>
          <w:b/>
          <w:sz w:val="22"/>
          <w:szCs w:val="22"/>
          <w:lang w:val="es-CO"/>
        </w:rPr>
        <w:t>OLGA CECILIA HENAO MARÍN</w:t>
      </w:r>
    </w:p>
    <w:p w:rsidR="00836DC1" w:rsidRPr="00CC659B" w:rsidRDefault="00836DC1" w:rsidP="00836DC1">
      <w:pPr>
        <w:spacing w:line="276" w:lineRule="auto"/>
        <w:jc w:val="center"/>
        <w:rPr>
          <w:rFonts w:ascii="Arial" w:hAnsi="Arial" w:cs="Arial"/>
          <w:sz w:val="22"/>
          <w:szCs w:val="22"/>
          <w:lang w:val="es-CO"/>
        </w:rPr>
      </w:pPr>
      <w:r w:rsidRPr="00CC659B">
        <w:rPr>
          <w:rFonts w:ascii="Arial" w:hAnsi="Arial" w:cs="Arial"/>
          <w:sz w:val="22"/>
          <w:szCs w:val="22"/>
          <w:lang w:val="es-CO"/>
        </w:rPr>
        <w:t>Juez</w:t>
      </w:r>
    </w:p>
    <w:p w:rsidR="00836DC1" w:rsidRPr="00CC659B" w:rsidRDefault="00836DC1" w:rsidP="00836DC1">
      <w:pPr>
        <w:spacing w:line="276" w:lineRule="auto"/>
        <w:jc w:val="both"/>
        <w:rPr>
          <w:rFonts w:ascii="Arial" w:hAnsi="Arial" w:cs="Arial"/>
          <w:sz w:val="10"/>
          <w:szCs w:val="22"/>
          <w:lang w:val="es-CO"/>
        </w:rPr>
      </w:pPr>
      <w:r w:rsidRPr="00CC659B">
        <w:rPr>
          <w:rFonts w:ascii="Arial" w:hAnsi="Arial" w:cs="Arial"/>
          <w:sz w:val="10"/>
          <w:szCs w:val="22"/>
          <w:lang w:val="es-CO"/>
        </w:rPr>
        <w:t>JBR</w:t>
      </w:r>
    </w:p>
    <w:p w:rsidR="00836DC1" w:rsidRPr="00CC659B" w:rsidRDefault="00836DC1" w:rsidP="00836DC1">
      <w:pPr>
        <w:spacing w:line="276" w:lineRule="auto"/>
        <w:rPr>
          <w:rFonts w:ascii="Arial" w:hAnsi="Arial" w:cs="Arial"/>
          <w:sz w:val="22"/>
          <w:szCs w:val="22"/>
          <w:lang w:val="es-CO"/>
        </w:rPr>
      </w:pPr>
    </w:p>
    <w:p w:rsidR="00836DC1" w:rsidRPr="00CC659B" w:rsidRDefault="00836DC1" w:rsidP="00836DC1">
      <w:pPr>
        <w:spacing w:line="276" w:lineRule="auto"/>
        <w:rPr>
          <w:rFonts w:ascii="Arial" w:hAnsi="Arial" w:cs="Arial"/>
          <w:sz w:val="22"/>
          <w:szCs w:val="22"/>
          <w:lang w:val="es-CO"/>
        </w:rPr>
      </w:pPr>
    </w:p>
    <w:p w:rsidR="00977E91" w:rsidRDefault="00253813"/>
    <w:sectPr w:rsidR="00977E91"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13" w:rsidRDefault="00253813" w:rsidP="00836DC1">
      <w:r>
        <w:separator/>
      </w:r>
    </w:p>
  </w:endnote>
  <w:endnote w:type="continuationSeparator" w:id="0">
    <w:p w:rsidR="00253813" w:rsidRDefault="00253813" w:rsidP="0083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13" w:rsidRDefault="00253813" w:rsidP="00836DC1">
      <w:r>
        <w:separator/>
      </w:r>
    </w:p>
  </w:footnote>
  <w:footnote w:type="continuationSeparator" w:id="0">
    <w:p w:rsidR="00253813" w:rsidRDefault="00253813" w:rsidP="00836DC1">
      <w:r>
        <w:continuationSeparator/>
      </w:r>
    </w:p>
  </w:footnote>
  <w:footnote w:id="1">
    <w:p w:rsidR="00836DC1" w:rsidRPr="005F621E" w:rsidRDefault="00836DC1" w:rsidP="00836DC1">
      <w:pPr>
        <w:jc w:val="both"/>
        <w:rPr>
          <w:rFonts w:ascii="Arial" w:hAnsi="Arial" w:cs="Arial"/>
          <w:sz w:val="16"/>
          <w:szCs w:val="16"/>
        </w:rPr>
      </w:pPr>
      <w:r w:rsidRPr="005F621E">
        <w:rPr>
          <w:rStyle w:val="Refdenotaalpie"/>
          <w:rFonts w:ascii="Arial" w:hAnsi="Arial" w:cs="Arial"/>
          <w:sz w:val="16"/>
          <w:szCs w:val="16"/>
        </w:rPr>
        <w:footnoteRef/>
      </w:r>
      <w:r w:rsidRPr="005F621E">
        <w:rPr>
          <w:rFonts w:ascii="Arial" w:hAnsi="Arial" w:cs="Arial"/>
          <w:sz w:val="16"/>
          <w:szCs w:val="16"/>
        </w:rPr>
        <w:t xml:space="preserve"> Según Sentencia de la Corte Constitucional: </w:t>
      </w:r>
      <w:r w:rsidRPr="005F621E">
        <w:rPr>
          <w:rFonts w:ascii="Arial" w:hAnsi="Arial" w:cs="Arial"/>
          <w:b/>
          <w:i/>
          <w:sz w:val="16"/>
          <w:szCs w:val="16"/>
        </w:rPr>
        <w:t>“no basta pues, afirmar la irreparabilidad del perjuicio de un daño, sino, ofrecer las explicaciones y pruebas correspondientes, para que el juez de tutela adquiera certeza sobre su decisión”</w:t>
      </w:r>
      <w:r w:rsidRPr="005F621E">
        <w:rPr>
          <w:rFonts w:ascii="Arial" w:hAnsi="Arial" w:cs="Arial"/>
          <w:sz w:val="16"/>
          <w:szCs w:val="16"/>
        </w:rPr>
        <w:t xml:space="preserve"> (</w:t>
      </w:r>
      <w:r w:rsidRPr="005F621E">
        <w:rPr>
          <w:rFonts w:ascii="Arial" w:hAnsi="Arial" w:cs="Arial"/>
          <w:b/>
          <w:sz w:val="16"/>
          <w:szCs w:val="16"/>
        </w:rPr>
        <w:t xml:space="preserve">Sentencia T-449 de </w:t>
      </w:r>
      <w:smartTag w:uri="urn:schemas-microsoft-com:office:smarttags" w:element="metricconverter">
        <w:smartTagPr>
          <w:attr w:name="ProductID" w:val="1998, M"/>
        </w:smartTagPr>
        <w:r w:rsidRPr="005F621E">
          <w:rPr>
            <w:rFonts w:ascii="Arial" w:hAnsi="Arial" w:cs="Arial"/>
            <w:b/>
            <w:sz w:val="16"/>
            <w:szCs w:val="16"/>
          </w:rPr>
          <w:t>1998, M</w:t>
        </w:r>
      </w:smartTag>
      <w:r w:rsidRPr="005F621E">
        <w:rPr>
          <w:rFonts w:ascii="Arial" w:hAnsi="Arial" w:cs="Arial"/>
          <w:b/>
          <w:sz w:val="16"/>
          <w:szCs w:val="16"/>
        </w:rPr>
        <w:t>.P. Dr. Alfredo Beltrán Sierra</w:t>
      </w:r>
      <w:r w:rsidRPr="005F621E">
        <w:rPr>
          <w:rFonts w:ascii="Arial" w:hAnsi="Arial" w:cs="Arial"/>
          <w:sz w:val="16"/>
          <w:szCs w:val="16"/>
        </w:rPr>
        <w:t>).</w:t>
      </w:r>
    </w:p>
    <w:p w:rsidR="00836DC1" w:rsidRPr="005F621E" w:rsidRDefault="00836DC1" w:rsidP="00836DC1">
      <w:pPr>
        <w:pStyle w:val="Textoindependiente2"/>
        <w:spacing w:after="0" w:line="240" w:lineRule="auto"/>
        <w:jc w:val="both"/>
        <w:rPr>
          <w:rFonts w:ascii="Arial" w:hAnsi="Arial" w:cs="Arial"/>
          <w:b/>
          <w:i/>
          <w:sz w:val="16"/>
          <w:szCs w:val="16"/>
        </w:rPr>
      </w:pPr>
      <w:r w:rsidRPr="005F621E">
        <w:rPr>
          <w:rFonts w:ascii="Arial" w:hAnsi="Arial" w:cs="Arial"/>
          <w:iCs/>
          <w:sz w:val="16"/>
          <w:szCs w:val="16"/>
          <w:lang w:val="es-ES_tradnl"/>
        </w:rPr>
        <w:t>La definición y características del perjuicio irremediable han sido señaladas por la Corte Constitucional así:</w:t>
      </w:r>
      <w:r w:rsidRPr="005F621E">
        <w:rPr>
          <w:rFonts w:ascii="Arial" w:hAnsi="Arial" w:cs="Arial"/>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5F621E">
        <w:rPr>
          <w:rFonts w:ascii="Arial" w:hAnsi="Arial" w:cs="Arial"/>
          <w:b/>
          <w:i/>
          <w:sz w:val="16"/>
          <w:szCs w:val="16"/>
        </w:rPr>
        <w:t>Sentencia T-348/97, M.P. Dr. Eduardo Cifuentes M.)</w:t>
      </w:r>
    </w:p>
  </w:footnote>
  <w:footnote w:id="2">
    <w:p w:rsidR="00836DC1" w:rsidRPr="005F621E" w:rsidRDefault="00836DC1" w:rsidP="00836DC1">
      <w:pPr>
        <w:jc w:val="both"/>
        <w:rPr>
          <w:rFonts w:ascii="Arial" w:hAnsi="Arial" w:cs="Arial"/>
          <w:i/>
          <w:sz w:val="16"/>
          <w:szCs w:val="16"/>
        </w:rPr>
      </w:pPr>
      <w:r w:rsidRPr="005F621E">
        <w:rPr>
          <w:rStyle w:val="Refdenotaalpie"/>
          <w:rFonts w:ascii="Arial" w:hAnsi="Arial" w:cs="Arial"/>
          <w:i/>
          <w:sz w:val="16"/>
          <w:szCs w:val="16"/>
        </w:rPr>
        <w:footnoteRef/>
      </w:r>
      <w:r w:rsidRPr="005F621E">
        <w:rPr>
          <w:rFonts w:ascii="Arial" w:hAnsi="Arial" w:cs="Arial"/>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836DC1" w:rsidRPr="005F621E" w:rsidRDefault="00836DC1" w:rsidP="00836DC1">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285AE1" w:rsidRDefault="00A13C6D"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Expediente No. </w:t>
    </w:r>
    <w:r>
      <w:rPr>
        <w:rFonts w:ascii="Arial" w:hAnsi="Arial" w:cs="Arial"/>
        <w:smallCaps/>
        <w:sz w:val="16"/>
        <w:szCs w:val="16"/>
        <w:lang w:val="es-MX"/>
      </w:rPr>
      <w:t>2019-0270</w:t>
    </w:r>
  </w:p>
  <w:p w:rsidR="00C61423" w:rsidRPr="00285AE1" w:rsidRDefault="00A13C6D"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FALLO DE PRIMERA INSTANCIA</w:t>
    </w:r>
  </w:p>
  <w:p w:rsidR="00C61423" w:rsidRPr="00285AE1" w:rsidRDefault="00A13C6D"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ACCIÓN DE TUTELA</w:t>
    </w:r>
  </w:p>
  <w:p w:rsidR="00C61423" w:rsidRDefault="00A13C6D"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Página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PAGE </w:instrText>
    </w:r>
    <w:r w:rsidRPr="00285AE1">
      <w:rPr>
        <w:rFonts w:ascii="Arial" w:hAnsi="Arial" w:cs="Arial"/>
        <w:smallCaps/>
        <w:sz w:val="16"/>
        <w:szCs w:val="16"/>
        <w:lang w:val="es-MX"/>
      </w:rPr>
      <w:fldChar w:fldCharType="separate"/>
    </w:r>
    <w:r w:rsidR="000D3151">
      <w:rPr>
        <w:rFonts w:ascii="Arial" w:hAnsi="Arial" w:cs="Arial"/>
        <w:smallCaps/>
        <w:noProof/>
        <w:sz w:val="16"/>
        <w:szCs w:val="16"/>
        <w:lang w:val="es-MX"/>
      </w:rPr>
      <w:t>6</w:t>
    </w:r>
    <w:r w:rsidRPr="00285AE1">
      <w:rPr>
        <w:rFonts w:ascii="Arial" w:hAnsi="Arial" w:cs="Arial"/>
        <w:smallCaps/>
        <w:sz w:val="16"/>
        <w:szCs w:val="16"/>
        <w:lang w:val="es-MX"/>
      </w:rPr>
      <w:fldChar w:fldCharType="end"/>
    </w:r>
    <w:r w:rsidRPr="00285AE1">
      <w:rPr>
        <w:rFonts w:ascii="Arial" w:hAnsi="Arial" w:cs="Arial"/>
        <w:smallCaps/>
        <w:sz w:val="16"/>
        <w:szCs w:val="16"/>
        <w:lang w:val="es-MX"/>
      </w:rPr>
      <w:t xml:space="preserve"> de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NUMPAGES </w:instrText>
    </w:r>
    <w:r w:rsidRPr="00285AE1">
      <w:rPr>
        <w:rFonts w:ascii="Arial" w:hAnsi="Arial" w:cs="Arial"/>
        <w:smallCaps/>
        <w:sz w:val="16"/>
        <w:szCs w:val="16"/>
        <w:lang w:val="es-MX"/>
      </w:rPr>
      <w:fldChar w:fldCharType="separate"/>
    </w:r>
    <w:r w:rsidR="000D3151">
      <w:rPr>
        <w:rFonts w:ascii="Arial" w:hAnsi="Arial" w:cs="Arial"/>
        <w:smallCaps/>
        <w:noProof/>
        <w:sz w:val="16"/>
        <w:szCs w:val="16"/>
        <w:lang w:val="es-MX"/>
      </w:rPr>
      <w:t>6</w:t>
    </w:r>
    <w:r w:rsidRPr="00285AE1">
      <w:rPr>
        <w:rFonts w:ascii="Arial" w:hAnsi="Arial" w:cs="Arial"/>
        <w:smallCaps/>
        <w:sz w:val="16"/>
        <w:szCs w:val="16"/>
        <w:lang w:val="es-MX"/>
      </w:rPr>
      <w:fldChar w:fldCharType="end"/>
    </w:r>
  </w:p>
  <w:p w:rsidR="009856F4" w:rsidRPr="00285AE1" w:rsidRDefault="00253813"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A9" w:rsidRDefault="00253813" w:rsidP="00C61423">
    <w:pPr>
      <w:tabs>
        <w:tab w:val="center" w:pos="4419"/>
        <w:tab w:val="right" w:pos="8838"/>
      </w:tabs>
      <w:jc w:val="center"/>
      <w:rPr>
        <w:rFonts w:ascii="Tahoma" w:eastAsiaTheme="minorHAnsi" w:hAnsi="Tahoma" w:cs="Tahoma"/>
        <w:sz w:val="16"/>
        <w:szCs w:val="16"/>
        <w:lang w:val="es-CO" w:eastAsia="en-US"/>
      </w:rPr>
    </w:pPr>
  </w:p>
  <w:p w:rsidR="00C61423" w:rsidRPr="00571774" w:rsidRDefault="00A13C6D" w:rsidP="00C61423">
    <w:pPr>
      <w:tabs>
        <w:tab w:val="center" w:pos="4419"/>
        <w:tab w:val="right" w:pos="8838"/>
      </w:tabs>
      <w:jc w:val="center"/>
      <w:rPr>
        <w:rFonts w:ascii="Tahoma" w:eastAsiaTheme="minorHAnsi" w:hAnsi="Tahoma" w:cs="Tahoma"/>
        <w:sz w:val="16"/>
        <w:szCs w:val="16"/>
        <w:lang w:val="es-CO" w:eastAsia="en-US"/>
      </w:rPr>
    </w:pPr>
    <w:r w:rsidRPr="00571774">
      <w:rPr>
        <w:rFonts w:ascii="Tahoma" w:hAnsi="Tahoma" w:cs="Tahoma"/>
        <w:noProof/>
        <w:sz w:val="16"/>
        <w:szCs w:val="16"/>
        <w:lang w:val="es-CO" w:eastAsia="es-CO"/>
      </w:rPr>
      <w:drawing>
        <wp:inline distT="0" distB="0" distL="0" distR="0" wp14:anchorId="792B1A7F" wp14:editId="05A46357">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71774" w:rsidRDefault="00A13C6D" w:rsidP="00C61423">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rsidR="00C61423" w:rsidRPr="00571774" w:rsidRDefault="00A13C6D" w:rsidP="00C61423">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rsidR="00C61423" w:rsidRPr="00571774" w:rsidRDefault="00A13C6D" w:rsidP="00C61423">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rsidR="00C61423" w:rsidRPr="00571774" w:rsidRDefault="00253813">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BE596A"/>
    <w:multiLevelType w:val="hybridMultilevel"/>
    <w:tmpl w:val="B18E06E2"/>
    <w:lvl w:ilvl="0" w:tplc="2766FB06">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57D727C5"/>
    <w:multiLevelType w:val="multilevel"/>
    <w:tmpl w:val="F46C8EBA"/>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C1"/>
    <w:rsid w:val="00041F99"/>
    <w:rsid w:val="000D3151"/>
    <w:rsid w:val="00167985"/>
    <w:rsid w:val="00253813"/>
    <w:rsid w:val="0035280B"/>
    <w:rsid w:val="00380A99"/>
    <w:rsid w:val="003C778E"/>
    <w:rsid w:val="004D47E8"/>
    <w:rsid w:val="005E7B5B"/>
    <w:rsid w:val="00836DC1"/>
    <w:rsid w:val="0098707E"/>
    <w:rsid w:val="009E7D9B"/>
    <w:rsid w:val="00A13C6D"/>
    <w:rsid w:val="00B355E6"/>
    <w:rsid w:val="00C360B1"/>
    <w:rsid w:val="00CB5550"/>
    <w:rsid w:val="00D22E52"/>
    <w:rsid w:val="00EB1047"/>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022709-9FF4-43CD-8E34-E0D43F39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DC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36DC1"/>
    <w:rPr>
      <w:sz w:val="20"/>
      <w:szCs w:val="20"/>
    </w:rPr>
  </w:style>
  <w:style w:type="character" w:customStyle="1" w:styleId="TextonotapieCar">
    <w:name w:val="Texto nota pie Car"/>
    <w:basedOn w:val="Fuentedeprrafopredeter"/>
    <w:link w:val="Textonotapie"/>
    <w:uiPriority w:val="99"/>
    <w:rsid w:val="00836DC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836DC1"/>
    <w:rPr>
      <w:vertAlign w:val="superscript"/>
    </w:rPr>
  </w:style>
  <w:style w:type="paragraph" w:styleId="Sangradetextonormal">
    <w:name w:val="Body Text Indent"/>
    <w:basedOn w:val="Normal"/>
    <w:link w:val="SangradetextonormalCar"/>
    <w:rsid w:val="00836DC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36DC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36DC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36DC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36DC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36DC1"/>
    <w:rPr>
      <w:rFonts w:ascii="Arial" w:eastAsia="Times New Roman" w:hAnsi="Arial" w:cs="Times New Roman"/>
      <w:sz w:val="24"/>
      <w:szCs w:val="20"/>
      <w:lang w:val="x-none" w:eastAsia="es-ES"/>
    </w:rPr>
  </w:style>
  <w:style w:type="paragraph" w:styleId="Prrafodelista">
    <w:name w:val="List Paragraph"/>
    <w:basedOn w:val="Normal"/>
    <w:uiPriority w:val="34"/>
    <w:qFormat/>
    <w:rsid w:val="00836DC1"/>
    <w:pPr>
      <w:ind w:left="720"/>
      <w:contextualSpacing/>
    </w:pPr>
    <w:rPr>
      <w:rFonts w:ascii="Arial" w:hAnsi="Arial"/>
      <w:szCs w:val="20"/>
      <w:lang w:val="es-CO"/>
    </w:rPr>
  </w:style>
  <w:style w:type="paragraph" w:styleId="Encabezado">
    <w:name w:val="header"/>
    <w:basedOn w:val="Normal"/>
    <w:link w:val="EncabezadoCar"/>
    <w:unhideWhenUsed/>
    <w:rsid w:val="00836DC1"/>
    <w:pPr>
      <w:tabs>
        <w:tab w:val="center" w:pos="4419"/>
        <w:tab w:val="right" w:pos="8838"/>
      </w:tabs>
    </w:pPr>
  </w:style>
  <w:style w:type="character" w:customStyle="1" w:styleId="EncabezadoCar">
    <w:name w:val="Encabezado Car"/>
    <w:basedOn w:val="Fuentedeprrafopredeter"/>
    <w:link w:val="Encabezado"/>
    <w:rsid w:val="00836DC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36DC1"/>
    <w:pPr>
      <w:spacing w:after="120" w:line="480" w:lineRule="auto"/>
    </w:pPr>
  </w:style>
  <w:style w:type="character" w:customStyle="1" w:styleId="Textoindependiente2Car">
    <w:name w:val="Texto independiente 2 Car"/>
    <w:basedOn w:val="Fuentedeprrafopredeter"/>
    <w:link w:val="Textoindependiente2"/>
    <w:uiPriority w:val="99"/>
    <w:rsid w:val="00836DC1"/>
    <w:rPr>
      <w:rFonts w:ascii="Times New Roman" w:eastAsia="Times New Roman" w:hAnsi="Times New Roman" w:cs="Times New Roman"/>
      <w:sz w:val="24"/>
      <w:szCs w:val="24"/>
      <w:lang w:eastAsia="es-ES"/>
    </w:rPr>
  </w:style>
  <w:style w:type="paragraph" w:styleId="Puesto">
    <w:name w:val="Title"/>
    <w:basedOn w:val="Normal"/>
    <w:link w:val="PuestoCar"/>
    <w:qFormat/>
    <w:rsid w:val="00836DC1"/>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836DC1"/>
    <w:rPr>
      <w:rFonts w:ascii="Arial" w:eastAsia="Times New Roman" w:hAnsi="Arial" w:cs="Times New Roman"/>
      <w:b/>
      <w:sz w:val="28"/>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14001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2019-09-26T20:17:00Z</dcterms:created>
  <dcterms:modified xsi:type="dcterms:W3CDTF">2019-09-26T20:17:00Z</dcterms:modified>
</cp:coreProperties>
</file>