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52"/>
      </w:tblGrid>
      <w:tr w:rsidR="00F36736" w:rsidRPr="000276A7" w:rsidTr="001D1ACA">
        <w:tc>
          <w:tcPr>
            <w:tcW w:w="2268" w:type="dxa"/>
          </w:tcPr>
          <w:p w:rsidR="00F36736" w:rsidRPr="000276A7" w:rsidRDefault="00F36736" w:rsidP="005E48D8">
            <w:pPr>
              <w:spacing w:after="0"/>
              <w:jc w:val="both"/>
              <w:rPr>
                <w:rFonts w:ascii="Arial Narrow" w:hAnsi="Arial Narrow" w:cs="Tahoma"/>
                <w:sz w:val="20"/>
                <w:szCs w:val="20"/>
              </w:rPr>
            </w:pPr>
            <w:r w:rsidRPr="000276A7">
              <w:rPr>
                <w:rFonts w:ascii="Arial Narrow" w:hAnsi="Arial Narrow" w:cs="Tahoma"/>
                <w:sz w:val="20"/>
                <w:szCs w:val="20"/>
              </w:rPr>
              <w:t>CIUDAD Y FECHA</w:t>
            </w:r>
          </w:p>
        </w:tc>
        <w:tc>
          <w:tcPr>
            <w:tcW w:w="6552" w:type="dxa"/>
          </w:tcPr>
          <w:p w:rsidR="00F36736" w:rsidRPr="000276A7" w:rsidRDefault="00F36736" w:rsidP="000276A7">
            <w:pPr>
              <w:spacing w:after="0"/>
              <w:jc w:val="both"/>
              <w:rPr>
                <w:rFonts w:ascii="Arial Narrow" w:hAnsi="Arial Narrow" w:cs="Tahoma"/>
                <w:b/>
                <w:sz w:val="20"/>
                <w:szCs w:val="20"/>
              </w:rPr>
            </w:pPr>
            <w:r w:rsidRPr="000276A7">
              <w:rPr>
                <w:rFonts w:ascii="Arial Narrow" w:hAnsi="Arial Narrow" w:cs="Tahoma"/>
                <w:b/>
                <w:sz w:val="20"/>
                <w:szCs w:val="20"/>
              </w:rPr>
              <w:t xml:space="preserve">Bogotá D.C., </w:t>
            </w:r>
            <w:r w:rsidRPr="000276A7">
              <w:rPr>
                <w:rFonts w:ascii="Arial Narrow" w:hAnsi="Arial Narrow" w:cs="Tahoma"/>
                <w:b/>
                <w:sz w:val="20"/>
                <w:szCs w:val="20"/>
              </w:rPr>
              <w:fldChar w:fldCharType="begin"/>
            </w:r>
            <w:r w:rsidRPr="000276A7">
              <w:rPr>
                <w:rFonts w:ascii="Arial Narrow" w:hAnsi="Arial Narrow" w:cs="Tahoma"/>
                <w:b/>
                <w:sz w:val="20"/>
                <w:szCs w:val="20"/>
              </w:rPr>
              <w:instrText xml:space="preserve"> MERGEFIELD FECHA_AUTO_ </w:instrText>
            </w:r>
            <w:r w:rsidRPr="000276A7">
              <w:rPr>
                <w:rFonts w:ascii="Arial Narrow" w:hAnsi="Arial Narrow" w:cs="Tahoma"/>
                <w:b/>
                <w:sz w:val="20"/>
                <w:szCs w:val="20"/>
              </w:rPr>
              <w:fldChar w:fldCharType="separate"/>
            </w:r>
            <w:r w:rsidR="000276A7" w:rsidRPr="000276A7">
              <w:rPr>
                <w:rFonts w:ascii="Arial Narrow" w:hAnsi="Arial Narrow" w:cs="Tahoma"/>
                <w:b/>
                <w:sz w:val="20"/>
                <w:szCs w:val="20"/>
              </w:rPr>
              <w:t>veintinueve (29)</w:t>
            </w:r>
            <w:r w:rsidRPr="000276A7">
              <w:rPr>
                <w:rFonts w:ascii="Arial Narrow" w:hAnsi="Arial Narrow" w:cs="Tahoma"/>
                <w:b/>
                <w:sz w:val="20"/>
                <w:szCs w:val="20"/>
              </w:rPr>
              <w:t xml:space="preserve"> de marzo de dos mil diecinueve (2019)</w:t>
            </w:r>
            <w:r w:rsidRPr="000276A7">
              <w:rPr>
                <w:rFonts w:ascii="Arial Narrow" w:hAnsi="Arial Narrow" w:cs="Tahoma"/>
                <w:b/>
                <w:sz w:val="20"/>
                <w:szCs w:val="20"/>
              </w:rPr>
              <w:fldChar w:fldCharType="end"/>
            </w:r>
          </w:p>
        </w:tc>
      </w:tr>
      <w:tr w:rsidR="00F36736" w:rsidRPr="000276A7" w:rsidTr="001D1ACA">
        <w:tc>
          <w:tcPr>
            <w:tcW w:w="2268" w:type="dxa"/>
          </w:tcPr>
          <w:p w:rsidR="00F36736" w:rsidRPr="000276A7" w:rsidRDefault="00F36736" w:rsidP="005E48D8">
            <w:pPr>
              <w:spacing w:after="0"/>
              <w:jc w:val="both"/>
              <w:rPr>
                <w:rFonts w:ascii="Arial Narrow" w:hAnsi="Arial Narrow" w:cs="Tahoma"/>
                <w:sz w:val="20"/>
                <w:szCs w:val="20"/>
              </w:rPr>
            </w:pPr>
            <w:r w:rsidRPr="000276A7">
              <w:rPr>
                <w:rFonts w:ascii="Arial Narrow" w:hAnsi="Arial Narrow" w:cs="Tahoma"/>
                <w:sz w:val="20"/>
                <w:szCs w:val="20"/>
              </w:rPr>
              <w:t>REFERENCIA</w:t>
            </w:r>
          </w:p>
        </w:tc>
        <w:tc>
          <w:tcPr>
            <w:tcW w:w="6552" w:type="dxa"/>
          </w:tcPr>
          <w:p w:rsidR="00F36736" w:rsidRPr="000276A7" w:rsidRDefault="00F36736" w:rsidP="005E48D8">
            <w:pPr>
              <w:spacing w:after="0"/>
              <w:jc w:val="both"/>
              <w:rPr>
                <w:rFonts w:ascii="Arial Narrow" w:hAnsi="Arial Narrow" w:cs="Tahoma"/>
                <w:b/>
                <w:sz w:val="20"/>
                <w:szCs w:val="20"/>
              </w:rPr>
            </w:pPr>
            <w:r w:rsidRPr="000276A7">
              <w:rPr>
                <w:rFonts w:ascii="Arial Narrow" w:hAnsi="Arial Narrow" w:cs="Tahoma"/>
                <w:b/>
                <w:sz w:val="20"/>
                <w:szCs w:val="20"/>
              </w:rPr>
              <w:t>Expediente No. 11001333603420180011500</w:t>
            </w:r>
          </w:p>
        </w:tc>
      </w:tr>
      <w:tr w:rsidR="00F36736" w:rsidRPr="000276A7" w:rsidTr="001D1ACA">
        <w:tc>
          <w:tcPr>
            <w:tcW w:w="2268" w:type="dxa"/>
          </w:tcPr>
          <w:p w:rsidR="00F36736" w:rsidRPr="000276A7" w:rsidRDefault="00F36736" w:rsidP="005E48D8">
            <w:pPr>
              <w:spacing w:after="0"/>
              <w:jc w:val="both"/>
              <w:rPr>
                <w:rFonts w:ascii="Arial Narrow" w:hAnsi="Arial Narrow" w:cs="Tahoma"/>
                <w:sz w:val="20"/>
                <w:szCs w:val="20"/>
              </w:rPr>
            </w:pPr>
            <w:r w:rsidRPr="000276A7">
              <w:rPr>
                <w:rFonts w:ascii="Arial Narrow" w:hAnsi="Arial Narrow" w:cs="Tahoma"/>
                <w:sz w:val="20"/>
                <w:szCs w:val="20"/>
              </w:rPr>
              <w:t>DEMANDANTE</w:t>
            </w:r>
          </w:p>
        </w:tc>
        <w:tc>
          <w:tcPr>
            <w:tcW w:w="6552" w:type="dxa"/>
          </w:tcPr>
          <w:p w:rsidR="00F36736" w:rsidRPr="000276A7" w:rsidRDefault="00F36736" w:rsidP="005E48D8">
            <w:pPr>
              <w:spacing w:after="0"/>
              <w:jc w:val="both"/>
              <w:rPr>
                <w:rFonts w:ascii="Arial Narrow" w:hAnsi="Arial Narrow" w:cs="Tahoma"/>
                <w:b/>
                <w:sz w:val="20"/>
                <w:szCs w:val="20"/>
              </w:rPr>
            </w:pPr>
            <w:r w:rsidRPr="000276A7">
              <w:rPr>
                <w:rFonts w:ascii="Arial Narrow" w:hAnsi="Arial Narrow" w:cs="Tahoma"/>
                <w:b/>
                <w:sz w:val="20"/>
                <w:szCs w:val="20"/>
              </w:rPr>
              <w:t>MARÍA DIOSELINA CASTILLO MOLINA Y OTROS</w:t>
            </w:r>
          </w:p>
        </w:tc>
      </w:tr>
      <w:tr w:rsidR="00F36736" w:rsidRPr="000276A7" w:rsidTr="001D1ACA">
        <w:tc>
          <w:tcPr>
            <w:tcW w:w="2268" w:type="dxa"/>
          </w:tcPr>
          <w:p w:rsidR="00F36736" w:rsidRPr="000276A7" w:rsidRDefault="00F36736" w:rsidP="005E48D8">
            <w:pPr>
              <w:spacing w:after="0"/>
              <w:jc w:val="both"/>
              <w:rPr>
                <w:rFonts w:ascii="Arial Narrow" w:hAnsi="Arial Narrow" w:cs="Tahoma"/>
                <w:sz w:val="20"/>
                <w:szCs w:val="20"/>
              </w:rPr>
            </w:pPr>
            <w:r w:rsidRPr="000276A7">
              <w:rPr>
                <w:rFonts w:ascii="Arial Narrow" w:hAnsi="Arial Narrow" w:cs="Tahoma"/>
                <w:sz w:val="20"/>
                <w:szCs w:val="20"/>
              </w:rPr>
              <w:t>DEMANDADO</w:t>
            </w:r>
          </w:p>
        </w:tc>
        <w:tc>
          <w:tcPr>
            <w:tcW w:w="6552" w:type="dxa"/>
          </w:tcPr>
          <w:p w:rsidR="00F36736" w:rsidRPr="000276A7" w:rsidRDefault="00F36736" w:rsidP="005E48D8">
            <w:pPr>
              <w:spacing w:after="0"/>
              <w:jc w:val="both"/>
              <w:rPr>
                <w:rFonts w:ascii="Arial Narrow" w:hAnsi="Arial Narrow" w:cs="Tahoma"/>
                <w:b/>
                <w:sz w:val="20"/>
                <w:szCs w:val="20"/>
              </w:rPr>
            </w:pPr>
            <w:r w:rsidRPr="000276A7">
              <w:rPr>
                <w:rFonts w:ascii="Arial Narrow" w:hAnsi="Arial Narrow" w:cs="Tahoma"/>
                <w:b/>
                <w:sz w:val="20"/>
                <w:szCs w:val="20"/>
              </w:rPr>
              <w:t>SUBRED INTEGRADA DE SERVICIOS DE SALUD SUR – HOSPITAL EL TUNAL DE BOGOTÁ</w:t>
            </w:r>
          </w:p>
        </w:tc>
      </w:tr>
      <w:tr w:rsidR="00F36736" w:rsidRPr="000276A7" w:rsidTr="001D1ACA">
        <w:trPr>
          <w:trHeight w:val="200"/>
        </w:trPr>
        <w:tc>
          <w:tcPr>
            <w:tcW w:w="2268" w:type="dxa"/>
          </w:tcPr>
          <w:p w:rsidR="00F36736" w:rsidRPr="000276A7" w:rsidRDefault="00F36736" w:rsidP="005E48D8">
            <w:pPr>
              <w:spacing w:after="0"/>
              <w:jc w:val="both"/>
              <w:rPr>
                <w:rFonts w:ascii="Arial Narrow" w:hAnsi="Arial Narrow" w:cs="Tahoma"/>
                <w:sz w:val="20"/>
                <w:szCs w:val="20"/>
              </w:rPr>
            </w:pPr>
            <w:r w:rsidRPr="000276A7">
              <w:rPr>
                <w:rFonts w:ascii="Arial Narrow" w:hAnsi="Arial Narrow" w:cs="Tahoma"/>
                <w:sz w:val="20"/>
                <w:szCs w:val="20"/>
              </w:rPr>
              <w:t>MEDIO DE CONTROL</w:t>
            </w:r>
          </w:p>
        </w:tc>
        <w:tc>
          <w:tcPr>
            <w:tcW w:w="6552" w:type="dxa"/>
          </w:tcPr>
          <w:p w:rsidR="00F36736" w:rsidRPr="000276A7" w:rsidRDefault="00F36736" w:rsidP="005E48D8">
            <w:pPr>
              <w:spacing w:after="0"/>
              <w:jc w:val="both"/>
              <w:rPr>
                <w:rFonts w:ascii="Arial Narrow" w:hAnsi="Arial Narrow" w:cs="Tahoma"/>
                <w:b/>
                <w:sz w:val="20"/>
                <w:szCs w:val="20"/>
              </w:rPr>
            </w:pPr>
            <w:r w:rsidRPr="000276A7">
              <w:rPr>
                <w:rFonts w:ascii="Arial Narrow" w:hAnsi="Arial Narrow" w:cs="Tahoma"/>
                <w:b/>
                <w:sz w:val="20"/>
                <w:szCs w:val="20"/>
              </w:rPr>
              <w:fldChar w:fldCharType="begin"/>
            </w:r>
            <w:r w:rsidRPr="000276A7">
              <w:rPr>
                <w:rFonts w:ascii="Arial Narrow" w:hAnsi="Arial Narrow" w:cs="Tahoma"/>
                <w:b/>
                <w:sz w:val="20"/>
                <w:szCs w:val="20"/>
              </w:rPr>
              <w:instrText xml:space="preserve"> MERGEFIELD MEDIO_DE_CONTROL </w:instrText>
            </w:r>
            <w:r w:rsidRPr="000276A7">
              <w:rPr>
                <w:rFonts w:ascii="Arial Narrow" w:hAnsi="Arial Narrow" w:cs="Tahoma"/>
                <w:b/>
                <w:sz w:val="20"/>
                <w:szCs w:val="20"/>
              </w:rPr>
              <w:fldChar w:fldCharType="separate"/>
            </w:r>
            <w:r w:rsidRPr="000276A7">
              <w:rPr>
                <w:rFonts w:ascii="Arial Narrow" w:hAnsi="Arial Narrow" w:cs="Tahoma"/>
                <w:b/>
                <w:sz w:val="20"/>
                <w:szCs w:val="20"/>
              </w:rPr>
              <w:t>REPARACIÓN DIRECTA</w:t>
            </w:r>
            <w:r w:rsidRPr="000276A7">
              <w:rPr>
                <w:rFonts w:ascii="Arial Narrow" w:hAnsi="Arial Narrow" w:cs="Tahoma"/>
                <w:b/>
                <w:sz w:val="20"/>
                <w:szCs w:val="20"/>
              </w:rPr>
              <w:fldChar w:fldCharType="end"/>
            </w:r>
          </w:p>
        </w:tc>
      </w:tr>
      <w:tr w:rsidR="00F36736" w:rsidRPr="000276A7" w:rsidTr="001D1ACA">
        <w:tc>
          <w:tcPr>
            <w:tcW w:w="2268" w:type="dxa"/>
          </w:tcPr>
          <w:p w:rsidR="00F36736" w:rsidRPr="000276A7" w:rsidRDefault="00F36736" w:rsidP="005E48D8">
            <w:pPr>
              <w:spacing w:after="0"/>
              <w:jc w:val="both"/>
              <w:rPr>
                <w:rFonts w:ascii="Arial Narrow" w:hAnsi="Arial Narrow" w:cs="Tahoma"/>
                <w:sz w:val="20"/>
                <w:szCs w:val="20"/>
              </w:rPr>
            </w:pPr>
            <w:r w:rsidRPr="000276A7">
              <w:rPr>
                <w:rFonts w:ascii="Arial Narrow" w:hAnsi="Arial Narrow" w:cs="Tahoma"/>
                <w:sz w:val="20"/>
                <w:szCs w:val="20"/>
              </w:rPr>
              <w:t>ASUNTO</w:t>
            </w:r>
          </w:p>
        </w:tc>
        <w:tc>
          <w:tcPr>
            <w:tcW w:w="6552" w:type="dxa"/>
          </w:tcPr>
          <w:p w:rsidR="00F36736" w:rsidRPr="000276A7" w:rsidRDefault="00F36736" w:rsidP="005E48D8">
            <w:pPr>
              <w:spacing w:after="0"/>
              <w:jc w:val="both"/>
              <w:rPr>
                <w:rFonts w:ascii="Arial Narrow" w:hAnsi="Arial Narrow" w:cs="Tahoma"/>
                <w:b/>
                <w:sz w:val="20"/>
                <w:szCs w:val="20"/>
              </w:rPr>
            </w:pPr>
            <w:r w:rsidRPr="000276A7">
              <w:rPr>
                <w:rFonts w:ascii="Arial Narrow" w:hAnsi="Arial Narrow" w:cs="Tahoma"/>
                <w:b/>
                <w:sz w:val="20"/>
                <w:szCs w:val="20"/>
              </w:rPr>
              <w:t xml:space="preserve">RECHAZA DEMANDA POR CADUCIDAD </w:t>
            </w:r>
          </w:p>
        </w:tc>
      </w:tr>
    </w:tbl>
    <w:p w:rsidR="00F36736" w:rsidRPr="00B57B81" w:rsidRDefault="00F36736" w:rsidP="00F36736">
      <w:pPr>
        <w:spacing w:after="0"/>
        <w:jc w:val="both"/>
        <w:rPr>
          <w:rFonts w:ascii="Gill Sans MT" w:hAnsi="Gill Sans MT" w:cs="Tahoma"/>
          <w:sz w:val="20"/>
          <w:szCs w:val="20"/>
        </w:rPr>
      </w:pPr>
    </w:p>
    <w:p w:rsidR="00F36736" w:rsidRPr="00B57B81" w:rsidRDefault="00F36736" w:rsidP="00F36736">
      <w:pPr>
        <w:spacing w:after="0"/>
        <w:jc w:val="both"/>
        <w:rPr>
          <w:rFonts w:ascii="Tahoma" w:hAnsi="Tahoma" w:cs="Tahoma"/>
        </w:rPr>
      </w:pPr>
      <w:r w:rsidRPr="00B57B81">
        <w:rPr>
          <w:rFonts w:ascii="Tahoma" w:hAnsi="Tahoma" w:cs="Tahoma"/>
        </w:rPr>
        <w:t>La presente demanda pretende que se declare administrativamente responsable a la Subred Integrada de Servicios de Salud Sur y el Hospital el Tunal de Bogotá por los perjuicios causados a los demandantes con ocasión de los daños producidos en la salud de Yimmy Humberto Mogollón Castillo.</w:t>
      </w:r>
    </w:p>
    <w:p w:rsidR="00F36736" w:rsidRPr="00B57B81" w:rsidRDefault="00F36736" w:rsidP="00F36736">
      <w:pPr>
        <w:spacing w:after="0"/>
        <w:jc w:val="both"/>
        <w:rPr>
          <w:rFonts w:ascii="Tahoma" w:hAnsi="Tahoma" w:cs="Tahoma"/>
        </w:rPr>
      </w:pPr>
    </w:p>
    <w:p w:rsidR="00F36736" w:rsidRPr="00B57B81" w:rsidRDefault="00F36736" w:rsidP="00F36736">
      <w:pPr>
        <w:spacing w:after="0"/>
        <w:jc w:val="both"/>
        <w:rPr>
          <w:rFonts w:ascii="Tahoma" w:hAnsi="Tahoma" w:cs="Tahoma"/>
        </w:rPr>
      </w:pPr>
      <w:r w:rsidRPr="00B57B81">
        <w:rPr>
          <w:rFonts w:ascii="Tahoma" w:hAnsi="Tahoma" w:cs="Tahoma"/>
        </w:rPr>
        <w:t>En auto de julio 18 de 2018 se inadmitió la demanda para que el apoderado del actor aclarara unos puntos</w:t>
      </w:r>
      <w:r w:rsidRPr="00B57B81">
        <w:rPr>
          <w:rStyle w:val="Refdenotaalpie"/>
          <w:rFonts w:ascii="Tahoma" w:hAnsi="Tahoma" w:cs="Tahoma"/>
        </w:rPr>
        <w:footnoteReference w:id="1"/>
      </w:r>
      <w:r w:rsidRPr="00B57B81">
        <w:rPr>
          <w:rFonts w:ascii="Tahoma" w:hAnsi="Tahoma" w:cs="Tahoma"/>
        </w:rPr>
        <w:t>.</w:t>
      </w:r>
    </w:p>
    <w:p w:rsidR="00F36736" w:rsidRPr="00B57B81" w:rsidRDefault="00F36736" w:rsidP="00F36736">
      <w:pPr>
        <w:spacing w:after="0" w:line="240" w:lineRule="auto"/>
        <w:jc w:val="both"/>
        <w:rPr>
          <w:rFonts w:ascii="Tahoma" w:hAnsi="Tahoma" w:cs="Tahoma"/>
        </w:rPr>
      </w:pPr>
    </w:p>
    <w:p w:rsidR="00F36736" w:rsidRPr="00B57B81" w:rsidRDefault="00F36736" w:rsidP="00F36736">
      <w:pPr>
        <w:spacing w:after="0" w:line="240" w:lineRule="auto"/>
        <w:jc w:val="both"/>
        <w:rPr>
          <w:rFonts w:ascii="Tahoma" w:hAnsi="Tahoma" w:cs="Tahoma"/>
        </w:rPr>
      </w:pPr>
      <w:r w:rsidRPr="00B57B81">
        <w:rPr>
          <w:rFonts w:ascii="Tahoma" w:hAnsi="Tahoma" w:cs="Tahoma"/>
        </w:rPr>
        <w:t>Con auto del 21 de noviembre de 2018 previo admitir se requirió al demandante.</w:t>
      </w:r>
    </w:p>
    <w:p w:rsidR="00F36736" w:rsidRPr="00B57B81" w:rsidRDefault="00F36736" w:rsidP="00F36736">
      <w:pPr>
        <w:spacing w:after="0" w:line="240" w:lineRule="auto"/>
        <w:jc w:val="both"/>
        <w:rPr>
          <w:rFonts w:ascii="Tahoma" w:hAnsi="Tahoma" w:cs="Tahoma"/>
        </w:rPr>
      </w:pPr>
    </w:p>
    <w:p w:rsidR="00F36736" w:rsidRPr="00B57B81" w:rsidRDefault="00F36736" w:rsidP="00F36736">
      <w:pPr>
        <w:spacing w:line="240" w:lineRule="auto"/>
        <w:jc w:val="both"/>
        <w:rPr>
          <w:rFonts w:ascii="Tahoma" w:hAnsi="Tahoma" w:cs="Tahoma"/>
          <w:bCs/>
          <w:lang w:val="es-CO"/>
        </w:rPr>
      </w:pPr>
      <w:r w:rsidRPr="00B57B81">
        <w:rPr>
          <w:rFonts w:ascii="Tahoma" w:hAnsi="Tahoma" w:cs="Tahoma"/>
          <w:color w:val="000000"/>
          <w:lang w:val="es-CO" w:eastAsia="es-ES"/>
        </w:rPr>
        <w:t>Así las cosas procede el Despacho a pronunciarse brevemente en los siguientes términos:</w:t>
      </w:r>
    </w:p>
    <w:p w:rsidR="00F36736" w:rsidRPr="00B57B81" w:rsidRDefault="00F36736" w:rsidP="00F36736">
      <w:pPr>
        <w:spacing w:after="0" w:line="240" w:lineRule="auto"/>
        <w:jc w:val="center"/>
        <w:rPr>
          <w:rFonts w:ascii="Tahoma" w:hAnsi="Tahoma" w:cs="Tahoma"/>
          <w:b/>
          <w:noProof/>
        </w:rPr>
      </w:pPr>
      <w:r w:rsidRPr="00B57B81">
        <w:rPr>
          <w:rFonts w:ascii="Tahoma" w:hAnsi="Tahoma" w:cs="Tahoma"/>
          <w:b/>
          <w:noProof/>
        </w:rPr>
        <w:t>CONSIDERACIONES:</w:t>
      </w:r>
    </w:p>
    <w:p w:rsidR="00F36736" w:rsidRPr="00B57B81" w:rsidRDefault="00F36736" w:rsidP="00F36736">
      <w:pPr>
        <w:numPr>
          <w:ilvl w:val="0"/>
          <w:numId w:val="1"/>
        </w:numPr>
        <w:spacing w:after="0" w:line="240" w:lineRule="auto"/>
        <w:jc w:val="both"/>
        <w:rPr>
          <w:rFonts w:ascii="Tahoma" w:hAnsi="Tahoma" w:cs="Tahoma"/>
          <w:b/>
          <w:bCs/>
        </w:rPr>
      </w:pPr>
      <w:r w:rsidRPr="00B57B81">
        <w:rPr>
          <w:rFonts w:ascii="Tahoma" w:hAnsi="Tahoma" w:cs="Tahoma"/>
          <w:b/>
          <w:bCs/>
        </w:rPr>
        <w:t>NORMATIVIDAD APLICABLE</w:t>
      </w:r>
    </w:p>
    <w:p w:rsidR="00F36736" w:rsidRPr="00B57B81" w:rsidRDefault="00F36736" w:rsidP="00F36736">
      <w:pPr>
        <w:tabs>
          <w:tab w:val="left" w:pos="0"/>
          <w:tab w:val="left" w:pos="567"/>
        </w:tabs>
        <w:spacing w:after="0" w:line="240" w:lineRule="auto"/>
        <w:jc w:val="both"/>
        <w:rPr>
          <w:rFonts w:ascii="Tahoma" w:hAnsi="Tahoma" w:cs="Tahoma"/>
          <w:bCs/>
        </w:rPr>
      </w:pPr>
    </w:p>
    <w:p w:rsidR="00F36736" w:rsidRPr="00B57B81" w:rsidRDefault="00F36736" w:rsidP="00F36736">
      <w:pPr>
        <w:numPr>
          <w:ilvl w:val="1"/>
          <w:numId w:val="3"/>
        </w:numPr>
        <w:tabs>
          <w:tab w:val="left" w:pos="567"/>
        </w:tabs>
        <w:spacing w:after="0" w:line="240" w:lineRule="auto"/>
        <w:ind w:left="0" w:firstLine="0"/>
        <w:jc w:val="both"/>
        <w:rPr>
          <w:rFonts w:ascii="Tahoma" w:hAnsi="Tahoma" w:cs="Tahoma"/>
          <w:bCs/>
        </w:rPr>
      </w:pPr>
      <w:r w:rsidRPr="00B57B81">
        <w:rPr>
          <w:rFonts w:ascii="Tahoma" w:hAnsi="Tahoma" w:cs="Tahoma"/>
          <w:bCs/>
        </w:rPr>
        <w:t xml:space="preserve">El artículo 140 del </w:t>
      </w:r>
      <w:r w:rsidRPr="00B57B81">
        <w:rPr>
          <w:rFonts w:ascii="Tahoma" w:hAnsi="Tahoma" w:cs="Tahoma"/>
          <w:bCs/>
          <w:lang w:val="es-MX"/>
        </w:rPr>
        <w:t xml:space="preserve">Código de Procedimiento Administrativo y de lo Contencioso Administrativo </w:t>
      </w:r>
      <w:r w:rsidRPr="00B57B81">
        <w:rPr>
          <w:rFonts w:ascii="Tahoma" w:hAnsi="Tahoma" w:cs="Tahoma"/>
          <w:bCs/>
        </w:rPr>
        <w:t xml:space="preserve">señala que </w:t>
      </w:r>
      <w:r w:rsidRPr="00B57B81">
        <w:rPr>
          <w:rFonts w:ascii="Tahoma" w:hAnsi="Tahoma" w:cs="Tahoma"/>
          <w:bCs/>
          <w:i/>
        </w:rPr>
        <w:t xml:space="preserve">“(…) </w:t>
      </w:r>
      <w:r w:rsidRPr="00B57B81">
        <w:rPr>
          <w:rFonts w:ascii="Tahoma" w:hAnsi="Tahoma" w:cs="Tahoma"/>
          <w:bCs/>
          <w:i/>
          <w:u w:val="single"/>
        </w:rPr>
        <w:t>la persona interesada</w:t>
      </w:r>
      <w:r w:rsidRPr="00B57B81">
        <w:rPr>
          <w:rFonts w:ascii="Tahoma" w:hAnsi="Tahoma" w:cs="Tahoma"/>
          <w:bCs/>
          <w:i/>
        </w:rPr>
        <w:t xml:space="preserve"> podrá demandar directamente la reparación del daño antijurídico producido por la acción u omisión de los agentes del Estado.” </w:t>
      </w:r>
      <w:r w:rsidRPr="00B57B81">
        <w:rPr>
          <w:rFonts w:ascii="Tahoma" w:hAnsi="Tahoma" w:cs="Tahoma"/>
          <w:bCs/>
        </w:rPr>
        <w:t>(subrayado fuera de texto)</w:t>
      </w:r>
    </w:p>
    <w:p w:rsidR="00F36736" w:rsidRPr="00B57B81" w:rsidRDefault="00F36736" w:rsidP="00F36736">
      <w:pPr>
        <w:spacing w:after="0" w:line="240" w:lineRule="auto"/>
        <w:jc w:val="both"/>
        <w:rPr>
          <w:rFonts w:ascii="Tahoma" w:hAnsi="Tahoma" w:cs="Tahoma"/>
          <w:bCs/>
          <w:i/>
        </w:rPr>
      </w:pPr>
    </w:p>
    <w:p w:rsidR="00F36736" w:rsidRPr="00B57B81" w:rsidRDefault="00F36736" w:rsidP="00F36736">
      <w:pPr>
        <w:spacing w:after="0" w:line="240" w:lineRule="auto"/>
        <w:jc w:val="both"/>
        <w:rPr>
          <w:rFonts w:ascii="Tahoma" w:hAnsi="Tahoma" w:cs="Tahoma"/>
          <w:bCs/>
        </w:rPr>
      </w:pPr>
      <w:r w:rsidRPr="00B57B81">
        <w:rPr>
          <w:rFonts w:ascii="Tahoma" w:hAnsi="Tahoma" w:cs="Tahoma"/>
          <w:bCs/>
        </w:rPr>
        <w:t>El interesado es la persona, natural o jurídica, particular o pública que se cree lesionada en su derecho, por haber sido perjudicada moral y materialmente por un hecho, una omisión, una operación administrativa o la ocupación temporal o permanente de inmueble por causa de trabajos públicos o por cualquiera otra causa imputable a una entidad pública o a un particular que haya obrado siguiendo una expresa instrucción de la misma.</w:t>
      </w:r>
    </w:p>
    <w:p w:rsidR="00F36736" w:rsidRPr="00B57B81" w:rsidRDefault="00F36736" w:rsidP="00F36736">
      <w:pPr>
        <w:spacing w:after="0" w:line="240" w:lineRule="auto"/>
        <w:jc w:val="both"/>
        <w:rPr>
          <w:rFonts w:ascii="Tahoma" w:hAnsi="Tahoma" w:cs="Tahoma"/>
          <w:bCs/>
        </w:rPr>
      </w:pPr>
    </w:p>
    <w:p w:rsidR="00F36736" w:rsidRPr="00B57B81" w:rsidRDefault="00F36736" w:rsidP="00F36736">
      <w:pPr>
        <w:numPr>
          <w:ilvl w:val="1"/>
          <w:numId w:val="3"/>
        </w:numPr>
        <w:tabs>
          <w:tab w:val="left" w:pos="567"/>
        </w:tabs>
        <w:spacing w:after="0" w:line="240" w:lineRule="auto"/>
        <w:ind w:left="0" w:firstLine="0"/>
        <w:jc w:val="both"/>
        <w:rPr>
          <w:rFonts w:ascii="Tahoma" w:hAnsi="Tahoma" w:cs="Tahoma"/>
          <w:bCs/>
        </w:rPr>
      </w:pPr>
      <w:r w:rsidRPr="00B57B81">
        <w:rPr>
          <w:rFonts w:ascii="Tahoma" w:hAnsi="Tahoma" w:cs="Tahoma"/>
          <w:bCs/>
        </w:rPr>
        <w:t>Los presupuestos o condiciones de admisibilidad de la demanda contenciosa administrativa son:</w:t>
      </w:r>
    </w:p>
    <w:p w:rsidR="00F36736" w:rsidRPr="00B57B81" w:rsidRDefault="00F36736" w:rsidP="00F36736">
      <w:pPr>
        <w:spacing w:after="0" w:line="240" w:lineRule="auto"/>
        <w:jc w:val="both"/>
        <w:rPr>
          <w:rFonts w:ascii="Tahoma" w:hAnsi="Tahoma" w:cs="Tahoma"/>
          <w:bCs/>
        </w:rPr>
      </w:pPr>
    </w:p>
    <w:p w:rsidR="00F36736" w:rsidRPr="00B57B81" w:rsidRDefault="00F36736" w:rsidP="00F36736">
      <w:pPr>
        <w:numPr>
          <w:ilvl w:val="0"/>
          <w:numId w:val="2"/>
        </w:numPr>
        <w:tabs>
          <w:tab w:val="clear" w:pos="360"/>
          <w:tab w:val="num" w:pos="0"/>
          <w:tab w:val="left" w:pos="426"/>
        </w:tabs>
        <w:spacing w:after="0" w:line="240" w:lineRule="auto"/>
        <w:ind w:left="0" w:firstLine="0"/>
        <w:jc w:val="both"/>
        <w:rPr>
          <w:rFonts w:ascii="Tahoma" w:hAnsi="Tahoma" w:cs="Tahoma"/>
          <w:bCs/>
          <w:i/>
        </w:rPr>
      </w:pPr>
      <w:r w:rsidRPr="00B57B81">
        <w:rPr>
          <w:rFonts w:ascii="Tahoma" w:hAnsi="Tahoma" w:cs="Tahoma"/>
          <w:bCs/>
          <w:i/>
        </w:rPr>
        <w:t>Que el asunto sea conocimiento de la jurisdicción contencioso administrativa y de competencia de los jueces administrativos y específicamente de la Sección Tercera.</w:t>
      </w:r>
    </w:p>
    <w:p w:rsidR="00F36736" w:rsidRPr="00B57B81" w:rsidRDefault="00F36736" w:rsidP="00F36736">
      <w:pPr>
        <w:numPr>
          <w:ilvl w:val="0"/>
          <w:numId w:val="2"/>
        </w:numPr>
        <w:tabs>
          <w:tab w:val="clear" w:pos="360"/>
          <w:tab w:val="num" w:pos="0"/>
          <w:tab w:val="left" w:pos="426"/>
        </w:tabs>
        <w:spacing w:after="0" w:line="240" w:lineRule="auto"/>
        <w:ind w:left="0" w:firstLine="0"/>
        <w:jc w:val="both"/>
        <w:rPr>
          <w:rFonts w:ascii="Tahoma" w:hAnsi="Tahoma" w:cs="Tahoma"/>
          <w:bCs/>
          <w:i/>
        </w:rPr>
      </w:pPr>
      <w:r w:rsidRPr="00B57B81">
        <w:rPr>
          <w:rFonts w:ascii="Tahoma" w:hAnsi="Tahoma" w:cs="Tahoma"/>
          <w:bCs/>
          <w:i/>
        </w:rPr>
        <w:t>Que se tenga capacidad para comparecer al proceso</w:t>
      </w:r>
    </w:p>
    <w:p w:rsidR="00F36736" w:rsidRPr="00B57B81" w:rsidRDefault="00F36736" w:rsidP="00F36736">
      <w:pPr>
        <w:numPr>
          <w:ilvl w:val="0"/>
          <w:numId w:val="2"/>
        </w:numPr>
        <w:tabs>
          <w:tab w:val="clear" w:pos="360"/>
          <w:tab w:val="num" w:pos="0"/>
          <w:tab w:val="left" w:pos="426"/>
        </w:tabs>
        <w:spacing w:after="0" w:line="240" w:lineRule="auto"/>
        <w:ind w:left="0" w:firstLine="0"/>
        <w:jc w:val="both"/>
        <w:rPr>
          <w:rFonts w:ascii="Tahoma" w:hAnsi="Tahoma" w:cs="Tahoma"/>
          <w:bCs/>
          <w:i/>
        </w:rPr>
      </w:pPr>
      <w:r w:rsidRPr="00B57B81">
        <w:rPr>
          <w:rFonts w:ascii="Tahoma" w:hAnsi="Tahoma" w:cs="Tahoma"/>
          <w:bCs/>
          <w:i/>
        </w:rPr>
        <w:t>Que se comparezca a través de apoderado</w:t>
      </w:r>
    </w:p>
    <w:p w:rsidR="00F36736" w:rsidRPr="00B57B81" w:rsidRDefault="00F36736" w:rsidP="00F36736">
      <w:pPr>
        <w:numPr>
          <w:ilvl w:val="0"/>
          <w:numId w:val="2"/>
        </w:numPr>
        <w:tabs>
          <w:tab w:val="clear" w:pos="360"/>
          <w:tab w:val="num" w:pos="0"/>
          <w:tab w:val="left" w:pos="426"/>
        </w:tabs>
        <w:spacing w:after="0" w:line="240" w:lineRule="auto"/>
        <w:ind w:left="0" w:firstLine="0"/>
        <w:jc w:val="both"/>
        <w:rPr>
          <w:rFonts w:ascii="Tahoma" w:hAnsi="Tahoma" w:cs="Tahoma"/>
          <w:bCs/>
          <w:i/>
        </w:rPr>
      </w:pPr>
      <w:r w:rsidRPr="00B57B81">
        <w:rPr>
          <w:rFonts w:ascii="Tahoma" w:hAnsi="Tahoma" w:cs="Tahoma"/>
          <w:bCs/>
          <w:i/>
        </w:rPr>
        <w:t>Que se haya agotado el trámite de la conciliación extrajudicial</w:t>
      </w:r>
    </w:p>
    <w:p w:rsidR="00F36736" w:rsidRPr="00B57B81" w:rsidRDefault="00F36736" w:rsidP="00F36736">
      <w:pPr>
        <w:numPr>
          <w:ilvl w:val="0"/>
          <w:numId w:val="2"/>
        </w:numPr>
        <w:tabs>
          <w:tab w:val="clear" w:pos="360"/>
          <w:tab w:val="num" w:pos="0"/>
          <w:tab w:val="left" w:pos="426"/>
        </w:tabs>
        <w:spacing w:after="0" w:line="240" w:lineRule="auto"/>
        <w:ind w:left="0" w:firstLine="0"/>
        <w:jc w:val="both"/>
        <w:rPr>
          <w:rFonts w:ascii="Tahoma" w:hAnsi="Tahoma" w:cs="Tahoma"/>
          <w:bCs/>
          <w:i/>
          <w:u w:val="single"/>
        </w:rPr>
      </w:pPr>
      <w:r w:rsidRPr="00B57B81">
        <w:rPr>
          <w:rFonts w:ascii="Tahoma" w:hAnsi="Tahoma" w:cs="Tahoma"/>
          <w:bCs/>
          <w:i/>
          <w:u w:val="single"/>
        </w:rPr>
        <w:t>Que sea oportuna</w:t>
      </w:r>
    </w:p>
    <w:p w:rsidR="00F36736" w:rsidRPr="00B57B81" w:rsidRDefault="00F36736" w:rsidP="00F36736">
      <w:pPr>
        <w:numPr>
          <w:ilvl w:val="0"/>
          <w:numId w:val="2"/>
        </w:numPr>
        <w:tabs>
          <w:tab w:val="clear" w:pos="360"/>
          <w:tab w:val="num" w:pos="0"/>
          <w:tab w:val="left" w:pos="426"/>
        </w:tabs>
        <w:spacing w:after="0" w:line="240" w:lineRule="auto"/>
        <w:ind w:left="0" w:firstLine="0"/>
        <w:jc w:val="both"/>
        <w:rPr>
          <w:rFonts w:ascii="Tahoma" w:hAnsi="Tahoma" w:cs="Tahoma"/>
          <w:bCs/>
          <w:i/>
        </w:rPr>
      </w:pPr>
      <w:r w:rsidRPr="00B57B81">
        <w:rPr>
          <w:rFonts w:ascii="Tahoma" w:hAnsi="Tahoma" w:cs="Tahoma"/>
          <w:bCs/>
          <w:i/>
        </w:rPr>
        <w:t xml:space="preserve">Que se cumpla con los requisitos exigidos en los artículos </w:t>
      </w:r>
      <w:smartTag w:uri="urn:schemas-microsoft-com:office:smarttags" w:element="metricconverter">
        <w:smartTagPr>
          <w:attr w:name="ProductID" w:val="162 a"/>
        </w:smartTagPr>
        <w:r w:rsidRPr="00B57B81">
          <w:rPr>
            <w:rFonts w:ascii="Tahoma" w:hAnsi="Tahoma" w:cs="Tahoma"/>
            <w:bCs/>
            <w:i/>
          </w:rPr>
          <w:t>162 a</w:t>
        </w:r>
      </w:smartTag>
      <w:r w:rsidRPr="00B57B81">
        <w:rPr>
          <w:rFonts w:ascii="Tahoma" w:hAnsi="Tahoma" w:cs="Tahoma"/>
          <w:bCs/>
          <w:i/>
        </w:rPr>
        <w:t xml:space="preserve"> 167 del </w:t>
      </w:r>
      <w:r w:rsidRPr="00B57B81">
        <w:rPr>
          <w:rFonts w:ascii="Tahoma" w:hAnsi="Tahoma" w:cs="Tahoma"/>
          <w:bCs/>
          <w:i/>
          <w:lang w:val="es-MX"/>
        </w:rPr>
        <w:t>Código de Procedimiento Administrativo y de lo Contencioso Administrativo.</w:t>
      </w:r>
    </w:p>
    <w:p w:rsidR="00F36736" w:rsidRPr="00B57B81" w:rsidRDefault="00F36736" w:rsidP="00F36736">
      <w:pPr>
        <w:spacing w:after="0" w:line="240" w:lineRule="auto"/>
        <w:jc w:val="both"/>
        <w:rPr>
          <w:rFonts w:ascii="Tahoma" w:hAnsi="Tahoma" w:cs="Tahoma"/>
          <w:i/>
          <w:lang w:val="es-MX"/>
        </w:rPr>
      </w:pPr>
    </w:p>
    <w:p w:rsidR="00F36736" w:rsidRPr="00B57B81" w:rsidRDefault="00F36736" w:rsidP="00F36736">
      <w:pPr>
        <w:numPr>
          <w:ilvl w:val="1"/>
          <w:numId w:val="3"/>
        </w:numPr>
        <w:tabs>
          <w:tab w:val="left" w:pos="567"/>
        </w:tabs>
        <w:spacing w:after="0" w:line="240" w:lineRule="auto"/>
        <w:ind w:left="0" w:firstLine="0"/>
        <w:jc w:val="both"/>
        <w:rPr>
          <w:rFonts w:ascii="Tahoma" w:hAnsi="Tahoma" w:cs="Tahoma"/>
          <w:bCs/>
        </w:rPr>
      </w:pPr>
      <w:r w:rsidRPr="00B57B81">
        <w:rPr>
          <w:rFonts w:ascii="Tahoma" w:hAnsi="Tahoma" w:cs="Tahoma"/>
          <w:bCs/>
        </w:rPr>
        <w:lastRenderedPageBreak/>
        <w:t xml:space="preserve">En relación con la oportunidad de la presentación de la demanda, el artículo 164 del Código de Procedimiento Administrativo y de lo Contencioso Administrativo, establece: </w:t>
      </w:r>
      <w:r w:rsidRPr="00B57B81">
        <w:rPr>
          <w:rFonts w:ascii="Tahoma" w:hAnsi="Tahoma" w:cs="Tahoma"/>
          <w:bCs/>
          <w:i/>
        </w:rPr>
        <w:t xml:space="preserve">“(…) La demanda deberá ser presentada: (…) i) Cuando se pretenda la reparación directa, </w:t>
      </w:r>
      <w:r w:rsidRPr="00B57B81">
        <w:rPr>
          <w:rFonts w:ascii="Tahoma" w:hAnsi="Tahoma" w:cs="Tahoma"/>
          <w:bCs/>
          <w:i/>
          <w:u w:val="single"/>
        </w:rPr>
        <w:t>la demanda deberá presentarse dentro del término de dos (2) años, contados a partir del día siguiente al de la ocurrencia de la acción u omisión causante del daño</w:t>
      </w:r>
      <w:r w:rsidRPr="00B57B81">
        <w:rPr>
          <w:rFonts w:ascii="Tahoma" w:hAnsi="Tahoma" w:cs="Tahoma"/>
          <w:bCs/>
          <w:i/>
        </w:rPr>
        <w:t xml:space="preserve">, o de cuando el demandante tuvo o debió tener conocimiento del mismo si fue en fecha posterior y siempre que pruebe la imposibilidad de haberlo conocido en la fecha de su ocurrencia.” </w:t>
      </w:r>
      <w:r w:rsidRPr="00B57B81">
        <w:rPr>
          <w:rFonts w:ascii="Tahoma" w:hAnsi="Tahoma" w:cs="Tahoma"/>
          <w:bCs/>
        </w:rPr>
        <w:t>(Subraya fuera de texto)</w:t>
      </w:r>
    </w:p>
    <w:p w:rsidR="00F36736" w:rsidRPr="00B57B81" w:rsidRDefault="00F36736" w:rsidP="00F36736">
      <w:pPr>
        <w:tabs>
          <w:tab w:val="left" w:pos="567"/>
        </w:tabs>
        <w:spacing w:after="0" w:line="240" w:lineRule="auto"/>
        <w:jc w:val="both"/>
        <w:rPr>
          <w:rFonts w:ascii="Tahoma" w:hAnsi="Tahoma" w:cs="Tahoma"/>
          <w:bCs/>
        </w:rPr>
      </w:pPr>
    </w:p>
    <w:p w:rsidR="00F36736" w:rsidRPr="00B57B81" w:rsidRDefault="00F36736" w:rsidP="00F36736">
      <w:pPr>
        <w:numPr>
          <w:ilvl w:val="1"/>
          <w:numId w:val="3"/>
        </w:numPr>
        <w:tabs>
          <w:tab w:val="left" w:pos="567"/>
        </w:tabs>
        <w:spacing w:after="0" w:line="240" w:lineRule="auto"/>
        <w:ind w:left="0" w:firstLine="0"/>
        <w:jc w:val="both"/>
        <w:rPr>
          <w:rFonts w:ascii="Tahoma" w:hAnsi="Tahoma" w:cs="Tahoma"/>
          <w:bCs/>
          <w:i/>
        </w:rPr>
      </w:pPr>
      <w:r w:rsidRPr="00B57B81">
        <w:rPr>
          <w:rFonts w:ascii="Tahoma" w:hAnsi="Tahoma" w:cs="Tahoma"/>
          <w:bCs/>
        </w:rPr>
        <w:t xml:space="preserve">En el artículo 169 del Código de Procedimiento Administrativo y de lo Contencioso Administrativo, dentro de las causales de rechazo de la demanda, consagra: </w:t>
      </w:r>
      <w:r w:rsidRPr="00B57B81">
        <w:rPr>
          <w:rFonts w:ascii="Tahoma" w:hAnsi="Tahoma" w:cs="Tahoma"/>
          <w:bCs/>
          <w:i/>
        </w:rPr>
        <w:t xml:space="preserve">“(…) Se rechazará la demanda y se ordenará la devolución de los anexos en los siguientes casos: 1. </w:t>
      </w:r>
      <w:r w:rsidRPr="00B57B81">
        <w:rPr>
          <w:rFonts w:ascii="Tahoma" w:hAnsi="Tahoma" w:cs="Tahoma"/>
          <w:bCs/>
          <w:i/>
          <w:u w:val="single"/>
        </w:rPr>
        <w:t>Cuando hubiere operado la caducidad.</w:t>
      </w:r>
      <w:r w:rsidRPr="00B57B81">
        <w:rPr>
          <w:rFonts w:ascii="Tahoma" w:hAnsi="Tahoma" w:cs="Tahoma"/>
          <w:bCs/>
          <w:i/>
        </w:rPr>
        <w:t xml:space="preserve"> (…) ” </w:t>
      </w:r>
      <w:r w:rsidRPr="00B57B81">
        <w:rPr>
          <w:rFonts w:ascii="Tahoma" w:hAnsi="Tahoma" w:cs="Tahoma"/>
          <w:bCs/>
        </w:rPr>
        <w:t>(Subraya fuera de texto)</w:t>
      </w:r>
    </w:p>
    <w:p w:rsidR="00F36736" w:rsidRPr="00B57B81" w:rsidRDefault="00F36736" w:rsidP="00F36736">
      <w:pPr>
        <w:pStyle w:val="Prrafodelista"/>
        <w:spacing w:after="0" w:line="240" w:lineRule="auto"/>
        <w:rPr>
          <w:rFonts w:ascii="Tahoma" w:hAnsi="Tahoma" w:cs="Tahoma"/>
          <w:bCs/>
          <w:i/>
        </w:rPr>
      </w:pPr>
    </w:p>
    <w:p w:rsidR="00F36736" w:rsidRPr="00B57B81" w:rsidRDefault="00F36736" w:rsidP="00F36736">
      <w:pPr>
        <w:spacing w:after="0" w:line="240" w:lineRule="auto"/>
        <w:jc w:val="both"/>
        <w:rPr>
          <w:rFonts w:ascii="Tahoma" w:hAnsi="Tahoma" w:cs="Tahoma"/>
          <w:b/>
          <w:bCs/>
          <w:lang w:val="es-MX"/>
        </w:rPr>
      </w:pPr>
      <w:r w:rsidRPr="00B57B81">
        <w:rPr>
          <w:rFonts w:ascii="Tahoma" w:hAnsi="Tahoma" w:cs="Tahoma"/>
          <w:b/>
          <w:bCs/>
          <w:lang w:val="es-MX"/>
        </w:rPr>
        <w:t>2. El caso en estudio</w:t>
      </w:r>
    </w:p>
    <w:p w:rsidR="00F36736" w:rsidRPr="00B57B81" w:rsidRDefault="00F36736" w:rsidP="00F36736">
      <w:pPr>
        <w:spacing w:after="0" w:line="240" w:lineRule="auto"/>
        <w:jc w:val="both"/>
        <w:rPr>
          <w:rFonts w:ascii="Tahoma" w:hAnsi="Tahoma" w:cs="Tahoma"/>
        </w:rPr>
      </w:pPr>
    </w:p>
    <w:p w:rsidR="00F36736" w:rsidRPr="00B57B81" w:rsidRDefault="00F36736" w:rsidP="00F36736">
      <w:pPr>
        <w:spacing w:after="0" w:line="240" w:lineRule="auto"/>
        <w:jc w:val="both"/>
        <w:rPr>
          <w:rFonts w:ascii="Tahoma" w:hAnsi="Tahoma" w:cs="Tahoma"/>
          <w:noProof/>
        </w:rPr>
      </w:pPr>
      <w:r w:rsidRPr="00B57B81">
        <w:rPr>
          <w:rFonts w:ascii="Tahoma" w:hAnsi="Tahoma" w:cs="Tahoma"/>
          <w:noProof/>
        </w:rPr>
        <w:t>La caducidad de la acción se produce cuando el término concedido por la ley para entablar la demanda ha vencido.</w:t>
      </w:r>
    </w:p>
    <w:p w:rsidR="00F36736" w:rsidRPr="00B57B81" w:rsidRDefault="00F36736" w:rsidP="00F36736">
      <w:pPr>
        <w:spacing w:after="0" w:line="240" w:lineRule="auto"/>
        <w:jc w:val="both"/>
        <w:rPr>
          <w:rFonts w:ascii="Tahoma" w:hAnsi="Tahoma" w:cs="Tahoma"/>
        </w:rPr>
      </w:pPr>
    </w:p>
    <w:p w:rsidR="00F36736" w:rsidRPr="00B57B81" w:rsidRDefault="00F36736" w:rsidP="00F36736">
      <w:pPr>
        <w:pStyle w:val="Puesto"/>
        <w:spacing w:line="240" w:lineRule="auto"/>
        <w:jc w:val="both"/>
        <w:rPr>
          <w:rFonts w:ascii="Tahoma" w:hAnsi="Tahoma" w:cs="Tahoma"/>
          <w:b w:val="0"/>
          <w:sz w:val="22"/>
          <w:szCs w:val="22"/>
          <w:lang w:val="es-MX"/>
        </w:rPr>
      </w:pPr>
      <w:r w:rsidRPr="00B57B81">
        <w:rPr>
          <w:rFonts w:ascii="Tahoma" w:hAnsi="Tahoma" w:cs="Tahoma"/>
          <w:b w:val="0"/>
          <w:sz w:val="22"/>
          <w:szCs w:val="22"/>
          <w:lang w:val="es-MX"/>
        </w:rPr>
        <w:t xml:space="preserve">El término de caducidad está edificado sobre la conveniencia de señalar un plazo objetivo, invariable y sin consideración a situaciones personales, para que quien se pretenda titular de un derecho opte por accionar o no. Es por lo anterior, que se da aplicación a la máxima latina </w:t>
      </w:r>
      <w:r w:rsidRPr="00B57B81">
        <w:rPr>
          <w:rFonts w:ascii="Tahoma" w:hAnsi="Tahoma" w:cs="Tahoma"/>
          <w:b w:val="0"/>
          <w:i/>
          <w:sz w:val="22"/>
          <w:szCs w:val="22"/>
          <w:lang w:val="es-MX"/>
        </w:rPr>
        <w:t>"contra non volenten agere non currit prescriptio"</w:t>
      </w:r>
      <w:r w:rsidRPr="00B57B81">
        <w:rPr>
          <w:rFonts w:ascii="Tahoma" w:hAnsi="Tahoma" w:cs="Tahoma"/>
          <w:b w:val="0"/>
          <w:sz w:val="22"/>
          <w:szCs w:val="22"/>
          <w:lang w:val="es-MX"/>
        </w:rPr>
        <w:t>, es decir, que el término de caducidad no puede ser materia de convención, antes de que se cumpla, ni después de transcurrido, puede renunciarse. Dicho de otro modo, el término para accionar no es susceptible de interrupción, ni de renuncia por parte de la Administración. Tan es así, que el término prefijado por la ley, obra independientemente y aún contra voluntad del beneficiario del medio de control. La caducidad es la consecuencia de la expiración del término perentorio fijado, para el ejercicio del medio de control.</w:t>
      </w:r>
    </w:p>
    <w:p w:rsidR="00F36736" w:rsidRPr="00B57B81" w:rsidRDefault="00F36736" w:rsidP="00F36736">
      <w:pPr>
        <w:spacing w:after="0" w:line="240" w:lineRule="auto"/>
        <w:jc w:val="both"/>
        <w:rPr>
          <w:rFonts w:ascii="Tahoma" w:hAnsi="Tahoma" w:cs="Tahoma"/>
        </w:rPr>
      </w:pPr>
    </w:p>
    <w:p w:rsidR="00F36736" w:rsidRPr="00B57B81" w:rsidRDefault="00F36736" w:rsidP="00F36736">
      <w:pPr>
        <w:spacing w:after="0" w:line="240" w:lineRule="auto"/>
        <w:jc w:val="both"/>
        <w:rPr>
          <w:rFonts w:ascii="Tahoma" w:hAnsi="Tahoma" w:cs="Tahoma"/>
          <w:lang w:val="es-MX"/>
        </w:rPr>
      </w:pPr>
      <w:r w:rsidRPr="00B57B81">
        <w:rPr>
          <w:rFonts w:ascii="Tahoma" w:hAnsi="Tahoma" w:cs="Tahoma"/>
          <w:lang w:val="es-MX"/>
        </w:rPr>
        <w:t xml:space="preserve">Para el medio de control de reparación directa el término de caducidad es de 2 años, contados a partir del día siguiente </w:t>
      </w:r>
      <w:r w:rsidRPr="00B57B81">
        <w:rPr>
          <w:rFonts w:ascii="Tahoma" w:hAnsi="Tahoma" w:cs="Tahoma"/>
          <w:bCs/>
        </w:rPr>
        <w:t>de la ocurrencia de la acción u omisión causante del daño</w:t>
      </w:r>
      <w:r w:rsidRPr="00B57B81">
        <w:rPr>
          <w:rFonts w:ascii="Tahoma" w:hAnsi="Tahoma" w:cs="Tahoma"/>
          <w:lang w:val="es-MX"/>
        </w:rPr>
        <w:t xml:space="preserve"> y está consagrado en el</w:t>
      </w:r>
      <w:r w:rsidRPr="00B57B81">
        <w:rPr>
          <w:rFonts w:ascii="Tahoma" w:hAnsi="Tahoma" w:cs="Tahoma"/>
          <w:bCs/>
        </w:rPr>
        <w:t xml:space="preserve"> artículo 164 del Código de Procedimiento Administrativo y de lo Contencioso Administrativo</w:t>
      </w:r>
      <w:r w:rsidRPr="00B57B81">
        <w:rPr>
          <w:rFonts w:ascii="Tahoma" w:hAnsi="Tahoma" w:cs="Tahoma"/>
          <w:lang w:val="es-MX"/>
        </w:rPr>
        <w:t>.</w:t>
      </w:r>
    </w:p>
    <w:p w:rsidR="00F36736" w:rsidRPr="00B57B81" w:rsidRDefault="00F36736" w:rsidP="00F36736">
      <w:pPr>
        <w:spacing w:after="0" w:line="240" w:lineRule="auto"/>
        <w:jc w:val="both"/>
        <w:rPr>
          <w:rFonts w:ascii="Tahoma" w:hAnsi="Tahoma" w:cs="Tahoma"/>
          <w:lang w:val="es-MX"/>
        </w:rPr>
      </w:pPr>
    </w:p>
    <w:p w:rsidR="00F36736" w:rsidRPr="00B57B81" w:rsidRDefault="00F36736" w:rsidP="00F36736">
      <w:pPr>
        <w:spacing w:after="0" w:line="240" w:lineRule="auto"/>
        <w:jc w:val="both"/>
        <w:rPr>
          <w:rFonts w:ascii="Tahoma" w:hAnsi="Tahoma" w:cs="Tahoma"/>
          <w:lang w:val="es-MX"/>
        </w:rPr>
      </w:pPr>
      <w:r w:rsidRPr="00B57B81">
        <w:rPr>
          <w:rFonts w:ascii="Tahoma" w:hAnsi="Tahoma" w:cs="Tahoma"/>
          <w:lang w:val="es-MX"/>
        </w:rPr>
        <w:t xml:space="preserve">De acuerdo a las pretensiones de la demanda se puede determinar que el motivo por el cual el demandante busca el reconocimiento de sus perjuicios, se da con ocasión de la falla médica en la que presuntamente incurrió el demandado </w:t>
      </w:r>
      <w:r w:rsidR="00484683">
        <w:rPr>
          <w:rFonts w:ascii="Tahoma" w:hAnsi="Tahoma" w:cs="Tahoma"/>
          <w:lang w:val="es-MX"/>
        </w:rPr>
        <w:t xml:space="preserve">y </w:t>
      </w:r>
      <w:r w:rsidRPr="00B57B81">
        <w:rPr>
          <w:rFonts w:ascii="Tahoma" w:hAnsi="Tahoma" w:cs="Tahoma"/>
          <w:lang w:val="es-MX"/>
        </w:rPr>
        <w:t>que pr</w:t>
      </w:r>
      <w:r w:rsidR="00305AD5" w:rsidRPr="00B57B81">
        <w:rPr>
          <w:rFonts w:ascii="Tahoma" w:hAnsi="Tahoma" w:cs="Tahoma"/>
          <w:lang w:val="es-MX"/>
        </w:rPr>
        <w:t xml:space="preserve">odujo el estado de coma en el que hoy se encuentra Yimmy Humberto </w:t>
      </w:r>
      <w:r w:rsidR="00F84B63" w:rsidRPr="00B57B81">
        <w:rPr>
          <w:rFonts w:ascii="Tahoma" w:hAnsi="Tahoma" w:cs="Tahoma"/>
          <w:lang w:val="es-MX"/>
        </w:rPr>
        <w:t>Mogollón Castillo</w:t>
      </w:r>
      <w:r w:rsidR="00956A61">
        <w:rPr>
          <w:rFonts w:ascii="Tahoma" w:hAnsi="Tahoma" w:cs="Tahoma"/>
          <w:lang w:val="es-MX"/>
        </w:rPr>
        <w:t xml:space="preserve">; </w:t>
      </w:r>
      <w:r w:rsidR="00CB560B" w:rsidRPr="00B57B81">
        <w:rPr>
          <w:rFonts w:ascii="Tahoma" w:hAnsi="Tahoma" w:cs="Tahoma"/>
          <w:lang w:val="es-MX"/>
        </w:rPr>
        <w:t>es decir</w:t>
      </w:r>
      <w:r w:rsidR="00474010" w:rsidRPr="00B57B81">
        <w:rPr>
          <w:rFonts w:ascii="Tahoma" w:hAnsi="Tahoma" w:cs="Tahoma"/>
          <w:lang w:val="es-MX"/>
        </w:rPr>
        <w:t>,</w:t>
      </w:r>
      <w:r w:rsidR="00484683">
        <w:rPr>
          <w:rFonts w:ascii="Tahoma" w:hAnsi="Tahoma" w:cs="Tahoma"/>
          <w:lang w:val="es-MX"/>
        </w:rPr>
        <w:t xml:space="preserve"> que el té</w:t>
      </w:r>
      <w:r w:rsidR="00CB560B" w:rsidRPr="00B57B81">
        <w:rPr>
          <w:rFonts w:ascii="Tahoma" w:hAnsi="Tahoma" w:cs="Tahoma"/>
          <w:lang w:val="es-MX"/>
        </w:rPr>
        <w:t>rmino de caducidad no se puede</w:t>
      </w:r>
      <w:r w:rsidR="00B57AB9">
        <w:rPr>
          <w:rFonts w:ascii="Tahoma" w:hAnsi="Tahoma" w:cs="Tahoma"/>
          <w:lang w:val="es-MX"/>
        </w:rPr>
        <w:t xml:space="preserve"> empezar a contar </w:t>
      </w:r>
      <w:r w:rsidR="00CB560B" w:rsidRPr="00B57B81">
        <w:rPr>
          <w:rFonts w:ascii="Tahoma" w:hAnsi="Tahoma" w:cs="Tahoma"/>
          <w:lang w:val="es-MX"/>
        </w:rPr>
        <w:t xml:space="preserve">como </w:t>
      </w:r>
      <w:r w:rsidR="00B57AB9">
        <w:rPr>
          <w:rFonts w:ascii="Tahoma" w:hAnsi="Tahoma" w:cs="Tahoma"/>
          <w:lang w:val="es-MX"/>
        </w:rPr>
        <w:t xml:space="preserve">lo </w:t>
      </w:r>
      <w:r w:rsidR="00CB560B" w:rsidRPr="00B57B81">
        <w:rPr>
          <w:rFonts w:ascii="Tahoma" w:hAnsi="Tahoma" w:cs="Tahoma"/>
          <w:lang w:val="es-MX"/>
        </w:rPr>
        <w:t xml:space="preserve">pretende el apoderado </w:t>
      </w:r>
      <w:r w:rsidR="00484683">
        <w:rPr>
          <w:rFonts w:ascii="Tahoma" w:hAnsi="Tahoma" w:cs="Tahoma"/>
          <w:lang w:val="es-MX"/>
        </w:rPr>
        <w:t>del actor</w:t>
      </w:r>
      <w:r w:rsidR="00B57AB9">
        <w:rPr>
          <w:rFonts w:ascii="Tahoma" w:hAnsi="Tahoma" w:cs="Tahoma"/>
          <w:lang w:val="es-MX"/>
        </w:rPr>
        <w:t>,</w:t>
      </w:r>
      <w:r w:rsidR="00484683">
        <w:rPr>
          <w:rFonts w:ascii="Tahoma" w:hAnsi="Tahoma" w:cs="Tahoma"/>
          <w:lang w:val="es-MX"/>
        </w:rPr>
        <w:t xml:space="preserve"> desde que se posesionó</w:t>
      </w:r>
      <w:r w:rsidR="00CB560B" w:rsidRPr="00B57B81">
        <w:rPr>
          <w:rFonts w:ascii="Tahoma" w:hAnsi="Tahoma" w:cs="Tahoma"/>
          <w:lang w:val="es-MX"/>
        </w:rPr>
        <w:t xml:space="preserve"> la madre del </w:t>
      </w:r>
      <w:r w:rsidR="00474010" w:rsidRPr="00B57B81">
        <w:rPr>
          <w:rFonts w:ascii="Tahoma" w:hAnsi="Tahoma" w:cs="Tahoma"/>
          <w:lang w:val="es-MX"/>
        </w:rPr>
        <w:t>lesionado</w:t>
      </w:r>
      <w:r w:rsidR="00CB560B" w:rsidRPr="00B57B81">
        <w:rPr>
          <w:rFonts w:ascii="Tahoma" w:hAnsi="Tahoma" w:cs="Tahoma"/>
          <w:lang w:val="es-MX"/>
        </w:rPr>
        <w:t xml:space="preserve"> como</w:t>
      </w:r>
      <w:r w:rsidR="00484683">
        <w:rPr>
          <w:rFonts w:ascii="Tahoma" w:hAnsi="Tahoma" w:cs="Tahoma"/>
          <w:lang w:val="es-MX"/>
        </w:rPr>
        <w:t xml:space="preserve"> su</w:t>
      </w:r>
      <w:r w:rsidR="00CB560B" w:rsidRPr="00B57B81">
        <w:rPr>
          <w:rFonts w:ascii="Tahoma" w:hAnsi="Tahoma" w:cs="Tahoma"/>
          <w:lang w:val="es-MX"/>
        </w:rPr>
        <w:t xml:space="preserve"> </w:t>
      </w:r>
      <w:r w:rsidR="00474010" w:rsidRPr="00B57B81">
        <w:rPr>
          <w:rFonts w:ascii="Tahoma" w:hAnsi="Tahoma" w:cs="Tahoma"/>
          <w:lang w:val="es-MX"/>
        </w:rPr>
        <w:t>guardador</w:t>
      </w:r>
      <w:r w:rsidR="00484683">
        <w:rPr>
          <w:rFonts w:ascii="Tahoma" w:hAnsi="Tahoma" w:cs="Tahoma"/>
          <w:lang w:val="es-MX"/>
        </w:rPr>
        <w:t>a</w:t>
      </w:r>
      <w:r w:rsidR="00956A61">
        <w:rPr>
          <w:rFonts w:ascii="Tahoma" w:hAnsi="Tahoma" w:cs="Tahoma"/>
          <w:lang w:val="es-MX"/>
        </w:rPr>
        <w:t>,</w:t>
      </w:r>
      <w:r w:rsidR="00B57AB9">
        <w:rPr>
          <w:rFonts w:ascii="Tahoma" w:hAnsi="Tahoma" w:cs="Tahoma"/>
          <w:lang w:val="es-MX"/>
        </w:rPr>
        <w:t xml:space="preserve"> sino que </w:t>
      </w:r>
      <w:r w:rsidR="00474010" w:rsidRPr="00B57B81">
        <w:rPr>
          <w:rFonts w:ascii="Tahoma" w:hAnsi="Tahoma" w:cs="Tahoma"/>
          <w:lang w:val="es-MX"/>
        </w:rPr>
        <w:t xml:space="preserve"> empezó a correr desde que los demandantes tuvieron conocimiento del estado de Yimmy Humberto Mogollón</w:t>
      </w:r>
      <w:r w:rsidR="00D75A20" w:rsidRPr="00B57B81">
        <w:rPr>
          <w:rFonts w:ascii="Tahoma" w:hAnsi="Tahoma" w:cs="Tahoma"/>
          <w:lang w:val="es-MX"/>
        </w:rPr>
        <w:t>.</w:t>
      </w:r>
    </w:p>
    <w:p w:rsidR="00D75A20" w:rsidRPr="00B57B81" w:rsidRDefault="00D75A20" w:rsidP="00F36736">
      <w:pPr>
        <w:spacing w:after="0" w:line="240" w:lineRule="auto"/>
        <w:jc w:val="both"/>
        <w:rPr>
          <w:rFonts w:ascii="Tahoma" w:hAnsi="Tahoma" w:cs="Tahoma"/>
          <w:lang w:val="es-MX"/>
        </w:rPr>
      </w:pPr>
    </w:p>
    <w:p w:rsidR="00294724" w:rsidRPr="00B57B81" w:rsidRDefault="00D75A20" w:rsidP="00F36736">
      <w:pPr>
        <w:spacing w:after="0" w:line="240" w:lineRule="auto"/>
        <w:jc w:val="both"/>
        <w:rPr>
          <w:rFonts w:ascii="Tahoma" w:hAnsi="Tahoma" w:cs="Tahoma"/>
          <w:lang w:val="es-MX"/>
        </w:rPr>
      </w:pPr>
      <w:r w:rsidRPr="00B57B81">
        <w:rPr>
          <w:rFonts w:ascii="Tahoma" w:hAnsi="Tahoma" w:cs="Tahoma"/>
          <w:lang w:val="es-MX"/>
        </w:rPr>
        <w:t>De la lectura de la sentencia de</w:t>
      </w:r>
      <w:r w:rsidR="00732ECF" w:rsidRPr="00B57B81">
        <w:rPr>
          <w:rFonts w:ascii="Tahoma" w:hAnsi="Tahoma" w:cs="Tahoma"/>
          <w:lang w:val="es-MX"/>
        </w:rPr>
        <w:t xml:space="preserve"> agosto 9 de 2017 proferida por el Juzgado 8º de Familia de Bogotá</w:t>
      </w:r>
      <w:r w:rsidR="003F572B" w:rsidRPr="00B57B81">
        <w:rPr>
          <w:rFonts w:ascii="Tahoma" w:hAnsi="Tahoma" w:cs="Tahoma"/>
          <w:lang w:val="es-MX"/>
        </w:rPr>
        <w:t xml:space="preserve"> donde se declaró interdicto al señor Yimmy Humberto Mogollón, se </w:t>
      </w:r>
      <w:r w:rsidR="00294724" w:rsidRPr="00B57B81">
        <w:rPr>
          <w:rFonts w:ascii="Tahoma" w:hAnsi="Tahoma" w:cs="Tahoma"/>
          <w:lang w:val="es-MX"/>
        </w:rPr>
        <w:t>observa que solo ha</w:t>
      </w:r>
      <w:r w:rsidR="000F7266" w:rsidRPr="00B57B81">
        <w:rPr>
          <w:rFonts w:ascii="Tahoma" w:hAnsi="Tahoma" w:cs="Tahoma"/>
          <w:lang w:val="es-MX"/>
        </w:rPr>
        <w:t xml:space="preserve">sta el 18 de febrero de 2014, </w:t>
      </w:r>
      <w:r w:rsidR="00344F7B" w:rsidRPr="00B57B81">
        <w:rPr>
          <w:rFonts w:ascii="Tahoma" w:hAnsi="Tahoma" w:cs="Tahoma"/>
          <w:lang w:val="es-MX"/>
        </w:rPr>
        <w:t>momento en</w:t>
      </w:r>
      <w:r w:rsidR="00F84985" w:rsidRPr="00B57B81">
        <w:rPr>
          <w:rFonts w:ascii="Tahoma" w:hAnsi="Tahoma" w:cs="Tahoma"/>
          <w:lang w:val="es-MX"/>
        </w:rPr>
        <w:t xml:space="preserve"> el </w:t>
      </w:r>
      <w:r w:rsidR="00344F7B" w:rsidRPr="00B57B81">
        <w:rPr>
          <w:rFonts w:ascii="Tahoma" w:hAnsi="Tahoma" w:cs="Tahoma"/>
          <w:lang w:val="es-MX"/>
        </w:rPr>
        <w:t xml:space="preserve">cual el </w:t>
      </w:r>
      <w:r w:rsidR="00F84985" w:rsidRPr="00B57B81">
        <w:rPr>
          <w:rFonts w:ascii="Tahoma" w:hAnsi="Tahoma" w:cs="Tahoma"/>
          <w:lang w:val="es-MX"/>
        </w:rPr>
        <w:t>Hospital</w:t>
      </w:r>
      <w:r w:rsidR="00344F7B" w:rsidRPr="00B57B81">
        <w:rPr>
          <w:rFonts w:ascii="Tahoma" w:hAnsi="Tahoma" w:cs="Tahoma"/>
          <w:lang w:val="es-MX"/>
        </w:rPr>
        <w:t xml:space="preserve"> Tunal remite a la víctima</w:t>
      </w:r>
      <w:r w:rsidR="000F7266" w:rsidRPr="00B57B81">
        <w:rPr>
          <w:rFonts w:ascii="Tahoma" w:hAnsi="Tahoma" w:cs="Tahoma"/>
          <w:lang w:val="es-MX"/>
        </w:rPr>
        <w:t xml:space="preserve"> directa a su domicilio, </w:t>
      </w:r>
      <w:r w:rsidR="00344F7B" w:rsidRPr="00B57B81">
        <w:rPr>
          <w:rFonts w:ascii="Tahoma" w:hAnsi="Tahoma" w:cs="Tahoma"/>
          <w:lang w:val="es-MX"/>
        </w:rPr>
        <w:t>es cuando los familiares tienen conocimiento sobre el daño, pues aunque el hecho dañoso (el estado de coma)</w:t>
      </w:r>
      <w:r w:rsidR="00063FA7">
        <w:rPr>
          <w:rFonts w:ascii="Tahoma" w:hAnsi="Tahoma" w:cs="Tahoma"/>
          <w:lang w:val="es-MX"/>
        </w:rPr>
        <w:t>,</w:t>
      </w:r>
      <w:r w:rsidR="00344F7B" w:rsidRPr="00B57B81">
        <w:rPr>
          <w:rFonts w:ascii="Tahoma" w:hAnsi="Tahoma" w:cs="Tahoma"/>
          <w:lang w:val="es-MX"/>
        </w:rPr>
        <w:t xml:space="preserve"> ocurrió antes</w:t>
      </w:r>
      <w:r w:rsidR="00063FA7">
        <w:rPr>
          <w:rFonts w:ascii="Tahoma" w:hAnsi="Tahoma" w:cs="Tahoma"/>
          <w:lang w:val="es-MX"/>
        </w:rPr>
        <w:t>,</w:t>
      </w:r>
      <w:r w:rsidR="00344F7B" w:rsidRPr="00B57B81">
        <w:rPr>
          <w:rFonts w:ascii="Tahoma" w:hAnsi="Tahoma" w:cs="Tahoma"/>
          <w:lang w:val="es-MX"/>
        </w:rPr>
        <w:t xml:space="preserve"> no era posible para los demandantes saberlo. </w:t>
      </w:r>
    </w:p>
    <w:p w:rsidR="00294724" w:rsidRPr="00B57B81" w:rsidRDefault="00294724" w:rsidP="00F36736">
      <w:pPr>
        <w:spacing w:after="0" w:line="240" w:lineRule="auto"/>
        <w:jc w:val="both"/>
        <w:rPr>
          <w:rFonts w:ascii="Tahoma" w:hAnsi="Tahoma" w:cs="Tahoma"/>
          <w:lang w:val="es-MX"/>
        </w:rPr>
      </w:pPr>
    </w:p>
    <w:p w:rsidR="00462CC2" w:rsidRDefault="00432978" w:rsidP="00F36736">
      <w:pPr>
        <w:spacing w:after="0" w:line="240" w:lineRule="auto"/>
        <w:jc w:val="both"/>
        <w:rPr>
          <w:rFonts w:ascii="Tahoma" w:hAnsi="Tahoma" w:cs="Tahoma"/>
          <w:lang w:val="es-MX"/>
        </w:rPr>
      </w:pPr>
      <w:r w:rsidRPr="00B57B81">
        <w:rPr>
          <w:rFonts w:ascii="Tahoma" w:hAnsi="Tahoma" w:cs="Tahoma"/>
          <w:lang w:val="es-MX"/>
        </w:rPr>
        <w:t xml:space="preserve">Por lo tanto, es a partir del día siguiente </w:t>
      </w:r>
      <w:r w:rsidR="00D04098" w:rsidRPr="00B57B81">
        <w:rPr>
          <w:rFonts w:ascii="Tahoma" w:hAnsi="Tahoma" w:cs="Tahoma"/>
          <w:lang w:val="es-MX"/>
        </w:rPr>
        <w:t>a</w:t>
      </w:r>
      <w:r w:rsidRPr="00B57B81">
        <w:rPr>
          <w:rFonts w:ascii="Tahoma" w:hAnsi="Tahoma" w:cs="Tahoma"/>
          <w:lang w:val="es-MX"/>
        </w:rPr>
        <w:t>l</w:t>
      </w:r>
      <w:r w:rsidR="00D04098" w:rsidRPr="00B57B81">
        <w:rPr>
          <w:rFonts w:ascii="Tahoma" w:hAnsi="Tahoma" w:cs="Tahoma"/>
          <w:lang w:val="es-MX"/>
        </w:rPr>
        <w:t xml:space="preserve"> 18 de febrero de 2014 que empezó a correr el término de caducidad por lo que los demandantes contaba</w:t>
      </w:r>
      <w:r w:rsidR="001C46C2">
        <w:rPr>
          <w:rFonts w:ascii="Tahoma" w:hAnsi="Tahoma" w:cs="Tahoma"/>
          <w:lang w:val="es-MX"/>
        </w:rPr>
        <w:t>n</w:t>
      </w:r>
      <w:r w:rsidR="00D04098" w:rsidRPr="00B57B81">
        <w:rPr>
          <w:rFonts w:ascii="Tahoma" w:hAnsi="Tahoma" w:cs="Tahoma"/>
          <w:lang w:val="es-MX"/>
        </w:rPr>
        <w:t xml:space="preserve"> para radicar solicitud de </w:t>
      </w:r>
      <w:r w:rsidR="00462CC2" w:rsidRPr="00B57B81">
        <w:rPr>
          <w:rFonts w:ascii="Tahoma" w:hAnsi="Tahoma" w:cs="Tahoma"/>
          <w:lang w:val="es-MX"/>
        </w:rPr>
        <w:t xml:space="preserve">conciliación que suspende el </w:t>
      </w:r>
      <w:r w:rsidR="006B1852" w:rsidRPr="00B57B81">
        <w:rPr>
          <w:rFonts w:ascii="Tahoma" w:hAnsi="Tahoma" w:cs="Tahoma"/>
          <w:lang w:val="es-MX"/>
        </w:rPr>
        <w:t>término</w:t>
      </w:r>
      <w:r w:rsidR="00462CC2" w:rsidRPr="00B57B81">
        <w:rPr>
          <w:rFonts w:ascii="Tahoma" w:hAnsi="Tahoma" w:cs="Tahoma"/>
          <w:lang w:val="es-MX"/>
        </w:rPr>
        <w:t xml:space="preserve"> de caducidad, </w:t>
      </w:r>
      <w:r w:rsidR="006B1852" w:rsidRPr="00B57B81">
        <w:rPr>
          <w:rFonts w:ascii="Tahoma" w:hAnsi="Tahoma" w:cs="Tahoma"/>
          <w:lang w:val="es-MX"/>
        </w:rPr>
        <w:t xml:space="preserve">hasta el 19 de febrero de 2016; sin embargo, solo hasta el 29 de diciembre de 2017 se radicó </w:t>
      </w:r>
      <w:r w:rsidR="001C46C2">
        <w:rPr>
          <w:rFonts w:ascii="Tahoma" w:hAnsi="Tahoma" w:cs="Tahoma"/>
          <w:lang w:val="es-MX"/>
        </w:rPr>
        <w:t>la</w:t>
      </w:r>
      <w:bookmarkStart w:id="0" w:name="_GoBack"/>
      <w:bookmarkEnd w:id="0"/>
      <w:r w:rsidR="006B1852" w:rsidRPr="00B57B81">
        <w:rPr>
          <w:rFonts w:ascii="Tahoma" w:hAnsi="Tahoma" w:cs="Tahoma"/>
          <w:lang w:val="es-MX"/>
        </w:rPr>
        <w:t xml:space="preserve"> solicitud de conciliación </w:t>
      </w:r>
      <w:r w:rsidR="001D1ACA">
        <w:rPr>
          <w:rFonts w:ascii="Tahoma" w:hAnsi="Tahoma" w:cs="Tahoma"/>
          <w:lang w:val="es-MX"/>
        </w:rPr>
        <w:t xml:space="preserve">y la demanda el 18 de abril de 2018 </w:t>
      </w:r>
      <w:r w:rsidR="001D1ACA" w:rsidRPr="00B57B81">
        <w:rPr>
          <w:rFonts w:ascii="Tahoma" w:hAnsi="Tahoma" w:cs="Tahoma"/>
          <w:lang w:val="es-MX"/>
        </w:rPr>
        <w:t>cuando</w:t>
      </w:r>
      <w:r w:rsidR="006B1852" w:rsidRPr="00B57B81">
        <w:rPr>
          <w:rFonts w:ascii="Tahoma" w:hAnsi="Tahoma" w:cs="Tahoma"/>
          <w:lang w:val="es-MX"/>
        </w:rPr>
        <w:t xml:space="preserve"> ya había operado el  fenómeno de la </w:t>
      </w:r>
      <w:r w:rsidR="005E48D8" w:rsidRPr="00B57B81">
        <w:rPr>
          <w:rFonts w:ascii="Tahoma" w:hAnsi="Tahoma" w:cs="Tahoma"/>
          <w:lang w:val="es-MX"/>
        </w:rPr>
        <w:t>caducidad</w:t>
      </w:r>
      <w:r w:rsidR="005E48D8">
        <w:rPr>
          <w:rFonts w:ascii="Tahoma" w:hAnsi="Tahoma" w:cs="Tahoma"/>
          <w:lang w:val="es-MX"/>
        </w:rPr>
        <w:t xml:space="preserve">. </w:t>
      </w:r>
    </w:p>
    <w:p w:rsidR="001D1ACA" w:rsidRPr="00B57B81" w:rsidRDefault="001D1ACA" w:rsidP="00F36736">
      <w:pPr>
        <w:spacing w:after="0" w:line="240" w:lineRule="auto"/>
        <w:jc w:val="both"/>
        <w:rPr>
          <w:rFonts w:ascii="Tahoma" w:hAnsi="Tahoma" w:cs="Tahoma"/>
          <w:lang w:val="es-MX"/>
        </w:rPr>
      </w:pPr>
    </w:p>
    <w:p w:rsidR="00F36736" w:rsidRPr="00B57B81" w:rsidRDefault="00F36736" w:rsidP="00F36736">
      <w:pPr>
        <w:spacing w:after="0" w:line="240" w:lineRule="auto"/>
        <w:jc w:val="both"/>
        <w:rPr>
          <w:rFonts w:ascii="Tahoma" w:hAnsi="Tahoma" w:cs="Tahoma"/>
        </w:rPr>
      </w:pPr>
      <w:r w:rsidRPr="00B57B81">
        <w:rPr>
          <w:rFonts w:ascii="Tahoma" w:hAnsi="Tahoma" w:cs="Tahoma"/>
          <w:lang w:val="es-MX"/>
        </w:rPr>
        <w:t xml:space="preserve">De conformidad con lo anterior, dando </w:t>
      </w:r>
      <w:r w:rsidRPr="00B57B81">
        <w:rPr>
          <w:rFonts w:ascii="Tahoma" w:hAnsi="Tahoma" w:cs="Tahoma"/>
        </w:rPr>
        <w:t>aplicación a lo señalado en el artículo 169 del CPACA se procederá a rechazar la demanda.</w:t>
      </w:r>
    </w:p>
    <w:p w:rsidR="00F36736" w:rsidRPr="00B57B81" w:rsidRDefault="00F36736" w:rsidP="00F36736">
      <w:pPr>
        <w:spacing w:after="0" w:line="240" w:lineRule="auto"/>
        <w:jc w:val="both"/>
        <w:rPr>
          <w:rFonts w:ascii="Tahoma" w:hAnsi="Tahoma" w:cs="Tahoma"/>
          <w:spacing w:val="1"/>
          <w:lang w:val="es-ES_tradnl"/>
        </w:rPr>
      </w:pPr>
    </w:p>
    <w:p w:rsidR="00F36736" w:rsidRPr="00B57B81" w:rsidRDefault="00F36736" w:rsidP="00F36736">
      <w:pPr>
        <w:spacing w:after="0" w:line="240" w:lineRule="auto"/>
        <w:jc w:val="both"/>
        <w:rPr>
          <w:rFonts w:ascii="Tahoma" w:hAnsi="Tahoma" w:cs="Tahoma"/>
          <w:b/>
        </w:rPr>
      </w:pPr>
      <w:r w:rsidRPr="00B57B81">
        <w:rPr>
          <w:rFonts w:ascii="Tahoma" w:hAnsi="Tahoma" w:cs="Tahoma"/>
        </w:rPr>
        <w:t>Por lo brevemente expuesto,</w:t>
      </w:r>
      <w:r w:rsidRPr="00B57B81">
        <w:rPr>
          <w:rFonts w:ascii="Tahoma" w:hAnsi="Tahoma" w:cs="Tahoma"/>
          <w:b/>
        </w:rPr>
        <w:t xml:space="preserve"> SE DISPONE:</w:t>
      </w:r>
      <w:r w:rsidRPr="00B57B81">
        <w:rPr>
          <w:rFonts w:ascii="Tahoma" w:hAnsi="Tahoma" w:cs="Tahoma"/>
          <w:lang w:val="es-MX"/>
        </w:rPr>
        <w:t xml:space="preserve"> </w:t>
      </w:r>
    </w:p>
    <w:p w:rsidR="00F36736" w:rsidRPr="00B57B81" w:rsidRDefault="00F36736" w:rsidP="00F36736">
      <w:pPr>
        <w:widowControl w:val="0"/>
        <w:spacing w:after="0" w:line="240" w:lineRule="auto"/>
        <w:jc w:val="both"/>
        <w:rPr>
          <w:rFonts w:ascii="Tahoma" w:hAnsi="Tahoma" w:cs="Tahoma"/>
          <w:b/>
        </w:rPr>
      </w:pPr>
    </w:p>
    <w:p w:rsidR="00F36736" w:rsidRPr="00B57B81" w:rsidRDefault="00F36736" w:rsidP="00F36736">
      <w:pPr>
        <w:spacing w:after="0" w:line="240" w:lineRule="auto"/>
        <w:jc w:val="both"/>
        <w:rPr>
          <w:rFonts w:ascii="Tahoma" w:hAnsi="Tahoma" w:cs="Tahoma"/>
        </w:rPr>
      </w:pPr>
      <w:r w:rsidRPr="00B57B81">
        <w:rPr>
          <w:rFonts w:ascii="Tahoma" w:hAnsi="Tahoma" w:cs="Tahoma"/>
          <w:b/>
        </w:rPr>
        <w:t>Primero: Rechácese</w:t>
      </w:r>
      <w:r w:rsidRPr="00B57B81">
        <w:rPr>
          <w:rFonts w:ascii="Tahoma" w:hAnsi="Tahoma" w:cs="Tahoma"/>
        </w:rPr>
        <w:t xml:space="preserve"> la demanda interpuesta por </w:t>
      </w:r>
      <w:r w:rsidR="00B57B81" w:rsidRPr="00B57B81">
        <w:rPr>
          <w:rFonts w:ascii="Tahoma" w:hAnsi="Tahoma" w:cs="Tahoma"/>
          <w:b/>
        </w:rPr>
        <w:t xml:space="preserve">MARÍA DIOSELINA CASTILLO MOLINA Y OTROS </w:t>
      </w:r>
      <w:r w:rsidRPr="00B57B81">
        <w:rPr>
          <w:rFonts w:ascii="Tahoma" w:hAnsi="Tahoma" w:cs="Tahoma"/>
        </w:rPr>
        <w:t xml:space="preserve">en contra de </w:t>
      </w:r>
      <w:r w:rsidR="00B57B81" w:rsidRPr="00B57B81">
        <w:rPr>
          <w:rFonts w:ascii="Tahoma" w:hAnsi="Tahoma" w:cs="Tahoma"/>
          <w:b/>
        </w:rPr>
        <w:t>SUBRED INTEGRADA DE SERVICIOS DE SALUD SUR – HOSPITAL EL TUNAL DE BOGOTÁ</w:t>
      </w:r>
      <w:r w:rsidRPr="00B57B81">
        <w:rPr>
          <w:rFonts w:ascii="Tahoma" w:hAnsi="Tahoma" w:cs="Tahoma"/>
          <w:b/>
        </w:rPr>
        <w:t>.</w:t>
      </w:r>
    </w:p>
    <w:p w:rsidR="00F36736" w:rsidRPr="00B57B81" w:rsidRDefault="00F36736" w:rsidP="00F36736">
      <w:pPr>
        <w:tabs>
          <w:tab w:val="left" w:pos="720"/>
        </w:tabs>
        <w:spacing w:after="0" w:line="240" w:lineRule="auto"/>
        <w:jc w:val="both"/>
        <w:rPr>
          <w:rFonts w:ascii="Tahoma" w:hAnsi="Tahoma" w:cs="Tahoma"/>
          <w:b/>
        </w:rPr>
      </w:pPr>
    </w:p>
    <w:p w:rsidR="00F36736" w:rsidRPr="00B57B81" w:rsidRDefault="00F36736" w:rsidP="00F36736">
      <w:pPr>
        <w:spacing w:after="0" w:line="240" w:lineRule="auto"/>
        <w:jc w:val="both"/>
        <w:rPr>
          <w:rFonts w:ascii="Tahoma" w:hAnsi="Tahoma" w:cs="Tahoma"/>
        </w:rPr>
      </w:pPr>
      <w:r w:rsidRPr="00B57B81">
        <w:rPr>
          <w:rFonts w:ascii="Tahoma" w:hAnsi="Tahoma" w:cs="Tahoma"/>
          <w:b/>
        </w:rPr>
        <w:t xml:space="preserve">Segundo: </w:t>
      </w:r>
      <w:r w:rsidRPr="00B57B81">
        <w:rPr>
          <w:rFonts w:ascii="Tahoma" w:hAnsi="Tahoma" w:cs="Tahoma"/>
          <w:noProof/>
        </w:rPr>
        <w:t>Ejecutoriada la presente providencia, por la Oficina de Apoyo de los Juzgados Administrativos de Bogotá, devuélvase al interesado los documentos acompañados con la demanda sin necesidad de desglose y archívese la actuación</w:t>
      </w:r>
      <w:r w:rsidRPr="00B57B81">
        <w:rPr>
          <w:rFonts w:ascii="Tahoma" w:hAnsi="Tahoma" w:cs="Tahoma"/>
          <w:bCs/>
        </w:rPr>
        <w:t>.</w:t>
      </w:r>
    </w:p>
    <w:p w:rsidR="00F36736" w:rsidRPr="00B57B81" w:rsidRDefault="00F36736" w:rsidP="00F36736">
      <w:pPr>
        <w:spacing w:after="0" w:line="240" w:lineRule="auto"/>
        <w:jc w:val="both"/>
        <w:rPr>
          <w:rFonts w:ascii="Tahoma" w:hAnsi="Tahoma" w:cs="Tahoma"/>
        </w:rPr>
      </w:pPr>
      <w:r w:rsidRPr="00B57B81">
        <w:rPr>
          <w:rFonts w:ascii="Tahoma" w:hAnsi="Tahoma" w:cs="Tahoma"/>
        </w:rPr>
        <w:t xml:space="preserve"> </w:t>
      </w:r>
    </w:p>
    <w:p w:rsidR="00F36736" w:rsidRPr="00B57B81" w:rsidRDefault="00F36736" w:rsidP="00F36736">
      <w:pPr>
        <w:spacing w:after="0" w:line="240" w:lineRule="auto"/>
        <w:rPr>
          <w:rFonts w:ascii="Tahoma" w:hAnsi="Tahoma" w:cs="Tahoma"/>
          <w:b/>
        </w:rPr>
      </w:pPr>
      <w:r w:rsidRPr="00B57B81">
        <w:rPr>
          <w:rFonts w:ascii="Tahoma" w:hAnsi="Tahoma" w:cs="Tahoma"/>
          <w:b/>
        </w:rPr>
        <w:t>NOTIFÍQUESE Y CÚMPLASE,</w:t>
      </w:r>
    </w:p>
    <w:p w:rsidR="00F36736" w:rsidRPr="00B57B81" w:rsidRDefault="00F36736" w:rsidP="00F36736">
      <w:pPr>
        <w:spacing w:after="0" w:line="240" w:lineRule="auto"/>
        <w:jc w:val="both"/>
        <w:rPr>
          <w:rFonts w:ascii="Tahoma" w:hAnsi="Tahoma" w:cs="Tahoma"/>
        </w:rPr>
      </w:pPr>
    </w:p>
    <w:p w:rsidR="00F36736" w:rsidRPr="00B57B81" w:rsidRDefault="00F36736" w:rsidP="00F36736">
      <w:pPr>
        <w:spacing w:after="0" w:line="240" w:lineRule="auto"/>
        <w:jc w:val="both"/>
        <w:rPr>
          <w:rFonts w:ascii="Tahoma" w:hAnsi="Tahoma" w:cs="Tahoma"/>
          <w:b/>
          <w:lang w:val="es-CO" w:eastAsia="es-ES"/>
        </w:rPr>
      </w:pPr>
    </w:p>
    <w:p w:rsidR="00F36736" w:rsidRPr="00B57B81" w:rsidRDefault="00F36736" w:rsidP="00F36736">
      <w:pPr>
        <w:spacing w:after="0" w:line="240" w:lineRule="auto"/>
        <w:jc w:val="center"/>
        <w:rPr>
          <w:rFonts w:ascii="Tahoma" w:hAnsi="Tahoma" w:cs="Tahoma"/>
          <w:b/>
        </w:rPr>
      </w:pPr>
      <w:r w:rsidRPr="00B57B81">
        <w:rPr>
          <w:rFonts w:ascii="Tahoma" w:hAnsi="Tahoma" w:cs="Tahoma"/>
          <w:b/>
        </w:rPr>
        <w:t>OLGA CECILIA HENAO MARÍN</w:t>
      </w:r>
    </w:p>
    <w:p w:rsidR="00F36736" w:rsidRPr="00B57B81" w:rsidRDefault="00F36736" w:rsidP="00F36736">
      <w:pPr>
        <w:spacing w:after="0" w:line="240" w:lineRule="auto"/>
        <w:jc w:val="center"/>
        <w:rPr>
          <w:rFonts w:ascii="Tahoma" w:hAnsi="Tahoma" w:cs="Tahoma"/>
        </w:rPr>
      </w:pPr>
      <w:r w:rsidRPr="00B57B81">
        <w:rPr>
          <w:rFonts w:ascii="Tahoma" w:hAnsi="Tahoma" w:cs="Tahoma"/>
        </w:rPr>
        <w:t>Juez</w:t>
      </w:r>
    </w:p>
    <w:p w:rsidR="00F36736" w:rsidRPr="00B57B81" w:rsidRDefault="00F36736" w:rsidP="00F36736">
      <w:pPr>
        <w:spacing w:after="0" w:line="240" w:lineRule="auto"/>
        <w:jc w:val="both"/>
        <w:rPr>
          <w:rFonts w:ascii="Tahoma" w:hAnsi="Tahoma" w:cs="Tahoma"/>
          <w:noProof/>
          <w:sz w:val="12"/>
          <w:szCs w:val="12"/>
        </w:rPr>
      </w:pPr>
      <w:r w:rsidRPr="00B57B81">
        <w:rPr>
          <w:rFonts w:ascii="Tahoma" w:hAnsi="Tahoma" w:cs="Tahoma"/>
          <w:noProof/>
          <w:sz w:val="12"/>
          <w:szCs w:val="12"/>
        </w:rPr>
        <w:t>JBR</w:t>
      </w:r>
    </w:p>
    <w:p w:rsidR="00F36736" w:rsidRPr="00B57B81" w:rsidRDefault="00F36736" w:rsidP="00F36736">
      <w:pPr>
        <w:spacing w:after="0" w:line="240" w:lineRule="auto"/>
        <w:jc w:val="both"/>
        <w:rPr>
          <w:rFonts w:ascii="Tahoma" w:hAnsi="Tahoma" w:cs="Tahoma"/>
          <w:noProof/>
          <w:sz w:val="12"/>
          <w:szCs w:val="12"/>
        </w:rPr>
      </w:pPr>
    </w:p>
    <w:p w:rsidR="00F36736" w:rsidRPr="00B57B81" w:rsidRDefault="00F36736" w:rsidP="00F36736">
      <w:pPr>
        <w:spacing w:after="0" w:line="240" w:lineRule="auto"/>
        <w:jc w:val="both"/>
        <w:rPr>
          <w:rFonts w:ascii="Tahoma" w:hAnsi="Tahoma" w:cs="Tahoma"/>
          <w:noProof/>
          <w:sz w:val="12"/>
          <w:szCs w:val="12"/>
        </w:rPr>
      </w:pPr>
    </w:p>
    <w:p w:rsidR="00F36736" w:rsidRPr="00B57B81" w:rsidRDefault="00F36736" w:rsidP="00F36736">
      <w:pPr>
        <w:spacing w:after="0" w:line="240" w:lineRule="auto"/>
        <w:jc w:val="both"/>
        <w:rPr>
          <w:rFonts w:ascii="Tahoma" w:hAnsi="Tahoma" w:cs="Tahoma"/>
          <w:noProof/>
          <w:sz w:val="12"/>
          <w:szCs w:val="12"/>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521"/>
      </w:tblGrid>
      <w:tr w:rsidR="00F36736" w:rsidRPr="006E5031" w:rsidTr="005E48D8">
        <w:trPr>
          <w:trHeight w:val="1132"/>
        </w:trPr>
        <w:tc>
          <w:tcPr>
            <w:tcW w:w="6521" w:type="dxa"/>
          </w:tcPr>
          <w:p w:rsidR="00F36736" w:rsidRPr="00B57B81" w:rsidRDefault="00F36736" w:rsidP="005E48D8">
            <w:pPr>
              <w:jc w:val="center"/>
              <w:rPr>
                <w:rFonts w:ascii="Tahoma" w:hAnsi="Tahoma" w:cs="Tahoma"/>
                <w:b/>
                <w:sz w:val="18"/>
                <w:szCs w:val="18"/>
              </w:rPr>
            </w:pPr>
            <w:bookmarkStart w:id="1" w:name="OLE_LINK4"/>
            <w:bookmarkStart w:id="2" w:name="OLE_LINK5"/>
            <w:r w:rsidRPr="00B57B81">
              <w:rPr>
                <w:rFonts w:ascii="Tahoma" w:hAnsi="Tahoma" w:cs="Tahoma"/>
                <w:b/>
                <w:sz w:val="18"/>
                <w:szCs w:val="18"/>
              </w:rPr>
              <w:t>JUZGADO TREINTA Y CUATRO ADMINISTRATIVO CIRCUITO DE BOGOTÁ -  SECCIÓN TERCERA</w:t>
            </w:r>
          </w:p>
          <w:p w:rsidR="00F36736" w:rsidRPr="00B57B81" w:rsidRDefault="00F36736" w:rsidP="005E48D8">
            <w:pPr>
              <w:jc w:val="both"/>
              <w:rPr>
                <w:rFonts w:ascii="Tahoma" w:hAnsi="Tahoma" w:cs="Tahoma"/>
                <w:sz w:val="18"/>
                <w:szCs w:val="18"/>
              </w:rPr>
            </w:pPr>
            <w:r w:rsidRPr="00B57B81">
              <w:rPr>
                <w:rFonts w:ascii="Tahoma" w:hAnsi="Tahoma" w:cs="Tahoma"/>
                <w:sz w:val="18"/>
                <w:szCs w:val="18"/>
              </w:rPr>
              <w:t xml:space="preserve">Por anotación en ESTADO notifico a las partes la providencia anterior, hoy </w:t>
            </w:r>
            <w:r w:rsidRPr="00B57B81">
              <w:rPr>
                <w:rFonts w:ascii="Tahoma" w:hAnsi="Tahoma" w:cs="Tahoma"/>
                <w:b/>
                <w:sz w:val="18"/>
                <w:szCs w:val="18"/>
              </w:rPr>
              <w:t>____________________________</w:t>
            </w:r>
            <w:r w:rsidRPr="00B57B81">
              <w:rPr>
                <w:rFonts w:ascii="Tahoma" w:hAnsi="Tahoma" w:cs="Tahoma"/>
                <w:sz w:val="18"/>
                <w:szCs w:val="18"/>
              </w:rPr>
              <w:t>a las 8:00 a.m.</w:t>
            </w:r>
          </w:p>
          <w:p w:rsidR="00F36736" w:rsidRPr="006E5031" w:rsidRDefault="00F36736" w:rsidP="005E48D8">
            <w:pPr>
              <w:rPr>
                <w:rFonts w:ascii="Tahoma" w:hAnsi="Tahoma" w:cs="Tahoma"/>
                <w:sz w:val="16"/>
                <w:szCs w:val="16"/>
              </w:rPr>
            </w:pPr>
            <w:r w:rsidRPr="00B57B81">
              <w:rPr>
                <w:rFonts w:ascii="Tahoma" w:hAnsi="Tahoma" w:cs="Tahoma"/>
                <w:b/>
                <w:noProof/>
                <w:sz w:val="16"/>
                <w:szCs w:val="16"/>
                <w:lang w:eastAsia="es-CO"/>
              </w:rPr>
              <w:drawing>
                <wp:anchor distT="0" distB="0" distL="114300" distR="114300" simplePos="0" relativeHeight="251659264" behindDoc="0" locked="0" layoutInCell="1" allowOverlap="1" wp14:anchorId="4FCA10B9" wp14:editId="15F078A1">
                  <wp:simplePos x="0" y="0"/>
                  <wp:positionH relativeFrom="margin">
                    <wp:posOffset>1632585</wp:posOffset>
                  </wp:positionH>
                  <wp:positionV relativeFrom="paragraph">
                    <wp:posOffset>13335</wp:posOffset>
                  </wp:positionV>
                  <wp:extent cx="815340" cy="485775"/>
                  <wp:effectExtent l="0" t="0" r="3810" b="9525"/>
                  <wp:wrapSquare wrapText="bothSides"/>
                  <wp:docPr id="3" name="Imagen 3"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7" cstate="print"/>
                          <a:srcRect/>
                          <a:stretch>
                            <a:fillRect/>
                          </a:stretch>
                        </pic:blipFill>
                        <pic:spPr bwMode="auto">
                          <a:xfrm>
                            <a:off x="0" y="0"/>
                            <a:ext cx="815340" cy="485775"/>
                          </a:xfrm>
                          <a:prstGeom prst="rect">
                            <a:avLst/>
                          </a:prstGeom>
                          <a:noFill/>
                          <a:ln w="9525">
                            <a:noFill/>
                            <a:miter lim="800000"/>
                            <a:headEnd/>
                            <a:tailEnd/>
                          </a:ln>
                        </pic:spPr>
                      </pic:pic>
                    </a:graphicData>
                  </a:graphic>
                </wp:anchor>
              </w:drawing>
            </w:r>
          </w:p>
        </w:tc>
      </w:tr>
      <w:bookmarkEnd w:id="1"/>
      <w:bookmarkEnd w:id="2"/>
    </w:tbl>
    <w:p w:rsidR="00F36736" w:rsidRPr="0078283E" w:rsidRDefault="00F36736" w:rsidP="00F36736">
      <w:pPr>
        <w:spacing w:line="240" w:lineRule="auto"/>
        <w:rPr>
          <w:rFonts w:ascii="Tahoma" w:hAnsi="Tahoma" w:cs="Tahoma"/>
          <w:sz w:val="18"/>
          <w:szCs w:val="18"/>
        </w:rPr>
      </w:pPr>
    </w:p>
    <w:p w:rsidR="00F36736" w:rsidRDefault="00F36736" w:rsidP="00F36736"/>
    <w:p w:rsidR="00F36736" w:rsidRDefault="00F36736" w:rsidP="00F36736"/>
    <w:p w:rsidR="005E48D8" w:rsidRDefault="005E48D8"/>
    <w:sectPr w:rsidR="005E48D8" w:rsidSect="005E48D8">
      <w:headerReference w:type="even" r:id="rId8"/>
      <w:headerReference w:type="default" r:id="rId9"/>
      <w:headerReference w:type="first" r:id="rId10"/>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2D7" w:rsidRDefault="005472D7" w:rsidP="00F36736">
      <w:pPr>
        <w:spacing w:after="0" w:line="240" w:lineRule="auto"/>
      </w:pPr>
      <w:r>
        <w:separator/>
      </w:r>
    </w:p>
  </w:endnote>
  <w:endnote w:type="continuationSeparator" w:id="0">
    <w:p w:rsidR="005472D7" w:rsidRDefault="005472D7" w:rsidP="00F3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2D7" w:rsidRDefault="005472D7" w:rsidP="00F36736">
      <w:pPr>
        <w:spacing w:after="0" w:line="240" w:lineRule="auto"/>
      </w:pPr>
      <w:r>
        <w:separator/>
      </w:r>
    </w:p>
  </w:footnote>
  <w:footnote w:type="continuationSeparator" w:id="0">
    <w:p w:rsidR="005472D7" w:rsidRDefault="005472D7" w:rsidP="00F36736">
      <w:pPr>
        <w:spacing w:after="0" w:line="240" w:lineRule="auto"/>
      </w:pPr>
      <w:r>
        <w:continuationSeparator/>
      </w:r>
    </w:p>
  </w:footnote>
  <w:footnote w:id="1">
    <w:p w:rsidR="005E48D8" w:rsidRPr="00AC52F0" w:rsidRDefault="005E48D8" w:rsidP="00F36736">
      <w:pPr>
        <w:pStyle w:val="Prrafodelista"/>
        <w:numPr>
          <w:ilvl w:val="0"/>
          <w:numId w:val="5"/>
        </w:numPr>
        <w:tabs>
          <w:tab w:val="left" w:pos="0"/>
          <w:tab w:val="left" w:pos="284"/>
        </w:tabs>
        <w:spacing w:after="0" w:line="240" w:lineRule="auto"/>
        <w:ind w:left="0" w:firstLine="0"/>
        <w:jc w:val="both"/>
        <w:rPr>
          <w:rFonts w:ascii="Tahoma" w:hAnsi="Tahoma" w:cs="Tahoma"/>
          <w:sz w:val="16"/>
          <w:szCs w:val="16"/>
        </w:rPr>
      </w:pPr>
      <w:r w:rsidRPr="00AC52F0">
        <w:rPr>
          <w:rStyle w:val="Refdenotaalpie"/>
          <w:rFonts w:ascii="Tahoma" w:hAnsi="Tahoma" w:cs="Tahoma"/>
          <w:sz w:val="16"/>
          <w:szCs w:val="16"/>
        </w:rPr>
        <w:footnoteRef/>
      </w:r>
      <w:r w:rsidRPr="00AC52F0">
        <w:rPr>
          <w:rFonts w:ascii="Tahoma" w:hAnsi="Tahoma" w:cs="Tahoma"/>
          <w:sz w:val="16"/>
          <w:szCs w:val="16"/>
        </w:rPr>
        <w:t xml:space="preserve"> La señora María Dioselina Castillo Molina otorga poder en representación de Lizeth Dayanna Mogollón Cantillo pero la señora Naxly Liliana Cantillo Polo también lo hace; sin embargo en la demanda se indica que quien representa a la menor es Naxly Liliana Cantillo Polo quien es su madre, por lo cual deberá aclararse y adecuarse el poder.</w:t>
      </w:r>
    </w:p>
    <w:p w:rsidR="005E48D8" w:rsidRPr="00AC52F0" w:rsidRDefault="005E48D8" w:rsidP="00F36736">
      <w:pPr>
        <w:pStyle w:val="Prrafodelista"/>
        <w:numPr>
          <w:ilvl w:val="0"/>
          <w:numId w:val="5"/>
        </w:numPr>
        <w:tabs>
          <w:tab w:val="left" w:pos="0"/>
          <w:tab w:val="left" w:pos="284"/>
        </w:tabs>
        <w:spacing w:after="0" w:line="240" w:lineRule="auto"/>
        <w:ind w:left="0" w:firstLine="0"/>
        <w:jc w:val="both"/>
        <w:rPr>
          <w:rFonts w:ascii="Tahoma" w:hAnsi="Tahoma" w:cs="Tahoma"/>
          <w:sz w:val="16"/>
          <w:szCs w:val="16"/>
        </w:rPr>
      </w:pPr>
      <w:r w:rsidRPr="00AC52F0">
        <w:rPr>
          <w:rFonts w:ascii="Tahoma" w:hAnsi="Tahoma" w:cs="Tahoma"/>
          <w:sz w:val="16"/>
          <w:szCs w:val="16"/>
        </w:rPr>
        <w:t xml:space="preserve">También en el poder se indica que la demanda va dirigida en contra del Hospital el Tunal, Subred Integrada de Servicios del Sur y </w:t>
      </w:r>
      <w:r w:rsidRPr="00AC52F0">
        <w:rPr>
          <w:rFonts w:ascii="Tahoma" w:hAnsi="Tahoma" w:cs="Tahoma"/>
          <w:b/>
          <w:sz w:val="16"/>
          <w:szCs w:val="16"/>
        </w:rPr>
        <w:t xml:space="preserve">ALCALDÍA MAYOR DE BOGOTÁ; </w:t>
      </w:r>
      <w:r w:rsidRPr="00AC52F0">
        <w:rPr>
          <w:rFonts w:ascii="Tahoma" w:hAnsi="Tahoma" w:cs="Tahoma"/>
          <w:sz w:val="16"/>
          <w:szCs w:val="16"/>
        </w:rPr>
        <w:t xml:space="preserve">sin embargo, la Alcaldía no aparece como demandada en el presente proceso. Por lo tanto, deberá aclarar si esa entidad es demandada y de ser así, allegar constancia de conciliación prejudicial agotando este requisito respecto de aquella; de lo contrario, deberá adecuar el poder. </w:t>
      </w:r>
    </w:p>
    <w:p w:rsidR="005E48D8" w:rsidRPr="00AC52F0" w:rsidRDefault="005E48D8" w:rsidP="00F36736">
      <w:pPr>
        <w:pStyle w:val="Prrafodelista"/>
        <w:numPr>
          <w:ilvl w:val="0"/>
          <w:numId w:val="5"/>
        </w:numPr>
        <w:tabs>
          <w:tab w:val="left" w:pos="0"/>
          <w:tab w:val="left" w:pos="284"/>
        </w:tabs>
        <w:spacing w:after="0" w:line="240" w:lineRule="auto"/>
        <w:ind w:left="0" w:firstLine="0"/>
        <w:jc w:val="both"/>
        <w:rPr>
          <w:rFonts w:ascii="Tahoma" w:hAnsi="Tahoma" w:cs="Tahoma"/>
          <w:sz w:val="16"/>
          <w:szCs w:val="16"/>
        </w:rPr>
      </w:pPr>
      <w:r w:rsidRPr="00AC52F0">
        <w:rPr>
          <w:rFonts w:ascii="Tahoma" w:hAnsi="Tahoma" w:cs="Tahoma"/>
          <w:sz w:val="16"/>
          <w:szCs w:val="16"/>
        </w:rPr>
        <w:t>La actora deberá aportar documento que indique cuándo inició el proceso de interdicción.</w:t>
      </w:r>
    </w:p>
    <w:p w:rsidR="005E48D8" w:rsidRPr="00AC52F0" w:rsidRDefault="005E48D8" w:rsidP="00F36736">
      <w:pPr>
        <w:pStyle w:val="Prrafodelista"/>
        <w:numPr>
          <w:ilvl w:val="0"/>
          <w:numId w:val="5"/>
        </w:numPr>
        <w:tabs>
          <w:tab w:val="left" w:pos="0"/>
          <w:tab w:val="left" w:pos="284"/>
        </w:tabs>
        <w:spacing w:after="0" w:line="240" w:lineRule="auto"/>
        <w:ind w:left="0" w:firstLine="0"/>
        <w:jc w:val="both"/>
        <w:rPr>
          <w:rFonts w:ascii="Tahoma" w:hAnsi="Tahoma" w:cs="Tahoma"/>
          <w:b/>
          <w:sz w:val="16"/>
          <w:szCs w:val="16"/>
        </w:rPr>
      </w:pPr>
      <w:r w:rsidRPr="00AC52F0">
        <w:rPr>
          <w:rFonts w:ascii="Tahoma" w:hAnsi="Tahoma" w:cs="Tahoma"/>
          <w:sz w:val="16"/>
          <w:szCs w:val="16"/>
        </w:rPr>
        <w:t>No es clara la legitimación en la causa por pasiva del Hospital el Tunal de Bogotá ESE, como quiera que las Empresas Sociales del Estado se fusionaron y quedaron integradas a una SUBRED INTEGRADA DE SERVICIOS DE SALUD</w:t>
      </w:r>
      <w:r w:rsidRPr="00AC52F0">
        <w:rPr>
          <w:rStyle w:val="Refdenotaalpie"/>
          <w:rFonts w:ascii="Tahoma" w:hAnsi="Tahoma" w:cs="Tahoma"/>
          <w:sz w:val="16"/>
          <w:szCs w:val="16"/>
        </w:rPr>
        <w:footnoteRef/>
      </w:r>
      <w:r w:rsidRPr="00AC52F0">
        <w:rPr>
          <w:rFonts w:ascii="Tahoma" w:hAnsi="Tahoma" w:cs="Tahom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8D8" w:rsidRDefault="005E48D8" w:rsidP="005E48D8">
    <w:pPr>
      <w:pStyle w:val="Encabezado"/>
      <w:jc w:val="right"/>
      <w:rPr>
        <w:sz w:val="20"/>
        <w:szCs w:val="20"/>
        <w:lang w:val="es-MX"/>
      </w:rPr>
    </w:pPr>
    <w:r w:rsidRPr="00C759AB">
      <w:rPr>
        <w:sz w:val="20"/>
        <w:szCs w:val="20"/>
        <w:lang w:val="es-MX"/>
      </w:rPr>
      <w:t>Auto que remite por competencia territorial</w:t>
    </w:r>
  </w:p>
  <w:p w:rsidR="005E48D8" w:rsidRDefault="005E48D8" w:rsidP="005E48D8">
    <w:pPr>
      <w:pStyle w:val="Encabezado"/>
      <w:jc w:val="right"/>
      <w:rPr>
        <w:sz w:val="20"/>
        <w:szCs w:val="20"/>
        <w:lang w:val="es-MX"/>
      </w:rPr>
    </w:pPr>
    <w:r>
      <w:rPr>
        <w:sz w:val="20"/>
        <w:szCs w:val="20"/>
        <w:lang w:val="es-MX"/>
      </w:rPr>
      <w:t xml:space="preserve">Expediente No. </w:t>
    </w:r>
    <w:r>
      <w:rPr>
        <w:sz w:val="20"/>
        <w:szCs w:val="20"/>
        <w:lang w:val="es-MX"/>
      </w:rPr>
      <w:fldChar w:fldCharType="begin"/>
    </w:r>
    <w:r>
      <w:rPr>
        <w:sz w:val="20"/>
        <w:szCs w:val="20"/>
        <w:lang w:val="es-MX"/>
      </w:rPr>
      <w:instrText xml:space="preserve"> MERGEFIELD "No_DE_EXPEDIENTE" </w:instrText>
    </w:r>
    <w:r>
      <w:rPr>
        <w:sz w:val="20"/>
        <w:szCs w:val="20"/>
        <w:lang w:val="es-MX"/>
      </w:rPr>
      <w:fldChar w:fldCharType="separate"/>
    </w:r>
    <w:r>
      <w:rPr>
        <w:noProof/>
        <w:sz w:val="20"/>
        <w:szCs w:val="20"/>
        <w:lang w:val="es-MX"/>
      </w:rPr>
      <w:t>«No_DE_EXPEDIENTE»</w:t>
    </w:r>
    <w:r>
      <w:rPr>
        <w:sz w:val="20"/>
        <w:szCs w:val="20"/>
        <w:lang w:val="es-MX"/>
      </w:rPr>
      <w:fldChar w:fldCharType="end"/>
    </w:r>
  </w:p>
  <w:p w:rsidR="005E48D8" w:rsidRPr="00C759AB" w:rsidRDefault="005E48D8" w:rsidP="005E48D8">
    <w:pPr>
      <w:pStyle w:val="Encabezado"/>
      <w:jc w:val="right"/>
      <w:rPr>
        <w:sz w:val="20"/>
        <w:szCs w:val="20"/>
        <w:lang w:val="es-MX"/>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2</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8D8" w:rsidRDefault="005E48D8" w:rsidP="005E48D8">
    <w:pPr>
      <w:pStyle w:val="Encabezado"/>
      <w:jc w:val="right"/>
      <w:rPr>
        <w:rFonts w:ascii="Tahoma" w:hAnsi="Tahoma" w:cs="Tahoma"/>
        <w:sz w:val="14"/>
        <w:szCs w:val="14"/>
      </w:rPr>
    </w:pPr>
    <w:r w:rsidRPr="00347880">
      <w:rPr>
        <w:rFonts w:ascii="Tahoma" w:hAnsi="Tahoma" w:cs="Tahoma"/>
        <w:sz w:val="14"/>
        <w:szCs w:val="14"/>
      </w:rPr>
      <w:t>Expediente Nº 201</w:t>
    </w:r>
    <w:r>
      <w:rPr>
        <w:rFonts w:ascii="Tahoma" w:hAnsi="Tahoma" w:cs="Tahoma"/>
        <w:sz w:val="14"/>
        <w:szCs w:val="14"/>
      </w:rPr>
      <w:t>8</w:t>
    </w:r>
    <w:r w:rsidRPr="00347880">
      <w:rPr>
        <w:rFonts w:ascii="Tahoma" w:hAnsi="Tahoma" w:cs="Tahoma"/>
        <w:sz w:val="14"/>
        <w:szCs w:val="14"/>
      </w:rPr>
      <w:t xml:space="preserve"> </w:t>
    </w:r>
    <w:r>
      <w:rPr>
        <w:rFonts w:ascii="Tahoma" w:hAnsi="Tahoma" w:cs="Tahoma"/>
        <w:sz w:val="14"/>
        <w:szCs w:val="14"/>
      </w:rPr>
      <w:t>–</w:t>
    </w:r>
    <w:r w:rsidRPr="00347880">
      <w:rPr>
        <w:rFonts w:ascii="Tahoma" w:hAnsi="Tahoma" w:cs="Tahoma"/>
        <w:sz w:val="14"/>
        <w:szCs w:val="14"/>
      </w:rPr>
      <w:t xml:space="preserve"> </w:t>
    </w:r>
    <w:r>
      <w:rPr>
        <w:rFonts w:ascii="Tahoma" w:hAnsi="Tahoma" w:cs="Tahoma"/>
        <w:sz w:val="14"/>
        <w:szCs w:val="14"/>
      </w:rPr>
      <w:t>0115</w:t>
    </w:r>
  </w:p>
  <w:p w:rsidR="005E48D8" w:rsidRDefault="005E48D8" w:rsidP="005E48D8">
    <w:pPr>
      <w:pStyle w:val="Encabezado"/>
      <w:jc w:val="right"/>
      <w:rPr>
        <w:rFonts w:ascii="Tahoma" w:hAnsi="Tahoma" w:cs="Tahoma"/>
        <w:sz w:val="14"/>
        <w:szCs w:val="14"/>
      </w:rPr>
    </w:pPr>
    <w:r>
      <w:rPr>
        <w:rFonts w:ascii="Tahoma" w:hAnsi="Tahoma" w:cs="Tahoma"/>
        <w:sz w:val="14"/>
        <w:szCs w:val="14"/>
      </w:rPr>
      <w:t xml:space="preserve">RECHAZA DEMANDA POR CADUCIDAD </w:t>
    </w:r>
  </w:p>
  <w:p w:rsidR="005E48D8" w:rsidRPr="00347880" w:rsidRDefault="005E48D8" w:rsidP="005E48D8">
    <w:pPr>
      <w:pStyle w:val="Encabezado"/>
      <w:jc w:val="right"/>
      <w:rPr>
        <w:rFonts w:ascii="Tahoma" w:hAnsi="Tahoma" w:cs="Tahoma"/>
        <w:sz w:val="14"/>
        <w:szCs w:val="14"/>
      </w:rPr>
    </w:pPr>
    <w:r w:rsidRPr="00347880">
      <w:rPr>
        <w:rFonts w:ascii="Tahoma" w:hAnsi="Tahoma" w:cs="Tahoma"/>
        <w:sz w:val="14"/>
        <w:szCs w:val="14"/>
      </w:rPr>
      <w:t xml:space="preserve">Página </w:t>
    </w:r>
    <w:r>
      <w:rPr>
        <w:rFonts w:ascii="Tahoma" w:hAnsi="Tahoma" w:cs="Tahoma"/>
        <w:sz w:val="14"/>
        <w:szCs w:val="14"/>
      </w:rPr>
      <w:fldChar w:fldCharType="begin"/>
    </w:r>
    <w:r>
      <w:rPr>
        <w:rFonts w:ascii="Tahoma" w:hAnsi="Tahoma" w:cs="Tahoma"/>
        <w:sz w:val="14"/>
        <w:szCs w:val="14"/>
      </w:rPr>
      <w:instrText xml:space="preserve"> PAGE  \* Arabic  \* MERGEFORMAT </w:instrText>
    </w:r>
    <w:r>
      <w:rPr>
        <w:rFonts w:ascii="Tahoma" w:hAnsi="Tahoma" w:cs="Tahoma"/>
        <w:sz w:val="14"/>
        <w:szCs w:val="14"/>
      </w:rPr>
      <w:fldChar w:fldCharType="separate"/>
    </w:r>
    <w:r w:rsidR="00E92FA2">
      <w:rPr>
        <w:rFonts w:ascii="Tahoma" w:hAnsi="Tahoma" w:cs="Tahoma"/>
        <w:noProof/>
        <w:sz w:val="14"/>
        <w:szCs w:val="14"/>
      </w:rPr>
      <w:t>3</w:t>
    </w:r>
    <w:r>
      <w:rPr>
        <w:rFonts w:ascii="Tahoma" w:hAnsi="Tahoma" w:cs="Tahoma"/>
        <w:sz w:val="14"/>
        <w:szCs w:val="14"/>
      </w:rPr>
      <w:fldChar w:fldCharType="end"/>
    </w:r>
    <w:r>
      <w:rPr>
        <w:rFonts w:ascii="Tahoma" w:hAnsi="Tahoma" w:cs="Tahoma"/>
        <w:sz w:val="14"/>
        <w:szCs w:val="14"/>
      </w:rPr>
      <w:t xml:space="preserve"> de </w:t>
    </w:r>
    <w:r w:rsidR="005472D7">
      <w:fldChar w:fldCharType="begin"/>
    </w:r>
    <w:r w:rsidR="005472D7">
      <w:instrText xml:space="preserve"> NUMPAGES  \* Arabic  \* MERGEFORMAT </w:instrText>
    </w:r>
    <w:r w:rsidR="005472D7">
      <w:fldChar w:fldCharType="separate"/>
    </w:r>
    <w:r w:rsidR="00E92FA2" w:rsidRPr="00E92FA2">
      <w:rPr>
        <w:rFonts w:ascii="Tahoma" w:hAnsi="Tahoma" w:cs="Tahoma"/>
        <w:noProof/>
        <w:sz w:val="14"/>
        <w:szCs w:val="14"/>
      </w:rPr>
      <w:t>3</w:t>
    </w:r>
    <w:r w:rsidR="005472D7">
      <w:rPr>
        <w:rFonts w:ascii="Tahoma" w:hAnsi="Tahoma" w:cs="Tahoma"/>
        <w:noProof/>
        <w:sz w:val="14"/>
        <w:szCs w:val="1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8D8" w:rsidRPr="00B57B81" w:rsidRDefault="005E48D8" w:rsidP="005E48D8">
    <w:pPr>
      <w:pStyle w:val="Encabezado"/>
      <w:jc w:val="center"/>
      <w:rPr>
        <w:rFonts w:ascii="Tahoma" w:hAnsi="Tahoma" w:cs="Tahoma"/>
        <w:b/>
        <w:i/>
        <w:sz w:val="16"/>
        <w:szCs w:val="16"/>
      </w:rPr>
    </w:pPr>
    <w:r w:rsidRPr="00B57B81">
      <w:rPr>
        <w:rFonts w:ascii="Tahoma" w:hAnsi="Tahoma" w:cs="Tahoma"/>
        <w:b/>
        <w:i/>
        <w:noProof/>
        <w:sz w:val="16"/>
        <w:szCs w:val="16"/>
        <w:lang w:eastAsia="es-CO"/>
      </w:rPr>
      <w:drawing>
        <wp:inline distT="0" distB="0" distL="0" distR="0" wp14:anchorId="5D5B3379" wp14:editId="0ED2A438">
          <wp:extent cx="632460" cy="63246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p>
  <w:p w:rsidR="005E48D8" w:rsidRPr="00B57B81" w:rsidRDefault="005E48D8" w:rsidP="005E48D8">
    <w:pPr>
      <w:pStyle w:val="Encabezado"/>
      <w:jc w:val="center"/>
      <w:rPr>
        <w:rFonts w:ascii="Tahoma" w:hAnsi="Tahoma" w:cs="Tahoma"/>
        <w:b/>
        <w:sz w:val="16"/>
        <w:szCs w:val="16"/>
        <w:lang w:val="es-MX"/>
      </w:rPr>
    </w:pPr>
    <w:r w:rsidRPr="00B57B81">
      <w:rPr>
        <w:rFonts w:ascii="Tahoma" w:hAnsi="Tahoma" w:cs="Tahoma"/>
        <w:b/>
        <w:sz w:val="16"/>
        <w:szCs w:val="16"/>
        <w:lang w:val="es-MX"/>
      </w:rPr>
      <w:t>JUZGADO TREINTA Y CUATRO ADMINISTRATIVO</w:t>
    </w:r>
  </w:p>
  <w:p w:rsidR="005E48D8" w:rsidRPr="00B57B81" w:rsidRDefault="005E48D8" w:rsidP="005E48D8">
    <w:pPr>
      <w:pStyle w:val="Encabezado"/>
      <w:jc w:val="center"/>
      <w:rPr>
        <w:rFonts w:ascii="Tahoma" w:hAnsi="Tahoma" w:cs="Tahoma"/>
        <w:b/>
        <w:sz w:val="16"/>
        <w:szCs w:val="16"/>
        <w:lang w:val="es-MX"/>
      </w:rPr>
    </w:pPr>
    <w:r w:rsidRPr="00B57B81">
      <w:rPr>
        <w:rFonts w:ascii="Tahoma" w:hAnsi="Tahoma" w:cs="Tahoma"/>
        <w:b/>
        <w:sz w:val="16"/>
        <w:szCs w:val="16"/>
        <w:lang w:val="es-MX"/>
      </w:rPr>
      <w:t xml:space="preserve"> ORAL DE BOGOTÁ</w:t>
    </w:r>
  </w:p>
  <w:p w:rsidR="005E48D8" w:rsidRPr="00B57B81" w:rsidRDefault="005E48D8" w:rsidP="005E48D8">
    <w:pPr>
      <w:pStyle w:val="Encabezado"/>
      <w:jc w:val="center"/>
      <w:rPr>
        <w:rFonts w:ascii="Tahoma" w:hAnsi="Tahoma" w:cs="Tahoma"/>
        <w:b/>
        <w:sz w:val="16"/>
        <w:szCs w:val="16"/>
        <w:lang w:val="es-MX"/>
      </w:rPr>
    </w:pPr>
    <w:r w:rsidRPr="00B57B81">
      <w:rPr>
        <w:rFonts w:ascii="Tahoma" w:hAnsi="Tahoma" w:cs="Tahoma"/>
        <w:b/>
        <w:sz w:val="16"/>
        <w:szCs w:val="16"/>
        <w:lang w:val="es-MX"/>
      </w:rPr>
      <w:t>Sección Tercera</w:t>
    </w:r>
  </w:p>
  <w:p w:rsidR="005E48D8" w:rsidRPr="00B57B81" w:rsidRDefault="005E48D8">
    <w:pPr>
      <w:pStyle w:val="Encabezado"/>
      <w:rPr>
        <w:rFonts w:ascii="Tahoma" w:hAnsi="Tahoma" w:cs="Tahoma"/>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8504E"/>
    <w:multiLevelType w:val="hybridMultilevel"/>
    <w:tmpl w:val="638EAD20"/>
    <w:lvl w:ilvl="0" w:tplc="0C0A000F">
      <w:start w:val="1"/>
      <w:numFmt w:val="decimal"/>
      <w:lvlText w:val="%1."/>
      <w:lvlJc w:val="left"/>
      <w:pPr>
        <w:tabs>
          <w:tab w:val="num" w:pos="360"/>
        </w:tabs>
        <w:ind w:left="360" w:hanging="360"/>
      </w:pPr>
      <w:rPr>
        <w:rFonts w:cs="Times New Roman"/>
      </w:rPr>
    </w:lvl>
    <w:lvl w:ilvl="1" w:tplc="0C0A0001">
      <w:start w:val="1"/>
      <w:numFmt w:val="bullet"/>
      <w:lvlText w:val=""/>
      <w:lvlJc w:val="left"/>
      <w:pPr>
        <w:tabs>
          <w:tab w:val="num" w:pos="360"/>
        </w:tabs>
        <w:ind w:left="360" w:hanging="360"/>
      </w:pPr>
      <w:rPr>
        <w:rFonts w:ascii="Symbol" w:hAnsi="Symbol" w:hint="default"/>
      </w:rPr>
    </w:lvl>
    <w:lvl w:ilvl="2" w:tplc="15B05FC4">
      <w:numFmt w:val="bullet"/>
      <w:lvlText w:val="-"/>
      <w:lvlJc w:val="left"/>
      <w:pPr>
        <w:tabs>
          <w:tab w:val="num" w:pos="1980"/>
        </w:tabs>
        <w:ind w:left="1980" w:hanging="360"/>
      </w:pPr>
      <w:rPr>
        <w:rFonts w:ascii="Times New Roman" w:eastAsia="Times New Roman" w:hAnsi="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
    <w:nsid w:val="1D876A2B"/>
    <w:multiLevelType w:val="hybridMultilevel"/>
    <w:tmpl w:val="78DE3B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B47003E"/>
    <w:multiLevelType w:val="hybridMultilevel"/>
    <w:tmpl w:val="09765D54"/>
    <w:lvl w:ilvl="0" w:tplc="0C0A000D">
      <w:start w:val="1"/>
      <w:numFmt w:val="bullet"/>
      <w:lvlText w:val=""/>
      <w:lvlJc w:val="left"/>
      <w:pPr>
        <w:tabs>
          <w:tab w:val="num" w:pos="360"/>
        </w:tabs>
        <w:ind w:left="360" w:hanging="360"/>
      </w:pPr>
      <w:rPr>
        <w:rFonts w:ascii="Wingdings" w:hAnsi="Wingdings" w:hint="default"/>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
    <w:nsid w:val="7ED75405"/>
    <w:multiLevelType w:val="multilevel"/>
    <w:tmpl w:val="CFA452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36"/>
    <w:rsid w:val="000276A7"/>
    <w:rsid w:val="00041F99"/>
    <w:rsid w:val="00063FA7"/>
    <w:rsid w:val="000877ED"/>
    <w:rsid w:val="000F7266"/>
    <w:rsid w:val="00116799"/>
    <w:rsid w:val="00167985"/>
    <w:rsid w:val="001C46C2"/>
    <w:rsid w:val="001D1ACA"/>
    <w:rsid w:val="00284A96"/>
    <w:rsid w:val="00294724"/>
    <w:rsid w:val="00305AD5"/>
    <w:rsid w:val="00344F7B"/>
    <w:rsid w:val="00376186"/>
    <w:rsid w:val="00380A99"/>
    <w:rsid w:val="003C778E"/>
    <w:rsid w:val="003F572B"/>
    <w:rsid w:val="00432978"/>
    <w:rsid w:val="00462CC2"/>
    <w:rsid w:val="00474010"/>
    <w:rsid w:val="00484683"/>
    <w:rsid w:val="005472D7"/>
    <w:rsid w:val="005E48D8"/>
    <w:rsid w:val="005F24A2"/>
    <w:rsid w:val="006B1852"/>
    <w:rsid w:val="006F2CC1"/>
    <w:rsid w:val="00732ECF"/>
    <w:rsid w:val="00914A82"/>
    <w:rsid w:val="00926D55"/>
    <w:rsid w:val="00956A61"/>
    <w:rsid w:val="0098707E"/>
    <w:rsid w:val="00A02D04"/>
    <w:rsid w:val="00B355E6"/>
    <w:rsid w:val="00B57AB9"/>
    <w:rsid w:val="00B57B81"/>
    <w:rsid w:val="00BE101B"/>
    <w:rsid w:val="00C360B1"/>
    <w:rsid w:val="00CB560B"/>
    <w:rsid w:val="00D04098"/>
    <w:rsid w:val="00D75A20"/>
    <w:rsid w:val="00E92FA2"/>
    <w:rsid w:val="00F36736"/>
    <w:rsid w:val="00F84985"/>
    <w:rsid w:val="00F84B63"/>
    <w:rsid w:val="00FE5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F26FB85-23DE-43BA-9FA8-46DB9555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36"/>
    <w:pPr>
      <w:spacing w:after="160" w:line="259"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36736"/>
    <w:pPr>
      <w:tabs>
        <w:tab w:val="center" w:pos="4252"/>
        <w:tab w:val="right" w:pos="8504"/>
      </w:tabs>
      <w:spacing w:after="0" w:line="240" w:lineRule="auto"/>
    </w:pPr>
    <w:rPr>
      <w:rFonts w:ascii="Times New Roman" w:hAnsi="Times New Roman"/>
      <w:sz w:val="24"/>
      <w:szCs w:val="24"/>
      <w:lang w:val="es-CO" w:eastAsia="es-ES"/>
    </w:rPr>
  </w:style>
  <w:style w:type="character" w:customStyle="1" w:styleId="EncabezadoCar">
    <w:name w:val="Encabezado Car"/>
    <w:basedOn w:val="Fuentedeprrafopredeter"/>
    <w:link w:val="Encabezado"/>
    <w:uiPriority w:val="99"/>
    <w:rsid w:val="00F36736"/>
    <w:rPr>
      <w:rFonts w:ascii="Times New Roman" w:eastAsia="Times New Roman" w:hAnsi="Times New Roman" w:cs="Times New Roman"/>
      <w:sz w:val="24"/>
      <w:szCs w:val="24"/>
      <w:lang w:val="es-CO" w:eastAsia="es-ES"/>
    </w:rPr>
  </w:style>
  <w:style w:type="character" w:styleId="Nmerodepgina">
    <w:name w:val="page number"/>
    <w:basedOn w:val="Fuentedeprrafopredeter"/>
    <w:uiPriority w:val="99"/>
    <w:rsid w:val="00F36736"/>
    <w:rPr>
      <w:rFonts w:cs="Times New Roman"/>
    </w:rPr>
  </w:style>
  <w:style w:type="paragraph" w:styleId="Prrafodelista">
    <w:name w:val="List Paragraph"/>
    <w:basedOn w:val="Normal"/>
    <w:uiPriority w:val="34"/>
    <w:qFormat/>
    <w:rsid w:val="00F36736"/>
    <w:pPr>
      <w:ind w:left="720"/>
      <w:contextualSpacing/>
    </w:pPr>
  </w:style>
  <w:style w:type="paragraph" w:styleId="Puesto">
    <w:name w:val="Title"/>
    <w:basedOn w:val="Normal"/>
    <w:link w:val="PuestoCar"/>
    <w:qFormat/>
    <w:rsid w:val="00F36736"/>
    <w:pPr>
      <w:spacing w:after="0" w:line="480" w:lineRule="auto"/>
      <w:jc w:val="center"/>
    </w:pPr>
    <w:rPr>
      <w:rFonts w:ascii="Arial" w:hAnsi="Arial"/>
      <w:b/>
      <w:sz w:val="28"/>
      <w:szCs w:val="20"/>
      <w:lang w:eastAsia="es-ES"/>
    </w:rPr>
  </w:style>
  <w:style w:type="character" w:customStyle="1" w:styleId="PuestoCar">
    <w:name w:val="Puesto Car"/>
    <w:basedOn w:val="Fuentedeprrafopredeter"/>
    <w:link w:val="Puesto"/>
    <w:rsid w:val="00F36736"/>
    <w:rPr>
      <w:rFonts w:ascii="Arial" w:eastAsia="Times New Roman" w:hAnsi="Arial" w:cs="Times New Roman"/>
      <w:b/>
      <w:sz w:val="28"/>
      <w:szCs w:val="20"/>
      <w:lang w:eastAsia="es-ES"/>
    </w:rPr>
  </w:style>
  <w:style w:type="table" w:styleId="Tablaconcuadrcula">
    <w:name w:val="Table Grid"/>
    <w:basedOn w:val="Tablanormal"/>
    <w:uiPriority w:val="39"/>
    <w:rsid w:val="00F36736"/>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F3673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36736"/>
    <w:rPr>
      <w:rFonts w:eastAsia="Times New Roman" w:cs="Times New Roman"/>
      <w:sz w:val="20"/>
      <w:szCs w:val="20"/>
    </w:rPr>
  </w:style>
  <w:style w:type="character" w:styleId="Refdenotaalpie">
    <w:name w:val="footnote reference"/>
    <w:aliases w:val="Pie de Página,FC,Texto de nota al pie,Ref. de nota al pie 2"/>
    <w:basedOn w:val="Fuentedeprrafopredeter"/>
    <w:uiPriority w:val="99"/>
    <w:unhideWhenUsed/>
    <w:rsid w:val="00F36736"/>
    <w:rPr>
      <w:vertAlign w:val="superscript"/>
    </w:rPr>
  </w:style>
  <w:style w:type="paragraph" w:styleId="Textodeglobo">
    <w:name w:val="Balloon Text"/>
    <w:basedOn w:val="Normal"/>
    <w:link w:val="TextodegloboCar"/>
    <w:uiPriority w:val="99"/>
    <w:semiHidden/>
    <w:unhideWhenUsed/>
    <w:rsid w:val="00F367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6736"/>
    <w:rPr>
      <w:rFonts w:ascii="Tahoma" w:eastAsia="Times New Roman" w:hAnsi="Tahoma" w:cs="Tahoma"/>
      <w:sz w:val="16"/>
      <w:szCs w:val="16"/>
    </w:rPr>
  </w:style>
  <w:style w:type="paragraph" w:styleId="Piedepgina">
    <w:name w:val="footer"/>
    <w:basedOn w:val="Normal"/>
    <w:link w:val="PiedepginaCar"/>
    <w:uiPriority w:val="99"/>
    <w:unhideWhenUsed/>
    <w:rsid w:val="00F367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673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5861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2019-03-29T21:56:00Z</dcterms:created>
  <dcterms:modified xsi:type="dcterms:W3CDTF">2019-03-29T21:56:00Z</dcterms:modified>
</cp:coreProperties>
</file>