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747"/>
      </w:tblGrid>
      <w:tr w:rsidR="008C5031" w:rsidRPr="005E6C4E" w:rsidTr="008225DF">
        <w:tc>
          <w:tcPr>
            <w:tcW w:w="198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sz w:val="20"/>
                <w:szCs w:val="20"/>
                <w:lang w:val="es-MX"/>
              </w:rPr>
            </w:pPr>
            <w:bookmarkStart w:id="0" w:name="_GoBack"/>
            <w:bookmarkEnd w:id="0"/>
            <w:r w:rsidRPr="005E6C4E">
              <w:rPr>
                <w:rFonts w:ascii="Arial Narrow" w:hAnsi="Arial Narrow"/>
                <w:sz w:val="20"/>
                <w:szCs w:val="20"/>
                <w:lang w:val="es-MX"/>
              </w:rPr>
              <w:t>CIUDAD Y FECHA</w:t>
            </w:r>
          </w:p>
        </w:tc>
        <w:tc>
          <w:tcPr>
            <w:tcW w:w="683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5E6C4E">
            <w:pPr>
              <w:jc w:val="both"/>
              <w:rPr>
                <w:rFonts w:ascii="Arial Narrow" w:hAnsi="Arial Narrow"/>
                <w:b/>
                <w:sz w:val="20"/>
                <w:szCs w:val="20"/>
                <w:lang w:val="es-MX"/>
              </w:rPr>
            </w:pPr>
            <w:r w:rsidRPr="005E6C4E">
              <w:rPr>
                <w:rFonts w:ascii="Arial Narrow" w:hAnsi="Arial Narrow"/>
                <w:b/>
                <w:sz w:val="20"/>
                <w:szCs w:val="20"/>
                <w:lang w:val="es-MX"/>
              </w:rPr>
              <w:t xml:space="preserve">Bogotá D.C., </w:t>
            </w:r>
            <w:r w:rsidR="005E6C4E">
              <w:rPr>
                <w:rFonts w:ascii="Arial Narrow" w:hAnsi="Arial Narrow"/>
                <w:b/>
                <w:sz w:val="20"/>
                <w:szCs w:val="20"/>
                <w:lang w:val="es-MX"/>
              </w:rPr>
              <w:t>veinticuatro (24)</w:t>
            </w:r>
            <w:r w:rsidRPr="005E6C4E">
              <w:rPr>
                <w:rFonts w:ascii="Arial Narrow" w:hAnsi="Arial Narrow"/>
                <w:b/>
                <w:sz w:val="20"/>
                <w:szCs w:val="20"/>
                <w:lang w:val="es-MX"/>
              </w:rPr>
              <w:t xml:space="preserve"> de abril de dos mil diecinueve (2019)</w:t>
            </w:r>
          </w:p>
        </w:tc>
      </w:tr>
      <w:tr w:rsidR="008C5031" w:rsidRPr="005E6C4E" w:rsidTr="008225DF">
        <w:tc>
          <w:tcPr>
            <w:tcW w:w="198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sz w:val="20"/>
                <w:szCs w:val="20"/>
                <w:lang w:val="es-MX"/>
              </w:rPr>
            </w:pPr>
            <w:r w:rsidRPr="005E6C4E">
              <w:rPr>
                <w:rFonts w:ascii="Arial Narrow" w:hAnsi="Arial Narrow"/>
                <w:sz w:val="20"/>
                <w:szCs w:val="20"/>
                <w:lang w:val="es-MX"/>
              </w:rPr>
              <w:t>REFERENCIA</w:t>
            </w:r>
          </w:p>
        </w:tc>
        <w:tc>
          <w:tcPr>
            <w:tcW w:w="683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b/>
                <w:sz w:val="20"/>
                <w:szCs w:val="20"/>
                <w:lang w:val="es-MX"/>
              </w:rPr>
            </w:pPr>
            <w:r w:rsidRPr="005E6C4E">
              <w:rPr>
                <w:rFonts w:ascii="Arial Narrow" w:hAnsi="Arial Narrow"/>
                <w:b/>
                <w:sz w:val="20"/>
                <w:szCs w:val="20"/>
                <w:lang w:val="es-MX"/>
              </w:rPr>
              <w:t xml:space="preserve">Expediente No. </w:t>
            </w:r>
            <w:r w:rsidRPr="005E6C4E">
              <w:rPr>
                <w:rFonts w:ascii="Arial Narrow" w:hAnsi="Arial Narrow"/>
                <w:b/>
                <w:sz w:val="20"/>
                <w:szCs w:val="20"/>
                <w:lang w:val="es-ES_tradnl"/>
              </w:rPr>
              <w:t>11001333603420150022700</w:t>
            </w:r>
          </w:p>
        </w:tc>
      </w:tr>
      <w:tr w:rsidR="008C5031" w:rsidRPr="005E6C4E" w:rsidTr="008225DF">
        <w:tc>
          <w:tcPr>
            <w:tcW w:w="198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sz w:val="20"/>
                <w:szCs w:val="20"/>
                <w:lang w:val="es-MX"/>
              </w:rPr>
            </w:pPr>
            <w:r w:rsidRPr="005E6C4E">
              <w:rPr>
                <w:rFonts w:ascii="Arial Narrow" w:hAnsi="Arial Narrow"/>
                <w:sz w:val="20"/>
                <w:szCs w:val="20"/>
                <w:lang w:val="es-MX"/>
              </w:rPr>
              <w:t>DEMANDANTE</w:t>
            </w:r>
          </w:p>
        </w:tc>
        <w:tc>
          <w:tcPr>
            <w:tcW w:w="683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b/>
                <w:sz w:val="20"/>
                <w:szCs w:val="20"/>
                <w:lang w:val="es-MX"/>
              </w:rPr>
            </w:pPr>
            <w:r w:rsidRPr="005E6C4E">
              <w:rPr>
                <w:rFonts w:ascii="Arial Narrow" w:hAnsi="Arial Narrow"/>
                <w:b/>
                <w:sz w:val="20"/>
                <w:szCs w:val="20"/>
                <w:lang w:val="es-MX"/>
              </w:rPr>
              <w:t>LUZ ADRIANA SEGURA VELANDIA</w:t>
            </w:r>
          </w:p>
        </w:tc>
      </w:tr>
      <w:tr w:rsidR="008C5031" w:rsidRPr="005E6C4E" w:rsidTr="008225DF">
        <w:tc>
          <w:tcPr>
            <w:tcW w:w="198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sz w:val="20"/>
                <w:szCs w:val="20"/>
                <w:lang w:val="es-MX"/>
              </w:rPr>
            </w:pPr>
            <w:r w:rsidRPr="005E6C4E">
              <w:rPr>
                <w:rFonts w:ascii="Arial Narrow" w:hAnsi="Arial Narrow"/>
                <w:sz w:val="20"/>
                <w:szCs w:val="20"/>
                <w:lang w:val="es-MX"/>
              </w:rPr>
              <w:t>DEMANDADO</w:t>
            </w:r>
          </w:p>
        </w:tc>
        <w:tc>
          <w:tcPr>
            <w:tcW w:w="683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b/>
                <w:sz w:val="20"/>
                <w:szCs w:val="20"/>
                <w:lang w:val="es-MX"/>
              </w:rPr>
            </w:pPr>
            <w:r w:rsidRPr="005E6C4E">
              <w:rPr>
                <w:rFonts w:ascii="Arial Narrow" w:hAnsi="Arial Narrow"/>
                <w:b/>
                <w:sz w:val="20"/>
                <w:szCs w:val="20"/>
                <w:lang w:val="es-MX"/>
              </w:rPr>
              <w:t>DEFENSORÍA DEL PUEBLO</w:t>
            </w:r>
          </w:p>
        </w:tc>
      </w:tr>
      <w:tr w:rsidR="008C5031" w:rsidRPr="005E6C4E" w:rsidTr="008225DF">
        <w:trPr>
          <w:trHeight w:val="200"/>
        </w:trPr>
        <w:tc>
          <w:tcPr>
            <w:tcW w:w="198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sz w:val="20"/>
                <w:szCs w:val="20"/>
                <w:lang w:val="es-MX"/>
              </w:rPr>
            </w:pPr>
            <w:r w:rsidRPr="005E6C4E">
              <w:rPr>
                <w:rFonts w:ascii="Arial Narrow" w:hAnsi="Arial Narrow"/>
                <w:sz w:val="20"/>
                <w:szCs w:val="20"/>
                <w:lang w:val="es-MX"/>
              </w:rPr>
              <w:t>MEDIO DE CONTROL</w:t>
            </w:r>
          </w:p>
        </w:tc>
        <w:tc>
          <w:tcPr>
            <w:tcW w:w="683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b/>
                <w:sz w:val="20"/>
                <w:szCs w:val="20"/>
                <w:lang w:val="es-MX"/>
              </w:rPr>
            </w:pPr>
            <w:r w:rsidRPr="005E6C4E">
              <w:rPr>
                <w:rFonts w:ascii="Arial Narrow" w:hAnsi="Arial Narrow"/>
                <w:b/>
                <w:sz w:val="20"/>
                <w:szCs w:val="20"/>
                <w:lang w:val="es-MX"/>
              </w:rPr>
              <w:t>REPARACIÓN DIRECTA</w:t>
            </w:r>
          </w:p>
        </w:tc>
      </w:tr>
      <w:tr w:rsidR="008C5031" w:rsidRPr="005E6C4E" w:rsidTr="008225DF">
        <w:tc>
          <w:tcPr>
            <w:tcW w:w="198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sz w:val="20"/>
                <w:szCs w:val="20"/>
                <w:lang w:val="es-MX"/>
              </w:rPr>
            </w:pPr>
            <w:r w:rsidRPr="005E6C4E">
              <w:rPr>
                <w:rFonts w:ascii="Arial Narrow" w:hAnsi="Arial Narrow"/>
                <w:sz w:val="20"/>
                <w:szCs w:val="20"/>
                <w:lang w:val="es-MX"/>
              </w:rPr>
              <w:t>ASUNTO</w:t>
            </w:r>
          </w:p>
        </w:tc>
        <w:tc>
          <w:tcPr>
            <w:tcW w:w="6835" w:type="dxa"/>
            <w:tcBorders>
              <w:top w:val="single" w:sz="4" w:space="0" w:color="auto"/>
              <w:left w:val="single" w:sz="4" w:space="0" w:color="auto"/>
              <w:bottom w:val="single" w:sz="4" w:space="0" w:color="auto"/>
              <w:right w:val="single" w:sz="4" w:space="0" w:color="auto"/>
            </w:tcBorders>
            <w:hideMark/>
          </w:tcPr>
          <w:p w:rsidR="008C5031" w:rsidRPr="005E6C4E" w:rsidRDefault="008C5031" w:rsidP="00C1205D">
            <w:pPr>
              <w:jc w:val="both"/>
              <w:rPr>
                <w:rFonts w:ascii="Arial Narrow" w:hAnsi="Arial Narrow"/>
                <w:b/>
                <w:sz w:val="20"/>
                <w:szCs w:val="20"/>
                <w:lang w:val="es-MX"/>
              </w:rPr>
            </w:pPr>
            <w:r w:rsidRPr="005E6C4E">
              <w:rPr>
                <w:rFonts w:ascii="Arial Narrow" w:hAnsi="Arial Narrow"/>
                <w:b/>
                <w:sz w:val="20"/>
                <w:szCs w:val="20"/>
                <w:lang w:val="es-MX"/>
              </w:rPr>
              <w:t>ACEPTA RENUNCIA – RECONOCE PERSONERÍA – REQUIERE A PARTE ACTORA TRAMITE DE NOTIFICACIÓN</w:t>
            </w:r>
          </w:p>
        </w:tc>
      </w:tr>
    </w:tbl>
    <w:p w:rsidR="008C5031" w:rsidRPr="005E6C4E" w:rsidRDefault="008C5031" w:rsidP="00C1205D">
      <w:pPr>
        <w:jc w:val="both"/>
        <w:rPr>
          <w:noProof/>
          <w:sz w:val="22"/>
          <w:szCs w:val="22"/>
          <w:lang w:val="es-MX"/>
        </w:rPr>
      </w:pPr>
    </w:p>
    <w:p w:rsidR="008C5031" w:rsidRPr="005E6C4E" w:rsidRDefault="008C5031" w:rsidP="00C1205D">
      <w:pPr>
        <w:jc w:val="both"/>
        <w:rPr>
          <w:rFonts w:eastAsiaTheme="minorHAnsi"/>
          <w:sz w:val="22"/>
          <w:szCs w:val="22"/>
          <w:lang w:val="es-CO" w:eastAsia="en-US"/>
        </w:rPr>
      </w:pPr>
      <w:r w:rsidRPr="005E6C4E">
        <w:rPr>
          <w:sz w:val="22"/>
          <w:szCs w:val="22"/>
        </w:rPr>
        <w:t xml:space="preserve">La presente demanda </w:t>
      </w:r>
      <w:r w:rsidRPr="005E6C4E">
        <w:rPr>
          <w:iCs/>
          <w:sz w:val="22"/>
          <w:szCs w:val="22"/>
        </w:rPr>
        <w:t>pretende que se declare a LA NACIÓN - DEFENSORÍA DEL PUEBLO</w:t>
      </w:r>
      <w:r w:rsidRPr="005E6C4E">
        <w:rPr>
          <w:sz w:val="22"/>
          <w:szCs w:val="22"/>
        </w:rPr>
        <w:t xml:space="preserve"> patrimonialmente responsable de los perjuicios materiales y morales ocasionados a la demandante con la presunta falla en el servicio, al desplegarse una conducta omisiva frente a los presuntos hechos de acoso laboral sufridos por la accionante.</w:t>
      </w:r>
    </w:p>
    <w:p w:rsidR="008C5031" w:rsidRPr="005E6C4E" w:rsidRDefault="008C5031" w:rsidP="00C1205D">
      <w:pPr>
        <w:jc w:val="both"/>
        <w:rPr>
          <w:sz w:val="22"/>
          <w:szCs w:val="22"/>
        </w:rPr>
      </w:pPr>
    </w:p>
    <w:p w:rsidR="008C5031" w:rsidRPr="005E6C4E" w:rsidRDefault="008C5031" w:rsidP="00C1205D">
      <w:pPr>
        <w:jc w:val="both"/>
        <w:rPr>
          <w:sz w:val="22"/>
          <w:szCs w:val="22"/>
        </w:rPr>
      </w:pPr>
      <w:r w:rsidRPr="005E6C4E">
        <w:rPr>
          <w:sz w:val="22"/>
          <w:szCs w:val="22"/>
        </w:rPr>
        <w:t>El 24 de septiembre del 2014 se presentó demanda ante el Tribunal Administrativo de Cundinamarca.</w:t>
      </w:r>
    </w:p>
    <w:p w:rsidR="008C5031" w:rsidRPr="005E6C4E" w:rsidRDefault="008C5031" w:rsidP="00C1205D">
      <w:pPr>
        <w:jc w:val="both"/>
        <w:rPr>
          <w:sz w:val="22"/>
          <w:szCs w:val="22"/>
        </w:rPr>
      </w:pPr>
    </w:p>
    <w:p w:rsidR="008C5031" w:rsidRPr="005E6C4E" w:rsidRDefault="008C5031" w:rsidP="00C1205D">
      <w:pPr>
        <w:jc w:val="both"/>
        <w:rPr>
          <w:sz w:val="22"/>
          <w:szCs w:val="22"/>
        </w:rPr>
      </w:pPr>
      <w:r w:rsidRPr="005E6C4E">
        <w:rPr>
          <w:sz w:val="22"/>
          <w:szCs w:val="22"/>
        </w:rPr>
        <w:t>Con auto del 17 de diciembre de 2014 el Tribunal se declaró incompetente en razón de la cuantía y remitió el proceso a los juzgados administrativos de Bogotá D.C.</w:t>
      </w:r>
      <w:r w:rsidRPr="005E6C4E">
        <w:rPr>
          <w:rStyle w:val="Refdenotaalpie"/>
          <w:sz w:val="22"/>
          <w:szCs w:val="22"/>
        </w:rPr>
        <w:footnoteReference w:id="1"/>
      </w:r>
    </w:p>
    <w:p w:rsidR="008C5031" w:rsidRPr="005E6C4E" w:rsidRDefault="008C5031" w:rsidP="00C1205D">
      <w:pPr>
        <w:jc w:val="both"/>
        <w:rPr>
          <w:sz w:val="22"/>
          <w:szCs w:val="22"/>
        </w:rPr>
      </w:pPr>
    </w:p>
    <w:p w:rsidR="008C5031" w:rsidRPr="005E6C4E" w:rsidRDefault="008C5031" w:rsidP="00C1205D">
      <w:pPr>
        <w:jc w:val="both"/>
        <w:rPr>
          <w:sz w:val="22"/>
          <w:szCs w:val="22"/>
        </w:rPr>
      </w:pPr>
      <w:r w:rsidRPr="005E6C4E">
        <w:rPr>
          <w:sz w:val="22"/>
          <w:szCs w:val="22"/>
        </w:rPr>
        <w:t>En auto de 11 de diciembre de 2015 se inadmitió la demanda para que el actor aclarara algunos puntos.</w:t>
      </w:r>
    </w:p>
    <w:p w:rsidR="008C5031" w:rsidRPr="005E6C4E" w:rsidRDefault="008C5031" w:rsidP="00C1205D">
      <w:pPr>
        <w:pStyle w:val="Textoindependiente"/>
        <w:spacing w:after="0"/>
        <w:jc w:val="both"/>
        <w:rPr>
          <w:rFonts w:ascii="Arial" w:hAnsi="Arial" w:cs="Arial"/>
          <w:b/>
          <w:noProof/>
          <w:sz w:val="22"/>
          <w:szCs w:val="22"/>
        </w:rPr>
      </w:pPr>
    </w:p>
    <w:p w:rsidR="008C5031" w:rsidRPr="005E6C4E" w:rsidRDefault="008C5031" w:rsidP="00C1205D">
      <w:pPr>
        <w:pStyle w:val="Textoindependiente"/>
        <w:spacing w:after="0"/>
        <w:jc w:val="both"/>
        <w:rPr>
          <w:rFonts w:ascii="Arial" w:hAnsi="Arial" w:cs="Arial"/>
          <w:noProof/>
          <w:sz w:val="22"/>
          <w:szCs w:val="22"/>
        </w:rPr>
      </w:pPr>
      <w:r w:rsidRPr="005E6C4E">
        <w:rPr>
          <w:rFonts w:ascii="Arial" w:hAnsi="Arial" w:cs="Arial"/>
          <w:noProof/>
          <w:sz w:val="22"/>
          <w:szCs w:val="22"/>
        </w:rPr>
        <w:t>Con providencia de agosto 24 de 2016 previo a admitir se requirió a la parte actora para que indicara si habia presentado reclamación administrativa ante la entidad que laboraba.</w:t>
      </w:r>
    </w:p>
    <w:p w:rsidR="008C5031" w:rsidRPr="005E6C4E" w:rsidRDefault="008C5031" w:rsidP="00C1205D">
      <w:pPr>
        <w:jc w:val="both"/>
        <w:rPr>
          <w:rFonts w:eastAsia="Calibri"/>
          <w:bCs/>
          <w:noProof/>
          <w:sz w:val="22"/>
          <w:szCs w:val="22"/>
          <w:highlight w:val="lightGray"/>
        </w:rPr>
      </w:pPr>
    </w:p>
    <w:p w:rsidR="008C5031" w:rsidRPr="005E6C4E" w:rsidRDefault="005E6C4E" w:rsidP="00C1205D">
      <w:pPr>
        <w:jc w:val="both"/>
        <w:rPr>
          <w:rFonts w:eastAsia="Calibri"/>
          <w:bCs/>
          <w:noProof/>
          <w:sz w:val="22"/>
          <w:szCs w:val="22"/>
        </w:rPr>
      </w:pPr>
      <w:r>
        <w:rPr>
          <w:rFonts w:eastAsia="Calibri"/>
          <w:bCs/>
          <w:noProof/>
          <w:sz w:val="22"/>
          <w:szCs w:val="22"/>
        </w:rPr>
        <w:t xml:space="preserve">Por auto del 26 de </w:t>
      </w:r>
      <w:r w:rsidR="008C5031" w:rsidRPr="005E6C4E">
        <w:rPr>
          <w:rFonts w:eastAsia="Calibri"/>
          <w:bCs/>
          <w:noProof/>
          <w:sz w:val="22"/>
          <w:szCs w:val="22"/>
        </w:rPr>
        <w:t xml:space="preserve">octubre de 2016 se ordenó remitir el presente expediente a  la sección segunda de los Juzgados Administrativos del circuito Judicial de Bogotá. </w:t>
      </w:r>
    </w:p>
    <w:p w:rsidR="008C5031" w:rsidRPr="005E6C4E" w:rsidRDefault="008C5031" w:rsidP="00C1205D">
      <w:pPr>
        <w:jc w:val="both"/>
        <w:rPr>
          <w:rFonts w:eastAsia="Calibri"/>
          <w:bCs/>
          <w:noProof/>
          <w:sz w:val="22"/>
          <w:szCs w:val="22"/>
        </w:rPr>
      </w:pPr>
    </w:p>
    <w:p w:rsidR="008C5031" w:rsidRPr="005E6C4E" w:rsidRDefault="008C5031" w:rsidP="00C1205D">
      <w:pPr>
        <w:jc w:val="both"/>
        <w:rPr>
          <w:rFonts w:eastAsia="Calibri"/>
          <w:bCs/>
          <w:noProof/>
          <w:sz w:val="22"/>
          <w:szCs w:val="22"/>
        </w:rPr>
      </w:pPr>
      <w:r w:rsidRPr="005E6C4E">
        <w:rPr>
          <w:rFonts w:eastAsia="Calibri"/>
          <w:bCs/>
          <w:noProof/>
          <w:sz w:val="22"/>
          <w:szCs w:val="22"/>
        </w:rPr>
        <w:t>Mediante providencia del 15 de mayo de 2017 el Tribunal Administrativos de Cundinamarca – Sala Plena  dirimió el conflicto de competencias suscitado entre el presente Juzgado y el Juzgado Cincuenta y Cinco Juzgados Administrativos del circuito Judicial de Bogotá, ordenando el conocimiento del proceso al este Despacho.</w:t>
      </w:r>
    </w:p>
    <w:p w:rsidR="008C5031" w:rsidRPr="005E6C4E" w:rsidRDefault="008C5031" w:rsidP="00C1205D">
      <w:pPr>
        <w:jc w:val="both"/>
        <w:rPr>
          <w:color w:val="auto"/>
          <w:sz w:val="22"/>
          <w:szCs w:val="22"/>
          <w:highlight w:val="yellow"/>
        </w:rPr>
      </w:pPr>
    </w:p>
    <w:p w:rsidR="008C5031" w:rsidRPr="005E6C4E" w:rsidRDefault="008C5031" w:rsidP="00C1205D">
      <w:pPr>
        <w:jc w:val="both"/>
        <w:rPr>
          <w:rFonts w:eastAsiaTheme="minorHAnsi"/>
          <w:sz w:val="22"/>
          <w:szCs w:val="22"/>
        </w:rPr>
      </w:pPr>
      <w:r w:rsidRPr="005E6C4E">
        <w:rPr>
          <w:sz w:val="22"/>
          <w:szCs w:val="22"/>
        </w:rPr>
        <w:t>Con auto del 14 de marzo de 2018 se obedeció y cumplió lo dispuesto  por el superior,  se inadmitió demanda</w:t>
      </w:r>
      <w:r w:rsidRPr="005E6C4E">
        <w:rPr>
          <w:rStyle w:val="Refdenotaalpie"/>
          <w:sz w:val="22"/>
          <w:szCs w:val="22"/>
        </w:rPr>
        <w:footnoteReference w:id="2"/>
      </w:r>
      <w:r w:rsidRPr="005E6C4E">
        <w:rPr>
          <w:sz w:val="22"/>
          <w:szCs w:val="22"/>
        </w:rPr>
        <w:t>.</w:t>
      </w:r>
    </w:p>
    <w:p w:rsidR="008C5031" w:rsidRPr="005E6C4E" w:rsidRDefault="008C5031" w:rsidP="00C1205D">
      <w:pPr>
        <w:jc w:val="both"/>
        <w:rPr>
          <w:bCs/>
          <w:sz w:val="22"/>
          <w:szCs w:val="22"/>
          <w:highlight w:val="cyan"/>
        </w:rPr>
      </w:pPr>
    </w:p>
    <w:p w:rsidR="008C5031" w:rsidRPr="005E6C4E" w:rsidRDefault="008C5031" w:rsidP="00C1205D">
      <w:pPr>
        <w:jc w:val="both"/>
        <w:rPr>
          <w:bCs/>
          <w:sz w:val="22"/>
          <w:szCs w:val="22"/>
        </w:rPr>
      </w:pPr>
      <w:r w:rsidRPr="005E6C4E">
        <w:rPr>
          <w:bCs/>
          <w:sz w:val="22"/>
          <w:szCs w:val="22"/>
        </w:rPr>
        <w:t xml:space="preserve">Con auto del 29 de agosto previo admitir se requirió al actor. </w:t>
      </w:r>
    </w:p>
    <w:p w:rsidR="00187705" w:rsidRPr="005E6C4E" w:rsidRDefault="00187705" w:rsidP="00C1205D">
      <w:pPr>
        <w:jc w:val="both"/>
        <w:rPr>
          <w:bCs/>
          <w:sz w:val="22"/>
          <w:szCs w:val="22"/>
        </w:rPr>
      </w:pPr>
    </w:p>
    <w:p w:rsidR="00187705" w:rsidRPr="005E6C4E" w:rsidRDefault="00187705" w:rsidP="00C1205D">
      <w:pPr>
        <w:jc w:val="both"/>
        <w:rPr>
          <w:bCs/>
          <w:sz w:val="22"/>
          <w:szCs w:val="22"/>
        </w:rPr>
      </w:pPr>
      <w:r w:rsidRPr="005E6C4E">
        <w:rPr>
          <w:bCs/>
          <w:sz w:val="22"/>
          <w:szCs w:val="22"/>
        </w:rPr>
        <w:t>En auto de diciembre 19 de 2018 se admitió la demanda y previo a decidir renuncia del apoderado de la parte actora se requirió.</w:t>
      </w:r>
    </w:p>
    <w:p w:rsidR="00187705" w:rsidRPr="005E6C4E" w:rsidRDefault="00187705" w:rsidP="00C1205D">
      <w:pPr>
        <w:jc w:val="both"/>
        <w:rPr>
          <w:bCs/>
          <w:sz w:val="22"/>
          <w:szCs w:val="22"/>
        </w:rPr>
      </w:pPr>
    </w:p>
    <w:p w:rsidR="00187705" w:rsidRPr="005E6C4E" w:rsidRDefault="00187705" w:rsidP="00C1205D">
      <w:pPr>
        <w:jc w:val="both"/>
        <w:rPr>
          <w:bCs/>
          <w:i/>
          <w:sz w:val="22"/>
          <w:szCs w:val="22"/>
        </w:rPr>
      </w:pPr>
      <w:r w:rsidRPr="005E6C4E">
        <w:rPr>
          <w:bCs/>
          <w:sz w:val="22"/>
          <w:szCs w:val="22"/>
        </w:rPr>
        <w:t xml:space="preserve">En informe secretarial de enero 18 de 2019 se anotó: </w:t>
      </w:r>
      <w:r w:rsidRPr="005E6C4E">
        <w:rPr>
          <w:bCs/>
          <w:i/>
          <w:sz w:val="22"/>
          <w:szCs w:val="22"/>
        </w:rPr>
        <w:t>“MEMORIAL DE APODERADO DE ACTOR REFIRIÉNDOSE A LO SOLICITADO (ENERO 15 DE 2019). SÍRVASE PROVEER”.</w:t>
      </w:r>
    </w:p>
    <w:p w:rsidR="008C5031" w:rsidRPr="005E6C4E" w:rsidRDefault="008C5031" w:rsidP="00C1205D">
      <w:pPr>
        <w:jc w:val="both"/>
        <w:rPr>
          <w:b/>
          <w:noProof/>
          <w:sz w:val="22"/>
          <w:szCs w:val="22"/>
        </w:rPr>
      </w:pPr>
    </w:p>
    <w:p w:rsidR="008C5031" w:rsidRPr="005E6C4E" w:rsidRDefault="008C5031" w:rsidP="00C1205D">
      <w:pPr>
        <w:pStyle w:val="Sinespaciado"/>
        <w:jc w:val="center"/>
        <w:rPr>
          <w:b/>
          <w:sz w:val="22"/>
          <w:szCs w:val="22"/>
        </w:rPr>
      </w:pPr>
      <w:r w:rsidRPr="005E6C4E">
        <w:rPr>
          <w:b/>
          <w:sz w:val="22"/>
          <w:szCs w:val="22"/>
        </w:rPr>
        <w:t>CONSIDERACIONES</w:t>
      </w:r>
    </w:p>
    <w:p w:rsidR="008C5031" w:rsidRPr="005E6C4E" w:rsidRDefault="008C5031" w:rsidP="00C1205D">
      <w:pPr>
        <w:jc w:val="both"/>
        <w:rPr>
          <w:sz w:val="22"/>
          <w:szCs w:val="22"/>
        </w:rPr>
      </w:pPr>
    </w:p>
    <w:p w:rsidR="008C5031" w:rsidRPr="005E6C4E" w:rsidRDefault="005E6C4E" w:rsidP="00C1205D">
      <w:pPr>
        <w:pStyle w:val="Prrafodelista"/>
        <w:numPr>
          <w:ilvl w:val="0"/>
          <w:numId w:val="1"/>
        </w:numPr>
        <w:jc w:val="both"/>
        <w:rPr>
          <w:b/>
          <w:sz w:val="22"/>
          <w:szCs w:val="22"/>
        </w:rPr>
      </w:pPr>
      <w:r>
        <w:rPr>
          <w:b/>
          <w:sz w:val="22"/>
          <w:szCs w:val="22"/>
        </w:rPr>
        <w:t>De l</w:t>
      </w:r>
      <w:r w:rsidR="008C5031" w:rsidRPr="005E6C4E">
        <w:rPr>
          <w:b/>
          <w:sz w:val="22"/>
          <w:szCs w:val="22"/>
        </w:rPr>
        <w:t xml:space="preserve">a Representación </w:t>
      </w:r>
    </w:p>
    <w:p w:rsidR="008C5031" w:rsidRPr="005E6C4E" w:rsidRDefault="008C5031" w:rsidP="00C1205D">
      <w:pPr>
        <w:jc w:val="both"/>
        <w:rPr>
          <w:sz w:val="22"/>
          <w:szCs w:val="22"/>
        </w:rPr>
      </w:pPr>
    </w:p>
    <w:p w:rsidR="00187705" w:rsidRPr="005E6C4E" w:rsidRDefault="00187705" w:rsidP="00C1205D">
      <w:pPr>
        <w:jc w:val="both"/>
        <w:rPr>
          <w:i/>
          <w:noProof/>
          <w:sz w:val="20"/>
          <w:szCs w:val="20"/>
          <w:lang w:val="es-ES_tradnl"/>
        </w:rPr>
      </w:pPr>
      <w:r w:rsidRPr="005E6C4E">
        <w:rPr>
          <w:noProof/>
          <w:sz w:val="22"/>
          <w:szCs w:val="22"/>
          <w:lang w:val="es-ES_tradnl"/>
        </w:rPr>
        <w:lastRenderedPageBreak/>
        <w:t xml:space="preserve">El artículo 76 del Código General del Proceso señala: </w:t>
      </w:r>
      <w:r w:rsidRPr="005E6C4E">
        <w:rPr>
          <w:noProof/>
          <w:sz w:val="20"/>
          <w:szCs w:val="20"/>
          <w:lang w:val="es-ES_tradnl"/>
        </w:rPr>
        <w:t>“</w:t>
      </w:r>
      <w:r w:rsidRPr="005E6C4E">
        <w:rPr>
          <w:i/>
          <w:noProof/>
          <w:sz w:val="20"/>
          <w:szCs w:val="20"/>
          <w:lang w:val="es-ES_tradnl"/>
        </w:rPr>
        <w:t>(…) El poder termina con la radicación en secretaría del escrito en virtud del cual se revoque o se designe otro apoderado, a menos que el nuevo poder se hubiese otorgado para recursos o gestiones determinadas dentro del proceso.</w:t>
      </w:r>
    </w:p>
    <w:p w:rsidR="00187705" w:rsidRPr="005E6C4E" w:rsidRDefault="00187705" w:rsidP="00C1205D">
      <w:pPr>
        <w:jc w:val="both"/>
        <w:rPr>
          <w:i/>
          <w:noProof/>
          <w:sz w:val="20"/>
          <w:szCs w:val="20"/>
          <w:lang w:val="es-ES_tradnl"/>
        </w:rPr>
      </w:pPr>
    </w:p>
    <w:p w:rsidR="00187705" w:rsidRPr="005E6C4E" w:rsidRDefault="00187705" w:rsidP="00C1205D">
      <w:pPr>
        <w:jc w:val="both"/>
        <w:rPr>
          <w:i/>
          <w:noProof/>
          <w:sz w:val="20"/>
          <w:szCs w:val="20"/>
          <w:lang w:val="es-ES_tradnl"/>
        </w:rPr>
      </w:pPr>
      <w:r w:rsidRPr="005E6C4E">
        <w:rPr>
          <w:i/>
          <w:noProof/>
          <w:sz w:val="20"/>
          <w:szCs w:val="20"/>
          <w:lang w:val="es-ES_tradnl"/>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rsidR="00187705" w:rsidRPr="005E6C4E" w:rsidRDefault="00187705" w:rsidP="00C1205D">
      <w:pPr>
        <w:jc w:val="both"/>
        <w:rPr>
          <w:i/>
          <w:noProof/>
          <w:sz w:val="20"/>
          <w:szCs w:val="20"/>
          <w:lang w:val="es-ES_tradnl"/>
        </w:rPr>
      </w:pPr>
    </w:p>
    <w:p w:rsidR="00187705" w:rsidRPr="005E6C4E" w:rsidRDefault="00187705" w:rsidP="00C1205D">
      <w:pPr>
        <w:jc w:val="both"/>
        <w:rPr>
          <w:i/>
          <w:noProof/>
          <w:sz w:val="20"/>
          <w:szCs w:val="20"/>
          <w:lang w:val="es-ES_tradnl"/>
        </w:rPr>
      </w:pPr>
      <w:r w:rsidRPr="005E6C4E">
        <w:rPr>
          <w:i/>
          <w:noProof/>
          <w:sz w:val="20"/>
          <w:szCs w:val="20"/>
          <w:lang w:val="es-ES_tradnl"/>
        </w:rPr>
        <w:t>Igual derecho tienen los herederos y el cónyuge sobreviviente del apoderado fallecido.</w:t>
      </w:r>
    </w:p>
    <w:p w:rsidR="00187705" w:rsidRPr="005E6C4E" w:rsidRDefault="00187705" w:rsidP="00C1205D">
      <w:pPr>
        <w:jc w:val="both"/>
        <w:rPr>
          <w:i/>
          <w:noProof/>
          <w:sz w:val="20"/>
          <w:szCs w:val="20"/>
          <w:lang w:val="es-ES_tradnl"/>
        </w:rPr>
      </w:pPr>
    </w:p>
    <w:p w:rsidR="00187705" w:rsidRPr="005E6C4E" w:rsidRDefault="00187705" w:rsidP="00C1205D">
      <w:pPr>
        <w:jc w:val="both"/>
        <w:rPr>
          <w:i/>
          <w:noProof/>
          <w:sz w:val="20"/>
          <w:szCs w:val="20"/>
          <w:lang w:val="es-ES_tradnl"/>
        </w:rPr>
      </w:pPr>
      <w:r w:rsidRPr="005E6C4E">
        <w:rPr>
          <w:i/>
          <w:noProof/>
          <w:sz w:val="20"/>
          <w:szCs w:val="20"/>
          <w:lang w:val="es-ES_tradnl"/>
        </w:rPr>
        <w:t>La renuncia no pone término al poder sino cinco (5) días después de presentado el memorial de renuncia en el juzgado, acompañado de la comunicación enviada al poderdante en tal sentido.</w:t>
      </w:r>
    </w:p>
    <w:p w:rsidR="00187705" w:rsidRPr="005E6C4E" w:rsidRDefault="00187705" w:rsidP="00C1205D">
      <w:pPr>
        <w:jc w:val="both"/>
        <w:rPr>
          <w:i/>
          <w:noProof/>
          <w:sz w:val="20"/>
          <w:szCs w:val="20"/>
          <w:lang w:val="es-ES_tradnl"/>
        </w:rPr>
      </w:pPr>
    </w:p>
    <w:p w:rsidR="00187705" w:rsidRPr="005E6C4E" w:rsidRDefault="00187705" w:rsidP="00C1205D">
      <w:pPr>
        <w:jc w:val="both"/>
        <w:rPr>
          <w:i/>
          <w:noProof/>
          <w:sz w:val="20"/>
          <w:szCs w:val="20"/>
          <w:lang w:val="es-ES_tradnl"/>
        </w:rPr>
      </w:pPr>
      <w:r w:rsidRPr="005E6C4E">
        <w:rPr>
          <w:i/>
          <w:noProof/>
          <w:sz w:val="20"/>
          <w:szCs w:val="20"/>
          <w:lang w:val="es-ES_tradnl"/>
        </w:rPr>
        <w:t>La muerte del mandante o la extinción de las personas jurídicas no ponen fin al mandato judicial si ya se ha presentado la demanda, pero el poder podrá ser revocado por los herederos o sucesores.</w:t>
      </w:r>
    </w:p>
    <w:p w:rsidR="00187705" w:rsidRPr="005E6C4E" w:rsidRDefault="00187705" w:rsidP="00C1205D">
      <w:pPr>
        <w:jc w:val="both"/>
        <w:rPr>
          <w:i/>
          <w:noProof/>
          <w:sz w:val="20"/>
          <w:szCs w:val="20"/>
          <w:lang w:val="es-ES_tradnl"/>
        </w:rPr>
      </w:pPr>
    </w:p>
    <w:p w:rsidR="00187705" w:rsidRPr="005E6C4E" w:rsidRDefault="00187705" w:rsidP="00C1205D">
      <w:pPr>
        <w:jc w:val="both"/>
        <w:rPr>
          <w:i/>
          <w:noProof/>
          <w:sz w:val="20"/>
          <w:szCs w:val="20"/>
          <w:lang w:val="es-ES_tradnl"/>
        </w:rPr>
      </w:pPr>
      <w:r w:rsidRPr="005E6C4E">
        <w:rPr>
          <w:i/>
          <w:noProof/>
          <w:sz w:val="20"/>
          <w:szCs w:val="20"/>
          <w:lang w:val="es-ES_tradnl"/>
        </w:rPr>
        <w:t xml:space="preserve">Tampoco termina el poder por la cesación de las funciones de quien lo confirió como representante de una persona natural o jurídica, mientras no sea revocado por quien corresponda (…)” </w:t>
      </w:r>
    </w:p>
    <w:p w:rsidR="00187705" w:rsidRPr="005E6C4E" w:rsidRDefault="00187705" w:rsidP="00C1205D">
      <w:pPr>
        <w:jc w:val="both"/>
        <w:rPr>
          <w:noProof/>
          <w:sz w:val="22"/>
          <w:szCs w:val="22"/>
          <w:lang w:val="es-ES_tradnl"/>
        </w:rPr>
      </w:pPr>
    </w:p>
    <w:p w:rsidR="00187705" w:rsidRPr="005E6C4E" w:rsidRDefault="00187705" w:rsidP="00C1205D">
      <w:pPr>
        <w:jc w:val="both"/>
        <w:rPr>
          <w:noProof/>
          <w:sz w:val="22"/>
          <w:szCs w:val="22"/>
          <w:lang w:val="es-ES_tradnl"/>
        </w:rPr>
      </w:pPr>
      <w:r w:rsidRPr="005E6C4E">
        <w:rPr>
          <w:noProof/>
          <w:sz w:val="22"/>
          <w:szCs w:val="22"/>
          <w:lang w:val="es-ES_tradnl"/>
        </w:rPr>
        <w:t xml:space="preserve">Teniendo en cuenta la renuncia presentada por el apoderado </w:t>
      </w:r>
      <w:r w:rsidR="00F777F5" w:rsidRPr="005E6C4E">
        <w:rPr>
          <w:noProof/>
          <w:sz w:val="22"/>
          <w:szCs w:val="22"/>
          <w:lang w:val="es-ES_tradnl"/>
        </w:rPr>
        <w:t xml:space="preserve">de la parte actora </w:t>
      </w:r>
      <w:r w:rsidRPr="005E6C4E">
        <w:rPr>
          <w:noProof/>
          <w:sz w:val="22"/>
          <w:szCs w:val="22"/>
          <w:lang w:val="es-ES_tradnl"/>
        </w:rPr>
        <w:t>además de la comunicación enviada a su poderdante y del paz y salvo allegado, procederá el despacho a aceptar</w:t>
      </w:r>
      <w:r w:rsidR="00F777F5" w:rsidRPr="005E6C4E">
        <w:rPr>
          <w:noProof/>
          <w:sz w:val="22"/>
          <w:szCs w:val="22"/>
          <w:lang w:val="es-ES_tradnl"/>
        </w:rPr>
        <w:t xml:space="preserve"> la renuncia presentada por el abogado Luis Alejandro Torres Rocha.</w:t>
      </w:r>
    </w:p>
    <w:p w:rsidR="00187705" w:rsidRPr="005E6C4E" w:rsidRDefault="00187705" w:rsidP="00C1205D">
      <w:pPr>
        <w:jc w:val="both"/>
        <w:rPr>
          <w:noProof/>
          <w:sz w:val="22"/>
          <w:szCs w:val="22"/>
          <w:lang w:val="es-ES_tradnl"/>
        </w:rPr>
      </w:pPr>
    </w:p>
    <w:p w:rsidR="00187705" w:rsidRPr="005E6C4E" w:rsidRDefault="00187705" w:rsidP="00C1205D">
      <w:pPr>
        <w:jc w:val="both"/>
        <w:rPr>
          <w:noProof/>
          <w:sz w:val="22"/>
          <w:szCs w:val="22"/>
          <w:lang w:val="es-ES_tradnl"/>
        </w:rPr>
      </w:pPr>
      <w:r w:rsidRPr="005E6C4E">
        <w:rPr>
          <w:noProof/>
          <w:sz w:val="22"/>
          <w:szCs w:val="22"/>
          <w:lang w:val="es-ES_tradnl"/>
        </w:rPr>
        <w:t>Asi mismo</w:t>
      </w:r>
      <w:r w:rsidR="00F777F5" w:rsidRPr="005E6C4E">
        <w:rPr>
          <w:noProof/>
          <w:sz w:val="22"/>
          <w:szCs w:val="22"/>
          <w:lang w:val="es-ES_tradnl"/>
        </w:rPr>
        <w:t>,</w:t>
      </w:r>
      <w:r w:rsidRPr="005E6C4E">
        <w:rPr>
          <w:noProof/>
          <w:sz w:val="22"/>
          <w:szCs w:val="22"/>
          <w:lang w:val="es-ES_tradnl"/>
        </w:rPr>
        <w:t xml:space="preserve"> como quiera que con memorial de enero 16 de 2019 la demandante allego poder otorgado al abogado Carlos Alberto Camacho Mendez, procederá el despacho a reconocerle personeria.</w:t>
      </w:r>
    </w:p>
    <w:p w:rsidR="00187705" w:rsidRPr="005E6C4E" w:rsidRDefault="00187705" w:rsidP="00C1205D">
      <w:pPr>
        <w:jc w:val="both"/>
        <w:rPr>
          <w:noProof/>
          <w:sz w:val="22"/>
          <w:szCs w:val="22"/>
          <w:lang w:val="es-ES_tradnl"/>
        </w:rPr>
      </w:pPr>
    </w:p>
    <w:p w:rsidR="00187705" w:rsidRPr="005E6C4E" w:rsidRDefault="00187705" w:rsidP="00C1205D">
      <w:pPr>
        <w:jc w:val="both"/>
        <w:rPr>
          <w:noProof/>
          <w:sz w:val="22"/>
          <w:szCs w:val="22"/>
        </w:rPr>
      </w:pPr>
      <w:r w:rsidRPr="005E6C4E">
        <w:rPr>
          <w:noProof/>
          <w:sz w:val="22"/>
          <w:szCs w:val="22"/>
          <w:lang w:val="es-ES_tradnl"/>
        </w:rPr>
        <w:t>Por ultimo, o</w:t>
      </w:r>
      <w:r w:rsidRPr="005E6C4E">
        <w:rPr>
          <w:noProof/>
          <w:sz w:val="22"/>
          <w:szCs w:val="22"/>
        </w:rPr>
        <w:t>bserva el despacho que a la fecha la parte interesada no ha retirado las copias respectivas para el correspondiente traslado, carga que de conformidad con el numeral septimo del auto admisorio de la demanda le corresponde al apoderado de la parte actora</w:t>
      </w:r>
      <w:r w:rsidRPr="005E6C4E">
        <w:rPr>
          <w:rStyle w:val="Refdenotaalpie"/>
          <w:noProof/>
          <w:sz w:val="22"/>
          <w:szCs w:val="22"/>
        </w:rPr>
        <w:footnoteReference w:id="3"/>
      </w:r>
      <w:r w:rsidRPr="005E6C4E">
        <w:rPr>
          <w:noProof/>
          <w:sz w:val="22"/>
          <w:szCs w:val="22"/>
        </w:rPr>
        <w:t>.</w:t>
      </w:r>
    </w:p>
    <w:p w:rsidR="00187705" w:rsidRPr="005E6C4E" w:rsidRDefault="00187705" w:rsidP="00C1205D">
      <w:pPr>
        <w:jc w:val="both"/>
        <w:rPr>
          <w:noProof/>
          <w:sz w:val="22"/>
          <w:szCs w:val="22"/>
        </w:rPr>
      </w:pPr>
    </w:p>
    <w:p w:rsidR="00187705" w:rsidRPr="005E6C4E" w:rsidRDefault="00187705" w:rsidP="00C1205D">
      <w:pPr>
        <w:jc w:val="both"/>
        <w:rPr>
          <w:noProof/>
          <w:sz w:val="22"/>
          <w:szCs w:val="22"/>
        </w:rPr>
      </w:pPr>
      <w:r w:rsidRPr="005E6C4E">
        <w:rPr>
          <w:noProof/>
          <w:sz w:val="22"/>
          <w:szCs w:val="22"/>
        </w:rPr>
        <w:t>Como han transcurrido más de 30 días y la actora no ha dado cumplimiento a lo señalado en auto de diciembre 19 de 2018 que admitió la demanda, se procederá a su requerimiento para que realice dentro de los 15 días siguientes a la notificación de la presente providencia la respectiva diligencia, so pena de dar aplicación a lo dispuesto en el artículo 178 del CPACA que dispone para el desistimiento tácito lo siguiente:</w:t>
      </w:r>
    </w:p>
    <w:p w:rsidR="00187705" w:rsidRPr="005E6C4E" w:rsidRDefault="00187705" w:rsidP="00C1205D">
      <w:pPr>
        <w:jc w:val="both"/>
        <w:rPr>
          <w:noProof/>
          <w:sz w:val="22"/>
          <w:szCs w:val="22"/>
          <w:lang w:val="es-ES_tradnl"/>
        </w:rPr>
      </w:pPr>
      <w:r w:rsidRPr="005E6C4E">
        <w:rPr>
          <w:noProof/>
          <w:sz w:val="22"/>
          <w:szCs w:val="22"/>
          <w:lang w:val="es-ES_tradnl"/>
        </w:rPr>
        <w:t xml:space="preserve"> </w:t>
      </w:r>
    </w:p>
    <w:p w:rsidR="00187705" w:rsidRPr="005E6C4E" w:rsidRDefault="00187705" w:rsidP="00C1205D">
      <w:pPr>
        <w:jc w:val="both"/>
        <w:rPr>
          <w:rFonts w:eastAsia="Calibri"/>
          <w:i/>
          <w:noProof/>
          <w:sz w:val="20"/>
          <w:szCs w:val="20"/>
        </w:rPr>
      </w:pPr>
      <w:r w:rsidRPr="005E6C4E">
        <w:rPr>
          <w:rFonts w:eastAsia="Calibri"/>
          <w:noProof/>
          <w:sz w:val="20"/>
          <w:szCs w:val="20"/>
        </w:rPr>
        <w:t xml:space="preserve"> “(…)</w:t>
      </w:r>
      <w:r w:rsidRPr="005E6C4E">
        <w:rPr>
          <w:rFonts w:eastAsia="Calibri"/>
          <w:i/>
          <w:noProof/>
          <w:sz w:val="20"/>
          <w:szCs w:val="20"/>
        </w:rPr>
        <w:t>Transcurrido un plazo de treinta (30) días sin que se hubiese realizado el acto necesario para continuar el trámite de la demanda, del incidente o de cualquier otra actuación que se promueva a instancia de parte, el juez ordenará a la parte interesada mediante auto que lo cumpla dentro de los quince (15) días siguientes.</w:t>
      </w:r>
    </w:p>
    <w:p w:rsidR="00187705" w:rsidRPr="005E6C4E" w:rsidRDefault="00187705" w:rsidP="00C1205D">
      <w:pPr>
        <w:jc w:val="both"/>
        <w:rPr>
          <w:rFonts w:eastAsia="Calibri"/>
          <w:i/>
          <w:noProof/>
          <w:sz w:val="20"/>
          <w:szCs w:val="20"/>
        </w:rPr>
      </w:pPr>
    </w:p>
    <w:p w:rsidR="00187705" w:rsidRPr="005E6C4E" w:rsidRDefault="00187705" w:rsidP="00C1205D">
      <w:pPr>
        <w:jc w:val="both"/>
        <w:rPr>
          <w:rFonts w:eastAsia="Calibri"/>
          <w:noProof/>
          <w:sz w:val="20"/>
          <w:szCs w:val="20"/>
        </w:rPr>
      </w:pPr>
      <w:r w:rsidRPr="005E6C4E">
        <w:rPr>
          <w:rFonts w:eastAsia="Calibri"/>
          <w:i/>
          <w:noProof/>
          <w:sz w:val="20"/>
          <w:szCs w:val="20"/>
        </w:rPr>
        <w:t>Vencido este último término sin que el demandante o quien promovió el trámite respectivo haya cumplido la carga o realizado el acto ordenado, quedará sin efectos la demanda o la solicitud, según el caso, y el juez dispondrá la terminación del proceso o de la actuación correspondiente, condenará en costas y perjuicios siempre que como consecuencia de la aplicación de esta disposición haya lugar al levantamiento de medidas cautelares (…)</w:t>
      </w:r>
      <w:r w:rsidRPr="005E6C4E">
        <w:rPr>
          <w:rFonts w:eastAsia="Calibri"/>
          <w:noProof/>
          <w:sz w:val="20"/>
          <w:szCs w:val="20"/>
        </w:rPr>
        <w:t>”</w:t>
      </w:r>
    </w:p>
    <w:p w:rsidR="00187705" w:rsidRPr="005E6C4E" w:rsidRDefault="00187705" w:rsidP="00C1205D">
      <w:pPr>
        <w:jc w:val="both"/>
        <w:rPr>
          <w:noProof/>
          <w:sz w:val="22"/>
          <w:szCs w:val="22"/>
          <w:lang w:val="es-ES_tradnl"/>
        </w:rPr>
      </w:pPr>
    </w:p>
    <w:p w:rsidR="008C5031" w:rsidRPr="005E6C4E" w:rsidRDefault="008C5031" w:rsidP="00C1205D">
      <w:pPr>
        <w:jc w:val="both"/>
        <w:rPr>
          <w:b/>
          <w:sz w:val="22"/>
          <w:szCs w:val="22"/>
        </w:rPr>
      </w:pPr>
      <w:r w:rsidRPr="005E6C4E">
        <w:rPr>
          <w:sz w:val="22"/>
          <w:szCs w:val="22"/>
        </w:rPr>
        <w:t xml:space="preserve">Por lo anterior se </w:t>
      </w:r>
      <w:r w:rsidRPr="005E6C4E">
        <w:rPr>
          <w:b/>
          <w:sz w:val="22"/>
          <w:szCs w:val="22"/>
        </w:rPr>
        <w:t>RESUELVE:</w:t>
      </w:r>
    </w:p>
    <w:p w:rsidR="008C5031" w:rsidRPr="005E6C4E" w:rsidRDefault="008C5031" w:rsidP="00C1205D">
      <w:pPr>
        <w:jc w:val="both"/>
        <w:rPr>
          <w:b/>
          <w:sz w:val="22"/>
          <w:szCs w:val="22"/>
        </w:rPr>
      </w:pPr>
    </w:p>
    <w:p w:rsidR="00187705" w:rsidRPr="005E6C4E" w:rsidRDefault="00187705" w:rsidP="00C1205D">
      <w:pPr>
        <w:jc w:val="both"/>
        <w:rPr>
          <w:sz w:val="22"/>
          <w:szCs w:val="22"/>
        </w:rPr>
      </w:pPr>
      <w:r w:rsidRPr="005E6C4E">
        <w:rPr>
          <w:b/>
          <w:sz w:val="22"/>
          <w:szCs w:val="22"/>
        </w:rPr>
        <w:t xml:space="preserve">Primero: </w:t>
      </w:r>
      <w:r w:rsidR="00F777F5" w:rsidRPr="005E6C4E">
        <w:rPr>
          <w:sz w:val="22"/>
          <w:szCs w:val="22"/>
        </w:rPr>
        <w:t>Acéptese</w:t>
      </w:r>
      <w:r w:rsidRPr="005E6C4E">
        <w:rPr>
          <w:sz w:val="22"/>
          <w:szCs w:val="22"/>
        </w:rPr>
        <w:t xml:space="preserve"> la renuncia del abogado Luis Alejandro Torres Rocha identificado con c.c. No. 80.879.761 de Bogotá y TP. 200.794 del C.S. de la J., como apoderado de la parte actora de conformidad con lo manifestado en memorial de 25 de septiembre de 2018.</w:t>
      </w:r>
    </w:p>
    <w:p w:rsidR="00187705" w:rsidRPr="005E6C4E" w:rsidRDefault="00187705" w:rsidP="00C1205D">
      <w:pPr>
        <w:jc w:val="both"/>
        <w:rPr>
          <w:sz w:val="22"/>
          <w:szCs w:val="22"/>
        </w:rPr>
      </w:pPr>
    </w:p>
    <w:p w:rsidR="00187705" w:rsidRPr="005E6C4E" w:rsidRDefault="00C1205D" w:rsidP="00C1205D">
      <w:pPr>
        <w:jc w:val="both"/>
        <w:rPr>
          <w:sz w:val="22"/>
          <w:szCs w:val="22"/>
        </w:rPr>
      </w:pPr>
      <w:r w:rsidRPr="005E6C4E">
        <w:rPr>
          <w:b/>
          <w:sz w:val="22"/>
          <w:szCs w:val="22"/>
        </w:rPr>
        <w:t xml:space="preserve">Segundo: </w:t>
      </w:r>
      <w:r w:rsidR="00F777F5" w:rsidRPr="005E6C4E">
        <w:rPr>
          <w:sz w:val="22"/>
          <w:szCs w:val="22"/>
        </w:rPr>
        <w:t>Reconózcase</w:t>
      </w:r>
      <w:r w:rsidRPr="005E6C4E">
        <w:rPr>
          <w:sz w:val="22"/>
          <w:szCs w:val="22"/>
        </w:rPr>
        <w:t xml:space="preserve"> personería jurídica para actuar en este proceso al abogado Carlos Alberto Camacho Méndez identificado con c.c. No. 79.813.302 de Bogotá y TP. 178.373 del C.S. de la J., en la forma y términos del poder allegado el 16 de enero de 2019.</w:t>
      </w:r>
    </w:p>
    <w:p w:rsidR="00C1205D" w:rsidRPr="005E6C4E" w:rsidRDefault="00C1205D" w:rsidP="00C1205D">
      <w:pPr>
        <w:jc w:val="both"/>
        <w:rPr>
          <w:sz w:val="22"/>
          <w:szCs w:val="22"/>
        </w:rPr>
      </w:pPr>
    </w:p>
    <w:p w:rsidR="00187705" w:rsidRPr="005E6C4E" w:rsidRDefault="00C1205D" w:rsidP="00C1205D">
      <w:pPr>
        <w:jc w:val="both"/>
        <w:rPr>
          <w:sz w:val="22"/>
          <w:szCs w:val="22"/>
        </w:rPr>
      </w:pPr>
      <w:r w:rsidRPr="005E6C4E">
        <w:rPr>
          <w:b/>
          <w:sz w:val="22"/>
          <w:szCs w:val="22"/>
        </w:rPr>
        <w:t xml:space="preserve">Tercero: </w:t>
      </w:r>
      <w:r w:rsidRPr="005E6C4E">
        <w:rPr>
          <w:b/>
          <w:sz w:val="22"/>
          <w:szCs w:val="22"/>
          <w:lang w:val="es-MX"/>
        </w:rPr>
        <w:t>Requiérase</w:t>
      </w:r>
      <w:r w:rsidRPr="005E6C4E">
        <w:rPr>
          <w:sz w:val="22"/>
          <w:szCs w:val="22"/>
          <w:lang w:val="es-MX"/>
        </w:rPr>
        <w:t xml:space="preserve"> a la parte actora para que dentro de los quince (15) días siguientes a la notificación de la presente providencia, dé cumplimiento a lo ordenado en el numeral séptimo del auto admisorio de la demanda, </w:t>
      </w:r>
      <w:r w:rsidRPr="005E6C4E">
        <w:rPr>
          <w:sz w:val="22"/>
          <w:szCs w:val="22"/>
        </w:rPr>
        <w:t>so pena de dar aplicación a lo previsto en el artículo 178 del  mismo Código.</w:t>
      </w:r>
    </w:p>
    <w:p w:rsidR="00187705" w:rsidRPr="005E6C4E" w:rsidRDefault="00187705" w:rsidP="00C1205D">
      <w:pPr>
        <w:jc w:val="both"/>
        <w:rPr>
          <w:b/>
          <w:sz w:val="22"/>
          <w:szCs w:val="22"/>
        </w:rPr>
      </w:pPr>
    </w:p>
    <w:p w:rsidR="008C5031" w:rsidRPr="005E6C4E" w:rsidRDefault="008C5031" w:rsidP="00C1205D">
      <w:pPr>
        <w:jc w:val="both"/>
        <w:rPr>
          <w:b/>
          <w:sz w:val="22"/>
          <w:szCs w:val="22"/>
          <w:lang w:val="es-ES_tradnl"/>
        </w:rPr>
      </w:pPr>
      <w:r w:rsidRPr="005E6C4E">
        <w:rPr>
          <w:b/>
          <w:sz w:val="22"/>
          <w:szCs w:val="22"/>
          <w:lang w:val="es-ES_tradnl"/>
        </w:rPr>
        <w:t>NOTIFÍQUESE Y CÚMPLASE,</w:t>
      </w:r>
    </w:p>
    <w:p w:rsidR="008C5031" w:rsidRPr="005E6C4E" w:rsidRDefault="008C5031" w:rsidP="00C1205D">
      <w:pPr>
        <w:pStyle w:val="Sinespaciado"/>
        <w:jc w:val="both"/>
        <w:rPr>
          <w:b/>
          <w:sz w:val="22"/>
          <w:szCs w:val="22"/>
          <w:lang w:val="es-ES_tradnl"/>
        </w:rPr>
      </w:pPr>
    </w:p>
    <w:p w:rsidR="008C5031" w:rsidRPr="005E6C4E" w:rsidRDefault="008C5031" w:rsidP="00C1205D">
      <w:pPr>
        <w:pStyle w:val="Sinespaciado"/>
        <w:jc w:val="both"/>
        <w:rPr>
          <w:b/>
          <w:sz w:val="22"/>
          <w:szCs w:val="22"/>
        </w:rPr>
      </w:pPr>
    </w:p>
    <w:p w:rsidR="008C5031" w:rsidRPr="005E6C4E" w:rsidRDefault="008C5031" w:rsidP="00C1205D">
      <w:pPr>
        <w:shd w:val="clear" w:color="auto" w:fill="FFFFFF"/>
        <w:ind w:left="3082"/>
        <w:jc w:val="both"/>
        <w:rPr>
          <w:sz w:val="22"/>
          <w:szCs w:val="22"/>
        </w:rPr>
      </w:pPr>
      <w:r w:rsidRPr="005E6C4E">
        <w:rPr>
          <w:b/>
          <w:bCs/>
          <w:spacing w:val="1"/>
          <w:sz w:val="22"/>
          <w:szCs w:val="22"/>
          <w:lang w:val="es-ES_tradnl"/>
        </w:rPr>
        <w:t>OLGA CECILIA HENAO MARÍN</w:t>
      </w:r>
    </w:p>
    <w:p w:rsidR="008C5031" w:rsidRPr="005E6C4E" w:rsidRDefault="008C5031" w:rsidP="00C1205D">
      <w:pPr>
        <w:shd w:val="clear" w:color="auto" w:fill="FFFFFF"/>
        <w:ind w:left="4277"/>
        <w:jc w:val="both"/>
        <w:rPr>
          <w:sz w:val="22"/>
          <w:szCs w:val="22"/>
        </w:rPr>
      </w:pPr>
      <w:r w:rsidRPr="005E6C4E">
        <w:rPr>
          <w:spacing w:val="-6"/>
          <w:sz w:val="22"/>
          <w:szCs w:val="22"/>
          <w:lang w:val="es-ES_tradnl"/>
        </w:rPr>
        <w:t>Juez</w:t>
      </w:r>
    </w:p>
    <w:p w:rsidR="008C5031" w:rsidRPr="005E6C4E" w:rsidRDefault="008C5031" w:rsidP="00C1205D">
      <w:pPr>
        <w:rPr>
          <w:sz w:val="22"/>
          <w:szCs w:val="22"/>
        </w:rPr>
      </w:pPr>
    </w:p>
    <w:p w:rsidR="008C5031" w:rsidRPr="005E6C4E" w:rsidRDefault="00C1205D" w:rsidP="00C1205D">
      <w:pPr>
        <w:rPr>
          <w:sz w:val="12"/>
          <w:szCs w:val="12"/>
        </w:rPr>
      </w:pPr>
      <w:r w:rsidRPr="005E6C4E">
        <w:rPr>
          <w:sz w:val="12"/>
          <w:szCs w:val="12"/>
        </w:rPr>
        <w:t>SLDR</w:t>
      </w:r>
    </w:p>
    <w:p w:rsidR="008C5031" w:rsidRPr="005E6C4E" w:rsidRDefault="008C5031" w:rsidP="00C1205D">
      <w:pPr>
        <w:jc w:val="both"/>
        <w:rPr>
          <w:sz w:val="22"/>
          <w:szCs w:val="22"/>
        </w:rPr>
      </w:pPr>
    </w:p>
    <w:p w:rsidR="00C1205D" w:rsidRPr="005E6C4E" w:rsidRDefault="00C1205D" w:rsidP="00C1205D">
      <w:pPr>
        <w:rPr>
          <w:sz w:val="16"/>
          <w:szCs w:val="16"/>
        </w:rPr>
      </w:pPr>
    </w:p>
    <w:p w:rsidR="00C1205D" w:rsidRPr="005E6C4E" w:rsidRDefault="00C1205D" w:rsidP="00C1205D">
      <w:pPr>
        <w:rPr>
          <w:sz w:val="16"/>
          <w:szCs w:val="16"/>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C1205D" w:rsidRPr="005E6C4E" w:rsidTr="008225DF">
        <w:trPr>
          <w:trHeight w:val="1404"/>
        </w:trPr>
        <w:tc>
          <w:tcPr>
            <w:tcW w:w="5954" w:type="dxa"/>
            <w:tcBorders>
              <w:top w:val="single" w:sz="4" w:space="0" w:color="auto"/>
              <w:left w:val="single" w:sz="4" w:space="0" w:color="auto"/>
              <w:bottom w:val="single" w:sz="4" w:space="0" w:color="auto"/>
              <w:right w:val="single" w:sz="4" w:space="0" w:color="auto"/>
            </w:tcBorders>
          </w:tcPr>
          <w:p w:rsidR="00C1205D" w:rsidRPr="005E6C4E" w:rsidRDefault="00C1205D" w:rsidP="008225DF">
            <w:pPr>
              <w:jc w:val="center"/>
              <w:rPr>
                <w:b/>
                <w:sz w:val="18"/>
                <w:szCs w:val="18"/>
              </w:rPr>
            </w:pPr>
            <w:r w:rsidRPr="005E6C4E">
              <w:rPr>
                <w:b/>
                <w:sz w:val="18"/>
                <w:szCs w:val="18"/>
              </w:rPr>
              <w:t>JUZGADO TREINTA Y CUATRO ADMINISTRATIVO CIRCUITO DE BOGOTÁ -  SECCIÓN TERCERA</w:t>
            </w:r>
          </w:p>
          <w:p w:rsidR="00C1205D" w:rsidRPr="005E6C4E" w:rsidRDefault="00C1205D" w:rsidP="008225DF">
            <w:pPr>
              <w:jc w:val="center"/>
              <w:rPr>
                <w:sz w:val="18"/>
                <w:szCs w:val="18"/>
              </w:rPr>
            </w:pPr>
          </w:p>
          <w:p w:rsidR="00C1205D" w:rsidRPr="005E6C4E" w:rsidRDefault="00C1205D" w:rsidP="008225DF">
            <w:pPr>
              <w:jc w:val="both"/>
              <w:rPr>
                <w:sz w:val="18"/>
                <w:szCs w:val="18"/>
              </w:rPr>
            </w:pPr>
            <w:r w:rsidRPr="005E6C4E">
              <w:rPr>
                <w:sz w:val="18"/>
                <w:szCs w:val="18"/>
              </w:rPr>
              <w:t xml:space="preserve">Por anotación en ESTADO notifico a las partes la providencia anterior, hoy </w:t>
            </w:r>
            <w:r w:rsidRPr="005E6C4E">
              <w:rPr>
                <w:b/>
                <w:sz w:val="18"/>
                <w:szCs w:val="18"/>
              </w:rPr>
              <w:t>____________________________</w:t>
            </w:r>
            <w:r w:rsidRPr="005E6C4E">
              <w:rPr>
                <w:sz w:val="18"/>
                <w:szCs w:val="18"/>
              </w:rPr>
              <w:t>a las 8:00 a.m.</w:t>
            </w:r>
          </w:p>
          <w:p w:rsidR="00C1205D" w:rsidRPr="005E6C4E" w:rsidRDefault="00C1205D" w:rsidP="008225DF">
            <w:pPr>
              <w:rPr>
                <w:sz w:val="18"/>
                <w:szCs w:val="18"/>
              </w:rPr>
            </w:pPr>
            <w:r w:rsidRPr="005E6C4E">
              <w:rPr>
                <w:noProof/>
                <w:sz w:val="18"/>
                <w:szCs w:val="18"/>
                <w:lang w:val="es-CO" w:eastAsia="es-CO"/>
              </w:rPr>
              <w:drawing>
                <wp:anchor distT="0" distB="0" distL="114300" distR="114300" simplePos="0" relativeHeight="251659264" behindDoc="0" locked="0" layoutInCell="1" allowOverlap="1" wp14:anchorId="36031129" wp14:editId="2EB622AB">
                  <wp:simplePos x="0" y="0"/>
                  <wp:positionH relativeFrom="margin">
                    <wp:posOffset>1449070</wp:posOffset>
                  </wp:positionH>
                  <wp:positionV relativeFrom="paragraph">
                    <wp:posOffset>102870</wp:posOffset>
                  </wp:positionV>
                  <wp:extent cx="815340" cy="485775"/>
                  <wp:effectExtent l="0" t="0" r="3810" b="9525"/>
                  <wp:wrapSquare wrapText="bothSides"/>
                  <wp:docPr id="3" name="Imagen 3"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8C5031" w:rsidRPr="005E6C4E" w:rsidRDefault="008C5031" w:rsidP="00C1205D">
      <w:pPr>
        <w:rPr>
          <w:sz w:val="22"/>
          <w:szCs w:val="22"/>
        </w:rPr>
      </w:pPr>
    </w:p>
    <w:p w:rsidR="008C5031" w:rsidRPr="005E6C4E" w:rsidRDefault="008C5031" w:rsidP="00C1205D">
      <w:pPr>
        <w:rPr>
          <w:sz w:val="22"/>
          <w:szCs w:val="22"/>
        </w:rPr>
      </w:pPr>
    </w:p>
    <w:p w:rsidR="00A50FF4" w:rsidRPr="005E6C4E" w:rsidRDefault="00A50FF4" w:rsidP="00C1205D">
      <w:pPr>
        <w:rPr>
          <w:sz w:val="22"/>
          <w:szCs w:val="22"/>
        </w:rPr>
      </w:pPr>
    </w:p>
    <w:sectPr w:rsidR="00A50FF4" w:rsidRPr="005E6C4E" w:rsidSect="00EF242B">
      <w:head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06" w:rsidRDefault="004E7806" w:rsidP="008C5031">
      <w:r>
        <w:separator/>
      </w:r>
    </w:p>
  </w:endnote>
  <w:endnote w:type="continuationSeparator" w:id="0">
    <w:p w:rsidR="004E7806" w:rsidRDefault="004E7806" w:rsidP="008C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06" w:rsidRDefault="004E7806" w:rsidP="008C5031">
      <w:r>
        <w:separator/>
      </w:r>
    </w:p>
  </w:footnote>
  <w:footnote w:type="continuationSeparator" w:id="0">
    <w:p w:rsidR="004E7806" w:rsidRDefault="004E7806" w:rsidP="008C5031">
      <w:r>
        <w:continuationSeparator/>
      </w:r>
    </w:p>
  </w:footnote>
  <w:footnote w:id="1">
    <w:p w:rsidR="008C5031" w:rsidRPr="005E6C4E" w:rsidRDefault="008C5031" w:rsidP="008C5031">
      <w:pPr>
        <w:pStyle w:val="Textonotapie"/>
        <w:rPr>
          <w:rFonts w:ascii="Times New Roman" w:hAnsi="Times New Roman" w:cs="Times New Roman"/>
          <w:sz w:val="16"/>
          <w:szCs w:val="16"/>
        </w:rPr>
      </w:pPr>
      <w:r w:rsidRPr="005E6C4E">
        <w:rPr>
          <w:rStyle w:val="Refdenotaalpie"/>
          <w:rFonts w:ascii="Times New Roman" w:hAnsi="Times New Roman" w:cs="Times New Roman"/>
          <w:sz w:val="16"/>
          <w:szCs w:val="16"/>
        </w:rPr>
        <w:footnoteRef/>
      </w:r>
      <w:r w:rsidRPr="005E6C4E">
        <w:rPr>
          <w:rFonts w:ascii="Times New Roman" w:hAnsi="Times New Roman" w:cs="Times New Roman"/>
          <w:sz w:val="16"/>
          <w:szCs w:val="16"/>
        </w:rPr>
        <w:t xml:space="preserve"> </w:t>
      </w:r>
      <w:r w:rsidRPr="005E6C4E">
        <w:rPr>
          <w:rFonts w:ascii="Times New Roman" w:hAnsi="Times New Roman" w:cs="Times New Roman"/>
          <w:sz w:val="16"/>
          <w:szCs w:val="16"/>
          <w:lang w:val="es-ES"/>
        </w:rPr>
        <w:t>FOLIO 14 AL 17 DEL  CUADERNO 1</w:t>
      </w:r>
    </w:p>
  </w:footnote>
  <w:footnote w:id="2">
    <w:p w:rsidR="008C5031" w:rsidRPr="005E6C4E" w:rsidRDefault="008C5031" w:rsidP="008C5031">
      <w:pPr>
        <w:pStyle w:val="Textonotapie"/>
        <w:rPr>
          <w:rFonts w:ascii="Times New Roman" w:hAnsi="Times New Roman" w:cs="Times New Roman"/>
          <w:sz w:val="16"/>
          <w:szCs w:val="16"/>
        </w:rPr>
      </w:pPr>
      <w:r w:rsidRPr="005E6C4E">
        <w:rPr>
          <w:rStyle w:val="Refdenotaalpie"/>
          <w:rFonts w:ascii="Times New Roman" w:hAnsi="Times New Roman" w:cs="Times New Roman"/>
          <w:sz w:val="16"/>
          <w:szCs w:val="16"/>
        </w:rPr>
        <w:footnoteRef/>
      </w:r>
      <w:r w:rsidRPr="005E6C4E">
        <w:rPr>
          <w:rFonts w:ascii="Times New Roman" w:hAnsi="Times New Roman" w:cs="Times New Roman"/>
          <w:sz w:val="16"/>
          <w:szCs w:val="16"/>
        </w:rPr>
        <w:t xml:space="preserve"> Folio 84 del cuaderno principal. </w:t>
      </w:r>
    </w:p>
    <w:p w:rsidR="008C5031" w:rsidRPr="005E6C4E" w:rsidRDefault="008C5031" w:rsidP="008C5031">
      <w:pPr>
        <w:pStyle w:val="Textonotapie"/>
        <w:rPr>
          <w:rFonts w:ascii="Times New Roman" w:hAnsi="Times New Roman" w:cs="Times New Roman"/>
          <w:sz w:val="16"/>
          <w:szCs w:val="16"/>
        </w:rPr>
      </w:pPr>
      <w:r w:rsidRPr="005E6C4E">
        <w:rPr>
          <w:rFonts w:ascii="Times New Roman" w:hAnsi="Times New Roman" w:cs="Times New Roman"/>
          <w:sz w:val="16"/>
          <w:szCs w:val="16"/>
        </w:rPr>
        <w:t>•</w:t>
      </w:r>
      <w:r w:rsidRPr="005E6C4E">
        <w:rPr>
          <w:rFonts w:ascii="Times New Roman" w:hAnsi="Times New Roman" w:cs="Times New Roman"/>
          <w:sz w:val="16"/>
          <w:szCs w:val="16"/>
        </w:rPr>
        <w:tab/>
        <w:t>Las pretensiones respecto de las cuales se agotó el requisito de procedibilidad no son iguales a las incoadas en el escrito de demanda, razón por la cual se requiere al demandante para que las adecúe.</w:t>
      </w:r>
    </w:p>
    <w:p w:rsidR="008C5031" w:rsidRPr="005E6C4E" w:rsidRDefault="008C5031" w:rsidP="008C5031">
      <w:pPr>
        <w:pStyle w:val="Textonotapie"/>
        <w:rPr>
          <w:rFonts w:ascii="Times New Roman" w:hAnsi="Times New Roman" w:cs="Times New Roman"/>
          <w:sz w:val="16"/>
          <w:szCs w:val="16"/>
        </w:rPr>
      </w:pPr>
      <w:r w:rsidRPr="005E6C4E">
        <w:rPr>
          <w:rFonts w:ascii="Times New Roman" w:hAnsi="Times New Roman" w:cs="Times New Roman"/>
          <w:sz w:val="16"/>
          <w:szCs w:val="16"/>
        </w:rPr>
        <w:t>•</w:t>
      </w:r>
      <w:r w:rsidRPr="005E6C4E">
        <w:rPr>
          <w:rFonts w:ascii="Times New Roman" w:hAnsi="Times New Roman" w:cs="Times New Roman"/>
          <w:sz w:val="16"/>
          <w:szCs w:val="16"/>
        </w:rPr>
        <w:tab/>
        <w:t>Si bien el demandante menciona que la omisión generadora del daño se dio el día en que Luz Adriana Segura Velandia  presentó su  renuncia, no se aportó el mencionado documento, el cual es necesario para realizar el cómputo del término de caducidad.</w:t>
      </w:r>
    </w:p>
    <w:p w:rsidR="008C5031" w:rsidRPr="005E6C4E" w:rsidRDefault="008C5031" w:rsidP="008C5031">
      <w:pPr>
        <w:pStyle w:val="Textonotapie"/>
        <w:rPr>
          <w:rFonts w:ascii="Times New Roman" w:hAnsi="Times New Roman" w:cs="Times New Roman"/>
          <w:sz w:val="16"/>
          <w:szCs w:val="16"/>
        </w:rPr>
      </w:pPr>
      <w:r w:rsidRPr="005E6C4E">
        <w:rPr>
          <w:rFonts w:ascii="Times New Roman" w:hAnsi="Times New Roman" w:cs="Times New Roman"/>
          <w:sz w:val="16"/>
          <w:szCs w:val="16"/>
        </w:rPr>
        <w:t>•</w:t>
      </w:r>
      <w:r w:rsidRPr="005E6C4E">
        <w:rPr>
          <w:rFonts w:ascii="Times New Roman" w:hAnsi="Times New Roman" w:cs="Times New Roman"/>
          <w:sz w:val="16"/>
          <w:szCs w:val="16"/>
        </w:rPr>
        <w:tab/>
        <w:t xml:space="preserve">No se aportaron las pruebas en medio magnético. </w:t>
      </w:r>
    </w:p>
    <w:p w:rsidR="008C5031" w:rsidRPr="005E6C4E" w:rsidRDefault="008C5031" w:rsidP="008C5031">
      <w:pPr>
        <w:pStyle w:val="Textonotapie"/>
        <w:rPr>
          <w:rFonts w:ascii="Times New Roman" w:hAnsi="Times New Roman" w:cs="Times New Roman"/>
          <w:sz w:val="16"/>
          <w:szCs w:val="16"/>
          <w:lang w:val="es-ES"/>
        </w:rPr>
      </w:pPr>
    </w:p>
  </w:footnote>
  <w:footnote w:id="3">
    <w:p w:rsidR="00187705" w:rsidRPr="005E6C4E" w:rsidRDefault="00187705" w:rsidP="00187705">
      <w:pPr>
        <w:jc w:val="both"/>
        <w:rPr>
          <w:rFonts w:ascii="Times New Roman" w:hAnsi="Times New Roman" w:cs="Times New Roman"/>
          <w:i/>
          <w:iCs/>
          <w:color w:val="222222"/>
          <w:sz w:val="16"/>
          <w:szCs w:val="16"/>
          <w:shd w:val="clear" w:color="auto" w:fill="FFFFFF"/>
        </w:rPr>
      </w:pPr>
      <w:r w:rsidRPr="005E6C4E">
        <w:rPr>
          <w:rStyle w:val="Refdenotaalpie"/>
          <w:rFonts w:ascii="Times New Roman" w:hAnsi="Times New Roman" w:cs="Times New Roman"/>
          <w:sz w:val="16"/>
          <w:szCs w:val="16"/>
        </w:rPr>
        <w:footnoteRef/>
      </w:r>
      <w:r w:rsidRPr="005E6C4E">
        <w:rPr>
          <w:rFonts w:ascii="Times New Roman" w:hAnsi="Times New Roman" w:cs="Times New Roman"/>
          <w:sz w:val="16"/>
          <w:szCs w:val="16"/>
        </w:rPr>
        <w:t xml:space="preserve"> </w:t>
      </w:r>
      <w:r w:rsidRPr="005E6C4E">
        <w:rPr>
          <w:rFonts w:ascii="Times New Roman" w:hAnsi="Times New Roman" w:cs="Times New Roman"/>
          <w:b/>
          <w:sz w:val="16"/>
          <w:szCs w:val="16"/>
        </w:rPr>
        <w:t>Séptimo:</w:t>
      </w:r>
      <w:r w:rsidRPr="005E6C4E">
        <w:rPr>
          <w:rFonts w:ascii="Times New Roman" w:hAnsi="Times New Roman" w:cs="Times New Roman"/>
          <w:sz w:val="16"/>
          <w:szCs w:val="16"/>
        </w:rPr>
        <w:t xml:space="preserve"> </w:t>
      </w:r>
      <w:r w:rsidRPr="005E6C4E">
        <w:rPr>
          <w:rFonts w:ascii="Times New Roman" w:hAnsi="Times New Roman" w:cs="Times New Roman"/>
          <w:iCs/>
          <w:color w:val="222222"/>
          <w:sz w:val="16"/>
          <w:szCs w:val="16"/>
          <w:shd w:val="clear" w:color="auto" w:fill="FFFFFF"/>
        </w:rPr>
        <w:t>Para efectos de </w:t>
      </w:r>
      <w:r w:rsidRPr="005E6C4E">
        <w:rPr>
          <w:rFonts w:ascii="Times New Roman" w:hAnsi="Times New Roman" w:cs="Times New Roman"/>
          <w:b/>
          <w:bCs/>
          <w:iCs/>
          <w:color w:val="222222"/>
          <w:sz w:val="16"/>
          <w:szCs w:val="16"/>
          <w:shd w:val="clear" w:color="auto" w:fill="FFFFFF"/>
        </w:rPr>
        <w:t>surtir la notificación a los demandados</w:t>
      </w:r>
      <w:r w:rsidRPr="005E6C4E">
        <w:rPr>
          <w:rFonts w:ascii="Times New Roman" w:hAnsi="Times New Roman" w:cs="Times New Roman"/>
          <w:iCs/>
          <w:color w:val="222222"/>
          <w:sz w:val="16"/>
          <w:szCs w:val="16"/>
          <w:shd w:val="clear" w:color="auto" w:fill="FFFFFF"/>
        </w:rPr>
        <w:t>, le corresponde al apoderado de la parte demandante dentro del término de ejecutoria de este auto,  dar cumplimiento a lo dispuesto en la última parte del inciso quinto  del artículo 199 del  Código de Procedimiento Administrativo y de lo Contencioso Administrativo, </w:t>
      </w:r>
      <w:r w:rsidRPr="005E6C4E">
        <w:rPr>
          <w:rFonts w:ascii="Times New Roman" w:hAnsi="Times New Roman" w:cs="Times New Roman"/>
          <w:b/>
          <w:bCs/>
          <w:iCs/>
          <w:color w:val="222222"/>
          <w:sz w:val="16"/>
          <w:szCs w:val="16"/>
          <w:u w:val="single"/>
          <w:shd w:val="clear" w:color="auto" w:fill="FFFFFF"/>
        </w:rPr>
        <w:t>en el sentido de retirar de la Secretaría del Juzgado el traslado aportado con la demanda y remitirlo a la parte demandada y a la Agencia Nacional de Defensa Jurídica, si fuere el caso, junto con copia del auto admisorio de la demanda, y allegar al Despacho constancia de su entrega efectiva</w:t>
      </w:r>
      <w:r w:rsidRPr="005E6C4E">
        <w:rPr>
          <w:rFonts w:ascii="Times New Roman" w:hAnsi="Times New Roman" w:cs="Times New Roman"/>
          <w:iCs/>
          <w:color w:val="222222"/>
          <w:sz w:val="16"/>
          <w:szCs w:val="16"/>
          <w:shd w:val="clear" w:color="auto" w:fill="FFFFFF"/>
        </w:rPr>
        <w:t>, so pena de dar  aplicación a lo previsto en el artículo 178 del  Código de Procedimiento Administrativo y de lo Contencioso Administrativo. Acreditado por el apoderado de la parte actora </w:t>
      </w:r>
      <w:r w:rsidRPr="005E6C4E">
        <w:rPr>
          <w:rFonts w:ascii="Times New Roman" w:hAnsi="Times New Roman" w:cs="Times New Roman"/>
          <w:b/>
          <w:bCs/>
          <w:iCs/>
          <w:color w:val="222222"/>
          <w:sz w:val="16"/>
          <w:szCs w:val="16"/>
          <w:u w:val="single"/>
          <w:shd w:val="clear" w:color="auto" w:fill="FFFFFF"/>
        </w:rPr>
        <w:t>el envío y la efectiva entrega de lo aquí dispuesto</w:t>
      </w:r>
      <w:r w:rsidRPr="005E6C4E">
        <w:rPr>
          <w:rFonts w:ascii="Times New Roman" w:hAnsi="Times New Roman" w:cs="Times New Roman"/>
          <w:iCs/>
          <w:color w:val="222222"/>
          <w:sz w:val="16"/>
          <w:szCs w:val="16"/>
          <w:shd w:val="clear" w:color="auto" w:fill="FFFFFF"/>
        </w:rPr>
        <w:t>, procederá el Despacho a efectuar la notificación electrónica del auto admisorio de la demanda al demandado</w:t>
      </w:r>
      <w:r w:rsidRPr="005E6C4E">
        <w:rPr>
          <w:rFonts w:ascii="Times New Roman" w:hAnsi="Times New Roman" w:cs="Times New Roman"/>
          <w:i/>
          <w:iCs/>
          <w:color w:val="222222"/>
          <w:sz w:val="16"/>
          <w:szCs w:val="16"/>
          <w:shd w:val="clear" w:color="auto" w:fill="FFFFFF"/>
        </w:rPr>
        <w:t>.</w:t>
      </w:r>
    </w:p>
    <w:p w:rsidR="00187705" w:rsidRPr="005E6C4E" w:rsidRDefault="00187705">
      <w:pPr>
        <w:pStyle w:val="Textonotapie"/>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FB" w:rsidRPr="008E3CD6" w:rsidRDefault="002164EF" w:rsidP="008E3CD6">
    <w:pPr>
      <w:pStyle w:val="Encabezado"/>
      <w:jc w:val="right"/>
      <w:rPr>
        <w:rFonts w:ascii="Tahoma" w:hAnsi="Tahoma" w:cs="Tahoma"/>
        <w:color w:val="000000"/>
        <w:sz w:val="14"/>
        <w:szCs w:val="14"/>
        <w:lang w:val="es-ES_tradnl"/>
      </w:rPr>
    </w:pPr>
    <w:r w:rsidRPr="002520DF">
      <w:rPr>
        <w:rFonts w:ascii="Tahoma" w:hAnsi="Tahoma" w:cs="Tahoma"/>
        <w:sz w:val="14"/>
        <w:szCs w:val="14"/>
      </w:rPr>
      <w:t xml:space="preserve">Expediente N° </w:t>
    </w:r>
    <w:r>
      <w:rPr>
        <w:rFonts w:ascii="Tahoma" w:hAnsi="Tahoma" w:cs="Tahoma"/>
        <w:color w:val="000000"/>
        <w:sz w:val="14"/>
        <w:szCs w:val="14"/>
        <w:lang w:val="es-ES_tradnl"/>
      </w:rPr>
      <w:t>2015 – 0227</w:t>
    </w:r>
  </w:p>
  <w:p w:rsidR="00C1205D" w:rsidRDefault="00C1205D" w:rsidP="00EF242B">
    <w:pPr>
      <w:pStyle w:val="Encabezado"/>
      <w:jc w:val="right"/>
      <w:rPr>
        <w:rFonts w:ascii="Tahoma" w:hAnsi="Tahoma" w:cs="Tahoma"/>
        <w:sz w:val="14"/>
        <w:szCs w:val="14"/>
        <w:lang w:val="es-MX"/>
      </w:rPr>
    </w:pPr>
    <w:r w:rsidRPr="00C1205D">
      <w:rPr>
        <w:rFonts w:ascii="Tahoma" w:hAnsi="Tahoma" w:cs="Tahoma"/>
        <w:sz w:val="14"/>
        <w:szCs w:val="14"/>
        <w:lang w:val="es-MX"/>
      </w:rPr>
      <w:t xml:space="preserve">ACEPTA RENUNCIA – RECONOCE PERSONERÍA – REQUIERE A PARTE ACTORA TRAMITE DE NOTIFICACIÓN </w:t>
    </w:r>
  </w:p>
  <w:p w:rsidR="008D1BFB" w:rsidRPr="002520DF" w:rsidRDefault="002164EF" w:rsidP="00EF242B">
    <w:pPr>
      <w:pStyle w:val="Encabezado"/>
      <w:jc w:val="right"/>
      <w:rPr>
        <w:rFonts w:ascii="Tahoma" w:hAnsi="Tahoma" w:cs="Tahoma"/>
        <w:sz w:val="14"/>
        <w:szCs w:val="14"/>
      </w:rPr>
    </w:pPr>
    <w:r w:rsidRPr="002520DF">
      <w:rPr>
        <w:rFonts w:ascii="Tahoma" w:hAnsi="Tahoma" w:cs="Tahoma"/>
        <w:sz w:val="14"/>
        <w:szCs w:val="14"/>
      </w:rPr>
      <w:t>Página 3 de 3</w:t>
    </w:r>
  </w:p>
  <w:p w:rsidR="008D1BFB" w:rsidRDefault="004E78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FB" w:rsidRPr="00C1205D" w:rsidRDefault="002164EF" w:rsidP="00EF242B">
    <w:pPr>
      <w:pStyle w:val="Encabezado"/>
      <w:jc w:val="center"/>
      <w:rPr>
        <w:rFonts w:ascii="Tahoma" w:hAnsi="Tahoma" w:cs="Tahoma"/>
        <w:b/>
        <w:i/>
        <w:sz w:val="16"/>
        <w:szCs w:val="16"/>
      </w:rPr>
    </w:pPr>
    <w:r w:rsidRPr="00C1205D">
      <w:rPr>
        <w:rFonts w:ascii="Tahoma" w:hAnsi="Tahoma" w:cs="Tahoma"/>
        <w:b/>
        <w:i/>
        <w:noProof/>
        <w:sz w:val="16"/>
        <w:szCs w:val="16"/>
        <w:lang w:val="es-CO" w:eastAsia="es-CO"/>
      </w:rPr>
      <w:drawing>
        <wp:inline distT="0" distB="0" distL="0" distR="0" wp14:anchorId="0B4BBA37" wp14:editId="733394E9">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8D1BFB" w:rsidRPr="00C1205D" w:rsidRDefault="002164EF" w:rsidP="00EF242B">
    <w:pPr>
      <w:pStyle w:val="Encabezado"/>
      <w:jc w:val="center"/>
      <w:rPr>
        <w:rFonts w:ascii="Tahoma" w:hAnsi="Tahoma" w:cs="Tahoma"/>
        <w:b/>
        <w:sz w:val="16"/>
        <w:szCs w:val="16"/>
        <w:lang w:val="es-MX"/>
      </w:rPr>
    </w:pPr>
    <w:r w:rsidRPr="00C1205D">
      <w:rPr>
        <w:rFonts w:ascii="Tahoma" w:hAnsi="Tahoma" w:cs="Tahoma"/>
        <w:b/>
        <w:sz w:val="16"/>
        <w:szCs w:val="16"/>
        <w:lang w:val="es-MX"/>
      </w:rPr>
      <w:t>JUZGADO TREINTA Y CUATRO ADMINISTRATIVO</w:t>
    </w:r>
  </w:p>
  <w:p w:rsidR="008D1BFB" w:rsidRPr="00C1205D" w:rsidRDefault="002164EF" w:rsidP="00EF242B">
    <w:pPr>
      <w:pStyle w:val="Encabezado"/>
      <w:jc w:val="center"/>
      <w:rPr>
        <w:rFonts w:ascii="Tahoma" w:hAnsi="Tahoma" w:cs="Tahoma"/>
        <w:b/>
        <w:sz w:val="16"/>
        <w:szCs w:val="16"/>
        <w:lang w:val="es-MX"/>
      </w:rPr>
    </w:pPr>
    <w:r w:rsidRPr="00C1205D">
      <w:rPr>
        <w:rFonts w:ascii="Tahoma" w:hAnsi="Tahoma" w:cs="Tahoma"/>
        <w:b/>
        <w:sz w:val="16"/>
        <w:szCs w:val="16"/>
        <w:lang w:val="es-MX"/>
      </w:rPr>
      <w:t xml:space="preserve"> ORAL DE BOGOTÁ</w:t>
    </w:r>
  </w:p>
  <w:p w:rsidR="008D1BFB" w:rsidRPr="00C1205D" w:rsidRDefault="002164EF" w:rsidP="00EF242B">
    <w:pPr>
      <w:pStyle w:val="Encabezado"/>
      <w:jc w:val="center"/>
      <w:rPr>
        <w:rFonts w:ascii="Tahoma" w:hAnsi="Tahoma" w:cs="Tahoma"/>
        <w:b/>
        <w:sz w:val="16"/>
        <w:szCs w:val="16"/>
        <w:lang w:val="es-MX"/>
      </w:rPr>
    </w:pPr>
    <w:r w:rsidRPr="00C1205D">
      <w:rPr>
        <w:rFonts w:ascii="Tahoma" w:hAnsi="Tahoma" w:cs="Tahoma"/>
        <w:b/>
        <w:sz w:val="16"/>
        <w:szCs w:val="16"/>
        <w:lang w:val="es-MX"/>
      </w:rPr>
      <w:t>Sección Tercera</w:t>
    </w:r>
  </w:p>
  <w:p w:rsidR="008D1BFB" w:rsidRPr="00C1205D" w:rsidRDefault="004E7806">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006B7"/>
    <w:multiLevelType w:val="hybridMultilevel"/>
    <w:tmpl w:val="9BFA6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31"/>
    <w:rsid w:val="00040636"/>
    <w:rsid w:val="00187705"/>
    <w:rsid w:val="001F3F86"/>
    <w:rsid w:val="002164EF"/>
    <w:rsid w:val="004E7806"/>
    <w:rsid w:val="005E6C4E"/>
    <w:rsid w:val="008C5031"/>
    <w:rsid w:val="00941CB2"/>
    <w:rsid w:val="00A50FF4"/>
    <w:rsid w:val="00C1205D"/>
    <w:rsid w:val="00CC207E"/>
    <w:rsid w:val="00F777F5"/>
    <w:rsid w:val="00F91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C78C1-447E-47C5-8BC9-CC850211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31"/>
    <w:pPr>
      <w:spacing w:after="0" w:line="240" w:lineRule="auto"/>
    </w:pPr>
    <w:rPr>
      <w:rFonts w:ascii="Arial" w:eastAsia="Times New Roman"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5031"/>
    <w:pPr>
      <w:tabs>
        <w:tab w:val="center" w:pos="4252"/>
        <w:tab w:val="right" w:pos="8504"/>
      </w:tabs>
    </w:pPr>
    <w:rPr>
      <w:rFonts w:ascii="Times New Roman" w:hAnsi="Times New Roman" w:cs="Times New Roman"/>
      <w:color w:val="auto"/>
    </w:rPr>
  </w:style>
  <w:style w:type="character" w:customStyle="1" w:styleId="EncabezadoCar">
    <w:name w:val="Encabezado Car"/>
    <w:basedOn w:val="Fuentedeprrafopredeter"/>
    <w:link w:val="Encabezado"/>
    <w:rsid w:val="008C5031"/>
    <w:rPr>
      <w:rFonts w:ascii="Times New Roman" w:eastAsia="Times New Roman" w:hAnsi="Times New Roman" w:cs="Times New Roman"/>
      <w:sz w:val="24"/>
      <w:szCs w:val="24"/>
      <w:lang w:val="es-ES" w:eastAsia="es-ES"/>
    </w:rPr>
  </w:style>
  <w:style w:type="paragraph" w:styleId="Sinespaciado">
    <w:name w:val="No Spacing"/>
    <w:uiPriority w:val="1"/>
    <w:qFormat/>
    <w:rsid w:val="008C5031"/>
    <w:pPr>
      <w:spacing w:after="0" w:line="240" w:lineRule="auto"/>
    </w:pPr>
    <w:rPr>
      <w:rFonts w:ascii="Arial" w:eastAsia="Times New Roman" w:hAnsi="Arial" w:cs="Arial"/>
      <w:noProof/>
      <w:color w:val="000000"/>
      <w:sz w:val="24"/>
      <w:szCs w:val="24"/>
      <w:lang w:eastAsia="es-ES"/>
    </w:rPr>
  </w:style>
  <w:style w:type="paragraph" w:styleId="Prrafodelista">
    <w:name w:val="List Paragraph"/>
    <w:basedOn w:val="Normal"/>
    <w:uiPriority w:val="34"/>
    <w:qFormat/>
    <w:rsid w:val="008C5031"/>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C Car Car,Car Car,C Car"/>
    <w:basedOn w:val="Fuentedeprrafopredeter"/>
    <w:link w:val="Textonotapie"/>
    <w:uiPriority w:val="99"/>
    <w:locked/>
    <w:rsid w:val="008C503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 Car,FC Car,Car,C"/>
    <w:basedOn w:val="Normal"/>
    <w:link w:val="TextonotapieCar"/>
    <w:uiPriority w:val="99"/>
    <w:unhideWhenUsed/>
    <w:rsid w:val="008C5031"/>
    <w:rPr>
      <w:rFonts w:asciiTheme="minorHAnsi" w:eastAsiaTheme="minorHAnsi" w:hAnsiTheme="minorHAnsi" w:cstheme="minorBidi"/>
      <w:color w:val="auto"/>
      <w:sz w:val="20"/>
      <w:szCs w:val="20"/>
      <w:lang w:val="es-CO" w:eastAsia="en-US"/>
    </w:rPr>
  </w:style>
  <w:style w:type="character" w:customStyle="1" w:styleId="TextonotapieCar1">
    <w:name w:val="Texto nota pie Car1"/>
    <w:basedOn w:val="Fuentedeprrafopredeter"/>
    <w:uiPriority w:val="99"/>
    <w:semiHidden/>
    <w:rsid w:val="008C5031"/>
    <w:rPr>
      <w:rFonts w:ascii="Arial" w:eastAsia="Times New Roman" w:hAnsi="Arial" w:cs="Arial"/>
      <w:color w:val="000000"/>
      <w:sz w:val="20"/>
      <w:szCs w:val="20"/>
      <w:lang w:val="es-ES" w:eastAsia="es-ES"/>
    </w:rPr>
  </w:style>
  <w:style w:type="paragraph" w:styleId="Textoindependiente">
    <w:name w:val="Body Text"/>
    <w:basedOn w:val="Normal"/>
    <w:link w:val="TextoindependienteCar"/>
    <w:semiHidden/>
    <w:unhideWhenUsed/>
    <w:rsid w:val="008C5031"/>
    <w:pPr>
      <w:spacing w:after="120"/>
    </w:pPr>
    <w:rPr>
      <w:rFonts w:ascii="Times New Roman" w:hAnsi="Times New Roman" w:cs="Times New Roman"/>
      <w:color w:val="auto"/>
    </w:rPr>
  </w:style>
  <w:style w:type="character" w:customStyle="1" w:styleId="TextoindependienteCar">
    <w:name w:val="Texto independiente Car"/>
    <w:basedOn w:val="Fuentedeprrafopredeter"/>
    <w:link w:val="Textoindependiente"/>
    <w:semiHidden/>
    <w:rsid w:val="008C5031"/>
    <w:rPr>
      <w:rFonts w:ascii="Times New Roman" w:eastAsia="Times New Roman" w:hAnsi="Times New Roman" w:cs="Times New Roman"/>
      <w:sz w:val="24"/>
      <w:szCs w:val="24"/>
      <w:lang w:val="es-ES" w:eastAsia="es-ES"/>
    </w:rPr>
  </w:style>
  <w:style w:type="character" w:styleId="Refdenotaalpie">
    <w:name w:val="footnote reference"/>
    <w:aliases w:val="Pie de Página,FC,Texto de nota al pie,Ref. de nota al pie 2"/>
    <w:unhideWhenUsed/>
    <w:rsid w:val="008C5031"/>
    <w:rPr>
      <w:vertAlign w:val="superscript"/>
    </w:rPr>
  </w:style>
  <w:style w:type="paragraph" w:styleId="Textodeglobo">
    <w:name w:val="Balloon Text"/>
    <w:basedOn w:val="Normal"/>
    <w:link w:val="TextodegloboCar"/>
    <w:uiPriority w:val="99"/>
    <w:semiHidden/>
    <w:unhideWhenUsed/>
    <w:rsid w:val="008C50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031"/>
    <w:rPr>
      <w:rFonts w:ascii="Tahoma" w:eastAsia="Times New Roman" w:hAnsi="Tahoma" w:cs="Tahoma"/>
      <w:color w:val="000000"/>
      <w:sz w:val="16"/>
      <w:szCs w:val="16"/>
      <w:lang w:val="es-ES" w:eastAsia="es-ES"/>
    </w:rPr>
  </w:style>
  <w:style w:type="paragraph" w:styleId="Piedepgina">
    <w:name w:val="footer"/>
    <w:basedOn w:val="Normal"/>
    <w:link w:val="PiedepginaCar"/>
    <w:uiPriority w:val="99"/>
    <w:unhideWhenUsed/>
    <w:rsid w:val="00C1205D"/>
    <w:pPr>
      <w:tabs>
        <w:tab w:val="center" w:pos="4419"/>
        <w:tab w:val="right" w:pos="8838"/>
      </w:tabs>
    </w:pPr>
  </w:style>
  <w:style w:type="character" w:customStyle="1" w:styleId="PiedepginaCar">
    <w:name w:val="Pie de página Car"/>
    <w:basedOn w:val="Fuentedeprrafopredeter"/>
    <w:link w:val="Piedepgina"/>
    <w:uiPriority w:val="99"/>
    <w:rsid w:val="00C1205D"/>
    <w:rPr>
      <w:rFonts w:ascii="Arial" w:eastAsia="Times New Roman" w:hAnsi="Arial" w:cs="Arial"/>
      <w:color w:val="000000"/>
      <w:sz w:val="24"/>
      <w:szCs w:val="24"/>
      <w:lang w:val="es-ES" w:eastAsia="es-ES"/>
    </w:rPr>
  </w:style>
  <w:style w:type="table" w:styleId="Tablaconcuadrcula">
    <w:name w:val="Table Grid"/>
    <w:basedOn w:val="Tablanormal"/>
    <w:uiPriority w:val="39"/>
    <w:rsid w:val="00C12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2C3E-D34B-46FA-AEDC-E0AEB81B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2019-04-24T20:14:00Z</dcterms:created>
  <dcterms:modified xsi:type="dcterms:W3CDTF">2019-04-24T20:14:00Z</dcterms:modified>
</cp:coreProperties>
</file>