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051"/>
      </w:tblGrid>
      <w:tr w:rsidR="00964E9E" w:rsidRPr="003840ED" w:rsidTr="00964E9E">
        <w:trPr>
          <w:trHeight w:val="192"/>
        </w:trPr>
        <w:tc>
          <w:tcPr>
            <w:tcW w:w="2014" w:type="dxa"/>
            <w:tcBorders>
              <w:top w:val="single" w:sz="4" w:space="0" w:color="auto"/>
              <w:left w:val="single" w:sz="4" w:space="0" w:color="auto"/>
              <w:bottom w:val="single" w:sz="4" w:space="0" w:color="auto"/>
              <w:right w:val="single" w:sz="4" w:space="0" w:color="auto"/>
            </w:tcBorders>
            <w:vAlign w:val="center"/>
            <w:hideMark/>
          </w:tcPr>
          <w:p w:rsidR="00964E9E" w:rsidRPr="003840ED" w:rsidRDefault="00964E9E" w:rsidP="00B4122B">
            <w:pPr>
              <w:pStyle w:val="Sinespaciado"/>
              <w:spacing w:line="276" w:lineRule="auto"/>
              <w:rPr>
                <w:rFonts w:ascii="Arial Narrow" w:hAnsi="Arial Narrow" w:cs="Arial"/>
                <w:sz w:val="20"/>
                <w:szCs w:val="20"/>
              </w:rPr>
            </w:pPr>
            <w:bookmarkStart w:id="0" w:name="_GoBack"/>
            <w:bookmarkEnd w:id="0"/>
            <w:r w:rsidRPr="003840ED">
              <w:rPr>
                <w:rFonts w:ascii="Arial Narrow" w:hAnsi="Arial Narrow" w:cs="Arial"/>
                <w:sz w:val="20"/>
                <w:szCs w:val="20"/>
              </w:rPr>
              <w:t>CIUDAD Y FECHA</w:t>
            </w:r>
          </w:p>
        </w:tc>
        <w:tc>
          <w:tcPr>
            <w:tcW w:w="7051" w:type="dxa"/>
            <w:tcBorders>
              <w:top w:val="single" w:sz="4" w:space="0" w:color="auto"/>
              <w:left w:val="single" w:sz="4" w:space="0" w:color="auto"/>
              <w:bottom w:val="single" w:sz="4" w:space="0" w:color="auto"/>
              <w:right w:val="single" w:sz="4" w:space="0" w:color="auto"/>
            </w:tcBorders>
            <w:hideMark/>
          </w:tcPr>
          <w:p w:rsidR="00964E9E" w:rsidRPr="003840ED" w:rsidRDefault="00964E9E" w:rsidP="00A72CA9">
            <w:pPr>
              <w:pStyle w:val="Sinespaciado"/>
              <w:spacing w:line="276" w:lineRule="auto"/>
              <w:jc w:val="both"/>
              <w:rPr>
                <w:rFonts w:ascii="Arial Narrow" w:hAnsi="Arial Narrow" w:cs="Arial"/>
                <w:b/>
                <w:sz w:val="20"/>
                <w:szCs w:val="20"/>
              </w:rPr>
            </w:pPr>
            <w:r w:rsidRPr="003840ED">
              <w:rPr>
                <w:rFonts w:ascii="Arial Narrow" w:hAnsi="Arial Narrow" w:cs="Arial"/>
                <w:b/>
                <w:sz w:val="20"/>
                <w:szCs w:val="20"/>
              </w:rPr>
              <w:t xml:space="preserve">Bogotá D.C., </w:t>
            </w:r>
            <w:r w:rsidR="00A72CA9">
              <w:rPr>
                <w:rFonts w:ascii="Arial Narrow" w:hAnsi="Arial Narrow" w:cs="Arial"/>
                <w:b/>
                <w:sz w:val="20"/>
                <w:szCs w:val="20"/>
              </w:rPr>
              <w:t xml:space="preserve">veintidós (22) de mayo </w:t>
            </w:r>
            <w:r w:rsidRPr="003840ED">
              <w:rPr>
                <w:rFonts w:ascii="Arial Narrow" w:hAnsi="Arial Narrow" w:cs="Arial"/>
                <w:b/>
                <w:sz w:val="20"/>
                <w:szCs w:val="20"/>
              </w:rPr>
              <w:t>de dos mil diecinueve (2019)</w:t>
            </w:r>
          </w:p>
        </w:tc>
      </w:tr>
      <w:tr w:rsidR="00964E9E" w:rsidRPr="003840ED" w:rsidTr="00964E9E">
        <w:trPr>
          <w:trHeight w:val="179"/>
        </w:trPr>
        <w:tc>
          <w:tcPr>
            <w:tcW w:w="2014" w:type="dxa"/>
            <w:tcBorders>
              <w:top w:val="single" w:sz="4" w:space="0" w:color="auto"/>
              <w:left w:val="single" w:sz="4" w:space="0" w:color="auto"/>
              <w:bottom w:val="single" w:sz="4" w:space="0" w:color="auto"/>
              <w:right w:val="single" w:sz="4" w:space="0" w:color="auto"/>
            </w:tcBorders>
            <w:vAlign w:val="center"/>
            <w:hideMark/>
          </w:tcPr>
          <w:p w:rsidR="00964E9E" w:rsidRPr="003840ED" w:rsidRDefault="00964E9E" w:rsidP="00B4122B">
            <w:pPr>
              <w:pStyle w:val="Sinespaciado"/>
              <w:spacing w:line="276" w:lineRule="auto"/>
              <w:rPr>
                <w:rFonts w:ascii="Arial Narrow" w:hAnsi="Arial Narrow" w:cs="Arial"/>
                <w:sz w:val="20"/>
                <w:szCs w:val="20"/>
              </w:rPr>
            </w:pPr>
            <w:r w:rsidRPr="003840ED">
              <w:rPr>
                <w:rFonts w:ascii="Arial Narrow" w:hAnsi="Arial Narrow" w:cs="Arial"/>
                <w:sz w:val="20"/>
                <w:szCs w:val="20"/>
              </w:rPr>
              <w:t>REFERENCIA</w:t>
            </w:r>
          </w:p>
        </w:tc>
        <w:tc>
          <w:tcPr>
            <w:tcW w:w="7051" w:type="dxa"/>
            <w:tcBorders>
              <w:top w:val="single" w:sz="4" w:space="0" w:color="auto"/>
              <w:left w:val="single" w:sz="4" w:space="0" w:color="auto"/>
              <w:bottom w:val="single" w:sz="4" w:space="0" w:color="auto"/>
              <w:right w:val="single" w:sz="4" w:space="0" w:color="auto"/>
            </w:tcBorders>
            <w:hideMark/>
          </w:tcPr>
          <w:p w:rsidR="00964E9E" w:rsidRPr="003840ED" w:rsidRDefault="00964E9E" w:rsidP="00B4122B">
            <w:pPr>
              <w:spacing w:line="276" w:lineRule="auto"/>
              <w:jc w:val="both"/>
              <w:rPr>
                <w:rFonts w:ascii="Arial Narrow" w:hAnsi="Arial Narrow" w:cs="Arial"/>
                <w:b/>
                <w:sz w:val="20"/>
                <w:szCs w:val="20"/>
                <w:lang w:val="es-CO"/>
              </w:rPr>
            </w:pPr>
            <w:r w:rsidRPr="003840ED">
              <w:rPr>
                <w:rFonts w:ascii="Arial Narrow" w:hAnsi="Arial Narrow" w:cs="Arial"/>
                <w:b/>
                <w:sz w:val="20"/>
                <w:szCs w:val="20"/>
                <w:lang w:val="es-CO"/>
              </w:rPr>
              <w:t>Expediente No. 11001333603420170011900</w:t>
            </w:r>
          </w:p>
        </w:tc>
      </w:tr>
      <w:tr w:rsidR="00964E9E" w:rsidRPr="003840ED" w:rsidTr="00964E9E">
        <w:trPr>
          <w:trHeight w:val="220"/>
        </w:trPr>
        <w:tc>
          <w:tcPr>
            <w:tcW w:w="2014" w:type="dxa"/>
            <w:tcBorders>
              <w:top w:val="single" w:sz="4" w:space="0" w:color="auto"/>
              <w:left w:val="single" w:sz="4" w:space="0" w:color="auto"/>
              <w:bottom w:val="single" w:sz="4" w:space="0" w:color="auto"/>
              <w:right w:val="single" w:sz="4" w:space="0" w:color="auto"/>
            </w:tcBorders>
            <w:vAlign w:val="center"/>
            <w:hideMark/>
          </w:tcPr>
          <w:p w:rsidR="00964E9E" w:rsidRPr="003840ED" w:rsidRDefault="00964E9E" w:rsidP="00B4122B">
            <w:pPr>
              <w:pStyle w:val="Sinespaciado"/>
              <w:spacing w:line="276" w:lineRule="auto"/>
              <w:rPr>
                <w:rFonts w:ascii="Arial Narrow" w:hAnsi="Arial Narrow" w:cs="Arial"/>
                <w:sz w:val="20"/>
                <w:szCs w:val="20"/>
              </w:rPr>
            </w:pPr>
            <w:r w:rsidRPr="003840ED">
              <w:rPr>
                <w:rFonts w:ascii="Arial Narrow" w:hAnsi="Arial Narrow" w:cs="Arial"/>
                <w:sz w:val="20"/>
                <w:szCs w:val="20"/>
              </w:rPr>
              <w:t>DEMANDANTE</w:t>
            </w:r>
          </w:p>
        </w:tc>
        <w:tc>
          <w:tcPr>
            <w:tcW w:w="7051" w:type="dxa"/>
            <w:tcBorders>
              <w:top w:val="single" w:sz="4" w:space="0" w:color="auto"/>
              <w:left w:val="single" w:sz="4" w:space="0" w:color="auto"/>
              <w:bottom w:val="single" w:sz="4" w:space="0" w:color="auto"/>
              <w:right w:val="single" w:sz="4" w:space="0" w:color="auto"/>
            </w:tcBorders>
            <w:hideMark/>
          </w:tcPr>
          <w:p w:rsidR="00964E9E" w:rsidRPr="003840ED" w:rsidRDefault="00964E9E" w:rsidP="00B4122B">
            <w:pPr>
              <w:shd w:val="clear" w:color="auto" w:fill="FFFFFF"/>
              <w:spacing w:line="276" w:lineRule="auto"/>
              <w:jc w:val="both"/>
              <w:rPr>
                <w:rFonts w:ascii="Arial Narrow" w:hAnsi="Arial Narrow" w:cs="Arial"/>
                <w:b/>
                <w:sz w:val="20"/>
                <w:szCs w:val="20"/>
                <w:lang w:val="es-CO"/>
              </w:rPr>
            </w:pPr>
            <w:r w:rsidRPr="003840ED">
              <w:rPr>
                <w:rFonts w:ascii="Arial Narrow" w:hAnsi="Arial Narrow" w:cs="Arial"/>
                <w:b/>
                <w:sz w:val="20"/>
                <w:szCs w:val="20"/>
                <w:lang w:val="es-CO"/>
              </w:rPr>
              <w:t xml:space="preserve">ELSA BARBOSA CELY Y OTROS  </w:t>
            </w:r>
          </w:p>
        </w:tc>
      </w:tr>
      <w:tr w:rsidR="00964E9E" w:rsidRPr="003840ED" w:rsidTr="00964E9E">
        <w:trPr>
          <w:trHeight w:val="138"/>
        </w:trPr>
        <w:tc>
          <w:tcPr>
            <w:tcW w:w="2014" w:type="dxa"/>
            <w:tcBorders>
              <w:top w:val="single" w:sz="4" w:space="0" w:color="auto"/>
              <w:left w:val="single" w:sz="4" w:space="0" w:color="auto"/>
              <w:bottom w:val="single" w:sz="4" w:space="0" w:color="auto"/>
              <w:right w:val="single" w:sz="4" w:space="0" w:color="auto"/>
            </w:tcBorders>
            <w:vAlign w:val="center"/>
            <w:hideMark/>
          </w:tcPr>
          <w:p w:rsidR="00964E9E" w:rsidRPr="003840ED" w:rsidRDefault="00964E9E" w:rsidP="00B4122B">
            <w:pPr>
              <w:pStyle w:val="Sinespaciado"/>
              <w:spacing w:line="276" w:lineRule="auto"/>
              <w:rPr>
                <w:rFonts w:ascii="Arial Narrow" w:hAnsi="Arial Narrow" w:cs="Arial"/>
                <w:sz w:val="20"/>
                <w:szCs w:val="20"/>
              </w:rPr>
            </w:pPr>
            <w:r w:rsidRPr="003840ED">
              <w:rPr>
                <w:rFonts w:ascii="Arial Narrow" w:hAnsi="Arial Narrow" w:cs="Arial"/>
                <w:sz w:val="20"/>
                <w:szCs w:val="20"/>
              </w:rPr>
              <w:t>DEMANDADO</w:t>
            </w:r>
          </w:p>
        </w:tc>
        <w:tc>
          <w:tcPr>
            <w:tcW w:w="7051" w:type="dxa"/>
            <w:tcBorders>
              <w:top w:val="single" w:sz="4" w:space="0" w:color="auto"/>
              <w:left w:val="single" w:sz="4" w:space="0" w:color="auto"/>
              <w:bottom w:val="single" w:sz="4" w:space="0" w:color="auto"/>
              <w:right w:val="single" w:sz="4" w:space="0" w:color="auto"/>
            </w:tcBorders>
            <w:hideMark/>
          </w:tcPr>
          <w:p w:rsidR="00964E9E" w:rsidRPr="003840ED" w:rsidRDefault="00964E9E" w:rsidP="00B4122B">
            <w:pPr>
              <w:shd w:val="clear" w:color="auto" w:fill="FFFFFF"/>
              <w:spacing w:line="276" w:lineRule="auto"/>
              <w:jc w:val="both"/>
              <w:rPr>
                <w:rFonts w:ascii="Arial Narrow" w:hAnsi="Arial Narrow" w:cs="Arial"/>
                <w:b/>
                <w:sz w:val="20"/>
                <w:szCs w:val="20"/>
                <w:lang w:val="es-CO"/>
              </w:rPr>
            </w:pPr>
            <w:r w:rsidRPr="003840ED">
              <w:rPr>
                <w:rFonts w:ascii="Arial Narrow" w:hAnsi="Arial Narrow" w:cs="Arial"/>
                <w:b/>
                <w:sz w:val="20"/>
                <w:szCs w:val="20"/>
                <w:lang w:val="es-CO"/>
              </w:rPr>
              <w:t>INSTITUTO DE DESARROLLO URBANO- IDU-</w:t>
            </w:r>
          </w:p>
        </w:tc>
      </w:tr>
      <w:tr w:rsidR="00964E9E" w:rsidRPr="003840ED" w:rsidTr="00964E9E">
        <w:trPr>
          <w:trHeight w:val="43"/>
        </w:trPr>
        <w:tc>
          <w:tcPr>
            <w:tcW w:w="2014" w:type="dxa"/>
            <w:tcBorders>
              <w:top w:val="single" w:sz="4" w:space="0" w:color="auto"/>
              <w:left w:val="single" w:sz="4" w:space="0" w:color="auto"/>
              <w:bottom w:val="single" w:sz="4" w:space="0" w:color="auto"/>
              <w:right w:val="single" w:sz="4" w:space="0" w:color="auto"/>
            </w:tcBorders>
            <w:vAlign w:val="center"/>
            <w:hideMark/>
          </w:tcPr>
          <w:p w:rsidR="00964E9E" w:rsidRPr="003840ED" w:rsidRDefault="00964E9E" w:rsidP="00B4122B">
            <w:pPr>
              <w:pStyle w:val="Sinespaciado"/>
              <w:spacing w:line="276" w:lineRule="auto"/>
              <w:rPr>
                <w:rFonts w:ascii="Arial Narrow" w:hAnsi="Arial Narrow" w:cs="Arial"/>
                <w:sz w:val="20"/>
                <w:szCs w:val="20"/>
              </w:rPr>
            </w:pPr>
            <w:r w:rsidRPr="003840ED">
              <w:rPr>
                <w:rFonts w:ascii="Arial Narrow" w:hAnsi="Arial Narrow" w:cs="Arial"/>
                <w:sz w:val="20"/>
                <w:szCs w:val="20"/>
              </w:rPr>
              <w:t>MEDIO DE CONTROL</w:t>
            </w:r>
          </w:p>
        </w:tc>
        <w:tc>
          <w:tcPr>
            <w:tcW w:w="7051" w:type="dxa"/>
            <w:tcBorders>
              <w:top w:val="single" w:sz="4" w:space="0" w:color="auto"/>
              <w:left w:val="single" w:sz="4" w:space="0" w:color="auto"/>
              <w:bottom w:val="single" w:sz="4" w:space="0" w:color="auto"/>
              <w:right w:val="single" w:sz="4" w:space="0" w:color="auto"/>
            </w:tcBorders>
            <w:hideMark/>
          </w:tcPr>
          <w:p w:rsidR="00964E9E" w:rsidRPr="003840ED" w:rsidRDefault="00964E9E" w:rsidP="00B4122B">
            <w:pPr>
              <w:pStyle w:val="Sinespaciado"/>
              <w:spacing w:line="276" w:lineRule="auto"/>
              <w:jc w:val="both"/>
              <w:rPr>
                <w:rFonts w:ascii="Arial Narrow" w:hAnsi="Arial Narrow" w:cs="Arial"/>
                <w:b/>
                <w:sz w:val="20"/>
                <w:szCs w:val="20"/>
              </w:rPr>
            </w:pPr>
            <w:r w:rsidRPr="003840ED">
              <w:rPr>
                <w:rFonts w:ascii="Arial Narrow" w:hAnsi="Arial Narrow" w:cs="Arial"/>
                <w:b/>
                <w:sz w:val="20"/>
                <w:szCs w:val="20"/>
              </w:rPr>
              <w:t>REPARACIÓN DIRECTA</w:t>
            </w:r>
          </w:p>
        </w:tc>
      </w:tr>
      <w:tr w:rsidR="00964E9E" w:rsidRPr="003840ED" w:rsidTr="00964E9E">
        <w:trPr>
          <w:trHeight w:val="192"/>
        </w:trPr>
        <w:tc>
          <w:tcPr>
            <w:tcW w:w="2014" w:type="dxa"/>
            <w:tcBorders>
              <w:top w:val="single" w:sz="4" w:space="0" w:color="auto"/>
              <w:left w:val="single" w:sz="4" w:space="0" w:color="auto"/>
              <w:bottom w:val="single" w:sz="4" w:space="0" w:color="auto"/>
              <w:right w:val="single" w:sz="4" w:space="0" w:color="auto"/>
            </w:tcBorders>
            <w:vAlign w:val="center"/>
            <w:hideMark/>
          </w:tcPr>
          <w:p w:rsidR="00964E9E" w:rsidRPr="003840ED" w:rsidRDefault="00964E9E" w:rsidP="00B4122B">
            <w:pPr>
              <w:pStyle w:val="Sinespaciado"/>
              <w:spacing w:line="276" w:lineRule="auto"/>
              <w:rPr>
                <w:rFonts w:ascii="Arial Narrow" w:hAnsi="Arial Narrow" w:cs="Arial"/>
                <w:sz w:val="20"/>
                <w:szCs w:val="20"/>
              </w:rPr>
            </w:pPr>
            <w:r w:rsidRPr="003840ED">
              <w:rPr>
                <w:rFonts w:ascii="Arial Narrow" w:hAnsi="Arial Narrow" w:cs="Arial"/>
                <w:sz w:val="20"/>
                <w:szCs w:val="20"/>
              </w:rPr>
              <w:t>ASUNTO</w:t>
            </w:r>
          </w:p>
        </w:tc>
        <w:tc>
          <w:tcPr>
            <w:tcW w:w="7051" w:type="dxa"/>
            <w:tcBorders>
              <w:top w:val="single" w:sz="4" w:space="0" w:color="auto"/>
              <w:left w:val="single" w:sz="4" w:space="0" w:color="auto"/>
              <w:bottom w:val="single" w:sz="4" w:space="0" w:color="auto"/>
              <w:right w:val="single" w:sz="4" w:space="0" w:color="auto"/>
            </w:tcBorders>
            <w:hideMark/>
          </w:tcPr>
          <w:p w:rsidR="00964E9E" w:rsidRPr="003840ED" w:rsidRDefault="00964E9E" w:rsidP="00B4122B">
            <w:pPr>
              <w:spacing w:line="276" w:lineRule="auto"/>
              <w:jc w:val="both"/>
              <w:rPr>
                <w:rFonts w:ascii="Arial Narrow" w:hAnsi="Arial Narrow" w:cs="Arial"/>
                <w:b/>
                <w:sz w:val="20"/>
                <w:szCs w:val="20"/>
                <w:lang w:val="es-CO"/>
              </w:rPr>
            </w:pPr>
            <w:r w:rsidRPr="003840ED">
              <w:rPr>
                <w:rFonts w:ascii="Arial Narrow" w:hAnsi="Arial Narrow" w:cs="Arial"/>
                <w:b/>
                <w:sz w:val="20"/>
                <w:szCs w:val="20"/>
                <w:lang w:val="es-CO"/>
              </w:rPr>
              <w:t xml:space="preserve">DECIDE RECURSO DE REPOSICIÓN – DECLARA INEFICAZ LLAMAMIENTO </w:t>
            </w:r>
            <w:r w:rsidR="00F47449" w:rsidRPr="003840ED">
              <w:rPr>
                <w:rFonts w:ascii="Arial Narrow" w:hAnsi="Arial Narrow" w:cs="Arial"/>
                <w:b/>
                <w:sz w:val="20"/>
                <w:szCs w:val="20"/>
                <w:lang w:val="es-CO"/>
              </w:rPr>
              <w:t xml:space="preserve">EN GARANTÍA </w:t>
            </w:r>
          </w:p>
        </w:tc>
      </w:tr>
    </w:tbl>
    <w:p w:rsidR="00964E9E" w:rsidRPr="003840ED" w:rsidRDefault="00964E9E" w:rsidP="00B4122B">
      <w:pPr>
        <w:spacing w:line="276" w:lineRule="auto"/>
        <w:jc w:val="both"/>
        <w:rPr>
          <w:rFonts w:ascii="Arial" w:hAnsi="Arial" w:cs="Arial"/>
          <w:color w:val="000000" w:themeColor="text1"/>
          <w:sz w:val="22"/>
          <w:szCs w:val="22"/>
          <w:lang w:val="es-CO"/>
        </w:rPr>
      </w:pPr>
    </w:p>
    <w:p w:rsidR="00964E9E" w:rsidRPr="003840ED" w:rsidRDefault="00964E9E"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La demanda en estudio pretende que se declare administrativa y extracontractualmente responsable al INSTITUTO DE DESARROLLO URBANO (IDU), de los perjuicios causados a los demandantes con ocasión de fallecimiento de Brandon </w:t>
      </w:r>
      <w:proofErr w:type="spellStart"/>
      <w:r w:rsidRPr="003840ED">
        <w:rPr>
          <w:rFonts w:ascii="Arial" w:hAnsi="Arial" w:cs="Arial"/>
          <w:sz w:val="22"/>
          <w:szCs w:val="22"/>
          <w:lang w:val="es-CO"/>
        </w:rPr>
        <w:t>Yenner</w:t>
      </w:r>
      <w:proofErr w:type="spellEnd"/>
      <w:r w:rsidRPr="003840ED">
        <w:rPr>
          <w:rFonts w:ascii="Arial" w:hAnsi="Arial" w:cs="Arial"/>
          <w:sz w:val="22"/>
          <w:szCs w:val="22"/>
          <w:lang w:val="es-CO"/>
        </w:rPr>
        <w:t xml:space="preserve"> Naranjo Barbosa en accidente de tránsito.</w:t>
      </w:r>
    </w:p>
    <w:p w:rsidR="00964E9E" w:rsidRPr="003840ED" w:rsidRDefault="00964E9E" w:rsidP="00B4122B">
      <w:pPr>
        <w:spacing w:line="276" w:lineRule="auto"/>
        <w:jc w:val="both"/>
        <w:rPr>
          <w:rFonts w:ascii="Arial" w:hAnsi="Arial" w:cs="Arial"/>
          <w:sz w:val="22"/>
          <w:szCs w:val="22"/>
          <w:lang w:val="es-CO"/>
        </w:rPr>
      </w:pPr>
    </w:p>
    <w:p w:rsidR="00964E9E" w:rsidRPr="003840ED" w:rsidRDefault="00964E9E" w:rsidP="00B4122B">
      <w:pPr>
        <w:spacing w:line="276" w:lineRule="auto"/>
        <w:jc w:val="both"/>
        <w:rPr>
          <w:rFonts w:ascii="Arial" w:hAnsi="Arial" w:cs="Arial"/>
          <w:sz w:val="22"/>
          <w:szCs w:val="22"/>
          <w:lang w:val="es-CO"/>
        </w:rPr>
      </w:pPr>
      <w:r w:rsidRPr="003840ED">
        <w:rPr>
          <w:rFonts w:ascii="Arial" w:hAnsi="Arial" w:cs="Arial"/>
          <w:sz w:val="22"/>
          <w:szCs w:val="22"/>
          <w:lang w:val="es-CO"/>
        </w:rPr>
        <w:t>Por medio de auto de 20 de septiembre de 2017 se inadmitió la demanda</w:t>
      </w:r>
      <w:r w:rsidRPr="003840ED">
        <w:rPr>
          <w:rStyle w:val="Refdenotaalpie"/>
          <w:rFonts w:ascii="Arial" w:hAnsi="Arial" w:cs="Arial"/>
          <w:sz w:val="22"/>
          <w:szCs w:val="22"/>
          <w:lang w:val="es-CO"/>
        </w:rPr>
        <w:footnoteReference w:id="1"/>
      </w:r>
      <w:r w:rsidRPr="003840ED">
        <w:rPr>
          <w:rFonts w:ascii="Arial" w:hAnsi="Arial" w:cs="Arial"/>
          <w:sz w:val="22"/>
          <w:szCs w:val="22"/>
          <w:lang w:val="es-CO"/>
        </w:rPr>
        <w:t xml:space="preserve">. </w:t>
      </w:r>
    </w:p>
    <w:p w:rsidR="00964E9E" w:rsidRPr="003840ED" w:rsidRDefault="00964E9E" w:rsidP="00B4122B">
      <w:pPr>
        <w:spacing w:line="276" w:lineRule="auto"/>
        <w:jc w:val="both"/>
        <w:rPr>
          <w:rFonts w:ascii="Arial" w:hAnsi="Arial" w:cs="Arial"/>
          <w:sz w:val="22"/>
          <w:szCs w:val="22"/>
          <w:lang w:val="es-CO"/>
        </w:rPr>
      </w:pPr>
    </w:p>
    <w:p w:rsidR="00964E9E" w:rsidRPr="003840ED" w:rsidRDefault="00964E9E"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Por escrito de 28 de septiembre de 2017, el apoderado de la parte actora presentó subsanación de la demanda. </w:t>
      </w:r>
    </w:p>
    <w:p w:rsidR="00964E9E" w:rsidRPr="003840ED" w:rsidRDefault="00964E9E" w:rsidP="00B4122B">
      <w:pPr>
        <w:spacing w:line="276" w:lineRule="auto"/>
        <w:jc w:val="both"/>
        <w:rPr>
          <w:rFonts w:ascii="Arial" w:hAnsi="Arial" w:cs="Arial"/>
          <w:sz w:val="22"/>
          <w:szCs w:val="22"/>
          <w:lang w:val="es-CO"/>
        </w:rPr>
      </w:pPr>
    </w:p>
    <w:p w:rsidR="00964E9E" w:rsidRPr="003840ED" w:rsidRDefault="00964E9E" w:rsidP="00B4122B">
      <w:pPr>
        <w:spacing w:line="276" w:lineRule="auto"/>
        <w:jc w:val="both"/>
        <w:rPr>
          <w:rFonts w:ascii="Arial" w:hAnsi="Arial" w:cs="Arial"/>
          <w:sz w:val="22"/>
          <w:szCs w:val="22"/>
          <w:lang w:val="es-CO"/>
        </w:rPr>
      </w:pPr>
      <w:r w:rsidRPr="003840ED">
        <w:rPr>
          <w:rFonts w:ascii="Arial" w:hAnsi="Arial" w:cs="Arial"/>
          <w:sz w:val="22"/>
          <w:szCs w:val="22"/>
          <w:lang w:val="es-CO"/>
        </w:rPr>
        <w:t>En auto de 14 de febrero de 2018 se admitió la demanda.</w:t>
      </w:r>
    </w:p>
    <w:p w:rsidR="00964E9E" w:rsidRPr="003840ED" w:rsidRDefault="00964E9E" w:rsidP="00B4122B">
      <w:pPr>
        <w:spacing w:line="276" w:lineRule="auto"/>
        <w:rPr>
          <w:rFonts w:ascii="Arial" w:hAnsi="Arial" w:cs="Arial"/>
          <w:bCs/>
          <w:sz w:val="22"/>
          <w:szCs w:val="22"/>
          <w:lang w:val="es-CO"/>
        </w:rPr>
      </w:pPr>
    </w:p>
    <w:p w:rsidR="00964E9E" w:rsidRPr="003840ED" w:rsidRDefault="00964E9E" w:rsidP="00B4122B">
      <w:pPr>
        <w:spacing w:line="276" w:lineRule="auto"/>
        <w:rPr>
          <w:rFonts w:ascii="Arial" w:hAnsi="Arial" w:cs="Arial"/>
          <w:bCs/>
          <w:sz w:val="22"/>
          <w:szCs w:val="22"/>
          <w:lang w:val="es-CO"/>
        </w:rPr>
      </w:pPr>
      <w:r w:rsidRPr="003840ED">
        <w:rPr>
          <w:rFonts w:ascii="Arial" w:hAnsi="Arial" w:cs="Arial"/>
          <w:bCs/>
          <w:sz w:val="22"/>
          <w:szCs w:val="22"/>
          <w:lang w:val="es-CO"/>
        </w:rPr>
        <w:t>Con auto del 29 de agosto de 2018 se decidió llamamiento en garantía.</w:t>
      </w:r>
    </w:p>
    <w:p w:rsidR="001A061C" w:rsidRPr="003840ED" w:rsidRDefault="001A061C" w:rsidP="00B4122B">
      <w:pPr>
        <w:spacing w:line="276" w:lineRule="auto"/>
        <w:jc w:val="both"/>
        <w:rPr>
          <w:rFonts w:ascii="Arial" w:hAnsi="Arial" w:cs="Arial"/>
          <w:spacing w:val="1"/>
          <w:sz w:val="22"/>
          <w:szCs w:val="22"/>
          <w:lang w:val="es-CO"/>
        </w:rPr>
      </w:pPr>
    </w:p>
    <w:p w:rsidR="009A3460" w:rsidRPr="003840ED" w:rsidRDefault="009A3460"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En auto del 12 de diciembre de 2018 se requirió al INSTITUTO DE DESARROLLO URBANO para que aportara los correspondientes traslados para el llamado en garantía QBE Seguros S.A. </w:t>
      </w:r>
    </w:p>
    <w:p w:rsidR="009A3460" w:rsidRPr="003840ED" w:rsidRDefault="009A3460" w:rsidP="00B4122B">
      <w:pPr>
        <w:spacing w:line="276" w:lineRule="auto"/>
        <w:rPr>
          <w:rFonts w:ascii="Arial" w:hAnsi="Arial" w:cs="Arial"/>
          <w:sz w:val="22"/>
          <w:szCs w:val="22"/>
          <w:lang w:val="es-CO"/>
        </w:rPr>
      </w:pPr>
    </w:p>
    <w:p w:rsidR="001A061C" w:rsidRPr="003840ED" w:rsidRDefault="009A3460" w:rsidP="00B4122B">
      <w:pPr>
        <w:spacing w:line="276" w:lineRule="auto"/>
        <w:rPr>
          <w:rFonts w:ascii="Arial" w:hAnsi="Arial" w:cs="Arial"/>
          <w:sz w:val="22"/>
          <w:szCs w:val="22"/>
          <w:lang w:val="es-CO"/>
        </w:rPr>
      </w:pPr>
      <w:r w:rsidRPr="003840ED">
        <w:rPr>
          <w:rFonts w:ascii="Arial" w:hAnsi="Arial" w:cs="Arial"/>
          <w:sz w:val="22"/>
          <w:szCs w:val="22"/>
          <w:lang w:val="es-CO"/>
        </w:rPr>
        <w:t>En 18 de diciembre de 2018 la apoderada del INSTITUTO DE DESARROLLO URBANO  interpuso recurso de reposición contra proveído anterior.</w:t>
      </w:r>
    </w:p>
    <w:p w:rsidR="009A3460" w:rsidRPr="003840ED" w:rsidRDefault="009A3460" w:rsidP="00B4122B">
      <w:pPr>
        <w:spacing w:line="276" w:lineRule="auto"/>
        <w:rPr>
          <w:rFonts w:ascii="Arial" w:hAnsi="Arial" w:cs="Arial"/>
          <w:sz w:val="22"/>
          <w:szCs w:val="22"/>
          <w:lang w:val="es-CO"/>
        </w:rPr>
      </w:pPr>
    </w:p>
    <w:p w:rsidR="001A061C" w:rsidRPr="003840ED" w:rsidRDefault="009A3460" w:rsidP="00B4122B">
      <w:pPr>
        <w:spacing w:line="276" w:lineRule="auto"/>
        <w:jc w:val="both"/>
        <w:rPr>
          <w:rFonts w:ascii="Arial" w:hAnsi="Arial" w:cs="Arial"/>
          <w:i/>
          <w:sz w:val="22"/>
          <w:szCs w:val="22"/>
          <w:lang w:val="es-CO"/>
        </w:rPr>
      </w:pPr>
      <w:r w:rsidRPr="003840ED">
        <w:rPr>
          <w:rFonts w:ascii="Arial" w:hAnsi="Arial" w:cs="Arial"/>
          <w:sz w:val="22"/>
          <w:szCs w:val="22"/>
          <w:lang w:val="es-CO"/>
        </w:rPr>
        <w:t xml:space="preserve">En informe secretarial de enero 25 de 2019 </w:t>
      </w:r>
      <w:r w:rsidR="001A061C" w:rsidRPr="003840ED">
        <w:rPr>
          <w:rFonts w:ascii="Arial" w:hAnsi="Arial" w:cs="Arial"/>
          <w:sz w:val="22"/>
          <w:szCs w:val="22"/>
          <w:lang w:val="es-CO"/>
        </w:rPr>
        <w:t xml:space="preserve">se anotó: </w:t>
      </w:r>
      <w:r w:rsidR="001A061C" w:rsidRPr="003840ED">
        <w:rPr>
          <w:rFonts w:ascii="Arial" w:hAnsi="Arial" w:cs="Arial"/>
          <w:i/>
          <w:sz w:val="20"/>
          <w:szCs w:val="22"/>
          <w:lang w:val="es-CO"/>
        </w:rPr>
        <w:t>“</w:t>
      </w:r>
      <w:r w:rsidRPr="003840ED">
        <w:rPr>
          <w:rFonts w:ascii="Arial" w:hAnsi="Arial" w:cs="Arial"/>
          <w:i/>
          <w:sz w:val="20"/>
          <w:szCs w:val="22"/>
          <w:lang w:val="es-CO"/>
        </w:rPr>
        <w:t>RECURSO DE REPOSICION OPORTUNAMENTE INTERPUESTO CONTRA PROVEIDO ANTERIOR POR IDU (DICIEMBRE 18 DE 2018), DEBIDAMENTE TRAMITADO. SIRVASE PROVEER.</w:t>
      </w:r>
      <w:r w:rsidR="001A061C" w:rsidRPr="003840ED">
        <w:rPr>
          <w:rFonts w:ascii="Arial" w:hAnsi="Arial" w:cs="Arial"/>
          <w:i/>
          <w:sz w:val="20"/>
          <w:szCs w:val="22"/>
          <w:lang w:val="es-CO"/>
        </w:rPr>
        <w:t>”.</w:t>
      </w:r>
    </w:p>
    <w:p w:rsidR="001A061C" w:rsidRPr="003840ED" w:rsidRDefault="001A061C" w:rsidP="00B4122B">
      <w:pPr>
        <w:spacing w:line="276" w:lineRule="auto"/>
        <w:rPr>
          <w:rFonts w:ascii="Arial" w:hAnsi="Arial" w:cs="Arial"/>
          <w:sz w:val="22"/>
          <w:szCs w:val="22"/>
          <w:lang w:val="es-CO"/>
        </w:rPr>
      </w:pPr>
    </w:p>
    <w:p w:rsidR="001A061C" w:rsidRPr="003840ED" w:rsidRDefault="001A061C" w:rsidP="00B4122B">
      <w:pPr>
        <w:spacing w:line="276" w:lineRule="auto"/>
        <w:rPr>
          <w:rFonts w:ascii="Arial" w:hAnsi="Arial" w:cs="Arial"/>
          <w:sz w:val="22"/>
          <w:szCs w:val="22"/>
          <w:lang w:val="es-CO"/>
        </w:rPr>
      </w:pPr>
      <w:r w:rsidRPr="003840ED">
        <w:rPr>
          <w:rFonts w:ascii="Arial" w:hAnsi="Arial" w:cs="Arial"/>
          <w:sz w:val="22"/>
          <w:szCs w:val="22"/>
          <w:lang w:val="es-CO"/>
        </w:rPr>
        <w:t>Procede el Despacho a pronunciarse sobre lo anotado.</w:t>
      </w:r>
    </w:p>
    <w:p w:rsidR="001A061C" w:rsidRPr="003840ED" w:rsidRDefault="001A061C" w:rsidP="00B4122B">
      <w:pPr>
        <w:spacing w:line="276" w:lineRule="auto"/>
        <w:rPr>
          <w:rFonts w:ascii="Arial" w:hAnsi="Arial" w:cs="Arial"/>
          <w:sz w:val="22"/>
          <w:szCs w:val="22"/>
          <w:lang w:val="es-CO"/>
        </w:rPr>
      </w:pPr>
    </w:p>
    <w:p w:rsidR="001A061C" w:rsidRPr="003840ED" w:rsidRDefault="001A061C" w:rsidP="00B4122B">
      <w:pPr>
        <w:spacing w:line="276" w:lineRule="auto"/>
        <w:jc w:val="center"/>
        <w:rPr>
          <w:rFonts w:ascii="Arial" w:hAnsi="Arial" w:cs="Arial"/>
          <w:b/>
          <w:sz w:val="22"/>
          <w:szCs w:val="22"/>
          <w:lang w:val="es-CO"/>
        </w:rPr>
      </w:pPr>
      <w:r w:rsidRPr="003840ED">
        <w:rPr>
          <w:rFonts w:ascii="Arial" w:hAnsi="Arial" w:cs="Arial"/>
          <w:b/>
          <w:sz w:val="22"/>
          <w:szCs w:val="22"/>
          <w:lang w:val="es-CO"/>
        </w:rPr>
        <w:t>CONSIDERACIONES</w:t>
      </w:r>
    </w:p>
    <w:p w:rsidR="001A061C" w:rsidRPr="003840ED" w:rsidRDefault="001A061C" w:rsidP="00B4122B">
      <w:pPr>
        <w:spacing w:line="276" w:lineRule="auto"/>
        <w:rPr>
          <w:rFonts w:ascii="Arial" w:hAnsi="Arial" w:cs="Arial"/>
          <w:b/>
          <w:sz w:val="22"/>
          <w:szCs w:val="22"/>
          <w:lang w:val="es-CO"/>
        </w:rPr>
      </w:pPr>
    </w:p>
    <w:p w:rsidR="001A061C" w:rsidRPr="003840ED" w:rsidRDefault="001A061C" w:rsidP="00B4122B">
      <w:pPr>
        <w:spacing w:line="276" w:lineRule="auto"/>
        <w:rPr>
          <w:rFonts w:ascii="Arial" w:hAnsi="Arial" w:cs="Arial"/>
          <w:sz w:val="22"/>
          <w:szCs w:val="22"/>
          <w:lang w:val="es-CO"/>
        </w:rPr>
      </w:pPr>
      <w:r w:rsidRPr="003840ED">
        <w:rPr>
          <w:rFonts w:ascii="Arial" w:hAnsi="Arial" w:cs="Arial"/>
          <w:b/>
          <w:sz w:val="22"/>
          <w:szCs w:val="22"/>
          <w:lang w:val="es-CO"/>
        </w:rPr>
        <w:t>1. Del recurso de reposición, oportunidad y procedencia.</w:t>
      </w:r>
      <w:bookmarkStart w:id="1" w:name="180"/>
      <w:bookmarkEnd w:id="1"/>
    </w:p>
    <w:p w:rsidR="001A061C" w:rsidRPr="003840ED" w:rsidRDefault="001A061C" w:rsidP="00B4122B">
      <w:pPr>
        <w:spacing w:line="276" w:lineRule="auto"/>
        <w:jc w:val="both"/>
        <w:rPr>
          <w:rFonts w:ascii="Arial" w:hAnsi="Arial" w:cs="Arial"/>
          <w:sz w:val="22"/>
          <w:szCs w:val="22"/>
          <w:lang w:val="es-CO"/>
        </w:rPr>
      </w:pPr>
    </w:p>
    <w:p w:rsidR="001A061C" w:rsidRPr="003840ED" w:rsidRDefault="001A061C"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El artículo 242 del código de procedimiento administrativo y de lo contencioso administrativo señala que el recurso de reposición procede, entre otros, contra los autos que </w:t>
      </w:r>
      <w:r w:rsidRPr="003840ED">
        <w:rPr>
          <w:rFonts w:ascii="Arial" w:hAnsi="Arial" w:cs="Arial"/>
          <w:b/>
          <w:sz w:val="22"/>
          <w:szCs w:val="22"/>
          <w:lang w:val="es-CO"/>
        </w:rPr>
        <w:t>no</w:t>
      </w:r>
      <w:r w:rsidRPr="003840ED">
        <w:rPr>
          <w:rFonts w:ascii="Arial" w:hAnsi="Arial" w:cs="Arial"/>
          <w:sz w:val="22"/>
          <w:szCs w:val="22"/>
          <w:lang w:val="es-CO"/>
        </w:rPr>
        <w:t xml:space="preserve"> </w:t>
      </w:r>
      <w:r w:rsidRPr="003840ED">
        <w:rPr>
          <w:rFonts w:ascii="Arial" w:hAnsi="Arial" w:cs="Arial"/>
          <w:b/>
          <w:sz w:val="22"/>
          <w:szCs w:val="22"/>
          <w:lang w:val="es-CO"/>
        </w:rPr>
        <w:t>sean susceptibles de recurso de apelación</w:t>
      </w:r>
      <w:r w:rsidRPr="003840ED">
        <w:rPr>
          <w:rFonts w:ascii="Arial" w:hAnsi="Arial" w:cs="Arial"/>
          <w:sz w:val="22"/>
          <w:szCs w:val="22"/>
          <w:lang w:val="es-CO"/>
        </w:rPr>
        <w:t>.</w:t>
      </w:r>
    </w:p>
    <w:p w:rsidR="001A061C" w:rsidRPr="003840ED" w:rsidRDefault="001A061C" w:rsidP="00B4122B">
      <w:pPr>
        <w:spacing w:line="276" w:lineRule="auto"/>
        <w:jc w:val="both"/>
        <w:rPr>
          <w:rFonts w:ascii="Arial" w:hAnsi="Arial" w:cs="Arial"/>
          <w:sz w:val="22"/>
          <w:szCs w:val="22"/>
          <w:lang w:val="es-CO"/>
        </w:rPr>
      </w:pPr>
    </w:p>
    <w:p w:rsidR="001A061C" w:rsidRPr="003840ED" w:rsidRDefault="001A061C"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A su vez, el artículo 243 ibídem señala que los </w:t>
      </w:r>
      <w:r w:rsidRPr="003840ED">
        <w:rPr>
          <w:rFonts w:ascii="Arial" w:hAnsi="Arial" w:cs="Arial"/>
          <w:b/>
          <w:sz w:val="22"/>
          <w:szCs w:val="22"/>
          <w:lang w:val="es-CO"/>
        </w:rPr>
        <w:t>autos susceptibles de apelación y proferidos en la misma instancia por los jueces administrativos son</w:t>
      </w:r>
      <w:r w:rsidRPr="003840ED">
        <w:rPr>
          <w:rFonts w:ascii="Arial" w:hAnsi="Arial" w:cs="Arial"/>
          <w:sz w:val="22"/>
          <w:szCs w:val="22"/>
          <w:lang w:val="es-CO"/>
        </w:rPr>
        <w:t>:</w:t>
      </w:r>
    </w:p>
    <w:p w:rsidR="001A061C" w:rsidRPr="003840ED" w:rsidRDefault="001A061C" w:rsidP="00B4122B">
      <w:pPr>
        <w:spacing w:line="276" w:lineRule="auto"/>
        <w:jc w:val="both"/>
        <w:rPr>
          <w:rFonts w:ascii="Arial" w:hAnsi="Arial" w:cs="Arial"/>
          <w:sz w:val="20"/>
          <w:szCs w:val="22"/>
          <w:lang w:val="es-CO"/>
        </w:rPr>
      </w:pP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lastRenderedPageBreak/>
        <w:t>“1. El que rechace la demanda.</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2. El que decrete una medida cautelar y el que resuelva los incidentes de responsabilidad y desacato en ese mismo trámite.</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3. El que ponga fin al proceso.</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4. El que apruebe conciliaciones extrajudiciales o judiciales, recurso que solo podrá ser interpuesto por el Ministerio Público.</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5. El que resuelva la liquidación de la condena o de los perjuicios.</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6. El que decreta las nulidades procesales.</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7. El que niega la intervención de terceros.</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8. El que prescinda de la audiencia de pruebas.</w:t>
      </w:r>
    </w:p>
    <w:p w:rsidR="001A061C" w:rsidRPr="003840ED" w:rsidRDefault="001A061C" w:rsidP="00B4122B">
      <w:pPr>
        <w:spacing w:line="276" w:lineRule="auto"/>
        <w:jc w:val="both"/>
        <w:rPr>
          <w:rFonts w:ascii="Arial" w:hAnsi="Arial" w:cs="Arial"/>
          <w:i/>
          <w:sz w:val="20"/>
          <w:szCs w:val="22"/>
          <w:lang w:val="es-CO"/>
        </w:rPr>
      </w:pPr>
      <w:r w:rsidRPr="003840ED">
        <w:rPr>
          <w:rFonts w:ascii="Arial" w:hAnsi="Arial" w:cs="Arial"/>
          <w:i/>
          <w:sz w:val="20"/>
          <w:szCs w:val="22"/>
          <w:lang w:val="es-CO"/>
        </w:rPr>
        <w:t>9. El que deniegue el decreto o práctica de alguna prueba pedida oportunamente”</w:t>
      </w:r>
    </w:p>
    <w:p w:rsidR="001A061C" w:rsidRPr="003840ED" w:rsidRDefault="001A061C" w:rsidP="00B4122B">
      <w:pPr>
        <w:spacing w:line="276" w:lineRule="auto"/>
        <w:jc w:val="both"/>
        <w:rPr>
          <w:rFonts w:ascii="Arial" w:hAnsi="Arial" w:cs="Arial"/>
          <w:i/>
          <w:sz w:val="20"/>
          <w:szCs w:val="22"/>
          <w:lang w:val="es-CO"/>
        </w:rPr>
      </w:pPr>
    </w:p>
    <w:p w:rsidR="001A061C" w:rsidRPr="003840ED" w:rsidRDefault="001A061C"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En el caso bajo estudio la providencia recurrida solo es susceptible del recurso de reposición, razón por la cual se procederá a su estudio. </w:t>
      </w:r>
    </w:p>
    <w:p w:rsidR="001A061C" w:rsidRPr="003840ED" w:rsidRDefault="001A061C" w:rsidP="00B4122B">
      <w:pPr>
        <w:pStyle w:val="nueve-"/>
        <w:spacing w:line="276" w:lineRule="auto"/>
        <w:ind w:firstLine="0"/>
        <w:rPr>
          <w:sz w:val="22"/>
          <w:szCs w:val="22"/>
          <w:lang w:val="es-CO"/>
        </w:rPr>
      </w:pPr>
      <w:r w:rsidRPr="003840ED">
        <w:rPr>
          <w:sz w:val="22"/>
          <w:szCs w:val="22"/>
          <w:lang w:val="es-CO"/>
        </w:rPr>
        <w:t xml:space="preserve">Dicho recurso debe interponerse dentro de los </w:t>
      </w:r>
      <w:r w:rsidRPr="003840ED">
        <w:rPr>
          <w:b/>
          <w:sz w:val="22"/>
          <w:szCs w:val="22"/>
          <w:lang w:val="es-CO"/>
        </w:rPr>
        <w:t>tres</w:t>
      </w:r>
      <w:r w:rsidRPr="003840ED">
        <w:rPr>
          <w:sz w:val="22"/>
          <w:szCs w:val="22"/>
          <w:lang w:val="es-CO"/>
        </w:rPr>
        <w:t xml:space="preserve"> </w:t>
      </w:r>
      <w:r w:rsidRPr="003840ED">
        <w:rPr>
          <w:b/>
          <w:sz w:val="22"/>
          <w:szCs w:val="22"/>
          <w:lang w:val="es-CO"/>
        </w:rPr>
        <w:t>(3)</w:t>
      </w:r>
      <w:r w:rsidRPr="003840ED">
        <w:rPr>
          <w:sz w:val="22"/>
          <w:szCs w:val="22"/>
          <w:lang w:val="es-CO"/>
        </w:rPr>
        <w:t xml:space="preserve"> días siguientes al de la notificación del auto, excepto cuando éste se haya dictado en una audiencia o diligencia, caso en el cual debe interponerse en forma verbal inmediatamente se pronuncie el auto (Artículo 3</w:t>
      </w:r>
      <w:r w:rsidR="00130F3B" w:rsidRPr="003840ED">
        <w:rPr>
          <w:sz w:val="22"/>
          <w:szCs w:val="22"/>
          <w:lang w:val="es-CO"/>
        </w:rPr>
        <w:t>18</w:t>
      </w:r>
      <w:r w:rsidRPr="003840ED">
        <w:rPr>
          <w:sz w:val="22"/>
          <w:szCs w:val="22"/>
          <w:lang w:val="es-CO"/>
        </w:rPr>
        <w:t xml:space="preserve"> Código </w:t>
      </w:r>
      <w:r w:rsidR="00130F3B" w:rsidRPr="003840ED">
        <w:rPr>
          <w:sz w:val="22"/>
          <w:szCs w:val="22"/>
          <w:lang w:val="es-CO"/>
        </w:rPr>
        <w:t>General del Proceso</w:t>
      </w:r>
      <w:r w:rsidRPr="003840ED">
        <w:rPr>
          <w:sz w:val="22"/>
          <w:szCs w:val="22"/>
          <w:lang w:val="es-CO"/>
        </w:rPr>
        <w:t>).</w:t>
      </w:r>
    </w:p>
    <w:p w:rsidR="001A061C" w:rsidRPr="003840ED" w:rsidRDefault="001A061C"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El auto recurrido fue notificado por estado el </w:t>
      </w:r>
      <w:r w:rsidR="006403CB" w:rsidRPr="003840ED">
        <w:rPr>
          <w:rFonts w:ascii="Arial" w:hAnsi="Arial" w:cs="Arial"/>
          <w:sz w:val="22"/>
          <w:szCs w:val="22"/>
          <w:lang w:val="es-CO"/>
        </w:rPr>
        <w:t>13 de diciembre de 2018</w:t>
      </w:r>
      <w:r w:rsidRPr="003840ED">
        <w:rPr>
          <w:rFonts w:ascii="Arial" w:hAnsi="Arial" w:cs="Arial"/>
          <w:sz w:val="22"/>
          <w:szCs w:val="22"/>
          <w:lang w:val="es-CO"/>
        </w:rPr>
        <w:t xml:space="preserve">, por lo tanto el </w:t>
      </w:r>
      <w:r w:rsidR="006403CB" w:rsidRPr="003840ED">
        <w:rPr>
          <w:rFonts w:ascii="Arial" w:hAnsi="Arial" w:cs="Arial"/>
          <w:sz w:val="22"/>
          <w:szCs w:val="22"/>
          <w:lang w:val="es-CO"/>
        </w:rPr>
        <w:t xml:space="preserve">llamante INSTITUTO DE DESARROLLO URBANO </w:t>
      </w:r>
      <w:r w:rsidRPr="003840ED">
        <w:rPr>
          <w:rFonts w:ascii="Arial" w:hAnsi="Arial" w:cs="Arial"/>
          <w:sz w:val="22"/>
          <w:szCs w:val="22"/>
          <w:lang w:val="es-CO"/>
        </w:rPr>
        <w:t xml:space="preserve">contaba hasta el </w:t>
      </w:r>
      <w:r w:rsidR="00251C75" w:rsidRPr="003840ED">
        <w:rPr>
          <w:rFonts w:ascii="Arial" w:hAnsi="Arial" w:cs="Arial"/>
          <w:sz w:val="22"/>
          <w:szCs w:val="22"/>
          <w:lang w:val="es-CO"/>
        </w:rPr>
        <w:t>19 de diciembre de</w:t>
      </w:r>
      <w:r w:rsidRPr="003840ED">
        <w:rPr>
          <w:rFonts w:ascii="Arial" w:hAnsi="Arial" w:cs="Arial"/>
          <w:sz w:val="22"/>
          <w:szCs w:val="22"/>
          <w:lang w:val="es-CO"/>
        </w:rPr>
        <w:t xml:space="preserve"> ese mismo año para presentarlo y como lo interpuso </w:t>
      </w:r>
      <w:r w:rsidR="00251C75" w:rsidRPr="003840ED">
        <w:rPr>
          <w:rFonts w:ascii="Arial" w:hAnsi="Arial" w:cs="Arial"/>
          <w:sz w:val="22"/>
          <w:szCs w:val="22"/>
          <w:lang w:val="es-CO"/>
        </w:rPr>
        <w:t>el 18 de diciembre</w:t>
      </w:r>
      <w:r w:rsidR="00A72CA9">
        <w:rPr>
          <w:rFonts w:ascii="Arial" w:hAnsi="Arial" w:cs="Arial"/>
          <w:sz w:val="22"/>
          <w:szCs w:val="22"/>
          <w:lang w:val="es-CO"/>
        </w:rPr>
        <w:t>, encuentra el d</w:t>
      </w:r>
      <w:r w:rsidRPr="003840ED">
        <w:rPr>
          <w:rFonts w:ascii="Arial" w:hAnsi="Arial" w:cs="Arial"/>
          <w:sz w:val="22"/>
          <w:szCs w:val="22"/>
          <w:lang w:val="es-CO"/>
        </w:rPr>
        <w:t>espacho que fue presentado en tiempo.</w:t>
      </w:r>
    </w:p>
    <w:p w:rsidR="001A061C" w:rsidRPr="003840ED" w:rsidRDefault="001A061C" w:rsidP="00B4122B">
      <w:pPr>
        <w:spacing w:line="276" w:lineRule="auto"/>
        <w:jc w:val="both"/>
        <w:rPr>
          <w:rFonts w:ascii="Arial" w:hAnsi="Arial" w:cs="Arial"/>
          <w:sz w:val="22"/>
          <w:szCs w:val="22"/>
          <w:lang w:val="es-CO"/>
        </w:rPr>
      </w:pPr>
    </w:p>
    <w:p w:rsidR="001A061C" w:rsidRPr="003840ED" w:rsidRDefault="001A061C" w:rsidP="00B4122B">
      <w:pPr>
        <w:spacing w:line="276" w:lineRule="auto"/>
        <w:rPr>
          <w:rFonts w:ascii="Arial" w:hAnsi="Arial" w:cs="Arial"/>
          <w:b/>
          <w:sz w:val="22"/>
          <w:szCs w:val="22"/>
          <w:lang w:val="es-CO"/>
        </w:rPr>
      </w:pPr>
      <w:r w:rsidRPr="003840ED">
        <w:rPr>
          <w:rFonts w:ascii="Arial" w:hAnsi="Arial" w:cs="Arial"/>
          <w:b/>
          <w:sz w:val="22"/>
          <w:szCs w:val="22"/>
          <w:lang w:val="es-CO"/>
        </w:rPr>
        <w:t>2. Estudio del recurso</w:t>
      </w:r>
    </w:p>
    <w:p w:rsidR="001A061C" w:rsidRPr="003840ED" w:rsidRDefault="001A061C" w:rsidP="00B4122B">
      <w:pPr>
        <w:spacing w:line="276" w:lineRule="auto"/>
        <w:rPr>
          <w:rFonts w:ascii="Arial" w:hAnsi="Arial" w:cs="Arial"/>
          <w:sz w:val="22"/>
          <w:szCs w:val="22"/>
          <w:lang w:val="es-CO"/>
        </w:rPr>
      </w:pPr>
    </w:p>
    <w:p w:rsidR="001A061C" w:rsidRDefault="001A061C" w:rsidP="00B4122B">
      <w:pPr>
        <w:spacing w:line="276" w:lineRule="auto"/>
        <w:ind w:right="-1"/>
        <w:jc w:val="both"/>
        <w:rPr>
          <w:rFonts w:ascii="Arial" w:hAnsi="Arial" w:cs="Arial"/>
          <w:sz w:val="22"/>
          <w:szCs w:val="22"/>
          <w:lang w:val="es-CO"/>
        </w:rPr>
      </w:pPr>
      <w:r w:rsidRPr="003840ED">
        <w:rPr>
          <w:rFonts w:ascii="Arial" w:hAnsi="Arial" w:cs="Arial"/>
          <w:sz w:val="22"/>
          <w:szCs w:val="22"/>
          <w:lang w:val="es-CO"/>
        </w:rPr>
        <w:t>Argumenta el recurrente</w:t>
      </w:r>
      <w:r w:rsidR="00F738BE" w:rsidRPr="003840ED">
        <w:rPr>
          <w:rFonts w:ascii="Arial" w:hAnsi="Arial" w:cs="Arial"/>
          <w:sz w:val="22"/>
          <w:szCs w:val="22"/>
          <w:lang w:val="es-CO"/>
        </w:rPr>
        <w:t xml:space="preserve"> que se debe revocar la providencia del 13 de diciembre, toda vez que con memorial radicado el 10 de septiembre de 2018 </w:t>
      </w:r>
      <w:r w:rsidR="00284BE1" w:rsidRPr="003840ED">
        <w:rPr>
          <w:rFonts w:ascii="Arial" w:hAnsi="Arial" w:cs="Arial"/>
          <w:sz w:val="22"/>
          <w:szCs w:val="22"/>
          <w:lang w:val="es-CO"/>
        </w:rPr>
        <w:t xml:space="preserve">allegó los certificados de </w:t>
      </w:r>
      <w:r w:rsidR="00A72CA9">
        <w:rPr>
          <w:rFonts w:ascii="Arial" w:hAnsi="Arial" w:cs="Arial"/>
          <w:sz w:val="22"/>
          <w:szCs w:val="22"/>
          <w:lang w:val="es-CO"/>
        </w:rPr>
        <w:t>existencia y representación legal</w:t>
      </w:r>
      <w:r w:rsidR="00284BE1" w:rsidRPr="003840ED">
        <w:rPr>
          <w:rFonts w:ascii="Arial" w:hAnsi="Arial" w:cs="Arial"/>
          <w:sz w:val="22"/>
          <w:szCs w:val="22"/>
          <w:lang w:val="es-CO"/>
        </w:rPr>
        <w:t xml:space="preserve"> de los llamados en garantía</w:t>
      </w:r>
      <w:r w:rsidR="00B4122B">
        <w:rPr>
          <w:rFonts w:ascii="Arial" w:hAnsi="Arial" w:cs="Arial"/>
          <w:sz w:val="22"/>
          <w:szCs w:val="22"/>
          <w:lang w:val="es-CO"/>
        </w:rPr>
        <w:t>,</w:t>
      </w:r>
      <w:r w:rsidR="00284BE1" w:rsidRPr="003840ED">
        <w:rPr>
          <w:rFonts w:ascii="Arial" w:hAnsi="Arial" w:cs="Arial"/>
          <w:sz w:val="22"/>
          <w:szCs w:val="22"/>
          <w:lang w:val="es-CO"/>
        </w:rPr>
        <w:t xml:space="preserve"> como consta en la página de la Rama Judicial.</w:t>
      </w:r>
    </w:p>
    <w:p w:rsidR="00B4122B" w:rsidRPr="003840ED" w:rsidRDefault="00B4122B" w:rsidP="00B4122B">
      <w:pPr>
        <w:spacing w:line="276" w:lineRule="auto"/>
        <w:ind w:right="-1"/>
        <w:jc w:val="both"/>
        <w:rPr>
          <w:rFonts w:ascii="Arial" w:hAnsi="Arial" w:cs="Arial"/>
          <w:sz w:val="22"/>
          <w:szCs w:val="22"/>
          <w:lang w:val="es-CO"/>
        </w:rPr>
      </w:pPr>
    </w:p>
    <w:p w:rsidR="00284BE1" w:rsidRPr="003840ED" w:rsidRDefault="001A061C" w:rsidP="00B4122B">
      <w:pPr>
        <w:pStyle w:val="Style7"/>
        <w:widowControl/>
        <w:spacing w:line="276" w:lineRule="auto"/>
        <w:rPr>
          <w:rStyle w:val="FontStyle26"/>
          <w:lang w:eastAsia="es-ES_tradnl"/>
        </w:rPr>
      </w:pPr>
      <w:r w:rsidRPr="003840ED">
        <w:rPr>
          <w:rStyle w:val="FontStyle26"/>
          <w:lang w:eastAsia="es-ES_tradnl"/>
        </w:rPr>
        <w:t>Con relación a los argumentos del recurrente el despacho considera lo siguiente:</w:t>
      </w:r>
    </w:p>
    <w:p w:rsidR="00B4122B" w:rsidRDefault="00B4122B" w:rsidP="00B4122B">
      <w:pPr>
        <w:spacing w:line="276" w:lineRule="auto"/>
        <w:jc w:val="both"/>
        <w:rPr>
          <w:rStyle w:val="FontStyle26"/>
          <w:b w:val="0"/>
          <w:lang w:val="es-CO" w:eastAsia="es-ES_tradnl"/>
        </w:rPr>
      </w:pPr>
    </w:p>
    <w:p w:rsidR="000F5CA2" w:rsidRPr="00B4122B" w:rsidRDefault="00406E10" w:rsidP="00B4122B">
      <w:pPr>
        <w:spacing w:line="276" w:lineRule="auto"/>
        <w:jc w:val="both"/>
        <w:rPr>
          <w:rStyle w:val="FontStyle26"/>
          <w:rFonts w:eastAsiaTheme="minorEastAsia"/>
          <w:i/>
          <w:sz w:val="20"/>
          <w:lang w:val="es-CO" w:eastAsia="es-ES_tradnl"/>
        </w:rPr>
      </w:pPr>
      <w:r w:rsidRPr="003840ED">
        <w:rPr>
          <w:rStyle w:val="FontStyle26"/>
          <w:b w:val="0"/>
          <w:lang w:val="es-CO" w:eastAsia="es-ES_tradnl"/>
        </w:rPr>
        <w:t xml:space="preserve">En auto que </w:t>
      </w:r>
      <w:r w:rsidR="002D15AC" w:rsidRPr="003840ED">
        <w:rPr>
          <w:rStyle w:val="FontStyle26"/>
          <w:b w:val="0"/>
          <w:lang w:val="es-CO" w:eastAsia="es-ES_tradnl"/>
        </w:rPr>
        <w:t>decidió</w:t>
      </w:r>
      <w:r w:rsidRPr="003840ED">
        <w:rPr>
          <w:rStyle w:val="FontStyle26"/>
          <w:b w:val="0"/>
          <w:lang w:val="es-CO" w:eastAsia="es-ES_tradnl"/>
        </w:rPr>
        <w:t xml:space="preserve"> el llamamiento en garantía e</w:t>
      </w:r>
      <w:r w:rsidR="00CB5274">
        <w:rPr>
          <w:rStyle w:val="FontStyle26"/>
          <w:b w:val="0"/>
          <w:lang w:val="es-CO" w:eastAsia="es-ES_tradnl"/>
        </w:rPr>
        <w:t xml:space="preserve">n </w:t>
      </w:r>
      <w:r w:rsidRPr="003840ED">
        <w:rPr>
          <w:rStyle w:val="FontStyle26"/>
          <w:b w:val="0"/>
          <w:lang w:val="es-CO" w:eastAsia="es-ES_tradnl"/>
        </w:rPr>
        <w:t xml:space="preserve"> </w:t>
      </w:r>
      <w:r w:rsidR="00CB5274">
        <w:rPr>
          <w:rStyle w:val="FontStyle26"/>
          <w:b w:val="0"/>
          <w:lang w:val="es-CO" w:eastAsia="es-ES_tradnl"/>
        </w:rPr>
        <w:t>el</w:t>
      </w:r>
      <w:r w:rsidRPr="003840ED">
        <w:rPr>
          <w:rStyle w:val="FontStyle26"/>
          <w:b w:val="0"/>
          <w:lang w:val="es-CO" w:eastAsia="es-ES_tradnl"/>
        </w:rPr>
        <w:t xml:space="preserve"> numeral </w:t>
      </w:r>
      <w:r w:rsidR="000F5CA2" w:rsidRPr="003840ED">
        <w:rPr>
          <w:rStyle w:val="FontStyle26"/>
          <w:b w:val="0"/>
          <w:lang w:val="es-CO" w:eastAsia="es-ES_tradnl"/>
        </w:rPr>
        <w:t xml:space="preserve">primero se ordenó </w:t>
      </w:r>
      <w:r w:rsidR="000F5CA2" w:rsidRPr="00B4122B">
        <w:rPr>
          <w:rStyle w:val="FontStyle26"/>
          <w:b w:val="0"/>
          <w:i/>
          <w:sz w:val="20"/>
          <w:lang w:val="es-CO" w:eastAsia="es-ES_tradnl"/>
        </w:rPr>
        <w:t xml:space="preserve">“(…) </w:t>
      </w:r>
      <w:r w:rsidR="000F5CA2" w:rsidRPr="00B4122B">
        <w:rPr>
          <w:rStyle w:val="FontStyle26"/>
          <w:rFonts w:eastAsiaTheme="minorEastAsia"/>
          <w:b w:val="0"/>
          <w:i/>
          <w:sz w:val="20"/>
          <w:lang w:val="es-CO" w:eastAsia="es-ES_tradnl"/>
        </w:rPr>
        <w:t xml:space="preserve">Para el efecto el apoderado del INSTITUTO DE DESARROLLO URBANO- IDU-, deberá aportar dentro del término de ejecutoria de esta providencia el certificado de existencia y representación de los llamados expedido por la Cámara de Comercio, </w:t>
      </w:r>
      <w:r w:rsidR="000F5CA2" w:rsidRPr="00B4122B">
        <w:rPr>
          <w:rStyle w:val="FontStyle26"/>
          <w:rFonts w:eastAsiaTheme="minorEastAsia"/>
          <w:i/>
          <w:sz w:val="20"/>
          <w:lang w:val="es-CO" w:eastAsia="es-ES_tradnl"/>
        </w:rPr>
        <w:t>y aportar en ese mismo lapso, las copias correspondientes para el traslado, es decir; copia de la demanda y de la contestación de la</w:t>
      </w:r>
      <w:r w:rsidR="002D15AC" w:rsidRPr="00B4122B">
        <w:rPr>
          <w:rStyle w:val="FontStyle26"/>
          <w:rFonts w:eastAsiaTheme="minorEastAsia"/>
          <w:i/>
          <w:sz w:val="20"/>
          <w:lang w:val="es-CO" w:eastAsia="es-ES_tradnl"/>
        </w:rPr>
        <w:t xml:space="preserve"> demanda.”</w:t>
      </w:r>
    </w:p>
    <w:p w:rsidR="00284BE1" w:rsidRPr="003840ED" w:rsidRDefault="00B43E0C" w:rsidP="00B4122B">
      <w:pPr>
        <w:pStyle w:val="Style7"/>
        <w:widowControl/>
        <w:spacing w:before="173" w:line="276" w:lineRule="auto"/>
        <w:rPr>
          <w:rStyle w:val="FontStyle26"/>
          <w:i/>
          <w:lang w:eastAsia="es-ES_tradnl"/>
        </w:rPr>
      </w:pPr>
      <w:r w:rsidRPr="003840ED">
        <w:rPr>
          <w:rStyle w:val="FontStyle26"/>
          <w:b w:val="0"/>
          <w:lang w:eastAsia="es-ES_tradnl"/>
        </w:rPr>
        <w:t>Ahora, e</w:t>
      </w:r>
      <w:r w:rsidR="002D15AC" w:rsidRPr="003840ED">
        <w:rPr>
          <w:rStyle w:val="FontStyle26"/>
          <w:b w:val="0"/>
          <w:lang w:eastAsia="es-ES_tradnl"/>
        </w:rPr>
        <w:t xml:space="preserve">n </w:t>
      </w:r>
      <w:r w:rsidR="0070017E" w:rsidRPr="003840ED">
        <w:rPr>
          <w:rStyle w:val="FontStyle26"/>
          <w:b w:val="0"/>
          <w:lang w:eastAsia="es-ES_tradnl"/>
        </w:rPr>
        <w:t>vista que el llamante IDU</w:t>
      </w:r>
      <w:r w:rsidR="002D15AC" w:rsidRPr="003840ED">
        <w:rPr>
          <w:rStyle w:val="FontStyle26"/>
          <w:b w:val="0"/>
          <w:lang w:eastAsia="es-ES_tradnl"/>
        </w:rPr>
        <w:t xml:space="preserve"> no había dado cumplimiento </w:t>
      </w:r>
      <w:r w:rsidR="0070017E" w:rsidRPr="003840ED">
        <w:rPr>
          <w:rStyle w:val="FontStyle26"/>
          <w:b w:val="0"/>
          <w:lang w:eastAsia="es-ES_tradnl"/>
        </w:rPr>
        <w:t xml:space="preserve">a toda la orden impuesta, con </w:t>
      </w:r>
      <w:r w:rsidR="00284BE1" w:rsidRPr="003840ED">
        <w:rPr>
          <w:rStyle w:val="FontStyle26"/>
          <w:b w:val="0"/>
          <w:lang w:eastAsia="es-ES_tradnl"/>
        </w:rPr>
        <w:t xml:space="preserve"> </w:t>
      </w:r>
      <w:r w:rsidR="00DE6D05" w:rsidRPr="003840ED">
        <w:rPr>
          <w:rStyle w:val="FontStyle26"/>
          <w:b w:val="0"/>
          <w:lang w:eastAsia="es-ES_tradnl"/>
        </w:rPr>
        <w:t>providencia</w:t>
      </w:r>
      <w:r w:rsidR="00284BE1" w:rsidRPr="003840ED">
        <w:rPr>
          <w:rStyle w:val="FontStyle26"/>
          <w:b w:val="0"/>
          <w:lang w:eastAsia="es-ES_tradnl"/>
        </w:rPr>
        <w:t xml:space="preserve"> </w:t>
      </w:r>
      <w:r w:rsidR="00EC172E" w:rsidRPr="003840ED">
        <w:rPr>
          <w:rStyle w:val="FontStyle26"/>
          <w:b w:val="0"/>
          <w:lang w:eastAsia="es-ES_tradnl"/>
        </w:rPr>
        <w:t xml:space="preserve">del 12 de diciembre se requirió </w:t>
      </w:r>
      <w:r w:rsidR="00A72CA9">
        <w:rPr>
          <w:rStyle w:val="FontStyle26"/>
          <w:b w:val="0"/>
          <w:lang w:eastAsia="es-ES_tradnl"/>
        </w:rPr>
        <w:t>para que aportara</w:t>
      </w:r>
      <w:r w:rsidR="00826E36" w:rsidRPr="003840ED">
        <w:rPr>
          <w:rStyle w:val="FontStyle26"/>
          <w:b w:val="0"/>
          <w:lang w:eastAsia="es-ES_tradnl"/>
        </w:rPr>
        <w:t xml:space="preserve"> lo </w:t>
      </w:r>
      <w:r w:rsidR="001869D5" w:rsidRPr="003840ED">
        <w:rPr>
          <w:rStyle w:val="FontStyle26"/>
          <w:b w:val="0"/>
          <w:lang w:eastAsia="es-ES_tradnl"/>
        </w:rPr>
        <w:t>ordenado en auto del 29 de agosto de 2018</w:t>
      </w:r>
      <w:r w:rsidR="00826E36" w:rsidRPr="003840ED">
        <w:rPr>
          <w:rStyle w:val="FontStyle26"/>
          <w:b w:val="0"/>
          <w:lang w:eastAsia="es-ES_tradnl"/>
        </w:rPr>
        <w:t xml:space="preserve">, anotando </w:t>
      </w:r>
      <w:r w:rsidRPr="003840ED">
        <w:rPr>
          <w:rStyle w:val="FontStyle26"/>
          <w:b w:val="0"/>
          <w:lang w:eastAsia="es-ES_tradnl"/>
        </w:rPr>
        <w:t xml:space="preserve">en </w:t>
      </w:r>
      <w:r w:rsidR="00826E36" w:rsidRPr="003840ED">
        <w:rPr>
          <w:rStyle w:val="FontStyle26"/>
          <w:b w:val="0"/>
          <w:lang w:eastAsia="es-ES_tradnl"/>
        </w:rPr>
        <w:t xml:space="preserve">la </w:t>
      </w:r>
      <w:r w:rsidR="00DE6D05" w:rsidRPr="003840ED">
        <w:rPr>
          <w:rStyle w:val="FontStyle26"/>
          <w:b w:val="0"/>
          <w:lang w:eastAsia="es-ES_tradnl"/>
        </w:rPr>
        <w:t xml:space="preserve"> parte considerativa que: </w:t>
      </w:r>
      <w:r w:rsidR="00DE6D05" w:rsidRPr="00A72CA9">
        <w:rPr>
          <w:rStyle w:val="FontStyle26"/>
          <w:b w:val="0"/>
          <w:i/>
          <w:sz w:val="20"/>
          <w:szCs w:val="20"/>
          <w:lang w:eastAsia="es-ES_tradnl"/>
        </w:rPr>
        <w:t>“</w:t>
      </w:r>
      <w:r w:rsidR="00A72CA9" w:rsidRPr="00A72CA9">
        <w:rPr>
          <w:rStyle w:val="FontStyle26"/>
          <w:b w:val="0"/>
          <w:i/>
          <w:sz w:val="20"/>
          <w:szCs w:val="20"/>
          <w:lang w:eastAsia="es-ES_tradnl"/>
        </w:rPr>
        <w:t xml:space="preserve">(…) </w:t>
      </w:r>
      <w:r w:rsidR="00DE6D05" w:rsidRPr="00A72CA9">
        <w:rPr>
          <w:rStyle w:val="FontStyle26"/>
          <w:b w:val="0"/>
          <w:i/>
          <w:sz w:val="20"/>
          <w:szCs w:val="20"/>
          <w:lang w:eastAsia="es-ES_tradnl"/>
        </w:rPr>
        <w:t>Con memorial radicado el 10 de septiembre de llamante –INSTITUTO DE DESARROLLO URBANO-IDU-</w:t>
      </w:r>
      <w:r w:rsidR="00A72CA9">
        <w:rPr>
          <w:rStyle w:val="FontStyle26"/>
          <w:b w:val="0"/>
          <w:i/>
          <w:sz w:val="20"/>
          <w:szCs w:val="20"/>
          <w:lang w:eastAsia="es-ES_tradnl"/>
        </w:rPr>
        <w:t xml:space="preserve"> aportó</w:t>
      </w:r>
      <w:r w:rsidR="00DE6D05" w:rsidRPr="00A72CA9">
        <w:rPr>
          <w:rStyle w:val="FontStyle26"/>
          <w:b w:val="0"/>
          <w:i/>
          <w:sz w:val="20"/>
          <w:szCs w:val="20"/>
          <w:lang w:eastAsia="es-ES_tradnl"/>
        </w:rPr>
        <w:t xml:space="preserve"> los certificados de existencia y representación de los llamados expedido por la Cámara de Comercio; </w:t>
      </w:r>
      <w:r w:rsidR="00DE6D05" w:rsidRPr="00A72CA9">
        <w:rPr>
          <w:rStyle w:val="FontStyle26"/>
          <w:i/>
          <w:sz w:val="20"/>
          <w:szCs w:val="20"/>
          <w:lang w:eastAsia="es-ES_tradnl"/>
        </w:rPr>
        <w:t>sin embargo aún hace falta aportar, las copias correspondientes para el traslado, es decir; copia de la demanda y de la contestación de la demanda</w:t>
      </w:r>
      <w:r w:rsidR="00DE6D05" w:rsidRPr="00A72CA9">
        <w:rPr>
          <w:rStyle w:val="FontStyle26"/>
          <w:b w:val="0"/>
          <w:i/>
          <w:sz w:val="20"/>
          <w:szCs w:val="20"/>
          <w:lang w:eastAsia="es-ES_tradnl"/>
        </w:rPr>
        <w:t>; por lo que se le requerirá nuevamente para que dé cumplimiento a lo ordenado en auto del 29 de agosto de 2018</w:t>
      </w:r>
      <w:r w:rsidR="00A72CA9" w:rsidRPr="00A72CA9">
        <w:rPr>
          <w:rStyle w:val="FontStyle26"/>
          <w:b w:val="0"/>
          <w:i/>
          <w:sz w:val="20"/>
          <w:szCs w:val="20"/>
          <w:lang w:eastAsia="es-ES_tradnl"/>
        </w:rPr>
        <w:t xml:space="preserve"> (…)”</w:t>
      </w:r>
      <w:r w:rsidR="00406E10" w:rsidRPr="00A72CA9">
        <w:rPr>
          <w:rStyle w:val="FontStyle26"/>
          <w:i/>
          <w:sz w:val="20"/>
          <w:szCs w:val="20"/>
          <w:lang w:eastAsia="es-ES_tradnl"/>
        </w:rPr>
        <w:t xml:space="preserve"> </w:t>
      </w:r>
      <w:r w:rsidR="00A72CA9">
        <w:rPr>
          <w:rStyle w:val="FontStyle26"/>
          <w:b w:val="0"/>
          <w:lang w:eastAsia="es-ES_tradnl"/>
        </w:rPr>
        <w:t>(Negrilla fuera de texto)</w:t>
      </w:r>
    </w:p>
    <w:p w:rsidR="00B4122B" w:rsidRDefault="001E49EB" w:rsidP="00B4122B">
      <w:pPr>
        <w:pStyle w:val="Style7"/>
        <w:widowControl/>
        <w:spacing w:before="173" w:line="276" w:lineRule="auto"/>
        <w:rPr>
          <w:rStyle w:val="FontStyle26"/>
          <w:b w:val="0"/>
          <w:lang w:eastAsia="es-ES_tradnl"/>
        </w:rPr>
      </w:pPr>
      <w:r w:rsidRPr="003840ED">
        <w:rPr>
          <w:rStyle w:val="FontStyle26"/>
          <w:b w:val="0"/>
          <w:lang w:eastAsia="es-ES_tradnl"/>
        </w:rPr>
        <w:t>Por lo anterior, no son de recibido los argumentos del recurrente, toda vez que lo solicitado en el auto recurrido son documentos necesario</w:t>
      </w:r>
      <w:r w:rsidR="00A72CA9">
        <w:rPr>
          <w:rStyle w:val="FontStyle26"/>
          <w:b w:val="0"/>
          <w:lang w:eastAsia="es-ES_tradnl"/>
        </w:rPr>
        <w:t>s</w:t>
      </w:r>
      <w:r w:rsidRPr="003840ED">
        <w:rPr>
          <w:rStyle w:val="FontStyle26"/>
          <w:b w:val="0"/>
          <w:lang w:eastAsia="es-ES_tradnl"/>
        </w:rPr>
        <w:t xml:space="preserve"> para surtir la notificación del llamamiento en </w:t>
      </w:r>
      <w:r w:rsidR="00E41F24" w:rsidRPr="003840ED">
        <w:rPr>
          <w:rStyle w:val="FontStyle26"/>
          <w:b w:val="0"/>
          <w:lang w:eastAsia="es-ES_tradnl"/>
        </w:rPr>
        <w:t>garantía</w:t>
      </w:r>
      <w:r w:rsidRPr="003840ED">
        <w:rPr>
          <w:rStyle w:val="FontStyle26"/>
          <w:b w:val="0"/>
          <w:lang w:eastAsia="es-ES_tradnl"/>
        </w:rPr>
        <w:t xml:space="preserve"> y que no fueron aportados.</w:t>
      </w:r>
      <w:r w:rsidR="00B43E0C" w:rsidRPr="003840ED">
        <w:rPr>
          <w:rStyle w:val="FontStyle26"/>
          <w:b w:val="0"/>
          <w:lang w:eastAsia="es-ES_tradnl"/>
        </w:rPr>
        <w:t xml:space="preserve"> </w:t>
      </w:r>
      <w:r w:rsidR="00E41F24" w:rsidRPr="003840ED">
        <w:rPr>
          <w:rStyle w:val="FontStyle26"/>
          <w:b w:val="0"/>
          <w:lang w:eastAsia="es-ES_tradnl"/>
        </w:rPr>
        <w:t>Así las cosas</w:t>
      </w:r>
      <w:r w:rsidR="00B43E0C" w:rsidRPr="003840ED">
        <w:rPr>
          <w:rStyle w:val="FontStyle26"/>
          <w:b w:val="0"/>
          <w:lang w:eastAsia="es-ES_tradnl"/>
        </w:rPr>
        <w:t xml:space="preserve">, </w:t>
      </w:r>
      <w:r w:rsidR="00E41F24" w:rsidRPr="003840ED">
        <w:rPr>
          <w:rStyle w:val="FontStyle26"/>
          <w:b w:val="0"/>
          <w:lang w:eastAsia="es-ES_tradnl"/>
        </w:rPr>
        <w:t xml:space="preserve"> se </w:t>
      </w:r>
      <w:r w:rsidR="00B43E0C" w:rsidRPr="003840ED">
        <w:rPr>
          <w:rStyle w:val="FontStyle26"/>
          <w:b w:val="0"/>
          <w:lang w:eastAsia="es-ES_tradnl"/>
        </w:rPr>
        <w:t>confirma</w:t>
      </w:r>
      <w:r w:rsidR="00E41F24" w:rsidRPr="003840ED">
        <w:rPr>
          <w:rStyle w:val="FontStyle26"/>
          <w:b w:val="0"/>
          <w:lang w:eastAsia="es-ES_tradnl"/>
        </w:rPr>
        <w:t xml:space="preserve"> la providencia del 12 de diciembre de 2018.</w:t>
      </w:r>
    </w:p>
    <w:p w:rsidR="005E4A12" w:rsidRPr="00B4122B" w:rsidRDefault="00B4122B" w:rsidP="00B4122B">
      <w:pPr>
        <w:pStyle w:val="Style7"/>
        <w:widowControl/>
        <w:spacing w:before="173" w:line="276" w:lineRule="auto"/>
        <w:rPr>
          <w:rFonts w:ascii="Arial" w:hAnsi="Arial" w:cs="Arial"/>
          <w:bCs/>
          <w:sz w:val="22"/>
          <w:szCs w:val="22"/>
          <w:lang w:eastAsia="es-ES_tradnl"/>
        </w:rPr>
      </w:pPr>
      <w:r w:rsidRPr="00B4122B">
        <w:rPr>
          <w:rStyle w:val="FontStyle26"/>
          <w:lang w:eastAsia="es-ES_tradnl"/>
        </w:rPr>
        <w:t>3</w:t>
      </w:r>
      <w:r>
        <w:rPr>
          <w:rStyle w:val="FontStyle26"/>
          <w:b w:val="0"/>
          <w:lang w:eastAsia="es-ES_tradnl"/>
        </w:rPr>
        <w:t xml:space="preserve">. </w:t>
      </w:r>
      <w:r w:rsidR="005E4A12" w:rsidRPr="003840ED">
        <w:rPr>
          <w:rFonts w:ascii="Arial" w:hAnsi="Arial" w:cs="Arial"/>
          <w:b/>
          <w:sz w:val="22"/>
          <w:szCs w:val="22"/>
        </w:rPr>
        <w:t>DE LA NOTIFICACIÓN DEL LLAMAMIENTO EN GARANTÍA:</w:t>
      </w:r>
    </w:p>
    <w:p w:rsidR="005E4A12" w:rsidRPr="003840ED" w:rsidRDefault="005E4A12" w:rsidP="00B4122B">
      <w:pPr>
        <w:spacing w:line="276" w:lineRule="auto"/>
        <w:jc w:val="center"/>
        <w:rPr>
          <w:rFonts w:ascii="Arial" w:hAnsi="Arial" w:cs="Arial"/>
          <w:b/>
          <w:sz w:val="22"/>
          <w:szCs w:val="22"/>
          <w:lang w:val="es-CO"/>
        </w:rPr>
      </w:pPr>
    </w:p>
    <w:p w:rsidR="00721234" w:rsidRPr="00A72CA9" w:rsidRDefault="00721234" w:rsidP="00B4122B">
      <w:pPr>
        <w:spacing w:line="276" w:lineRule="auto"/>
        <w:jc w:val="both"/>
        <w:rPr>
          <w:rFonts w:ascii="Arial" w:hAnsi="Arial" w:cs="Arial"/>
          <w:i/>
          <w:sz w:val="20"/>
          <w:szCs w:val="20"/>
          <w:lang w:val="es-CO"/>
        </w:rPr>
      </w:pPr>
      <w:r w:rsidRPr="003840ED">
        <w:rPr>
          <w:rFonts w:ascii="Arial" w:hAnsi="Arial" w:cs="Arial"/>
          <w:sz w:val="22"/>
          <w:szCs w:val="22"/>
          <w:lang w:val="es-CO"/>
        </w:rPr>
        <w:t xml:space="preserve">El artículo 66 del Código General del Proceso dispone: </w:t>
      </w:r>
      <w:r w:rsidRPr="00A72CA9">
        <w:rPr>
          <w:rFonts w:ascii="Arial" w:hAnsi="Arial" w:cs="Arial"/>
          <w:sz w:val="20"/>
          <w:szCs w:val="20"/>
          <w:lang w:val="es-CO"/>
        </w:rPr>
        <w:t>“</w:t>
      </w:r>
      <w:r w:rsidRPr="00A72CA9">
        <w:rPr>
          <w:rFonts w:ascii="Arial" w:hAnsi="Arial" w:cs="Arial"/>
          <w:i/>
          <w:sz w:val="20"/>
          <w:szCs w:val="20"/>
          <w:lang w:val="es-CO"/>
        </w:rPr>
        <w:t xml:space="preserve">Si el juez halla procedente el llamamiento, ordenará notificar personalmente al convocado y correrle traslado del escrito por el término de la demanda inicial. </w:t>
      </w:r>
      <w:r w:rsidRPr="00A72CA9">
        <w:rPr>
          <w:rFonts w:ascii="Arial" w:hAnsi="Arial" w:cs="Arial"/>
          <w:b/>
          <w:i/>
          <w:sz w:val="20"/>
          <w:szCs w:val="20"/>
          <w:u w:val="single"/>
          <w:lang w:val="es-CO"/>
        </w:rPr>
        <w:t>Si la notificación no se logra dentro de los seis (6) meses siguientes, el llamamiento será ineficaz</w:t>
      </w:r>
      <w:r w:rsidRPr="00A72CA9">
        <w:rPr>
          <w:rFonts w:ascii="Arial" w:hAnsi="Arial" w:cs="Arial"/>
          <w:i/>
          <w:sz w:val="20"/>
          <w:szCs w:val="20"/>
          <w:lang w:val="es-CO"/>
        </w:rPr>
        <w:t>. La misma regla se aplicará en el caso contemplado en el inciso segundo del artículo anterior.</w:t>
      </w:r>
    </w:p>
    <w:p w:rsidR="00721234" w:rsidRPr="00A72CA9" w:rsidRDefault="00721234" w:rsidP="00B4122B">
      <w:pPr>
        <w:spacing w:line="276" w:lineRule="auto"/>
        <w:jc w:val="both"/>
        <w:rPr>
          <w:rFonts w:ascii="Arial" w:hAnsi="Arial" w:cs="Arial"/>
          <w:i/>
          <w:sz w:val="20"/>
          <w:szCs w:val="20"/>
          <w:lang w:val="es-CO"/>
        </w:rPr>
      </w:pPr>
      <w:r w:rsidRPr="00A72CA9">
        <w:rPr>
          <w:rFonts w:ascii="Arial" w:hAnsi="Arial" w:cs="Arial"/>
          <w:i/>
          <w:sz w:val="20"/>
          <w:szCs w:val="20"/>
          <w:lang w:val="es-CO"/>
        </w:rPr>
        <w:t>El llamado en garantía podrá contestar en un solo escrito la demanda y el llamamiento, y solicitar las pruebas que pretenda hacer valer.</w:t>
      </w:r>
    </w:p>
    <w:p w:rsidR="00721234" w:rsidRPr="00A72CA9" w:rsidRDefault="00721234" w:rsidP="00B4122B">
      <w:pPr>
        <w:spacing w:line="276" w:lineRule="auto"/>
        <w:jc w:val="both"/>
        <w:rPr>
          <w:rFonts w:ascii="Arial" w:hAnsi="Arial" w:cs="Arial"/>
          <w:i/>
          <w:sz w:val="20"/>
          <w:szCs w:val="20"/>
          <w:lang w:val="es-CO"/>
        </w:rPr>
      </w:pPr>
      <w:r w:rsidRPr="00A72CA9">
        <w:rPr>
          <w:rFonts w:ascii="Arial" w:hAnsi="Arial" w:cs="Arial"/>
          <w:i/>
          <w:sz w:val="20"/>
          <w:szCs w:val="20"/>
          <w:lang w:val="es-CO"/>
        </w:rPr>
        <w:t>En la sentencia se resolverá, cuando fuere pertinente, sobre la relación sustancial aducida y acerca de las indemnizaciones o restituciones a cargo del llamado en garantía.</w:t>
      </w:r>
    </w:p>
    <w:p w:rsidR="00721234" w:rsidRPr="00A72CA9" w:rsidRDefault="00721234" w:rsidP="00B4122B">
      <w:pPr>
        <w:spacing w:line="276" w:lineRule="auto"/>
        <w:jc w:val="both"/>
        <w:rPr>
          <w:rFonts w:ascii="Arial" w:hAnsi="Arial" w:cs="Arial"/>
          <w:i/>
          <w:sz w:val="20"/>
          <w:szCs w:val="20"/>
          <w:lang w:val="es-CO"/>
        </w:rPr>
      </w:pPr>
      <w:r w:rsidRPr="00A72CA9">
        <w:rPr>
          <w:rFonts w:ascii="Arial" w:hAnsi="Arial" w:cs="Arial"/>
          <w:i/>
          <w:sz w:val="20"/>
          <w:szCs w:val="20"/>
          <w:lang w:val="es-CO"/>
        </w:rPr>
        <w:t>PARÁGRAFO. No será necesario notificar personalmente el auto que admite el llamamiento cuando el llamado actúe en el proceso como parte o como representante de alguna de las partes.”</w:t>
      </w:r>
    </w:p>
    <w:p w:rsidR="00721234" w:rsidRPr="003840ED" w:rsidRDefault="00721234" w:rsidP="00B4122B">
      <w:pPr>
        <w:spacing w:line="276" w:lineRule="auto"/>
        <w:jc w:val="both"/>
        <w:rPr>
          <w:rFonts w:ascii="Arial" w:hAnsi="Arial" w:cs="Arial"/>
          <w:i/>
          <w:sz w:val="22"/>
          <w:szCs w:val="22"/>
          <w:lang w:val="es-CO"/>
        </w:rPr>
      </w:pPr>
    </w:p>
    <w:p w:rsidR="001C4D96" w:rsidRPr="003840ED" w:rsidRDefault="00940FCC" w:rsidP="00B4122B">
      <w:pPr>
        <w:spacing w:line="276" w:lineRule="auto"/>
        <w:jc w:val="both"/>
        <w:rPr>
          <w:rFonts w:ascii="Arial" w:hAnsi="Arial" w:cs="Arial"/>
          <w:sz w:val="22"/>
          <w:szCs w:val="22"/>
          <w:lang w:val="es-CO"/>
        </w:rPr>
      </w:pPr>
      <w:r w:rsidRPr="003840ED">
        <w:rPr>
          <w:rFonts w:ascii="Arial" w:hAnsi="Arial" w:cs="Arial"/>
          <w:sz w:val="22"/>
          <w:szCs w:val="22"/>
          <w:lang w:val="es-CO"/>
        </w:rPr>
        <w:t xml:space="preserve">Para el caso bajo estudio se tiene que en </w:t>
      </w:r>
      <w:r w:rsidR="000D5F3B" w:rsidRPr="003840ED">
        <w:rPr>
          <w:rFonts w:ascii="Arial" w:hAnsi="Arial" w:cs="Arial"/>
          <w:sz w:val="22"/>
          <w:szCs w:val="22"/>
          <w:lang w:val="es-CO"/>
        </w:rPr>
        <w:t>auto del 2</w:t>
      </w:r>
      <w:r w:rsidRPr="003840ED">
        <w:rPr>
          <w:rFonts w:ascii="Arial" w:hAnsi="Arial" w:cs="Arial"/>
          <w:sz w:val="22"/>
          <w:szCs w:val="22"/>
          <w:lang w:val="es-CO"/>
        </w:rPr>
        <w:t xml:space="preserve">9 de agosto de 2018 se decidió llamar en garantía </w:t>
      </w:r>
      <w:r w:rsidR="000D5F3B" w:rsidRPr="003840ED">
        <w:rPr>
          <w:rFonts w:ascii="Arial" w:hAnsi="Arial" w:cs="Arial"/>
          <w:sz w:val="22"/>
          <w:szCs w:val="22"/>
          <w:lang w:val="es-CO"/>
        </w:rPr>
        <w:t>a QBE SEGUROS SA, GENERALI COLOMBIA SEGUROS GENERALES SA y AIG COLOMBIA SEGUROS GENERALES SA</w:t>
      </w:r>
      <w:r w:rsidRPr="003840ED">
        <w:rPr>
          <w:rFonts w:ascii="Arial" w:hAnsi="Arial" w:cs="Arial"/>
          <w:sz w:val="22"/>
          <w:szCs w:val="22"/>
          <w:lang w:val="es-CO"/>
        </w:rPr>
        <w:t xml:space="preserve">; por lo tanto, el término de los seis meses para la notificación que trata el artículo 66 del C.G.P </w:t>
      </w:r>
      <w:r w:rsidR="001C4D96" w:rsidRPr="003840ED">
        <w:rPr>
          <w:rFonts w:ascii="Arial" w:hAnsi="Arial" w:cs="Arial"/>
          <w:sz w:val="22"/>
          <w:szCs w:val="22"/>
          <w:lang w:val="es-CO"/>
        </w:rPr>
        <w:t xml:space="preserve">empezó a correr una </w:t>
      </w:r>
      <w:r w:rsidR="00CB5274">
        <w:rPr>
          <w:rFonts w:ascii="Arial" w:hAnsi="Arial" w:cs="Arial"/>
          <w:sz w:val="22"/>
          <w:szCs w:val="22"/>
          <w:lang w:val="es-CO"/>
        </w:rPr>
        <w:t xml:space="preserve">vez se notificó, es decir, </w:t>
      </w:r>
      <w:r w:rsidR="001C4D96" w:rsidRPr="003840ED">
        <w:rPr>
          <w:rFonts w:ascii="Arial" w:hAnsi="Arial" w:cs="Arial"/>
          <w:sz w:val="22"/>
          <w:szCs w:val="22"/>
          <w:lang w:val="es-CO"/>
        </w:rPr>
        <w:t>desde el 30 de agosto de 2018.</w:t>
      </w:r>
    </w:p>
    <w:p w:rsidR="00940FCC" w:rsidRPr="003840ED" w:rsidRDefault="00940FCC" w:rsidP="00B4122B">
      <w:pPr>
        <w:spacing w:line="276" w:lineRule="auto"/>
        <w:jc w:val="both"/>
        <w:rPr>
          <w:rFonts w:ascii="Arial" w:hAnsi="Arial" w:cs="Arial"/>
          <w:sz w:val="22"/>
          <w:szCs w:val="22"/>
          <w:lang w:val="es-CO"/>
        </w:rPr>
      </w:pPr>
    </w:p>
    <w:p w:rsidR="00D97715" w:rsidRPr="003840ED" w:rsidRDefault="00D97715" w:rsidP="00B4122B">
      <w:pPr>
        <w:spacing w:line="276" w:lineRule="auto"/>
        <w:jc w:val="both"/>
        <w:rPr>
          <w:rFonts w:ascii="Arial" w:hAnsi="Arial" w:cs="Arial"/>
          <w:sz w:val="22"/>
          <w:szCs w:val="22"/>
          <w:lang w:val="es-CO"/>
        </w:rPr>
      </w:pPr>
      <w:r w:rsidRPr="003840ED">
        <w:rPr>
          <w:rFonts w:ascii="Arial" w:hAnsi="Arial" w:cs="Arial"/>
          <w:spacing w:val="-1"/>
          <w:sz w:val="22"/>
          <w:szCs w:val="22"/>
          <w:lang w:val="es-CO"/>
        </w:rPr>
        <w:t>Desde la notificación del auto que decidió el llamamiento en garantía</w:t>
      </w:r>
      <w:r w:rsidRPr="003840ED">
        <w:rPr>
          <w:rStyle w:val="Refdenotaalpie"/>
          <w:rFonts w:ascii="Arial" w:hAnsi="Arial" w:cs="Arial"/>
          <w:spacing w:val="-1"/>
          <w:sz w:val="22"/>
          <w:szCs w:val="22"/>
          <w:lang w:val="es-CO"/>
        </w:rPr>
        <w:footnoteReference w:id="2"/>
      </w:r>
      <w:r w:rsidRPr="003840ED">
        <w:rPr>
          <w:rFonts w:ascii="Arial" w:hAnsi="Arial" w:cs="Arial"/>
          <w:spacing w:val="-1"/>
          <w:sz w:val="22"/>
          <w:szCs w:val="22"/>
          <w:lang w:val="es-CO"/>
        </w:rPr>
        <w:t xml:space="preserve"> a la fecha ya transcurrieron los seis meses,</w:t>
      </w:r>
      <w:r w:rsidRPr="003840ED">
        <w:rPr>
          <w:rFonts w:ascii="Arial" w:hAnsi="Arial" w:cs="Arial"/>
          <w:sz w:val="22"/>
          <w:szCs w:val="22"/>
          <w:lang w:val="es-CO"/>
        </w:rPr>
        <w:t xml:space="preserve"> sin que se lograra la notificación de</w:t>
      </w:r>
      <w:r w:rsidR="00806F9D" w:rsidRPr="003840ED">
        <w:rPr>
          <w:rFonts w:ascii="Arial" w:hAnsi="Arial" w:cs="Arial"/>
          <w:sz w:val="22"/>
          <w:szCs w:val="22"/>
          <w:lang w:val="es-CO"/>
        </w:rPr>
        <w:t xml:space="preserve"> </w:t>
      </w:r>
      <w:r w:rsidRPr="003840ED">
        <w:rPr>
          <w:rFonts w:ascii="Arial" w:hAnsi="Arial" w:cs="Arial"/>
          <w:sz w:val="22"/>
          <w:szCs w:val="22"/>
          <w:lang w:val="es-CO"/>
        </w:rPr>
        <w:t>l</w:t>
      </w:r>
      <w:r w:rsidR="00806F9D" w:rsidRPr="003840ED">
        <w:rPr>
          <w:rFonts w:ascii="Arial" w:hAnsi="Arial" w:cs="Arial"/>
          <w:sz w:val="22"/>
          <w:szCs w:val="22"/>
          <w:lang w:val="es-CO"/>
        </w:rPr>
        <w:t>os</w:t>
      </w:r>
      <w:r w:rsidRPr="003840ED">
        <w:rPr>
          <w:rFonts w:ascii="Arial" w:hAnsi="Arial" w:cs="Arial"/>
          <w:sz w:val="22"/>
          <w:szCs w:val="22"/>
          <w:lang w:val="es-CO"/>
        </w:rPr>
        <w:t xml:space="preserve"> llamado</w:t>
      </w:r>
      <w:r w:rsidR="00806F9D" w:rsidRPr="003840ED">
        <w:rPr>
          <w:rFonts w:ascii="Arial" w:hAnsi="Arial" w:cs="Arial"/>
          <w:sz w:val="22"/>
          <w:szCs w:val="22"/>
          <w:lang w:val="es-CO"/>
        </w:rPr>
        <w:t>s</w:t>
      </w:r>
      <w:r w:rsidRPr="003840ED">
        <w:rPr>
          <w:rFonts w:ascii="Arial" w:hAnsi="Arial" w:cs="Arial"/>
          <w:sz w:val="22"/>
          <w:szCs w:val="22"/>
          <w:lang w:val="es-CO"/>
        </w:rPr>
        <w:t xml:space="preserve"> en garantía </w:t>
      </w:r>
      <w:r w:rsidR="00806F9D" w:rsidRPr="003840ED">
        <w:rPr>
          <w:rFonts w:ascii="Arial" w:hAnsi="Arial" w:cs="Arial"/>
          <w:sz w:val="22"/>
          <w:szCs w:val="22"/>
          <w:lang w:val="es-CO"/>
        </w:rPr>
        <w:t>QBE SEGUROS SA, GENERALI COLOMBIA SEGUROS GENERALES SA y AIG COLOMBIA SEGUROS GENERALES SA</w:t>
      </w:r>
      <w:r w:rsidR="00A72CA9">
        <w:rPr>
          <w:rFonts w:ascii="Arial" w:hAnsi="Arial" w:cs="Arial"/>
          <w:sz w:val="22"/>
          <w:szCs w:val="22"/>
          <w:lang w:val="es-CO"/>
        </w:rPr>
        <w:t>;</w:t>
      </w:r>
      <w:r w:rsidRPr="003840ED">
        <w:rPr>
          <w:rFonts w:ascii="Arial" w:hAnsi="Arial" w:cs="Arial"/>
          <w:sz w:val="22"/>
          <w:szCs w:val="22"/>
          <w:lang w:val="es-CO"/>
        </w:rPr>
        <w:t xml:space="preserve"> en consecuencia procederá este despacho a declarar el llamamiento ineficaz de conformidad con  lo señalado en el artículo 66 del CGP. </w:t>
      </w:r>
    </w:p>
    <w:p w:rsidR="00D97715" w:rsidRPr="003840ED" w:rsidRDefault="00D97715" w:rsidP="00B4122B">
      <w:pPr>
        <w:spacing w:line="276" w:lineRule="auto"/>
        <w:jc w:val="both"/>
        <w:rPr>
          <w:rFonts w:ascii="Arial" w:hAnsi="Arial" w:cs="Arial"/>
          <w:sz w:val="22"/>
          <w:szCs w:val="22"/>
          <w:lang w:val="es-CO"/>
        </w:rPr>
      </w:pPr>
    </w:p>
    <w:p w:rsidR="001A061C" w:rsidRPr="003840ED" w:rsidRDefault="001A061C" w:rsidP="00B4122B">
      <w:pPr>
        <w:widowControl w:val="0"/>
        <w:spacing w:line="276" w:lineRule="auto"/>
        <w:jc w:val="both"/>
        <w:rPr>
          <w:rFonts w:ascii="Arial" w:hAnsi="Arial" w:cs="Arial"/>
          <w:b/>
          <w:bCs/>
          <w:sz w:val="22"/>
          <w:szCs w:val="22"/>
          <w:lang w:val="es-CO"/>
        </w:rPr>
      </w:pPr>
      <w:r w:rsidRPr="003840ED">
        <w:rPr>
          <w:rFonts w:ascii="Arial" w:hAnsi="Arial" w:cs="Arial"/>
          <w:sz w:val="22"/>
          <w:szCs w:val="22"/>
          <w:lang w:val="es-CO"/>
        </w:rPr>
        <w:t xml:space="preserve">En consecuencia, se </w:t>
      </w:r>
      <w:r w:rsidRPr="003840ED">
        <w:rPr>
          <w:rFonts w:ascii="Arial" w:hAnsi="Arial" w:cs="Arial"/>
          <w:b/>
          <w:bCs/>
          <w:sz w:val="22"/>
          <w:szCs w:val="22"/>
          <w:lang w:val="es-CO"/>
        </w:rPr>
        <w:t>RESUELVE:</w:t>
      </w:r>
    </w:p>
    <w:p w:rsidR="001A061C" w:rsidRPr="003840ED" w:rsidRDefault="001A061C" w:rsidP="00B4122B">
      <w:pPr>
        <w:widowControl w:val="0"/>
        <w:spacing w:line="276" w:lineRule="auto"/>
        <w:jc w:val="both"/>
        <w:rPr>
          <w:rFonts w:ascii="Arial" w:hAnsi="Arial" w:cs="Arial"/>
          <w:b/>
          <w:bCs/>
          <w:sz w:val="22"/>
          <w:szCs w:val="22"/>
          <w:lang w:val="es-CO"/>
        </w:rPr>
      </w:pPr>
    </w:p>
    <w:p w:rsidR="001A061C" w:rsidRPr="003840ED" w:rsidRDefault="001A061C" w:rsidP="00B4122B">
      <w:pPr>
        <w:spacing w:line="276" w:lineRule="auto"/>
        <w:ind w:right="-1"/>
        <w:jc w:val="both"/>
        <w:rPr>
          <w:rFonts w:ascii="Arial" w:hAnsi="Arial" w:cs="Arial"/>
          <w:i/>
          <w:sz w:val="22"/>
          <w:szCs w:val="22"/>
          <w:lang w:val="es-CO"/>
        </w:rPr>
      </w:pPr>
      <w:r w:rsidRPr="003840ED">
        <w:rPr>
          <w:rFonts w:ascii="Arial" w:hAnsi="Arial" w:cs="Arial"/>
          <w:b/>
          <w:sz w:val="22"/>
          <w:szCs w:val="22"/>
          <w:lang w:val="es-CO"/>
        </w:rPr>
        <w:t xml:space="preserve">Primero: </w:t>
      </w:r>
      <w:r w:rsidR="00603CC8" w:rsidRPr="003840ED">
        <w:rPr>
          <w:rFonts w:ascii="Arial" w:hAnsi="Arial" w:cs="Arial"/>
          <w:b/>
          <w:sz w:val="22"/>
          <w:szCs w:val="22"/>
          <w:lang w:val="es-CO"/>
        </w:rPr>
        <w:t>Confírmese</w:t>
      </w:r>
      <w:r w:rsidR="00603CC8" w:rsidRPr="003840ED">
        <w:rPr>
          <w:rFonts w:ascii="Arial" w:hAnsi="Arial" w:cs="Arial"/>
          <w:sz w:val="22"/>
          <w:szCs w:val="22"/>
          <w:lang w:val="es-CO"/>
        </w:rPr>
        <w:t xml:space="preserve"> la providencia de diciembre 12 de 2018</w:t>
      </w:r>
      <w:r w:rsidR="00603CC8" w:rsidRPr="003840ED">
        <w:rPr>
          <w:rFonts w:ascii="Arial" w:hAnsi="Arial" w:cs="Arial"/>
          <w:bCs/>
          <w:color w:val="000000"/>
          <w:sz w:val="22"/>
          <w:szCs w:val="22"/>
          <w:lang w:val="es-CO"/>
        </w:rPr>
        <w:t xml:space="preserve"> </w:t>
      </w:r>
      <w:r w:rsidR="00603CC8" w:rsidRPr="003840ED">
        <w:rPr>
          <w:rFonts w:ascii="Arial" w:hAnsi="Arial" w:cs="Arial"/>
          <w:bCs/>
          <w:sz w:val="22"/>
          <w:szCs w:val="22"/>
          <w:lang w:val="es-CO"/>
        </w:rPr>
        <w:t>de conformidad con lo anotado en la parte motiva de la presente providencia</w:t>
      </w:r>
    </w:p>
    <w:p w:rsidR="001A061C" w:rsidRPr="003840ED" w:rsidRDefault="001A061C" w:rsidP="00B4122B">
      <w:pPr>
        <w:spacing w:line="276" w:lineRule="auto"/>
        <w:jc w:val="both"/>
        <w:rPr>
          <w:rFonts w:ascii="Arial" w:hAnsi="Arial" w:cs="Arial"/>
          <w:bCs/>
          <w:sz w:val="22"/>
          <w:szCs w:val="22"/>
          <w:lang w:val="es-CO"/>
        </w:rPr>
      </w:pPr>
    </w:p>
    <w:p w:rsidR="001A061C" w:rsidRPr="003840ED" w:rsidRDefault="001A061C" w:rsidP="00B4122B">
      <w:pPr>
        <w:spacing w:line="276" w:lineRule="auto"/>
        <w:jc w:val="both"/>
        <w:rPr>
          <w:rFonts w:ascii="Arial" w:hAnsi="Arial" w:cs="Arial"/>
          <w:bCs/>
          <w:sz w:val="22"/>
          <w:szCs w:val="22"/>
          <w:lang w:val="es-CO"/>
        </w:rPr>
      </w:pPr>
      <w:r w:rsidRPr="003840ED">
        <w:rPr>
          <w:rFonts w:ascii="Arial" w:hAnsi="Arial" w:cs="Arial"/>
          <w:b/>
          <w:sz w:val="22"/>
          <w:szCs w:val="22"/>
          <w:lang w:val="es-CO"/>
        </w:rPr>
        <w:t>Segundo</w:t>
      </w:r>
      <w:r w:rsidRPr="003840ED">
        <w:rPr>
          <w:rFonts w:ascii="Arial" w:hAnsi="Arial" w:cs="Arial"/>
          <w:sz w:val="22"/>
          <w:szCs w:val="22"/>
          <w:lang w:val="es-CO"/>
        </w:rPr>
        <w:t>:</w:t>
      </w:r>
      <w:r w:rsidR="00603CC8" w:rsidRPr="003840ED">
        <w:rPr>
          <w:rFonts w:ascii="Arial" w:hAnsi="Arial" w:cs="Arial"/>
          <w:sz w:val="22"/>
          <w:szCs w:val="22"/>
          <w:lang w:val="es-CO"/>
        </w:rPr>
        <w:t xml:space="preserve"> </w:t>
      </w:r>
      <w:r w:rsidR="00603CC8" w:rsidRPr="003840ED">
        <w:rPr>
          <w:rFonts w:ascii="Arial" w:hAnsi="Arial" w:cs="Arial"/>
          <w:b/>
          <w:sz w:val="22"/>
          <w:szCs w:val="22"/>
          <w:lang w:val="es-CO"/>
        </w:rPr>
        <w:t>Declárese ineficaz</w:t>
      </w:r>
      <w:r w:rsidR="00603CC8" w:rsidRPr="003840ED">
        <w:rPr>
          <w:rFonts w:ascii="Arial" w:hAnsi="Arial" w:cs="Arial"/>
          <w:sz w:val="22"/>
          <w:szCs w:val="22"/>
          <w:lang w:val="es-CO"/>
        </w:rPr>
        <w:t xml:space="preserve"> el llamamiento efectuado a </w:t>
      </w:r>
      <w:r w:rsidR="00E545EB" w:rsidRPr="003840ED">
        <w:rPr>
          <w:rFonts w:ascii="Arial" w:hAnsi="Arial" w:cs="Arial"/>
          <w:sz w:val="22"/>
          <w:szCs w:val="22"/>
          <w:lang w:val="es-CO"/>
        </w:rPr>
        <w:t>QBE SEGUROS SA, GENERALI COLOMBIA SEGUROS GENERALES SA y AIG COLOMBIA SEGUROS GENERALES S.A.</w:t>
      </w:r>
      <w:r w:rsidR="00603CC8" w:rsidRPr="003840ED">
        <w:rPr>
          <w:rFonts w:ascii="Arial" w:hAnsi="Arial" w:cs="Arial"/>
          <w:sz w:val="22"/>
          <w:szCs w:val="22"/>
          <w:lang w:val="es-CO"/>
        </w:rPr>
        <w:t>, de conformidad con lo anotado en la parte motiva de esta providencia.</w:t>
      </w:r>
    </w:p>
    <w:p w:rsidR="001A061C" w:rsidRPr="003840ED" w:rsidRDefault="001A061C" w:rsidP="00B4122B">
      <w:pPr>
        <w:spacing w:line="276" w:lineRule="auto"/>
        <w:ind w:right="-1"/>
        <w:jc w:val="both"/>
        <w:rPr>
          <w:rFonts w:ascii="Arial" w:hAnsi="Arial" w:cs="Arial"/>
          <w:i/>
          <w:sz w:val="22"/>
          <w:szCs w:val="22"/>
          <w:lang w:val="es-CO"/>
        </w:rPr>
      </w:pPr>
    </w:p>
    <w:p w:rsidR="001A061C" w:rsidRPr="003840ED" w:rsidRDefault="001A061C" w:rsidP="00B4122B">
      <w:pPr>
        <w:spacing w:line="276" w:lineRule="auto"/>
        <w:rPr>
          <w:rFonts w:ascii="Arial" w:hAnsi="Arial" w:cs="Arial"/>
          <w:b/>
          <w:sz w:val="22"/>
          <w:szCs w:val="22"/>
          <w:lang w:val="es-CO"/>
        </w:rPr>
      </w:pPr>
      <w:r w:rsidRPr="003840ED">
        <w:rPr>
          <w:rFonts w:ascii="Arial" w:hAnsi="Arial" w:cs="Arial"/>
          <w:b/>
          <w:sz w:val="22"/>
          <w:szCs w:val="22"/>
          <w:lang w:val="es-CO"/>
        </w:rPr>
        <w:t>NOTIFÍQUESE Y CÚMPLASE,</w:t>
      </w:r>
    </w:p>
    <w:p w:rsidR="001A061C" w:rsidRPr="003840ED" w:rsidRDefault="001A061C" w:rsidP="00B4122B">
      <w:pPr>
        <w:spacing w:line="276" w:lineRule="auto"/>
        <w:rPr>
          <w:rFonts w:ascii="Arial" w:hAnsi="Arial" w:cs="Arial"/>
          <w:b/>
          <w:sz w:val="22"/>
          <w:szCs w:val="22"/>
          <w:lang w:val="es-CO"/>
        </w:rPr>
      </w:pPr>
    </w:p>
    <w:p w:rsidR="001A061C" w:rsidRPr="003840ED" w:rsidRDefault="001A061C" w:rsidP="00B4122B">
      <w:pPr>
        <w:spacing w:line="276" w:lineRule="auto"/>
        <w:rPr>
          <w:rFonts w:ascii="Arial" w:hAnsi="Arial" w:cs="Arial"/>
          <w:b/>
          <w:sz w:val="22"/>
          <w:szCs w:val="22"/>
          <w:lang w:val="es-CO"/>
        </w:rPr>
      </w:pPr>
    </w:p>
    <w:p w:rsidR="001A061C" w:rsidRPr="003840ED" w:rsidRDefault="001A061C" w:rsidP="00B4122B">
      <w:pPr>
        <w:spacing w:line="276" w:lineRule="auto"/>
        <w:jc w:val="center"/>
        <w:rPr>
          <w:rFonts w:ascii="Arial" w:hAnsi="Arial" w:cs="Arial"/>
          <w:b/>
          <w:sz w:val="22"/>
          <w:szCs w:val="22"/>
          <w:lang w:val="es-CO"/>
        </w:rPr>
      </w:pPr>
      <w:r w:rsidRPr="003840ED">
        <w:rPr>
          <w:rFonts w:ascii="Arial" w:hAnsi="Arial" w:cs="Arial"/>
          <w:b/>
          <w:sz w:val="22"/>
          <w:szCs w:val="22"/>
          <w:lang w:val="es-CO"/>
        </w:rPr>
        <w:t>OLGA CECILIA HENAO MARÍN</w:t>
      </w:r>
    </w:p>
    <w:p w:rsidR="001A061C" w:rsidRPr="003840ED" w:rsidRDefault="001A061C" w:rsidP="00B4122B">
      <w:pPr>
        <w:spacing w:line="276" w:lineRule="auto"/>
        <w:jc w:val="center"/>
        <w:rPr>
          <w:rFonts w:ascii="Arial" w:hAnsi="Arial" w:cs="Arial"/>
          <w:b/>
          <w:sz w:val="22"/>
          <w:szCs w:val="22"/>
          <w:lang w:val="es-CO"/>
        </w:rPr>
      </w:pPr>
      <w:r w:rsidRPr="003840ED">
        <w:rPr>
          <w:rFonts w:ascii="Arial" w:hAnsi="Arial" w:cs="Arial"/>
          <w:sz w:val="22"/>
          <w:szCs w:val="22"/>
          <w:lang w:val="es-CO"/>
        </w:rPr>
        <w:t>Juez</w:t>
      </w:r>
    </w:p>
    <w:p w:rsidR="001A061C" w:rsidRPr="003840ED" w:rsidRDefault="00E545EB" w:rsidP="00B4122B">
      <w:pPr>
        <w:spacing w:line="276" w:lineRule="auto"/>
        <w:jc w:val="both"/>
        <w:rPr>
          <w:rFonts w:ascii="Arial" w:hAnsi="Arial" w:cs="Arial"/>
          <w:bCs/>
          <w:sz w:val="10"/>
          <w:szCs w:val="22"/>
          <w:lang w:val="es-CO"/>
        </w:rPr>
      </w:pPr>
      <w:r w:rsidRPr="003840ED">
        <w:rPr>
          <w:rFonts w:ascii="Arial" w:hAnsi="Arial" w:cs="Arial"/>
          <w:bCs/>
          <w:sz w:val="10"/>
          <w:szCs w:val="22"/>
          <w:lang w:val="es-CO"/>
        </w:rPr>
        <w:t>JBR</w:t>
      </w:r>
    </w:p>
    <w:p w:rsidR="001A061C" w:rsidRPr="003840ED" w:rsidRDefault="001A061C" w:rsidP="00B4122B">
      <w:pPr>
        <w:spacing w:line="276" w:lineRule="auto"/>
        <w:rPr>
          <w:rFonts w:ascii="Arial" w:hAnsi="Arial" w:cs="Arial"/>
          <w:color w:val="000000"/>
          <w:sz w:val="22"/>
          <w:szCs w:val="22"/>
          <w:lang w:val="es-CO"/>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1A061C" w:rsidRPr="003840ED" w:rsidTr="00823927">
        <w:trPr>
          <w:trHeight w:val="1404"/>
        </w:trPr>
        <w:tc>
          <w:tcPr>
            <w:tcW w:w="5954" w:type="dxa"/>
          </w:tcPr>
          <w:p w:rsidR="001A061C" w:rsidRPr="0003693C" w:rsidRDefault="001A061C" w:rsidP="00B4122B">
            <w:pPr>
              <w:spacing w:line="276" w:lineRule="auto"/>
              <w:jc w:val="center"/>
              <w:rPr>
                <w:rFonts w:ascii="Tahoma" w:hAnsi="Tahoma" w:cs="Tahoma"/>
                <w:b/>
                <w:sz w:val="18"/>
                <w:szCs w:val="18"/>
              </w:rPr>
            </w:pPr>
            <w:r w:rsidRPr="0003693C">
              <w:rPr>
                <w:rFonts w:ascii="Tahoma" w:hAnsi="Tahoma" w:cs="Tahoma"/>
                <w:b/>
                <w:sz w:val="18"/>
                <w:szCs w:val="18"/>
              </w:rPr>
              <w:t>JUZGADO TREINTA Y CUATRO ADMINISTRATIVO CIRCUITO DE BOGOTÁ -  SECCIÓN TERCERA</w:t>
            </w:r>
          </w:p>
          <w:p w:rsidR="001A061C" w:rsidRPr="0003693C" w:rsidRDefault="001A061C" w:rsidP="00B4122B">
            <w:pPr>
              <w:spacing w:line="276" w:lineRule="auto"/>
              <w:jc w:val="center"/>
              <w:rPr>
                <w:rFonts w:ascii="Tahoma" w:hAnsi="Tahoma" w:cs="Tahoma"/>
                <w:sz w:val="18"/>
                <w:szCs w:val="18"/>
              </w:rPr>
            </w:pPr>
          </w:p>
          <w:p w:rsidR="001A061C" w:rsidRPr="0003693C" w:rsidRDefault="001A061C" w:rsidP="00B4122B">
            <w:pPr>
              <w:spacing w:line="276" w:lineRule="auto"/>
              <w:jc w:val="both"/>
              <w:rPr>
                <w:rFonts w:ascii="Tahoma" w:hAnsi="Tahoma" w:cs="Tahoma"/>
                <w:sz w:val="18"/>
                <w:szCs w:val="18"/>
              </w:rPr>
            </w:pPr>
            <w:r w:rsidRPr="0003693C">
              <w:rPr>
                <w:rFonts w:ascii="Tahoma" w:hAnsi="Tahoma" w:cs="Tahoma"/>
                <w:sz w:val="18"/>
                <w:szCs w:val="18"/>
              </w:rPr>
              <w:t xml:space="preserve">Por anotación en ESTADO notifico a las partes la providencia anterior, hoy </w:t>
            </w:r>
            <w:r w:rsidRPr="0003693C">
              <w:rPr>
                <w:rFonts w:ascii="Tahoma" w:hAnsi="Tahoma" w:cs="Tahoma"/>
                <w:b/>
                <w:sz w:val="18"/>
                <w:szCs w:val="18"/>
              </w:rPr>
              <w:t>____________________________</w:t>
            </w:r>
            <w:r w:rsidRPr="0003693C">
              <w:rPr>
                <w:rFonts w:ascii="Tahoma" w:hAnsi="Tahoma" w:cs="Tahoma"/>
                <w:sz w:val="18"/>
                <w:szCs w:val="18"/>
              </w:rPr>
              <w:t>a las 8:00 a.m.</w:t>
            </w:r>
          </w:p>
          <w:p w:rsidR="001A061C" w:rsidRPr="003840ED" w:rsidRDefault="0003693C" w:rsidP="00B4122B">
            <w:pPr>
              <w:spacing w:line="276" w:lineRule="auto"/>
              <w:rPr>
                <w:rFonts w:ascii="Arial" w:hAnsi="Arial" w:cs="Arial"/>
                <w:sz w:val="22"/>
                <w:szCs w:val="22"/>
              </w:rPr>
            </w:pPr>
            <w:r w:rsidRPr="0003693C">
              <w:rPr>
                <w:rFonts w:ascii="Tahoma" w:hAnsi="Tahoma" w:cs="Tahoma"/>
                <w:b/>
                <w:noProof/>
                <w:sz w:val="18"/>
                <w:szCs w:val="18"/>
                <w:lang w:eastAsia="es-CO"/>
              </w:rPr>
              <w:drawing>
                <wp:anchor distT="0" distB="0" distL="114300" distR="114300" simplePos="0" relativeHeight="251659264" behindDoc="0" locked="0" layoutInCell="1" allowOverlap="1" wp14:anchorId="6E42F5BE" wp14:editId="19DA78E1">
                  <wp:simplePos x="0" y="0"/>
                  <wp:positionH relativeFrom="margin">
                    <wp:posOffset>1352550</wp:posOffset>
                  </wp:positionH>
                  <wp:positionV relativeFrom="paragraph">
                    <wp:posOffset>121920</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977E91" w:rsidRPr="003840ED" w:rsidRDefault="005C132E" w:rsidP="0003693C">
      <w:pPr>
        <w:spacing w:line="276" w:lineRule="auto"/>
        <w:rPr>
          <w:rFonts w:ascii="Arial" w:hAnsi="Arial" w:cs="Arial"/>
          <w:sz w:val="22"/>
          <w:szCs w:val="22"/>
          <w:lang w:val="es-CO"/>
        </w:rPr>
      </w:pPr>
    </w:p>
    <w:sectPr w:rsidR="00977E91" w:rsidRPr="003840ED" w:rsidSect="0082201B">
      <w:headerReference w:type="even" r:id="rId8"/>
      <w:head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32E" w:rsidRDefault="005C132E" w:rsidP="007342FB">
      <w:r>
        <w:separator/>
      </w:r>
    </w:p>
  </w:endnote>
  <w:endnote w:type="continuationSeparator" w:id="0">
    <w:p w:rsidR="005C132E" w:rsidRDefault="005C132E" w:rsidP="0073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32E" w:rsidRDefault="005C132E" w:rsidP="007342FB">
      <w:r>
        <w:separator/>
      </w:r>
    </w:p>
  </w:footnote>
  <w:footnote w:type="continuationSeparator" w:id="0">
    <w:p w:rsidR="005C132E" w:rsidRDefault="005C132E" w:rsidP="007342FB">
      <w:r>
        <w:continuationSeparator/>
      </w:r>
    </w:p>
  </w:footnote>
  <w:footnote w:id="1">
    <w:p w:rsidR="00964E9E" w:rsidRPr="003840ED" w:rsidRDefault="00964E9E" w:rsidP="003840ED">
      <w:pPr>
        <w:pStyle w:val="Textonotapie"/>
        <w:jc w:val="both"/>
        <w:rPr>
          <w:rFonts w:ascii="Tahoma" w:hAnsi="Tahoma" w:cs="Tahoma"/>
          <w:i/>
          <w:sz w:val="16"/>
          <w:szCs w:val="16"/>
          <w:lang w:val="es-CO"/>
        </w:rPr>
      </w:pPr>
      <w:r w:rsidRPr="003840ED">
        <w:rPr>
          <w:rStyle w:val="Refdenotaalpie"/>
          <w:rFonts w:ascii="Tahoma" w:hAnsi="Tahoma" w:cs="Tahoma"/>
          <w:i/>
          <w:sz w:val="16"/>
          <w:szCs w:val="16"/>
          <w:lang w:val="es-CO"/>
        </w:rPr>
        <w:footnoteRef/>
      </w:r>
      <w:r w:rsidRPr="003840ED">
        <w:rPr>
          <w:rFonts w:ascii="Tahoma" w:hAnsi="Tahoma" w:cs="Tahoma"/>
          <w:i/>
          <w:sz w:val="16"/>
          <w:szCs w:val="16"/>
          <w:lang w:val="es-CO"/>
        </w:rPr>
        <w:t xml:space="preserve"> Revisada y estudiada la demanda observa el Despacho que los registros civiles de las señoras MARCY JULLYETH NARANJO BARBOSA y  JENNYFER CAROLINA NARANJO BARBOSA,  presentados en la demanda y que se pretenden hacer valer dentro del proceso, fueron allegados en copia simple siendo necesario su aporte en copia auténtica. </w:t>
      </w:r>
    </w:p>
    <w:p w:rsidR="00964E9E" w:rsidRPr="003840ED" w:rsidRDefault="00964E9E" w:rsidP="003840ED">
      <w:pPr>
        <w:pStyle w:val="Textonotapie"/>
        <w:jc w:val="both"/>
        <w:rPr>
          <w:rFonts w:ascii="Tahoma" w:hAnsi="Tahoma" w:cs="Tahoma"/>
          <w:i/>
          <w:sz w:val="16"/>
          <w:szCs w:val="16"/>
          <w:lang w:val="es-CO"/>
        </w:rPr>
      </w:pPr>
      <w:r w:rsidRPr="003840ED">
        <w:rPr>
          <w:rFonts w:ascii="Tahoma" w:hAnsi="Tahoma" w:cs="Tahoma"/>
          <w:i/>
          <w:sz w:val="16"/>
          <w:szCs w:val="16"/>
          <w:lang w:val="es-CO"/>
        </w:rPr>
        <w:t>Por lo anterior, se requerirá a la parte actora para que allegue en copia auténtica los registros civiles de estos demandantes, teniendo en cuenta que  son documentos públicos a los cuales tiene acceso.</w:t>
      </w:r>
    </w:p>
  </w:footnote>
  <w:footnote w:id="2">
    <w:p w:rsidR="00D97715" w:rsidRPr="003840ED" w:rsidRDefault="00D97715" w:rsidP="003840ED">
      <w:pPr>
        <w:pStyle w:val="Textonotapie"/>
        <w:jc w:val="both"/>
        <w:rPr>
          <w:rFonts w:ascii="Tahoma" w:hAnsi="Tahoma" w:cs="Tahoma"/>
          <w:sz w:val="16"/>
          <w:szCs w:val="16"/>
          <w:lang w:val="es-CO"/>
        </w:rPr>
      </w:pPr>
      <w:r w:rsidRPr="003840ED">
        <w:rPr>
          <w:rStyle w:val="Refdenotaalpie"/>
          <w:rFonts w:ascii="Tahoma" w:hAnsi="Tahoma" w:cs="Tahoma"/>
          <w:sz w:val="16"/>
          <w:szCs w:val="16"/>
        </w:rPr>
        <w:footnoteRef/>
      </w:r>
      <w:r w:rsidRPr="003840ED">
        <w:rPr>
          <w:rFonts w:ascii="Tahoma" w:hAnsi="Tahoma" w:cs="Tahoma"/>
          <w:sz w:val="16"/>
          <w:szCs w:val="16"/>
        </w:rPr>
        <w:t xml:space="preserve"> </w:t>
      </w:r>
      <w:r w:rsidRPr="003840ED">
        <w:rPr>
          <w:rFonts w:ascii="Tahoma" w:hAnsi="Tahoma" w:cs="Tahoma"/>
          <w:sz w:val="16"/>
          <w:szCs w:val="16"/>
          <w:lang w:val="es-CO"/>
        </w:rPr>
        <w:t xml:space="preserve">Folio </w:t>
      </w:r>
      <w:r w:rsidR="00806F9D" w:rsidRPr="003840ED">
        <w:rPr>
          <w:rFonts w:ascii="Tahoma" w:hAnsi="Tahoma" w:cs="Tahoma"/>
          <w:sz w:val="16"/>
          <w:szCs w:val="16"/>
          <w:lang w:val="es-CO"/>
        </w:rPr>
        <w:t>90</w:t>
      </w:r>
      <w:r w:rsidRPr="003840ED">
        <w:rPr>
          <w:rFonts w:ascii="Tahoma" w:hAnsi="Tahoma" w:cs="Tahoma"/>
          <w:sz w:val="16"/>
          <w:szCs w:val="16"/>
          <w:lang w:val="es-CO"/>
        </w:rPr>
        <w:t xml:space="preserve">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1B" w:rsidRDefault="0003693C">
    <w:pPr>
      <w:pStyle w:val="Encabezado"/>
      <w:jc w:val="right"/>
      <w:rPr>
        <w:rFonts w:ascii="Tahoma" w:hAnsi="Tahoma" w:cs="Tahoma"/>
        <w:b/>
        <w:sz w:val="18"/>
        <w:szCs w:val="18"/>
        <w:lang w:val="es-MX"/>
      </w:rPr>
    </w:pPr>
    <w:r>
      <w:rPr>
        <w:rFonts w:ascii="Tahoma" w:hAnsi="Tahoma" w:cs="Tahoma"/>
        <w:sz w:val="18"/>
        <w:szCs w:val="18"/>
        <w:lang w:val="es-MX"/>
      </w:rPr>
      <w:t>Expediente No. 25000232600020060169201</w:t>
    </w:r>
  </w:p>
  <w:p w:rsidR="0082201B" w:rsidRDefault="0003693C">
    <w:pPr>
      <w:pStyle w:val="Encabezado"/>
      <w:jc w:val="right"/>
      <w:rPr>
        <w:rFonts w:ascii="Tahoma" w:hAnsi="Tahoma" w:cs="Tahoma"/>
        <w:sz w:val="18"/>
        <w:szCs w:val="18"/>
        <w:lang w:val="es-MX"/>
      </w:rPr>
    </w:pPr>
    <w:r>
      <w:rPr>
        <w:rFonts w:ascii="Tahoma" w:hAnsi="Tahoma" w:cs="Tahoma"/>
        <w:bCs/>
        <w:sz w:val="18"/>
        <w:szCs w:val="18"/>
      </w:rPr>
      <w:t>Páginas</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3</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1B" w:rsidRPr="00E545EB" w:rsidRDefault="0003693C">
    <w:pPr>
      <w:pStyle w:val="Encabezado"/>
      <w:jc w:val="right"/>
      <w:rPr>
        <w:rFonts w:ascii="Tahoma" w:hAnsi="Tahoma" w:cs="Tahoma"/>
        <w:sz w:val="16"/>
        <w:szCs w:val="16"/>
        <w:lang w:val="es-MX"/>
      </w:rPr>
    </w:pPr>
    <w:r w:rsidRPr="00E545EB">
      <w:rPr>
        <w:rFonts w:ascii="Tahoma" w:hAnsi="Tahoma" w:cs="Tahoma"/>
        <w:sz w:val="16"/>
        <w:szCs w:val="16"/>
        <w:lang w:val="es-MX"/>
      </w:rPr>
      <w:t>Expediente No. 201</w:t>
    </w:r>
    <w:r w:rsidR="00F47449" w:rsidRPr="00E545EB">
      <w:rPr>
        <w:rFonts w:ascii="Tahoma" w:hAnsi="Tahoma" w:cs="Tahoma"/>
        <w:sz w:val="16"/>
        <w:szCs w:val="16"/>
        <w:lang w:val="es-MX"/>
      </w:rPr>
      <w:t>7-0119</w:t>
    </w:r>
  </w:p>
  <w:p w:rsidR="0082201B" w:rsidRPr="00E545EB" w:rsidRDefault="0003693C">
    <w:pPr>
      <w:pStyle w:val="Encabezado"/>
      <w:jc w:val="right"/>
      <w:rPr>
        <w:rFonts w:ascii="Tahoma" w:hAnsi="Tahoma" w:cs="Tahoma"/>
        <w:sz w:val="16"/>
        <w:szCs w:val="16"/>
        <w:lang w:val="es-MX"/>
      </w:rPr>
    </w:pPr>
    <w:r w:rsidRPr="00E545EB">
      <w:rPr>
        <w:rFonts w:ascii="Tahoma" w:hAnsi="Tahoma" w:cs="Tahoma"/>
        <w:sz w:val="16"/>
        <w:szCs w:val="16"/>
        <w:lang w:val="es-CO"/>
      </w:rPr>
      <w:t xml:space="preserve">RESUELVE RECURSO DE REPOSICIÓN  </w:t>
    </w:r>
    <w:r w:rsidR="00130F3B" w:rsidRPr="00E545EB">
      <w:rPr>
        <w:rFonts w:ascii="Tahoma" w:hAnsi="Tahoma" w:cs="Tahoma"/>
        <w:sz w:val="16"/>
        <w:szCs w:val="16"/>
        <w:lang w:val="es-CO"/>
      </w:rPr>
      <w:t>- DECLARA</w:t>
    </w:r>
    <w:r w:rsidRPr="00E545EB">
      <w:rPr>
        <w:rFonts w:ascii="Tahoma" w:hAnsi="Tahoma" w:cs="Tahoma"/>
        <w:sz w:val="16"/>
        <w:szCs w:val="16"/>
        <w:lang w:val="es-CO"/>
      </w:rPr>
      <w:t xml:space="preserve"> INEFICAZ LLAMAMIENTO EN GARANTÍA </w:t>
    </w:r>
  </w:p>
  <w:p w:rsidR="0082201B" w:rsidRPr="00E545EB" w:rsidRDefault="0003693C">
    <w:pPr>
      <w:pStyle w:val="Encabezado"/>
      <w:jc w:val="right"/>
      <w:rPr>
        <w:rStyle w:val="Nmerodepgina"/>
        <w:rFonts w:ascii="Tahoma" w:hAnsi="Tahoma" w:cs="Tahoma"/>
        <w:sz w:val="16"/>
        <w:szCs w:val="16"/>
      </w:rPr>
    </w:pPr>
    <w:r w:rsidRPr="00E545EB">
      <w:rPr>
        <w:rFonts w:ascii="Tahoma" w:hAnsi="Tahoma" w:cs="Tahoma"/>
        <w:sz w:val="16"/>
        <w:szCs w:val="16"/>
        <w:lang w:val="es-MX"/>
      </w:rPr>
      <w:t xml:space="preserve">Páginas </w:t>
    </w:r>
    <w:r w:rsidRPr="00E545EB">
      <w:rPr>
        <w:rStyle w:val="Nmerodepgina"/>
        <w:rFonts w:ascii="Tahoma" w:hAnsi="Tahoma" w:cs="Tahoma"/>
        <w:sz w:val="16"/>
        <w:szCs w:val="16"/>
      </w:rPr>
      <w:fldChar w:fldCharType="begin"/>
    </w:r>
    <w:r w:rsidRPr="00E545EB">
      <w:rPr>
        <w:rStyle w:val="Nmerodepgina"/>
        <w:rFonts w:ascii="Tahoma" w:hAnsi="Tahoma" w:cs="Tahoma"/>
        <w:sz w:val="16"/>
        <w:szCs w:val="16"/>
      </w:rPr>
      <w:instrText xml:space="preserve"> PAGE </w:instrText>
    </w:r>
    <w:r w:rsidRPr="00E545EB">
      <w:rPr>
        <w:rStyle w:val="Nmerodepgina"/>
        <w:rFonts w:ascii="Tahoma" w:hAnsi="Tahoma" w:cs="Tahoma"/>
        <w:sz w:val="16"/>
        <w:szCs w:val="16"/>
      </w:rPr>
      <w:fldChar w:fldCharType="separate"/>
    </w:r>
    <w:r w:rsidR="008831DF">
      <w:rPr>
        <w:rStyle w:val="Nmerodepgina"/>
        <w:rFonts w:ascii="Tahoma" w:hAnsi="Tahoma" w:cs="Tahoma"/>
        <w:noProof/>
        <w:sz w:val="16"/>
        <w:szCs w:val="16"/>
      </w:rPr>
      <w:t>3</w:t>
    </w:r>
    <w:r w:rsidRPr="00E545EB">
      <w:rPr>
        <w:rStyle w:val="Nmerodepgina"/>
        <w:rFonts w:ascii="Tahoma" w:hAnsi="Tahoma" w:cs="Tahoma"/>
        <w:sz w:val="16"/>
        <w:szCs w:val="16"/>
      </w:rPr>
      <w:fldChar w:fldCharType="end"/>
    </w:r>
    <w:r w:rsidRPr="00E545EB">
      <w:rPr>
        <w:rStyle w:val="Nmerodepgina"/>
        <w:rFonts w:ascii="Tahoma" w:hAnsi="Tahoma" w:cs="Tahoma"/>
        <w:sz w:val="16"/>
        <w:szCs w:val="16"/>
      </w:rPr>
      <w:t xml:space="preserve"> de </w:t>
    </w:r>
    <w:r w:rsidRPr="00E545EB">
      <w:rPr>
        <w:rStyle w:val="Nmerodepgina"/>
        <w:rFonts w:ascii="Tahoma" w:hAnsi="Tahoma" w:cs="Tahoma"/>
        <w:sz w:val="16"/>
        <w:szCs w:val="16"/>
      </w:rPr>
      <w:fldChar w:fldCharType="begin"/>
    </w:r>
    <w:r w:rsidRPr="00E545EB">
      <w:rPr>
        <w:rStyle w:val="Nmerodepgina"/>
        <w:rFonts w:ascii="Tahoma" w:hAnsi="Tahoma" w:cs="Tahoma"/>
        <w:sz w:val="16"/>
        <w:szCs w:val="16"/>
      </w:rPr>
      <w:instrText xml:space="preserve"> NUMPAGES </w:instrText>
    </w:r>
    <w:r w:rsidRPr="00E545EB">
      <w:rPr>
        <w:rStyle w:val="Nmerodepgina"/>
        <w:rFonts w:ascii="Tahoma" w:hAnsi="Tahoma" w:cs="Tahoma"/>
        <w:sz w:val="16"/>
        <w:szCs w:val="16"/>
      </w:rPr>
      <w:fldChar w:fldCharType="separate"/>
    </w:r>
    <w:r w:rsidR="008831DF">
      <w:rPr>
        <w:rStyle w:val="Nmerodepgina"/>
        <w:rFonts w:ascii="Tahoma" w:hAnsi="Tahoma" w:cs="Tahoma"/>
        <w:noProof/>
        <w:sz w:val="16"/>
        <w:szCs w:val="16"/>
      </w:rPr>
      <w:t>3</w:t>
    </w:r>
    <w:r w:rsidRPr="00E545EB">
      <w:rPr>
        <w:rStyle w:val="Nmerodepgina"/>
        <w:rFonts w:ascii="Tahoma" w:hAnsi="Tahoma" w:cs="Tahoma"/>
        <w:sz w:val="16"/>
        <w:szCs w:val="16"/>
      </w:rPr>
      <w:fldChar w:fldCharType="end"/>
    </w:r>
  </w:p>
  <w:p w:rsidR="0082201B" w:rsidRPr="00E545EB" w:rsidRDefault="005C132E">
    <w:pPr>
      <w:pStyle w:val="Encabezado"/>
      <w:jc w:val="right"/>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1B" w:rsidRPr="004B45A8" w:rsidRDefault="0003693C">
    <w:pPr>
      <w:pStyle w:val="Encabezado"/>
      <w:jc w:val="center"/>
      <w:rPr>
        <w:rFonts w:ascii="Tahoma" w:hAnsi="Tahoma" w:cs="Tahoma"/>
        <w:b/>
        <w:i/>
        <w:sz w:val="16"/>
        <w:szCs w:val="16"/>
      </w:rPr>
    </w:pPr>
    <w:r w:rsidRPr="004B45A8">
      <w:rPr>
        <w:rFonts w:ascii="Tahoma" w:hAnsi="Tahoma" w:cs="Tahoma"/>
        <w:b/>
        <w:i/>
        <w:noProof/>
        <w:sz w:val="16"/>
        <w:szCs w:val="16"/>
        <w:lang w:val="es-CO" w:eastAsia="es-CO"/>
      </w:rPr>
      <w:drawing>
        <wp:inline distT="0" distB="0" distL="0" distR="0" wp14:anchorId="7D2E96AB" wp14:editId="7F572C55">
          <wp:extent cx="664845" cy="63563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35635"/>
                  </a:xfrm>
                  <a:prstGeom prst="rect">
                    <a:avLst/>
                  </a:prstGeom>
                  <a:noFill/>
                  <a:ln>
                    <a:noFill/>
                  </a:ln>
                </pic:spPr>
              </pic:pic>
            </a:graphicData>
          </a:graphic>
        </wp:inline>
      </w:drawing>
    </w:r>
  </w:p>
  <w:p w:rsidR="0082201B" w:rsidRPr="004B45A8" w:rsidRDefault="0003693C">
    <w:pPr>
      <w:pStyle w:val="Encabezado"/>
      <w:jc w:val="center"/>
      <w:rPr>
        <w:rFonts w:ascii="Tahoma" w:hAnsi="Tahoma" w:cs="Tahoma"/>
        <w:b/>
        <w:sz w:val="16"/>
        <w:szCs w:val="16"/>
        <w:lang w:val="es-MX"/>
      </w:rPr>
    </w:pPr>
    <w:r w:rsidRPr="004B45A8">
      <w:rPr>
        <w:rFonts w:ascii="Tahoma" w:hAnsi="Tahoma" w:cs="Tahoma"/>
        <w:b/>
        <w:sz w:val="16"/>
        <w:szCs w:val="16"/>
        <w:lang w:val="es-MX"/>
      </w:rPr>
      <w:t>JUZGADO TREINTA Y CUATRO ADMINISTRATIVO</w:t>
    </w:r>
  </w:p>
  <w:p w:rsidR="0082201B" w:rsidRPr="004B45A8" w:rsidRDefault="0003693C">
    <w:pPr>
      <w:pStyle w:val="Encabezado"/>
      <w:jc w:val="center"/>
      <w:rPr>
        <w:rFonts w:ascii="Tahoma" w:hAnsi="Tahoma" w:cs="Tahoma"/>
        <w:b/>
        <w:sz w:val="16"/>
        <w:szCs w:val="16"/>
        <w:lang w:val="es-MX"/>
      </w:rPr>
    </w:pPr>
    <w:r w:rsidRPr="004B45A8">
      <w:rPr>
        <w:rFonts w:ascii="Tahoma" w:hAnsi="Tahoma" w:cs="Tahoma"/>
        <w:b/>
        <w:sz w:val="16"/>
        <w:szCs w:val="16"/>
        <w:lang w:val="es-MX"/>
      </w:rPr>
      <w:t>ORAL DE BOGOTÁ</w:t>
    </w:r>
  </w:p>
  <w:p w:rsidR="0082201B" w:rsidRPr="004B45A8" w:rsidRDefault="0003693C">
    <w:pPr>
      <w:pStyle w:val="Encabezado"/>
      <w:jc w:val="center"/>
      <w:rPr>
        <w:rFonts w:ascii="Tahoma" w:hAnsi="Tahoma" w:cs="Tahoma"/>
        <w:b/>
        <w:sz w:val="16"/>
        <w:szCs w:val="16"/>
        <w:lang w:val="es-MX"/>
      </w:rPr>
    </w:pPr>
    <w:r w:rsidRPr="004B45A8">
      <w:rPr>
        <w:rFonts w:ascii="Tahoma" w:hAnsi="Tahoma" w:cs="Tahoma"/>
        <w:b/>
        <w:sz w:val="16"/>
        <w:szCs w:val="16"/>
        <w:lang w:val="es-MX"/>
      </w:rPr>
      <w:t>Sección Tercera</w:t>
    </w:r>
  </w:p>
  <w:p w:rsidR="0082201B" w:rsidRPr="004B45A8" w:rsidRDefault="005C132E">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F542B"/>
    <w:multiLevelType w:val="hybridMultilevel"/>
    <w:tmpl w:val="6E2E720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390A7297"/>
    <w:multiLevelType w:val="hybridMultilevel"/>
    <w:tmpl w:val="99141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CAC4A06"/>
    <w:multiLevelType w:val="hybridMultilevel"/>
    <w:tmpl w:val="36582B4E"/>
    <w:lvl w:ilvl="0" w:tplc="94202732">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4C244F61"/>
    <w:multiLevelType w:val="hybridMultilevel"/>
    <w:tmpl w:val="E33AADB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BAC3005"/>
    <w:multiLevelType w:val="hybridMultilevel"/>
    <w:tmpl w:val="E1A643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FB"/>
    <w:rsid w:val="0003693C"/>
    <w:rsid w:val="00041F99"/>
    <w:rsid w:val="000D5F3B"/>
    <w:rsid w:val="000F5CA2"/>
    <w:rsid w:val="00130F3B"/>
    <w:rsid w:val="00167985"/>
    <w:rsid w:val="001869D5"/>
    <w:rsid w:val="001A061C"/>
    <w:rsid w:val="001C4D96"/>
    <w:rsid w:val="001E49EB"/>
    <w:rsid w:val="00251C75"/>
    <w:rsid w:val="00284BE1"/>
    <w:rsid w:val="002D15AC"/>
    <w:rsid w:val="00380A99"/>
    <w:rsid w:val="003840ED"/>
    <w:rsid w:val="003C778E"/>
    <w:rsid w:val="00406E10"/>
    <w:rsid w:val="004B45A8"/>
    <w:rsid w:val="005C132E"/>
    <w:rsid w:val="005E4A12"/>
    <w:rsid w:val="00603CC8"/>
    <w:rsid w:val="006403CB"/>
    <w:rsid w:val="0070017E"/>
    <w:rsid w:val="00721234"/>
    <w:rsid w:val="007342FB"/>
    <w:rsid w:val="00806F9D"/>
    <w:rsid w:val="00826E36"/>
    <w:rsid w:val="008831DF"/>
    <w:rsid w:val="00940FCC"/>
    <w:rsid w:val="00964E9E"/>
    <w:rsid w:val="0098707E"/>
    <w:rsid w:val="009A3460"/>
    <w:rsid w:val="00A72CA9"/>
    <w:rsid w:val="00B355E6"/>
    <w:rsid w:val="00B4122B"/>
    <w:rsid w:val="00B43E0C"/>
    <w:rsid w:val="00C360B1"/>
    <w:rsid w:val="00CB5274"/>
    <w:rsid w:val="00CD7715"/>
    <w:rsid w:val="00D97715"/>
    <w:rsid w:val="00DE6D05"/>
    <w:rsid w:val="00E41F24"/>
    <w:rsid w:val="00E545EB"/>
    <w:rsid w:val="00EC172E"/>
    <w:rsid w:val="00EC47E0"/>
    <w:rsid w:val="00F47449"/>
    <w:rsid w:val="00F738BE"/>
    <w:rsid w:val="00FA1F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472BA-DE0A-4408-9B76-D77060B8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42FB"/>
    <w:pPr>
      <w:tabs>
        <w:tab w:val="center" w:pos="4252"/>
        <w:tab w:val="right" w:pos="8504"/>
      </w:tabs>
    </w:pPr>
    <w:rPr>
      <w:szCs w:val="20"/>
      <w:lang w:val="en-US"/>
    </w:rPr>
  </w:style>
  <w:style w:type="character" w:customStyle="1" w:styleId="EncabezadoCar">
    <w:name w:val="Encabezado Car"/>
    <w:basedOn w:val="Fuentedeprrafopredeter"/>
    <w:link w:val="Encabezado"/>
    <w:uiPriority w:val="99"/>
    <w:rsid w:val="007342FB"/>
    <w:rPr>
      <w:rFonts w:ascii="Times New Roman" w:eastAsia="Times New Roman" w:hAnsi="Times New Roman" w:cs="Times New Roman"/>
      <w:sz w:val="24"/>
      <w:szCs w:val="20"/>
      <w:lang w:val="en-US" w:eastAsia="es-ES"/>
    </w:rPr>
  </w:style>
  <w:style w:type="character" w:styleId="Nmerodepgina">
    <w:name w:val="page number"/>
    <w:uiPriority w:val="99"/>
    <w:rsid w:val="007342FB"/>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Car,C"/>
    <w:basedOn w:val="Normal"/>
    <w:link w:val="TextonotapieCar"/>
    <w:uiPriority w:val="99"/>
    <w:rsid w:val="007342FB"/>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Ref. de nota al pie1 Car"/>
    <w:basedOn w:val="Fuentedeprrafopredeter"/>
    <w:link w:val="Textonotapie"/>
    <w:uiPriority w:val="99"/>
    <w:rsid w:val="007342FB"/>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uiPriority w:val="99"/>
    <w:rsid w:val="007342FB"/>
    <w:rPr>
      <w:rFonts w:cs="Times New Roman"/>
      <w:vertAlign w:val="superscript"/>
    </w:rPr>
  </w:style>
  <w:style w:type="paragraph" w:styleId="Sinespaciado">
    <w:name w:val="No Spacing"/>
    <w:uiPriority w:val="1"/>
    <w:qFormat/>
    <w:rsid w:val="007342FB"/>
    <w:pPr>
      <w:spacing w:after="0" w:line="240" w:lineRule="auto"/>
    </w:pPr>
    <w:rPr>
      <w:lang w:val="es-CO"/>
    </w:rPr>
  </w:style>
  <w:style w:type="table" w:styleId="Tablaconcuadrcula">
    <w:name w:val="Table Grid"/>
    <w:basedOn w:val="Tablanormal"/>
    <w:uiPriority w:val="39"/>
    <w:rsid w:val="007342FB"/>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42FB"/>
    <w:pPr>
      <w:spacing w:before="100" w:beforeAutospacing="1" w:after="100" w:afterAutospacing="1"/>
    </w:pPr>
    <w:rPr>
      <w:lang w:val="es-CO" w:eastAsia="es-CO"/>
    </w:rPr>
  </w:style>
  <w:style w:type="character" w:customStyle="1" w:styleId="baj">
    <w:name w:val="b_aj"/>
    <w:basedOn w:val="Fuentedeprrafopredeter"/>
    <w:rsid w:val="007342FB"/>
  </w:style>
  <w:style w:type="paragraph" w:styleId="Textodeglobo">
    <w:name w:val="Balloon Text"/>
    <w:basedOn w:val="Normal"/>
    <w:link w:val="TextodegloboCar"/>
    <w:uiPriority w:val="99"/>
    <w:semiHidden/>
    <w:unhideWhenUsed/>
    <w:rsid w:val="00734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2FB"/>
    <w:rPr>
      <w:rFonts w:ascii="Tahoma" w:eastAsia="Times New Roman" w:hAnsi="Tahoma" w:cs="Tahoma"/>
      <w:sz w:val="16"/>
      <w:szCs w:val="16"/>
      <w:lang w:eastAsia="es-ES"/>
    </w:rPr>
  </w:style>
  <w:style w:type="paragraph" w:customStyle="1" w:styleId="nueve-">
    <w:name w:val="nueve-"/>
    <w:rsid w:val="001A061C"/>
    <w:pPr>
      <w:spacing w:before="216" w:after="216" w:line="240" w:lineRule="auto"/>
      <w:ind w:firstLine="432"/>
      <w:jc w:val="both"/>
    </w:pPr>
    <w:rPr>
      <w:rFonts w:ascii="Arial" w:eastAsia="Calibri" w:hAnsi="Arial" w:cs="Arial"/>
      <w:sz w:val="24"/>
      <w:szCs w:val="24"/>
      <w:lang w:eastAsia="es-ES"/>
    </w:rPr>
  </w:style>
  <w:style w:type="paragraph" w:customStyle="1" w:styleId="Style7">
    <w:name w:val="Style7"/>
    <w:basedOn w:val="Normal"/>
    <w:uiPriority w:val="99"/>
    <w:rsid w:val="001A061C"/>
    <w:pPr>
      <w:widowControl w:val="0"/>
      <w:autoSpaceDE w:val="0"/>
      <w:autoSpaceDN w:val="0"/>
      <w:adjustRightInd w:val="0"/>
      <w:spacing w:line="415" w:lineRule="exact"/>
      <w:jc w:val="both"/>
    </w:pPr>
    <w:rPr>
      <w:rFonts w:ascii="Arial Narrow" w:eastAsiaTheme="minorEastAsia" w:hAnsi="Arial Narrow" w:cstheme="minorBidi"/>
      <w:lang w:val="es-CO" w:eastAsia="es-CO"/>
    </w:rPr>
  </w:style>
  <w:style w:type="character" w:customStyle="1" w:styleId="FontStyle26">
    <w:name w:val="Font Style26"/>
    <w:basedOn w:val="Fuentedeprrafopredeter"/>
    <w:uiPriority w:val="99"/>
    <w:rsid w:val="001A061C"/>
    <w:rPr>
      <w:rFonts w:ascii="Arial" w:hAnsi="Arial" w:cs="Arial"/>
      <w:b/>
      <w:bCs/>
      <w:sz w:val="22"/>
      <w:szCs w:val="22"/>
    </w:rPr>
  </w:style>
  <w:style w:type="character" w:customStyle="1" w:styleId="FontStyle27">
    <w:name w:val="Font Style27"/>
    <w:basedOn w:val="Fuentedeprrafopredeter"/>
    <w:uiPriority w:val="99"/>
    <w:rsid w:val="001A061C"/>
    <w:rPr>
      <w:rFonts w:ascii="Arial" w:hAnsi="Arial" w:cs="Arial"/>
      <w:sz w:val="22"/>
      <w:szCs w:val="22"/>
    </w:rPr>
  </w:style>
  <w:style w:type="paragraph" w:styleId="Prrafodelista">
    <w:name w:val="List Paragraph"/>
    <w:basedOn w:val="Normal"/>
    <w:uiPriority w:val="34"/>
    <w:qFormat/>
    <w:rsid w:val="001A061C"/>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Textoindependiente2">
    <w:name w:val="Body Text 2"/>
    <w:basedOn w:val="Normal"/>
    <w:link w:val="Textoindependiente2Car"/>
    <w:rsid w:val="001A061C"/>
    <w:pPr>
      <w:spacing w:after="120" w:line="480" w:lineRule="auto"/>
    </w:pPr>
  </w:style>
  <w:style w:type="character" w:customStyle="1" w:styleId="Textoindependiente2Car">
    <w:name w:val="Texto independiente 2 Car"/>
    <w:basedOn w:val="Fuentedeprrafopredeter"/>
    <w:link w:val="Textoindependiente2"/>
    <w:rsid w:val="001A061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47449"/>
    <w:pPr>
      <w:tabs>
        <w:tab w:val="center" w:pos="4252"/>
        <w:tab w:val="right" w:pos="8504"/>
      </w:tabs>
    </w:pPr>
  </w:style>
  <w:style w:type="character" w:customStyle="1" w:styleId="PiedepginaCar">
    <w:name w:val="Pie de página Car"/>
    <w:basedOn w:val="Fuentedeprrafopredeter"/>
    <w:link w:val="Piedepgina"/>
    <w:uiPriority w:val="99"/>
    <w:rsid w:val="00F4744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13785">
      <w:bodyDiv w:val="1"/>
      <w:marLeft w:val="0"/>
      <w:marRight w:val="0"/>
      <w:marTop w:val="0"/>
      <w:marBottom w:val="0"/>
      <w:divBdr>
        <w:top w:val="none" w:sz="0" w:space="0" w:color="auto"/>
        <w:left w:val="none" w:sz="0" w:space="0" w:color="auto"/>
        <w:bottom w:val="none" w:sz="0" w:space="0" w:color="auto"/>
        <w:right w:val="none" w:sz="0" w:space="0" w:color="auto"/>
      </w:divBdr>
    </w:div>
    <w:div w:id="1039740553">
      <w:bodyDiv w:val="1"/>
      <w:marLeft w:val="0"/>
      <w:marRight w:val="0"/>
      <w:marTop w:val="0"/>
      <w:marBottom w:val="0"/>
      <w:divBdr>
        <w:top w:val="none" w:sz="0" w:space="0" w:color="auto"/>
        <w:left w:val="none" w:sz="0" w:space="0" w:color="auto"/>
        <w:bottom w:val="none" w:sz="0" w:space="0" w:color="auto"/>
        <w:right w:val="none" w:sz="0" w:space="0" w:color="auto"/>
      </w:divBdr>
    </w:div>
    <w:div w:id="1186551975">
      <w:bodyDiv w:val="1"/>
      <w:marLeft w:val="0"/>
      <w:marRight w:val="0"/>
      <w:marTop w:val="0"/>
      <w:marBottom w:val="0"/>
      <w:divBdr>
        <w:top w:val="none" w:sz="0" w:space="0" w:color="auto"/>
        <w:left w:val="none" w:sz="0" w:space="0" w:color="auto"/>
        <w:bottom w:val="none" w:sz="0" w:space="0" w:color="auto"/>
        <w:right w:val="none" w:sz="0" w:space="0" w:color="auto"/>
      </w:divBdr>
    </w:div>
    <w:div w:id="1804544886">
      <w:bodyDiv w:val="1"/>
      <w:marLeft w:val="0"/>
      <w:marRight w:val="0"/>
      <w:marTop w:val="0"/>
      <w:marBottom w:val="0"/>
      <w:divBdr>
        <w:top w:val="none" w:sz="0" w:space="0" w:color="auto"/>
        <w:left w:val="none" w:sz="0" w:space="0" w:color="auto"/>
        <w:bottom w:val="none" w:sz="0" w:space="0" w:color="auto"/>
        <w:right w:val="none" w:sz="0" w:space="0" w:color="auto"/>
      </w:divBdr>
    </w:div>
    <w:div w:id="20371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dcterms:created xsi:type="dcterms:W3CDTF">2019-05-20T21:34:00Z</dcterms:created>
  <dcterms:modified xsi:type="dcterms:W3CDTF">2019-05-20T21:34:00Z</dcterms:modified>
</cp:coreProperties>
</file>