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735"/>
      </w:tblGrid>
      <w:tr w:rsidR="00FC347D" w:rsidRPr="00FC347D" w:rsidTr="00722C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D" w:rsidRPr="00FC347D" w:rsidRDefault="00FC347D" w:rsidP="00FC347D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FC347D">
              <w:rPr>
                <w:rFonts w:ascii="Arial Narrow" w:hAnsi="Arial Narrow" w:cs="Arial"/>
                <w:sz w:val="20"/>
                <w:szCs w:val="20"/>
                <w:lang w:eastAsia="es-ES"/>
              </w:rPr>
              <w:t>CIUDAD Y FECHA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D" w:rsidRPr="00FC347D" w:rsidRDefault="00FC347D" w:rsidP="00107BA1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es-MX" w:eastAsia="es-ES"/>
              </w:rPr>
            </w:pPr>
            <w:r w:rsidRPr="00FC347D">
              <w:rPr>
                <w:rFonts w:ascii="Arial Narrow" w:hAnsi="Arial Narrow" w:cs="Arial"/>
                <w:b/>
                <w:sz w:val="20"/>
                <w:szCs w:val="20"/>
                <w:lang w:val="es-MX" w:eastAsia="es-ES"/>
              </w:rPr>
              <w:t xml:space="preserve">Bogotá D.C., </w:t>
            </w:r>
            <w:r w:rsidR="00107BA1">
              <w:rPr>
                <w:rFonts w:ascii="Arial Narrow" w:hAnsi="Arial Narrow" w:cs="Arial"/>
                <w:b/>
                <w:sz w:val="20"/>
                <w:szCs w:val="20"/>
                <w:lang w:val="es-MX" w:eastAsia="es-ES"/>
              </w:rPr>
              <w:t>veintiocho (28) de junio</w:t>
            </w:r>
            <w:r w:rsidRPr="00FC347D">
              <w:rPr>
                <w:rFonts w:ascii="Arial Narrow" w:hAnsi="Arial Narrow" w:cs="Arial"/>
                <w:b/>
                <w:sz w:val="20"/>
                <w:szCs w:val="20"/>
                <w:lang w:val="es-MX" w:eastAsia="es-ES"/>
              </w:rPr>
              <w:t xml:space="preserve"> de dos mil diecinueve (2019) </w:t>
            </w:r>
          </w:p>
        </w:tc>
      </w:tr>
      <w:tr w:rsidR="00FC347D" w:rsidRPr="00FC347D" w:rsidTr="00722C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D" w:rsidRPr="00FC347D" w:rsidRDefault="00FC347D" w:rsidP="00FC347D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FC347D">
              <w:rPr>
                <w:rFonts w:ascii="Arial Narrow" w:hAnsi="Arial Narrow" w:cs="Arial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D" w:rsidRPr="00FC347D" w:rsidRDefault="00FC347D" w:rsidP="00FC347D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347D">
              <w:rPr>
                <w:rFonts w:ascii="Arial Narrow" w:hAnsi="Arial Narrow" w:cs="Arial"/>
                <w:b/>
                <w:sz w:val="20"/>
                <w:szCs w:val="20"/>
              </w:rPr>
              <w:t>Expediente No. 11001333603420180011500</w:t>
            </w:r>
          </w:p>
        </w:tc>
      </w:tr>
      <w:tr w:rsidR="00FC347D" w:rsidRPr="00FC347D" w:rsidTr="00722C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D" w:rsidRPr="00FC347D" w:rsidRDefault="00FC347D" w:rsidP="00FC347D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FC347D">
              <w:rPr>
                <w:rFonts w:ascii="Arial Narrow" w:hAnsi="Arial Narrow" w:cs="Arial"/>
                <w:sz w:val="20"/>
                <w:szCs w:val="20"/>
                <w:lang w:eastAsia="es-ES"/>
              </w:rPr>
              <w:t>DEMANDANTE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D" w:rsidRPr="00FC347D" w:rsidRDefault="00FC347D" w:rsidP="00FC347D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347D">
              <w:rPr>
                <w:rFonts w:ascii="Arial Narrow" w:hAnsi="Arial Narrow" w:cs="Arial"/>
                <w:b/>
                <w:sz w:val="20"/>
                <w:szCs w:val="20"/>
              </w:rPr>
              <w:t>MARÍA DIOSELINA CASTILLO MOLINA Y OTROS</w:t>
            </w:r>
          </w:p>
        </w:tc>
      </w:tr>
      <w:tr w:rsidR="00FC347D" w:rsidRPr="00FC347D" w:rsidTr="00722C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D" w:rsidRPr="00FC347D" w:rsidRDefault="00FC347D" w:rsidP="00FC347D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FC347D">
              <w:rPr>
                <w:rFonts w:ascii="Arial Narrow" w:hAnsi="Arial Narrow" w:cs="Arial"/>
                <w:sz w:val="20"/>
                <w:szCs w:val="20"/>
                <w:lang w:eastAsia="es-ES"/>
              </w:rPr>
              <w:t>DEMANDADO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D" w:rsidRPr="00FC347D" w:rsidRDefault="00FC347D" w:rsidP="00FC347D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347D">
              <w:rPr>
                <w:rFonts w:ascii="Arial Narrow" w:hAnsi="Arial Narrow" w:cs="Arial"/>
                <w:b/>
                <w:sz w:val="20"/>
                <w:szCs w:val="20"/>
              </w:rPr>
              <w:t>SUBRED INTEGRADA DE SERVICIOS DE SALUD SUR – HOSPITAL EL TUNAL DE BOGOTÁ</w:t>
            </w:r>
          </w:p>
        </w:tc>
      </w:tr>
      <w:tr w:rsidR="00FC347D" w:rsidRPr="00FC347D" w:rsidTr="00722CFD">
        <w:trPr>
          <w:trHeight w:val="2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D" w:rsidRPr="00FC347D" w:rsidRDefault="00FC347D" w:rsidP="00FC347D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FC347D">
              <w:rPr>
                <w:rFonts w:ascii="Arial Narrow" w:hAnsi="Arial Narrow" w:cs="Arial"/>
                <w:sz w:val="20"/>
                <w:szCs w:val="20"/>
                <w:lang w:eastAsia="es-ES"/>
              </w:rPr>
              <w:t>MEDIO DE CONTROL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D" w:rsidRPr="00FC347D" w:rsidRDefault="00FC347D" w:rsidP="00FC347D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es-MX" w:eastAsia="es-ES"/>
              </w:rPr>
            </w:pPr>
            <w:r w:rsidRPr="00FC347D">
              <w:rPr>
                <w:rFonts w:ascii="Arial Narrow" w:hAnsi="Arial Narrow" w:cs="Arial"/>
                <w:b/>
                <w:sz w:val="20"/>
                <w:szCs w:val="20"/>
                <w:lang w:val="es-MX" w:eastAsia="es-ES"/>
              </w:rPr>
              <w:t>REPARACIÓN DIRECTA</w:t>
            </w:r>
            <w:bookmarkStart w:id="0" w:name="_GoBack"/>
            <w:bookmarkEnd w:id="0"/>
          </w:p>
        </w:tc>
      </w:tr>
      <w:tr w:rsidR="00FC347D" w:rsidRPr="00FC347D" w:rsidTr="00722C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D" w:rsidRPr="00FC347D" w:rsidRDefault="00FC347D" w:rsidP="00FC347D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FC347D">
              <w:rPr>
                <w:rFonts w:ascii="Arial Narrow" w:hAnsi="Arial Narrow" w:cs="Arial"/>
                <w:sz w:val="20"/>
                <w:szCs w:val="20"/>
                <w:lang w:eastAsia="es-ES"/>
              </w:rPr>
              <w:t>ASUNTO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D" w:rsidRPr="00FC347D" w:rsidRDefault="00FC347D" w:rsidP="00FC347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FC347D"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  <w:t>RECHAZA RECURSO DE REPOSICIÓN Y CONCEDE RECURSO DE APELACIÓN CONTRA AUTO QUE RECHAZÓ DEMANDA</w:t>
            </w:r>
          </w:p>
        </w:tc>
      </w:tr>
    </w:tbl>
    <w:p w:rsidR="00FC347D" w:rsidRPr="00FC347D" w:rsidRDefault="00FC347D" w:rsidP="00FC347D">
      <w:pPr>
        <w:spacing w:after="0" w:line="276" w:lineRule="auto"/>
        <w:jc w:val="both"/>
        <w:rPr>
          <w:rFonts w:ascii="Arial" w:eastAsia="Times New Roman" w:hAnsi="Arial" w:cs="Arial"/>
          <w:lang w:val="es-ES" w:eastAsia="es-ES"/>
        </w:rPr>
      </w:pP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</w:rPr>
      </w:pPr>
      <w:r w:rsidRPr="00FC347D">
        <w:rPr>
          <w:rFonts w:ascii="Arial" w:hAnsi="Arial" w:cs="Arial"/>
        </w:rPr>
        <w:t xml:space="preserve">La presente demanda pretende que se declare administrativamente responsable a la Subred Integrada de Servicios de Salud Sur y el Hospital el Tunal de Bogotá por los perjuicios causados a los demandantes con ocasión de los daños producidos en la salud de </w:t>
      </w:r>
      <w:proofErr w:type="spellStart"/>
      <w:r w:rsidRPr="00FC347D">
        <w:rPr>
          <w:rFonts w:ascii="Arial" w:hAnsi="Arial" w:cs="Arial"/>
        </w:rPr>
        <w:t>Yimmy</w:t>
      </w:r>
      <w:proofErr w:type="spellEnd"/>
      <w:r w:rsidRPr="00FC347D">
        <w:rPr>
          <w:rFonts w:ascii="Arial" w:hAnsi="Arial" w:cs="Arial"/>
        </w:rPr>
        <w:t xml:space="preserve"> Humberto Mogollón Castillo.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</w:rPr>
      </w:pP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</w:rPr>
      </w:pPr>
      <w:r w:rsidRPr="00FC347D">
        <w:rPr>
          <w:rFonts w:ascii="Arial" w:hAnsi="Arial" w:cs="Arial"/>
        </w:rPr>
        <w:t>En auto de julio 18 de 2018 se inadmitió la demanda para que el apoderado del actor aclarara unos puntos</w:t>
      </w:r>
      <w:r w:rsidRPr="00FC347D">
        <w:rPr>
          <w:rStyle w:val="Refdenotaalpie"/>
          <w:rFonts w:ascii="Arial" w:hAnsi="Arial" w:cs="Arial"/>
        </w:rPr>
        <w:footnoteReference w:id="1"/>
      </w:r>
      <w:r w:rsidRPr="00FC347D">
        <w:rPr>
          <w:rFonts w:ascii="Arial" w:hAnsi="Arial" w:cs="Arial"/>
        </w:rPr>
        <w:t>.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</w:rPr>
      </w:pP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</w:rPr>
      </w:pPr>
      <w:r w:rsidRPr="00FC347D">
        <w:rPr>
          <w:rFonts w:ascii="Arial" w:hAnsi="Arial" w:cs="Arial"/>
        </w:rPr>
        <w:t>Con auto del 21 de noviembre de 2018 previo admitir se requirió al demandante.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  <w:bCs/>
          <w:lang w:eastAsia="es-ES"/>
        </w:rPr>
      </w:pPr>
    </w:p>
    <w:p w:rsidR="00FC347D" w:rsidRPr="00FC347D" w:rsidRDefault="00FC347D" w:rsidP="00FC347D">
      <w:pPr>
        <w:spacing w:after="0" w:line="276" w:lineRule="auto"/>
        <w:jc w:val="both"/>
        <w:rPr>
          <w:rFonts w:ascii="Arial" w:eastAsia="Calibri" w:hAnsi="Arial" w:cs="Arial"/>
          <w:bCs/>
          <w:lang w:eastAsia="es-ES"/>
        </w:rPr>
      </w:pPr>
      <w:r w:rsidRPr="00FC347D">
        <w:rPr>
          <w:rFonts w:ascii="Arial" w:hAnsi="Arial" w:cs="Arial"/>
          <w:bCs/>
          <w:lang w:eastAsia="es-ES"/>
        </w:rPr>
        <w:t>En auto de marzo 29 de 2019</w:t>
      </w:r>
      <w:r w:rsidRPr="00FC347D">
        <w:rPr>
          <w:rFonts w:ascii="Arial" w:eastAsia="Calibri" w:hAnsi="Arial" w:cs="Arial"/>
          <w:bCs/>
          <w:lang w:eastAsia="es-ES"/>
        </w:rPr>
        <w:t xml:space="preserve"> se rechazó la demanda por caducidad.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eastAsia="Calibri" w:hAnsi="Arial" w:cs="Arial"/>
          <w:bCs/>
          <w:lang w:eastAsia="es-ES"/>
        </w:rPr>
      </w:pPr>
      <w:r w:rsidRPr="00FC347D">
        <w:rPr>
          <w:rFonts w:ascii="Arial" w:eastAsia="Calibri" w:hAnsi="Arial" w:cs="Arial"/>
          <w:bCs/>
          <w:lang w:eastAsia="es-ES"/>
        </w:rPr>
        <w:t xml:space="preserve"> 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eastAsia="Calibri" w:hAnsi="Arial" w:cs="Arial"/>
          <w:bCs/>
          <w:i/>
          <w:lang w:eastAsia="es-ES"/>
        </w:rPr>
      </w:pPr>
      <w:r w:rsidRPr="00FC347D">
        <w:rPr>
          <w:rFonts w:ascii="Arial" w:eastAsia="Calibri" w:hAnsi="Arial" w:cs="Arial"/>
          <w:bCs/>
          <w:lang w:eastAsia="es-ES"/>
        </w:rPr>
        <w:t xml:space="preserve">En informe secretarial de abril 26 de 2019 se anotó: </w:t>
      </w:r>
      <w:r w:rsidRPr="00FC347D">
        <w:rPr>
          <w:rFonts w:ascii="Arial" w:eastAsia="Calibri" w:hAnsi="Arial" w:cs="Arial"/>
          <w:bCs/>
          <w:i/>
          <w:lang w:eastAsia="es-ES"/>
        </w:rPr>
        <w:t>“RECURSO DE REPOSICIÓN Y EN SUBSIDIO APELACIÓN CONTRA AUTO QUE RECHAZO DEMANDA OPORTUNAMENTE INTERPUESTO POR ACTOR (ABRIL 4 DE 2019), DEBIDAMENTE TRAMITADO. SÍRVASE PROVEER”.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eastAsia="Calibri" w:hAnsi="Arial" w:cs="Arial"/>
          <w:bCs/>
          <w:i/>
          <w:lang w:eastAsia="es-ES"/>
        </w:rPr>
      </w:pPr>
    </w:p>
    <w:p w:rsidR="00FC347D" w:rsidRPr="00FC347D" w:rsidRDefault="00FC347D" w:rsidP="00FC347D">
      <w:pPr>
        <w:spacing w:after="0" w:line="276" w:lineRule="auto"/>
        <w:rPr>
          <w:rFonts w:ascii="Arial" w:eastAsia="Calibri" w:hAnsi="Arial" w:cs="Arial"/>
          <w:lang w:eastAsia="es-ES"/>
        </w:rPr>
      </w:pPr>
      <w:r w:rsidRPr="00FC347D">
        <w:rPr>
          <w:rFonts w:ascii="Arial" w:eastAsia="Calibri" w:hAnsi="Arial" w:cs="Arial"/>
          <w:bCs/>
          <w:lang w:eastAsia="es-ES"/>
        </w:rPr>
        <w:t>Procede el Despacho a pronunciarse en los siguientes términos.</w:t>
      </w:r>
    </w:p>
    <w:p w:rsidR="00FC347D" w:rsidRPr="00FC347D" w:rsidRDefault="00FC347D" w:rsidP="00FC347D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es-ES"/>
        </w:rPr>
      </w:pPr>
    </w:p>
    <w:p w:rsidR="00FC347D" w:rsidRPr="00FC347D" w:rsidRDefault="00FC347D" w:rsidP="00FC347D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es-ES"/>
        </w:rPr>
      </w:pPr>
      <w:r w:rsidRPr="00FC347D">
        <w:rPr>
          <w:rFonts w:ascii="Arial" w:eastAsia="Times New Roman" w:hAnsi="Arial" w:cs="Arial"/>
          <w:b/>
          <w:color w:val="000000"/>
          <w:lang w:eastAsia="es-ES"/>
        </w:rPr>
        <w:t>CONSIDERACIONES</w:t>
      </w:r>
    </w:p>
    <w:p w:rsidR="00FC347D" w:rsidRPr="00FC347D" w:rsidRDefault="00FC347D" w:rsidP="00FC347D">
      <w:pPr>
        <w:spacing w:after="0" w:line="276" w:lineRule="auto"/>
        <w:rPr>
          <w:rFonts w:ascii="Arial" w:eastAsia="Times New Roman" w:hAnsi="Arial" w:cs="Arial"/>
          <w:b/>
          <w:color w:val="000000"/>
          <w:lang w:eastAsia="es-ES"/>
        </w:rPr>
      </w:pPr>
    </w:p>
    <w:p w:rsidR="00FC347D" w:rsidRPr="00FC347D" w:rsidRDefault="00FC347D" w:rsidP="00FC347D">
      <w:pPr>
        <w:spacing w:after="0" w:line="276" w:lineRule="auto"/>
        <w:contextualSpacing/>
        <w:rPr>
          <w:rFonts w:ascii="Arial" w:eastAsia="Times New Roman" w:hAnsi="Arial" w:cs="Arial"/>
          <w:b/>
          <w:color w:val="000000"/>
          <w:lang w:eastAsia="es-ES"/>
        </w:rPr>
      </w:pPr>
      <w:r w:rsidRPr="00FC347D">
        <w:rPr>
          <w:rFonts w:ascii="Arial" w:eastAsia="Times New Roman" w:hAnsi="Arial" w:cs="Arial"/>
          <w:b/>
          <w:color w:val="000000"/>
          <w:lang w:eastAsia="es-ES"/>
        </w:rPr>
        <w:t>Del recurso de apelación:</w:t>
      </w:r>
    </w:p>
    <w:p w:rsidR="00FC347D" w:rsidRPr="00FC347D" w:rsidRDefault="00FC347D" w:rsidP="00FC347D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color w:val="000000"/>
          <w:lang w:eastAsia="es-ES"/>
        </w:rPr>
      </w:pP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</w:rPr>
      </w:pPr>
      <w:r w:rsidRPr="00FC347D">
        <w:rPr>
          <w:rFonts w:ascii="Arial" w:hAnsi="Arial" w:cs="Arial"/>
        </w:rPr>
        <w:t xml:space="preserve">El artículo 243 del Código de Procedimiento Administrativo y de lo Contencioso Administrativo, señala que los </w:t>
      </w:r>
      <w:r w:rsidRPr="00FC347D">
        <w:rPr>
          <w:rFonts w:ascii="Arial" w:hAnsi="Arial" w:cs="Arial"/>
          <w:b/>
        </w:rPr>
        <w:t>autos susceptibles de apelación proferidos en la misma instancia por los jueces administrativos son</w:t>
      </w:r>
      <w:r w:rsidRPr="00FC347D">
        <w:rPr>
          <w:rFonts w:ascii="Arial" w:hAnsi="Arial" w:cs="Arial"/>
        </w:rPr>
        <w:t>: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</w:rPr>
      </w:pP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  <w:b/>
          <w:i/>
          <w:u w:val="single"/>
        </w:rPr>
      </w:pPr>
      <w:r w:rsidRPr="00FC347D">
        <w:rPr>
          <w:rFonts w:ascii="Arial" w:hAnsi="Arial" w:cs="Arial"/>
          <w:b/>
          <w:i/>
          <w:u w:val="single"/>
        </w:rPr>
        <w:t>“1. El que rechace la demanda.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  <w:i/>
        </w:rPr>
      </w:pPr>
      <w:r w:rsidRPr="00FC347D">
        <w:rPr>
          <w:rFonts w:ascii="Arial" w:hAnsi="Arial" w:cs="Arial"/>
          <w:i/>
        </w:rPr>
        <w:t>2. El que decrete una medida cautelar y el que resuelva los incidentes de responsabilidad y desacato en ese mismo trámite.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  <w:i/>
        </w:rPr>
      </w:pPr>
      <w:r w:rsidRPr="00FC347D">
        <w:rPr>
          <w:rFonts w:ascii="Arial" w:hAnsi="Arial" w:cs="Arial"/>
          <w:i/>
        </w:rPr>
        <w:t>3. El que ponga fin al proceso.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  <w:i/>
        </w:rPr>
      </w:pPr>
      <w:r w:rsidRPr="00FC347D">
        <w:rPr>
          <w:rFonts w:ascii="Arial" w:hAnsi="Arial" w:cs="Arial"/>
          <w:i/>
        </w:rPr>
        <w:t>4. El que apruebe conciliaciones extrajudiciales o judiciales, recurso que solo podrá ser interpuesto por el Ministerio Público.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  <w:i/>
        </w:rPr>
      </w:pPr>
      <w:r w:rsidRPr="00FC347D">
        <w:rPr>
          <w:rFonts w:ascii="Arial" w:hAnsi="Arial" w:cs="Arial"/>
          <w:i/>
        </w:rPr>
        <w:t>5. El que resuelva la liquidación de la condena o de los perjuicios.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  <w:i/>
        </w:rPr>
      </w:pPr>
      <w:r w:rsidRPr="00FC347D">
        <w:rPr>
          <w:rFonts w:ascii="Arial" w:hAnsi="Arial" w:cs="Arial"/>
          <w:i/>
        </w:rPr>
        <w:lastRenderedPageBreak/>
        <w:t>6. El que decreta las nulidades procesales.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  <w:i/>
        </w:rPr>
      </w:pPr>
      <w:r w:rsidRPr="00FC347D">
        <w:rPr>
          <w:rFonts w:ascii="Arial" w:hAnsi="Arial" w:cs="Arial"/>
          <w:i/>
        </w:rPr>
        <w:t>7. El que niega la intervención de terceros.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  <w:i/>
        </w:rPr>
      </w:pPr>
      <w:r w:rsidRPr="00FC347D">
        <w:rPr>
          <w:rFonts w:ascii="Arial" w:hAnsi="Arial" w:cs="Arial"/>
          <w:i/>
        </w:rPr>
        <w:t>8. El que prescinda de la audiencia de pruebas.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</w:rPr>
      </w:pPr>
      <w:r w:rsidRPr="00FC347D">
        <w:rPr>
          <w:rFonts w:ascii="Arial" w:hAnsi="Arial" w:cs="Arial"/>
          <w:i/>
        </w:rPr>
        <w:t xml:space="preserve">9. El que deniegue el decreto o práctica de alguna prueba pedida oportunamente” </w:t>
      </w:r>
      <w:r w:rsidRPr="00FC347D">
        <w:rPr>
          <w:rFonts w:ascii="Arial" w:hAnsi="Arial" w:cs="Arial"/>
        </w:rPr>
        <w:t>(Subrayado y negrilla fuera de texto)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hAnsi="Arial" w:cs="Arial"/>
        </w:rPr>
      </w:pPr>
    </w:p>
    <w:p w:rsidR="00FC347D" w:rsidRPr="00FC347D" w:rsidRDefault="00FC347D" w:rsidP="00FC347D">
      <w:pPr>
        <w:spacing w:line="276" w:lineRule="auto"/>
        <w:jc w:val="both"/>
        <w:rPr>
          <w:rFonts w:ascii="Arial" w:hAnsi="Arial" w:cs="Arial"/>
        </w:rPr>
      </w:pPr>
      <w:r w:rsidRPr="00FC347D">
        <w:rPr>
          <w:rFonts w:ascii="Arial" w:hAnsi="Arial" w:cs="Arial"/>
        </w:rPr>
        <w:t>En el presente caso la providencia recurrida solo es susceptible del recurso de apelación, ya que la norma expresamente así lo reguló, por tal motivo se procederá a rechazar el recurso de reposición por improcedente y a estudiar si es viable conceder  el recurso de apelación interpuesto contra la providencia del 29 de marzo de 2019.</w:t>
      </w:r>
    </w:p>
    <w:p w:rsidR="00FC347D" w:rsidRPr="00FC347D" w:rsidRDefault="00FC347D" w:rsidP="00FC347D">
      <w:pPr>
        <w:pStyle w:val="nueve-"/>
        <w:spacing w:before="15" w:after="15" w:line="276" w:lineRule="auto"/>
        <w:ind w:right="15" w:firstLine="0"/>
        <w:rPr>
          <w:sz w:val="22"/>
          <w:szCs w:val="22"/>
        </w:rPr>
      </w:pPr>
      <w:r w:rsidRPr="00FC347D">
        <w:rPr>
          <w:sz w:val="22"/>
          <w:szCs w:val="22"/>
        </w:rPr>
        <w:t xml:space="preserve">En cuanto a este particular, el numeral 2º del artículo 244 ibídem prevé que cuando el auto es notificado por estado, el recurso de apelación deberá sustentarse e interponerse por escrito dentro de los </w:t>
      </w:r>
      <w:r w:rsidRPr="00FC347D">
        <w:rPr>
          <w:b/>
          <w:sz w:val="22"/>
          <w:szCs w:val="22"/>
        </w:rPr>
        <w:t>tres (3) días</w:t>
      </w:r>
      <w:r w:rsidRPr="00FC347D">
        <w:rPr>
          <w:sz w:val="22"/>
          <w:szCs w:val="22"/>
        </w:rPr>
        <w:t xml:space="preserve"> siguientes ante el juez que lo profirió. </w:t>
      </w:r>
    </w:p>
    <w:p w:rsidR="00FC347D" w:rsidRPr="00FC347D" w:rsidRDefault="00FC347D" w:rsidP="00FC347D">
      <w:pPr>
        <w:spacing w:line="276" w:lineRule="auto"/>
        <w:jc w:val="both"/>
        <w:rPr>
          <w:rFonts w:ascii="Arial" w:hAnsi="Arial" w:cs="Arial"/>
        </w:rPr>
      </w:pPr>
    </w:p>
    <w:p w:rsidR="00FC347D" w:rsidRPr="00FC347D" w:rsidRDefault="00FC347D" w:rsidP="00FC347D">
      <w:pPr>
        <w:spacing w:line="276" w:lineRule="auto"/>
        <w:jc w:val="both"/>
        <w:rPr>
          <w:rFonts w:ascii="Arial" w:hAnsi="Arial" w:cs="Arial"/>
        </w:rPr>
      </w:pPr>
      <w:r w:rsidRPr="00FC347D">
        <w:rPr>
          <w:rFonts w:ascii="Arial" w:hAnsi="Arial" w:cs="Arial"/>
        </w:rPr>
        <w:t xml:space="preserve">El auto recurrido fue notificado por estado el día 1 de abril de 2019, por lo que se tenía hasta el 4 de abril de la misma anualidad para presentar el recurso de apelación y como quiera que fue interpuesto ese último día, es decir, dentro del término legal, se concederá </w:t>
      </w:r>
      <w:r w:rsidRPr="00FC347D">
        <w:rPr>
          <w:rFonts w:ascii="Arial" w:hAnsi="Arial" w:cs="Arial"/>
          <w:noProof/>
        </w:rPr>
        <w:t xml:space="preserve">ante el </w:t>
      </w:r>
      <w:r w:rsidRPr="00FC347D">
        <w:rPr>
          <w:rFonts w:ascii="Arial" w:hAnsi="Arial" w:cs="Arial"/>
        </w:rPr>
        <w:t>Tribunal Administrativo de Cundinamarca en el efecto suspensivo.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eastAsia="Calibri" w:hAnsi="Arial" w:cs="Arial"/>
          <w:b/>
          <w:lang w:val="es-ES" w:eastAsia="es-ES"/>
        </w:rPr>
      </w:pPr>
      <w:r w:rsidRPr="00FC347D">
        <w:rPr>
          <w:rFonts w:ascii="Arial" w:eastAsia="Calibri" w:hAnsi="Arial" w:cs="Arial"/>
          <w:lang w:val="es-ES" w:eastAsia="es-ES"/>
        </w:rPr>
        <w:t xml:space="preserve">Por lo anterior se </w:t>
      </w:r>
      <w:r w:rsidRPr="00FC347D">
        <w:rPr>
          <w:rFonts w:ascii="Arial" w:eastAsia="Calibri" w:hAnsi="Arial" w:cs="Arial"/>
          <w:b/>
          <w:lang w:val="es-ES" w:eastAsia="es-ES"/>
        </w:rPr>
        <w:t>RESUELVE: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eastAsia="Calibri" w:hAnsi="Arial" w:cs="Arial"/>
          <w:b/>
          <w:lang w:val="es-ES" w:eastAsia="es-ES"/>
        </w:rPr>
      </w:pPr>
    </w:p>
    <w:p w:rsidR="00FC347D" w:rsidRPr="00FC347D" w:rsidRDefault="00FC347D" w:rsidP="00FC347D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C347D">
        <w:rPr>
          <w:rFonts w:ascii="Arial" w:eastAsia="Times New Roman" w:hAnsi="Arial" w:cs="Arial"/>
          <w:b/>
          <w:color w:val="000000"/>
          <w:lang w:eastAsia="es-ES"/>
        </w:rPr>
        <w:t xml:space="preserve">Primero: </w:t>
      </w:r>
      <w:r w:rsidRPr="00FC347D">
        <w:rPr>
          <w:rFonts w:ascii="Arial" w:eastAsia="Times New Roman" w:hAnsi="Arial" w:cs="Arial"/>
          <w:color w:val="000000"/>
          <w:lang w:eastAsia="es-ES"/>
        </w:rPr>
        <w:t xml:space="preserve">Rechácese por improcedente el recurso de REPOSICIÓN interpuesto contra la providencia del </w:t>
      </w:r>
      <w:r>
        <w:rPr>
          <w:rFonts w:ascii="Arial" w:eastAsia="Times New Roman" w:hAnsi="Arial" w:cs="Arial"/>
          <w:color w:val="000000"/>
          <w:lang w:eastAsia="es-ES"/>
        </w:rPr>
        <w:t>29 de marzo de 2019</w:t>
      </w:r>
      <w:r w:rsidRPr="00FC347D">
        <w:rPr>
          <w:rFonts w:ascii="Arial" w:eastAsia="Times New Roman" w:hAnsi="Arial" w:cs="Arial"/>
          <w:color w:val="000000"/>
          <w:lang w:eastAsia="es-ES"/>
        </w:rPr>
        <w:t>.</w:t>
      </w:r>
    </w:p>
    <w:p w:rsidR="00FC347D" w:rsidRPr="00FC347D" w:rsidRDefault="00FC347D" w:rsidP="00FC347D">
      <w:pPr>
        <w:spacing w:after="0" w:line="276" w:lineRule="auto"/>
        <w:rPr>
          <w:rFonts w:ascii="Arial" w:eastAsia="Times New Roman" w:hAnsi="Arial" w:cs="Arial"/>
          <w:b/>
          <w:color w:val="000000"/>
          <w:lang w:eastAsia="es-ES"/>
        </w:rPr>
      </w:pPr>
    </w:p>
    <w:p w:rsidR="00FC347D" w:rsidRPr="00FC347D" w:rsidRDefault="00FC347D" w:rsidP="00FC347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C347D">
        <w:rPr>
          <w:rFonts w:ascii="Arial" w:eastAsia="Times New Roman" w:hAnsi="Arial" w:cs="Arial"/>
          <w:b/>
          <w:color w:val="000000"/>
          <w:lang w:eastAsia="es-ES"/>
        </w:rPr>
        <w:t xml:space="preserve">Segundo: </w:t>
      </w:r>
      <w:r w:rsidRPr="00FC347D">
        <w:rPr>
          <w:rFonts w:ascii="Arial" w:eastAsia="Times New Roman" w:hAnsi="Arial" w:cs="Arial"/>
          <w:color w:val="000000"/>
          <w:lang w:eastAsia="es-ES"/>
        </w:rPr>
        <w:t xml:space="preserve">Concédase el recurso de APELACIÓN oportunamente interpuesto por la parte actora contra la providencia del </w:t>
      </w:r>
      <w:r>
        <w:rPr>
          <w:rFonts w:ascii="Arial" w:eastAsia="Times New Roman" w:hAnsi="Arial" w:cs="Arial"/>
          <w:color w:val="000000"/>
          <w:lang w:eastAsia="es-ES"/>
        </w:rPr>
        <w:t>29 de marzo de 2019</w:t>
      </w:r>
      <w:r w:rsidRPr="00FC347D">
        <w:rPr>
          <w:rFonts w:ascii="Arial" w:eastAsia="Times New Roman" w:hAnsi="Arial" w:cs="Arial"/>
          <w:color w:val="000000"/>
          <w:lang w:eastAsia="es-ES"/>
        </w:rPr>
        <w:t>, en el efecto suspensivo.</w:t>
      </w:r>
    </w:p>
    <w:p w:rsidR="00FC347D" w:rsidRPr="00FC347D" w:rsidRDefault="00FC347D" w:rsidP="00FC347D">
      <w:pPr>
        <w:spacing w:after="0" w:line="276" w:lineRule="auto"/>
        <w:rPr>
          <w:rFonts w:ascii="Arial" w:eastAsia="Times New Roman" w:hAnsi="Arial" w:cs="Arial"/>
          <w:b/>
          <w:color w:val="000000"/>
          <w:lang w:eastAsia="es-ES"/>
        </w:rPr>
      </w:pPr>
    </w:p>
    <w:p w:rsidR="00FC347D" w:rsidRPr="00FC347D" w:rsidRDefault="00FC347D" w:rsidP="00FC347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C347D">
        <w:rPr>
          <w:rFonts w:ascii="Arial" w:eastAsia="Times New Roman" w:hAnsi="Arial" w:cs="Arial"/>
          <w:b/>
          <w:color w:val="000000"/>
          <w:lang w:eastAsia="es-ES"/>
        </w:rPr>
        <w:t xml:space="preserve">Tercero: </w:t>
      </w:r>
      <w:r w:rsidRPr="00FC347D">
        <w:rPr>
          <w:rFonts w:ascii="Arial" w:eastAsia="Times New Roman" w:hAnsi="Arial" w:cs="Arial"/>
          <w:color w:val="000000"/>
          <w:lang w:eastAsia="es-ES"/>
        </w:rPr>
        <w:t>Una vez ejecutoriado el presente auto, por la Oficina de Apoyo, remítase al Tribunal Administrativo de Cundinamarca el expediente de la referencia, haciéndose las anotaciones del caso.</w:t>
      </w:r>
    </w:p>
    <w:p w:rsidR="00FC347D" w:rsidRPr="00FC347D" w:rsidRDefault="00FC347D" w:rsidP="00FC347D">
      <w:pPr>
        <w:spacing w:after="0" w:line="276" w:lineRule="auto"/>
        <w:rPr>
          <w:rFonts w:ascii="Arial" w:eastAsia="Times New Roman" w:hAnsi="Arial" w:cs="Arial"/>
          <w:b/>
          <w:color w:val="000000"/>
          <w:lang w:eastAsia="es-ES"/>
        </w:rPr>
      </w:pPr>
    </w:p>
    <w:p w:rsidR="00FC347D" w:rsidRPr="00FC347D" w:rsidRDefault="00FC347D" w:rsidP="00FC347D">
      <w:pPr>
        <w:spacing w:after="0" w:line="276" w:lineRule="auto"/>
        <w:rPr>
          <w:rFonts w:ascii="Arial" w:eastAsia="Times New Roman" w:hAnsi="Arial" w:cs="Arial"/>
          <w:b/>
          <w:color w:val="000000"/>
          <w:lang w:eastAsia="es-ES"/>
        </w:rPr>
      </w:pPr>
      <w:r w:rsidRPr="00FC347D">
        <w:rPr>
          <w:rFonts w:ascii="Arial" w:eastAsia="Times New Roman" w:hAnsi="Arial" w:cs="Arial"/>
          <w:b/>
          <w:color w:val="000000"/>
          <w:lang w:eastAsia="es-ES"/>
        </w:rPr>
        <w:t>NOTIFÍQUESE Y CÚMPLASE,</w:t>
      </w:r>
    </w:p>
    <w:p w:rsidR="00FC347D" w:rsidRPr="00FC347D" w:rsidRDefault="00FC347D" w:rsidP="00FC347D">
      <w:pPr>
        <w:spacing w:after="0" w:line="276" w:lineRule="auto"/>
        <w:rPr>
          <w:rFonts w:ascii="Arial" w:eastAsia="Times New Roman" w:hAnsi="Arial" w:cs="Arial"/>
          <w:b/>
          <w:color w:val="000000"/>
          <w:lang w:eastAsia="es-ES"/>
        </w:rPr>
      </w:pPr>
    </w:p>
    <w:p w:rsidR="00FC347D" w:rsidRPr="00FC347D" w:rsidRDefault="00FC347D" w:rsidP="00FC347D">
      <w:pPr>
        <w:spacing w:after="0" w:line="276" w:lineRule="auto"/>
        <w:ind w:left="283"/>
        <w:jc w:val="center"/>
        <w:rPr>
          <w:rFonts w:ascii="Arial" w:eastAsia="Times New Roman" w:hAnsi="Arial" w:cs="Arial"/>
          <w:b/>
          <w:color w:val="000000"/>
          <w:lang w:eastAsia="es-ES"/>
        </w:rPr>
      </w:pPr>
      <w:r w:rsidRPr="00FC347D">
        <w:rPr>
          <w:rFonts w:ascii="Arial" w:eastAsia="Times New Roman" w:hAnsi="Arial" w:cs="Arial"/>
          <w:b/>
          <w:color w:val="000000"/>
          <w:lang w:eastAsia="es-ES"/>
        </w:rPr>
        <w:t>OLGA CECILIA HENAO MARÍN</w:t>
      </w:r>
    </w:p>
    <w:p w:rsidR="00FC347D" w:rsidRPr="00FC347D" w:rsidRDefault="00FC347D" w:rsidP="00FC347D">
      <w:pPr>
        <w:spacing w:after="0" w:line="276" w:lineRule="auto"/>
        <w:ind w:left="283"/>
        <w:jc w:val="center"/>
        <w:rPr>
          <w:rFonts w:ascii="Arial" w:eastAsia="Times New Roman" w:hAnsi="Arial" w:cs="Arial"/>
          <w:b/>
          <w:color w:val="000000"/>
          <w:lang w:eastAsia="es-ES"/>
        </w:rPr>
      </w:pPr>
      <w:r w:rsidRPr="00FC347D">
        <w:rPr>
          <w:rFonts w:ascii="Arial" w:eastAsia="Times New Roman" w:hAnsi="Arial" w:cs="Arial"/>
          <w:b/>
          <w:color w:val="000000"/>
          <w:lang w:eastAsia="es-ES"/>
        </w:rPr>
        <w:t>Juez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FC347D" w:rsidRPr="00FC347D" w:rsidRDefault="00FC347D" w:rsidP="00FC347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es-ES"/>
        </w:rPr>
      </w:pPr>
      <w:r w:rsidRPr="00FC347D">
        <w:rPr>
          <w:rFonts w:ascii="Arial" w:eastAsia="Times New Roman" w:hAnsi="Arial" w:cs="Arial"/>
          <w:color w:val="000000"/>
          <w:sz w:val="12"/>
          <w:szCs w:val="12"/>
          <w:lang w:eastAsia="es-ES"/>
        </w:rPr>
        <w:t>SLDR</w:t>
      </w:r>
    </w:p>
    <w:p w:rsidR="00FC347D" w:rsidRPr="00FC347D" w:rsidRDefault="00FC347D" w:rsidP="00FC347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tbl>
      <w:tblPr>
        <w:tblStyle w:val="Tablaconcuadrcula"/>
        <w:tblW w:w="0" w:type="auto"/>
        <w:tblInd w:w="13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FC347D" w:rsidRPr="00FC347D" w:rsidTr="00722CFD">
        <w:trPr>
          <w:trHeight w:val="2190"/>
        </w:trPr>
        <w:tc>
          <w:tcPr>
            <w:tcW w:w="5954" w:type="dxa"/>
          </w:tcPr>
          <w:p w:rsidR="00FC347D" w:rsidRPr="00FC347D" w:rsidRDefault="00FC347D" w:rsidP="00FC347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FC347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JUZGADO TREINTA Y CUATRO ADMINISTRATIVO CIRCUITO DE BOGOTÁ -  SECCIÓN TERCERA</w:t>
            </w:r>
          </w:p>
          <w:p w:rsidR="00FC347D" w:rsidRPr="00FC347D" w:rsidRDefault="00FC347D" w:rsidP="00FC347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FC347D" w:rsidRPr="00FC347D" w:rsidRDefault="00FC347D" w:rsidP="00FC347D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C347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Por anotación en ESTADO notifico a las partes la providencia anterior, hoy </w:t>
            </w:r>
            <w:r w:rsidRPr="00FC347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____________________________</w:t>
            </w:r>
            <w:r w:rsidRPr="00FC347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las 8:00 a.m.</w:t>
            </w:r>
          </w:p>
          <w:p w:rsidR="00FC347D" w:rsidRPr="00FC347D" w:rsidRDefault="00FC347D" w:rsidP="00FC347D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C347D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1599CDA8" wp14:editId="487370F6">
                  <wp:simplePos x="0" y="0"/>
                  <wp:positionH relativeFrom="margin">
                    <wp:posOffset>1433195</wp:posOffset>
                  </wp:positionH>
                  <wp:positionV relativeFrom="paragraph">
                    <wp:posOffset>183515</wp:posOffset>
                  </wp:positionV>
                  <wp:extent cx="815340" cy="485775"/>
                  <wp:effectExtent l="0" t="0" r="3810" b="9525"/>
                  <wp:wrapSquare wrapText="bothSides"/>
                  <wp:docPr id="2" name="Imagen 2" descr="C:\Users\rcortesr\Documents\VILMA\ORGANIZACION\SOPORTE - INSUMOS\fir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cortesr\Documents\VILMA\ORGANIZACION\SOPORTE - INSUMOS\fir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C347D" w:rsidRPr="00FC347D" w:rsidRDefault="00FC347D" w:rsidP="00FC347D">
      <w:pPr>
        <w:spacing w:after="0" w:line="276" w:lineRule="auto"/>
        <w:rPr>
          <w:rFonts w:ascii="Arial" w:eastAsia="Times New Roman" w:hAnsi="Arial" w:cs="Arial"/>
          <w:lang w:eastAsia="es-ES"/>
        </w:rPr>
      </w:pPr>
    </w:p>
    <w:sectPr w:rsidR="00FC347D" w:rsidRPr="00FC347D" w:rsidSect="00AD32BE">
      <w:headerReference w:type="even" r:id="rId8"/>
      <w:headerReference w:type="default" r:id="rId9"/>
      <w:footerReference w:type="default" r:id="rId10"/>
      <w:headerReference w:type="first" r:id="rId11"/>
      <w:pgSz w:w="12240" w:h="18720" w:code="14"/>
      <w:pgMar w:top="1417" w:right="1701" w:bottom="1417" w:left="1701" w:header="85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695" w:rsidRDefault="00496695" w:rsidP="00FC347D">
      <w:pPr>
        <w:spacing w:after="0" w:line="240" w:lineRule="auto"/>
      </w:pPr>
      <w:r>
        <w:separator/>
      </w:r>
    </w:p>
  </w:endnote>
  <w:endnote w:type="continuationSeparator" w:id="0">
    <w:p w:rsidR="00496695" w:rsidRDefault="00496695" w:rsidP="00FC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F5" w:rsidRPr="00116394" w:rsidRDefault="00496695" w:rsidP="00AD32BE">
    <w:pPr>
      <w:pStyle w:val="Piedepgina"/>
      <w:jc w:val="right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695" w:rsidRDefault="00496695" w:rsidP="00FC347D">
      <w:pPr>
        <w:spacing w:after="0" w:line="240" w:lineRule="auto"/>
      </w:pPr>
      <w:r>
        <w:separator/>
      </w:r>
    </w:p>
  </w:footnote>
  <w:footnote w:type="continuationSeparator" w:id="0">
    <w:p w:rsidR="00496695" w:rsidRDefault="00496695" w:rsidP="00FC347D">
      <w:pPr>
        <w:spacing w:after="0" w:line="240" w:lineRule="auto"/>
      </w:pPr>
      <w:r>
        <w:continuationSeparator/>
      </w:r>
    </w:p>
  </w:footnote>
  <w:footnote w:id="1">
    <w:p w:rsidR="00FC347D" w:rsidRPr="00406456" w:rsidRDefault="00FC347D" w:rsidP="00FC347D">
      <w:pPr>
        <w:pStyle w:val="Prrafodelista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406456">
        <w:rPr>
          <w:rStyle w:val="Refdenotaalpie"/>
          <w:rFonts w:ascii="Arial" w:hAnsi="Arial" w:cs="Arial"/>
          <w:sz w:val="16"/>
          <w:szCs w:val="16"/>
        </w:rPr>
        <w:footnoteRef/>
      </w:r>
      <w:r w:rsidRPr="00406456">
        <w:rPr>
          <w:rFonts w:ascii="Arial" w:hAnsi="Arial" w:cs="Arial"/>
          <w:sz w:val="16"/>
          <w:szCs w:val="16"/>
        </w:rPr>
        <w:t xml:space="preserve"> La señora María </w:t>
      </w:r>
      <w:proofErr w:type="spellStart"/>
      <w:r w:rsidRPr="00406456">
        <w:rPr>
          <w:rFonts w:ascii="Arial" w:hAnsi="Arial" w:cs="Arial"/>
          <w:sz w:val="16"/>
          <w:szCs w:val="16"/>
        </w:rPr>
        <w:t>Dioselina</w:t>
      </w:r>
      <w:proofErr w:type="spellEnd"/>
      <w:r w:rsidRPr="00406456">
        <w:rPr>
          <w:rFonts w:ascii="Arial" w:hAnsi="Arial" w:cs="Arial"/>
          <w:sz w:val="16"/>
          <w:szCs w:val="16"/>
        </w:rPr>
        <w:t xml:space="preserve"> Castillo Molina otorga poder en representación de </w:t>
      </w:r>
      <w:proofErr w:type="spellStart"/>
      <w:r w:rsidRPr="00406456">
        <w:rPr>
          <w:rFonts w:ascii="Arial" w:hAnsi="Arial" w:cs="Arial"/>
          <w:sz w:val="16"/>
          <w:szCs w:val="16"/>
        </w:rPr>
        <w:t>Lizeth</w:t>
      </w:r>
      <w:proofErr w:type="spellEnd"/>
      <w:r w:rsidRPr="0040645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06456">
        <w:rPr>
          <w:rFonts w:ascii="Arial" w:hAnsi="Arial" w:cs="Arial"/>
          <w:sz w:val="16"/>
          <w:szCs w:val="16"/>
        </w:rPr>
        <w:t>Dayanna</w:t>
      </w:r>
      <w:proofErr w:type="spellEnd"/>
      <w:r w:rsidRPr="00406456">
        <w:rPr>
          <w:rFonts w:ascii="Arial" w:hAnsi="Arial" w:cs="Arial"/>
          <w:sz w:val="16"/>
          <w:szCs w:val="16"/>
        </w:rPr>
        <w:t xml:space="preserve"> Mogollón Cantillo pero la señora </w:t>
      </w:r>
      <w:proofErr w:type="spellStart"/>
      <w:r w:rsidRPr="00406456">
        <w:rPr>
          <w:rFonts w:ascii="Arial" w:hAnsi="Arial" w:cs="Arial"/>
          <w:sz w:val="16"/>
          <w:szCs w:val="16"/>
        </w:rPr>
        <w:t>Naxly</w:t>
      </w:r>
      <w:proofErr w:type="spellEnd"/>
      <w:r w:rsidRPr="00406456">
        <w:rPr>
          <w:rFonts w:ascii="Arial" w:hAnsi="Arial" w:cs="Arial"/>
          <w:sz w:val="16"/>
          <w:szCs w:val="16"/>
        </w:rPr>
        <w:t xml:space="preserve"> Liliana Cantillo Polo también lo hace; sin embargo en la demanda se indica que quien representa a la menor es </w:t>
      </w:r>
      <w:proofErr w:type="spellStart"/>
      <w:r w:rsidRPr="00406456">
        <w:rPr>
          <w:rFonts w:ascii="Arial" w:hAnsi="Arial" w:cs="Arial"/>
          <w:sz w:val="16"/>
          <w:szCs w:val="16"/>
        </w:rPr>
        <w:t>Naxly</w:t>
      </w:r>
      <w:proofErr w:type="spellEnd"/>
      <w:r w:rsidRPr="00406456">
        <w:rPr>
          <w:rFonts w:ascii="Arial" w:hAnsi="Arial" w:cs="Arial"/>
          <w:sz w:val="16"/>
          <w:szCs w:val="16"/>
        </w:rPr>
        <w:t xml:space="preserve"> Liliana Cantillo Polo quien es su madre, por lo cual deberá aclararse y adecuarse el poder.</w:t>
      </w:r>
    </w:p>
    <w:p w:rsidR="00FC347D" w:rsidRPr="00406456" w:rsidRDefault="00FC347D" w:rsidP="00FC347D">
      <w:pPr>
        <w:pStyle w:val="Prrafodelista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406456">
        <w:rPr>
          <w:rFonts w:ascii="Arial" w:hAnsi="Arial" w:cs="Arial"/>
          <w:sz w:val="16"/>
          <w:szCs w:val="16"/>
        </w:rPr>
        <w:t xml:space="preserve">También en el poder se indica que la demanda va dirigida en contra del Hospital el Tunal, Subred Integrada de Servicios del Sur y </w:t>
      </w:r>
      <w:r w:rsidRPr="00406456">
        <w:rPr>
          <w:rFonts w:ascii="Arial" w:hAnsi="Arial" w:cs="Arial"/>
          <w:b/>
          <w:sz w:val="16"/>
          <w:szCs w:val="16"/>
        </w:rPr>
        <w:t xml:space="preserve">ALCALDÍA MAYOR DE BOGOTÁ; </w:t>
      </w:r>
      <w:r w:rsidRPr="00406456">
        <w:rPr>
          <w:rFonts w:ascii="Arial" w:hAnsi="Arial" w:cs="Arial"/>
          <w:sz w:val="16"/>
          <w:szCs w:val="16"/>
        </w:rPr>
        <w:t xml:space="preserve">sin embargo, la Alcaldía no aparece como demandada en el presente proceso. Por lo tanto, deberá aclarar si esa entidad es demandada y de ser así, allegar constancia de conciliación prejudicial agotando este requisito respecto de aquella; de lo contrario, deberá adecuar el poder. </w:t>
      </w:r>
    </w:p>
    <w:p w:rsidR="00FC347D" w:rsidRPr="00406456" w:rsidRDefault="00FC347D" w:rsidP="00FC347D">
      <w:pPr>
        <w:pStyle w:val="Prrafodelista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r w:rsidRPr="00406456">
        <w:rPr>
          <w:rFonts w:ascii="Arial" w:hAnsi="Arial" w:cs="Arial"/>
          <w:sz w:val="16"/>
          <w:szCs w:val="16"/>
        </w:rPr>
        <w:t>La actora deberá aportar documento que indique cuándo inició el proceso de interdicción.</w:t>
      </w:r>
    </w:p>
    <w:p w:rsidR="00FC347D" w:rsidRPr="00406456" w:rsidRDefault="00FC347D" w:rsidP="00FC347D">
      <w:pPr>
        <w:pStyle w:val="Prrafodelista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16"/>
          <w:szCs w:val="16"/>
        </w:rPr>
      </w:pPr>
      <w:r w:rsidRPr="00406456">
        <w:rPr>
          <w:rFonts w:ascii="Arial" w:hAnsi="Arial" w:cs="Arial"/>
          <w:sz w:val="16"/>
          <w:szCs w:val="16"/>
        </w:rPr>
        <w:t>No es clara la legitimación en la causa por pasiva del Hospital el Tunal de Bogotá ESE, como quiera que las Empresas Sociales del Estado se fusionaron y quedaron integradas a una SUBRED INTEGRADA DE SERVICIOS DE SALUD</w:t>
      </w:r>
      <w:r w:rsidRPr="00406456">
        <w:rPr>
          <w:rStyle w:val="Refdenotaalpie"/>
          <w:rFonts w:ascii="Arial" w:hAnsi="Arial" w:cs="Arial"/>
          <w:sz w:val="16"/>
          <w:szCs w:val="16"/>
        </w:rPr>
        <w:footnoteRef/>
      </w:r>
      <w:r w:rsidRPr="00406456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F5" w:rsidRPr="00B7731B" w:rsidRDefault="00496695" w:rsidP="00AD32BE">
    <w:pPr>
      <w:pStyle w:val="Encabezado"/>
      <w:jc w:val="right"/>
      <w:rPr>
        <w:rFonts w:ascii="Tahoma" w:hAnsi="Tahoma" w:cs="Tahoma"/>
        <w:sz w:val="18"/>
        <w:szCs w:val="18"/>
        <w:lang w:val="es-MX"/>
      </w:rPr>
    </w:pPr>
    <w:r w:rsidRPr="00B7731B">
      <w:rPr>
        <w:rFonts w:ascii="Tahoma" w:hAnsi="Tahoma" w:cs="Tahoma"/>
        <w:sz w:val="18"/>
        <w:szCs w:val="18"/>
        <w:lang w:val="es-MX"/>
      </w:rPr>
      <w:t>Expediente No. 2006-1539</w:t>
    </w:r>
  </w:p>
  <w:p w:rsidR="00E520F5" w:rsidRPr="00B7731B" w:rsidRDefault="00496695" w:rsidP="00AD32BE">
    <w:pPr>
      <w:pStyle w:val="Encabezado"/>
      <w:jc w:val="right"/>
      <w:rPr>
        <w:rFonts w:ascii="Tahoma" w:hAnsi="Tahoma" w:cs="Tahoma"/>
        <w:sz w:val="18"/>
        <w:szCs w:val="18"/>
        <w:lang w:val="es-MX"/>
      </w:rPr>
    </w:pPr>
    <w:r w:rsidRPr="00B7731B">
      <w:rPr>
        <w:rFonts w:ascii="Tahoma" w:hAnsi="Tahoma" w:cs="Tahoma"/>
        <w:sz w:val="18"/>
        <w:szCs w:val="18"/>
        <w:lang w:val="es-MX"/>
      </w:rPr>
      <w:t xml:space="preserve">Páginas </w:t>
    </w:r>
    <w:r w:rsidRPr="00B7731B">
      <w:rPr>
        <w:rStyle w:val="Nmerodepgina"/>
        <w:rFonts w:ascii="Tahoma" w:hAnsi="Tahoma" w:cs="Tahoma"/>
        <w:sz w:val="18"/>
        <w:szCs w:val="18"/>
      </w:rPr>
      <w:fldChar w:fldCharType="begin"/>
    </w:r>
    <w:r w:rsidRPr="00B7731B">
      <w:rPr>
        <w:rStyle w:val="Nmerodepgina"/>
        <w:rFonts w:ascii="Tahoma" w:hAnsi="Tahoma" w:cs="Tahoma"/>
        <w:sz w:val="18"/>
        <w:szCs w:val="18"/>
      </w:rPr>
      <w:instrText xml:space="preserve"> PAGE </w:instrText>
    </w:r>
    <w:r w:rsidRPr="00B7731B">
      <w:rPr>
        <w:rStyle w:val="Nmerodepgina"/>
        <w:rFonts w:ascii="Tahoma" w:hAnsi="Tahoma" w:cs="Tahoma"/>
        <w:sz w:val="18"/>
        <w:szCs w:val="18"/>
      </w:rPr>
      <w:fldChar w:fldCharType="separate"/>
    </w:r>
    <w:r>
      <w:rPr>
        <w:rStyle w:val="Nmerodepgina"/>
        <w:rFonts w:ascii="Tahoma" w:hAnsi="Tahoma" w:cs="Tahoma"/>
        <w:noProof/>
        <w:sz w:val="18"/>
        <w:szCs w:val="18"/>
      </w:rPr>
      <w:t>2</w:t>
    </w:r>
    <w:r w:rsidRPr="00B7731B">
      <w:rPr>
        <w:rStyle w:val="Nmerodepgina"/>
        <w:rFonts w:ascii="Tahoma" w:hAnsi="Tahoma" w:cs="Tahoma"/>
        <w:sz w:val="18"/>
        <w:szCs w:val="18"/>
      </w:rPr>
      <w:fldChar w:fldCharType="end"/>
    </w:r>
    <w:r w:rsidRPr="00B7731B">
      <w:rPr>
        <w:rStyle w:val="Nmerodepgina"/>
        <w:rFonts w:ascii="Tahoma" w:hAnsi="Tahoma" w:cs="Tahoma"/>
        <w:sz w:val="18"/>
        <w:szCs w:val="18"/>
      </w:rPr>
      <w:t xml:space="preserve"> de </w:t>
    </w:r>
    <w:r w:rsidRPr="00B7731B">
      <w:rPr>
        <w:rStyle w:val="Nmerodepgina"/>
        <w:rFonts w:ascii="Tahoma" w:hAnsi="Tahoma" w:cs="Tahoma"/>
        <w:sz w:val="18"/>
        <w:szCs w:val="18"/>
      </w:rPr>
      <w:fldChar w:fldCharType="begin"/>
    </w:r>
    <w:r w:rsidRPr="00B7731B">
      <w:rPr>
        <w:rStyle w:val="Nmerodepgina"/>
        <w:rFonts w:ascii="Tahoma" w:hAnsi="Tahoma" w:cs="Tahoma"/>
        <w:sz w:val="18"/>
        <w:szCs w:val="18"/>
      </w:rPr>
      <w:instrText xml:space="preserve"> NUMPAGES </w:instrText>
    </w:r>
    <w:r w:rsidRPr="00B7731B">
      <w:rPr>
        <w:rStyle w:val="Nmerodepgina"/>
        <w:rFonts w:ascii="Tahoma" w:hAnsi="Tahoma" w:cs="Tahoma"/>
        <w:sz w:val="18"/>
        <w:szCs w:val="18"/>
      </w:rPr>
      <w:fldChar w:fldCharType="separate"/>
    </w:r>
    <w:r w:rsidR="00107BA1">
      <w:rPr>
        <w:rStyle w:val="Nmerodepgina"/>
        <w:rFonts w:ascii="Tahoma" w:hAnsi="Tahoma" w:cs="Tahoma"/>
        <w:noProof/>
        <w:sz w:val="18"/>
        <w:szCs w:val="18"/>
      </w:rPr>
      <w:t>1</w:t>
    </w:r>
    <w:r w:rsidRPr="00B7731B">
      <w:rPr>
        <w:rStyle w:val="Nmerodepgina"/>
        <w:rFonts w:ascii="Tahoma" w:hAnsi="Tahoma" w:cs="Tahoma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F5" w:rsidRPr="006A5923" w:rsidRDefault="00496695" w:rsidP="00AD32BE">
    <w:pPr>
      <w:pStyle w:val="Encabezado"/>
      <w:jc w:val="right"/>
      <w:rPr>
        <w:rFonts w:ascii="Tahoma" w:hAnsi="Tahoma" w:cs="Tahoma"/>
        <w:sz w:val="16"/>
        <w:szCs w:val="16"/>
        <w:lang w:val="es-MX"/>
      </w:rPr>
    </w:pPr>
    <w:r w:rsidRPr="006A5923">
      <w:rPr>
        <w:rFonts w:ascii="Tahoma" w:hAnsi="Tahoma" w:cs="Tahoma"/>
        <w:sz w:val="16"/>
        <w:szCs w:val="16"/>
        <w:lang w:val="es-MX"/>
      </w:rPr>
      <w:t xml:space="preserve"> Expediente No. 201</w:t>
    </w:r>
    <w:r>
      <w:rPr>
        <w:rFonts w:ascii="Tahoma" w:hAnsi="Tahoma" w:cs="Tahoma"/>
        <w:sz w:val="16"/>
        <w:szCs w:val="16"/>
        <w:lang w:val="es-MX"/>
      </w:rPr>
      <w:t>8-0</w:t>
    </w:r>
    <w:r w:rsidR="00FC347D">
      <w:rPr>
        <w:rFonts w:ascii="Tahoma" w:hAnsi="Tahoma" w:cs="Tahoma"/>
        <w:sz w:val="16"/>
        <w:szCs w:val="16"/>
        <w:lang w:val="es-MX"/>
      </w:rPr>
      <w:t>115</w:t>
    </w:r>
  </w:p>
  <w:p w:rsidR="00FC347D" w:rsidRDefault="00FC347D" w:rsidP="00AD32BE">
    <w:pPr>
      <w:pStyle w:val="Encabezado"/>
      <w:jc w:val="right"/>
      <w:rPr>
        <w:rFonts w:ascii="Tahoma" w:hAnsi="Tahoma" w:cs="Tahoma"/>
        <w:sz w:val="16"/>
        <w:szCs w:val="16"/>
        <w:lang w:val="es-ES"/>
      </w:rPr>
    </w:pPr>
    <w:r w:rsidRPr="00FC347D">
      <w:rPr>
        <w:rFonts w:ascii="Tahoma" w:hAnsi="Tahoma" w:cs="Tahoma"/>
        <w:sz w:val="16"/>
        <w:szCs w:val="16"/>
        <w:lang w:val="es-ES"/>
      </w:rPr>
      <w:t>RECHAZA RECURSO DE REPOSICIÓN Y CONCEDE RECURSO DE APELACIÓN CONTRA AUTO QUE RECHAZÓ DEMANDA</w:t>
    </w:r>
  </w:p>
  <w:p w:rsidR="00E520F5" w:rsidRPr="006A5923" w:rsidRDefault="00496695" w:rsidP="00AD32BE">
    <w:pPr>
      <w:pStyle w:val="Encabezado"/>
      <w:jc w:val="right"/>
      <w:rPr>
        <w:rStyle w:val="Nmerodepgina"/>
        <w:rFonts w:ascii="Tahoma" w:hAnsi="Tahoma" w:cs="Tahoma"/>
        <w:sz w:val="16"/>
        <w:szCs w:val="16"/>
        <w:lang w:val="es-ES"/>
      </w:rPr>
    </w:pPr>
    <w:r w:rsidRPr="006A5923">
      <w:rPr>
        <w:rFonts w:ascii="Tahoma" w:hAnsi="Tahoma" w:cs="Tahoma"/>
        <w:sz w:val="16"/>
        <w:szCs w:val="16"/>
        <w:lang w:val="es-MX"/>
      </w:rPr>
      <w:t xml:space="preserve">Páginas </w:t>
    </w:r>
    <w:r w:rsidRPr="006A5923">
      <w:rPr>
        <w:rStyle w:val="Nmerodepgina"/>
        <w:rFonts w:ascii="Tahoma" w:hAnsi="Tahoma" w:cs="Tahoma"/>
        <w:sz w:val="16"/>
        <w:szCs w:val="16"/>
      </w:rPr>
      <w:fldChar w:fldCharType="begin"/>
    </w:r>
    <w:r w:rsidRPr="006A5923">
      <w:rPr>
        <w:rStyle w:val="Nmerodepgina"/>
        <w:rFonts w:ascii="Tahoma" w:hAnsi="Tahoma" w:cs="Tahoma"/>
        <w:sz w:val="16"/>
        <w:szCs w:val="16"/>
        <w:lang w:val="es-ES"/>
      </w:rPr>
      <w:instrText xml:space="preserve"> PAGE </w:instrText>
    </w:r>
    <w:r w:rsidRPr="006A5923">
      <w:rPr>
        <w:rStyle w:val="Nmerodepgina"/>
        <w:rFonts w:ascii="Tahoma" w:hAnsi="Tahoma" w:cs="Tahoma"/>
        <w:sz w:val="16"/>
        <w:szCs w:val="16"/>
      </w:rPr>
      <w:fldChar w:fldCharType="separate"/>
    </w:r>
    <w:r w:rsidR="00107BA1">
      <w:rPr>
        <w:rStyle w:val="Nmerodepgina"/>
        <w:rFonts w:ascii="Tahoma" w:hAnsi="Tahoma" w:cs="Tahoma"/>
        <w:noProof/>
        <w:sz w:val="16"/>
        <w:szCs w:val="16"/>
        <w:lang w:val="es-ES"/>
      </w:rPr>
      <w:t>2</w:t>
    </w:r>
    <w:r w:rsidRPr="006A5923">
      <w:rPr>
        <w:rStyle w:val="Nmerodepgina"/>
        <w:rFonts w:ascii="Tahoma" w:hAnsi="Tahoma" w:cs="Tahoma"/>
        <w:sz w:val="16"/>
        <w:szCs w:val="16"/>
      </w:rPr>
      <w:fldChar w:fldCharType="end"/>
    </w:r>
    <w:r w:rsidRPr="006A5923">
      <w:rPr>
        <w:rStyle w:val="Nmerodepgina"/>
        <w:rFonts w:ascii="Tahoma" w:hAnsi="Tahoma" w:cs="Tahoma"/>
        <w:sz w:val="16"/>
        <w:szCs w:val="16"/>
        <w:lang w:val="es-ES"/>
      </w:rPr>
      <w:t xml:space="preserve"> de </w:t>
    </w:r>
    <w:r w:rsidRPr="006A5923">
      <w:rPr>
        <w:rStyle w:val="Nmerodepgina"/>
        <w:rFonts w:ascii="Tahoma" w:hAnsi="Tahoma" w:cs="Tahoma"/>
        <w:sz w:val="16"/>
        <w:szCs w:val="16"/>
      </w:rPr>
      <w:fldChar w:fldCharType="begin"/>
    </w:r>
    <w:r w:rsidRPr="006A5923">
      <w:rPr>
        <w:rStyle w:val="Nmerodepgina"/>
        <w:rFonts w:ascii="Tahoma" w:hAnsi="Tahoma" w:cs="Tahoma"/>
        <w:sz w:val="16"/>
        <w:szCs w:val="16"/>
        <w:lang w:val="es-ES"/>
      </w:rPr>
      <w:instrText xml:space="preserve"> NUMPAGES </w:instrText>
    </w:r>
    <w:r w:rsidRPr="006A5923">
      <w:rPr>
        <w:rStyle w:val="Nmerodepgina"/>
        <w:rFonts w:ascii="Tahoma" w:hAnsi="Tahoma" w:cs="Tahoma"/>
        <w:sz w:val="16"/>
        <w:szCs w:val="16"/>
      </w:rPr>
      <w:fldChar w:fldCharType="separate"/>
    </w:r>
    <w:r w:rsidR="00107BA1">
      <w:rPr>
        <w:rStyle w:val="Nmerodepgina"/>
        <w:rFonts w:ascii="Tahoma" w:hAnsi="Tahoma" w:cs="Tahoma"/>
        <w:noProof/>
        <w:sz w:val="16"/>
        <w:szCs w:val="16"/>
        <w:lang w:val="es-ES"/>
      </w:rPr>
      <w:t>2</w:t>
    </w:r>
    <w:r w:rsidRPr="006A5923">
      <w:rPr>
        <w:rStyle w:val="Nmerodepgina"/>
        <w:rFonts w:ascii="Tahoma" w:hAnsi="Tahoma" w:cs="Tahoma"/>
        <w:sz w:val="16"/>
        <w:szCs w:val="16"/>
      </w:rPr>
      <w:fldChar w:fldCharType="end"/>
    </w:r>
  </w:p>
  <w:p w:rsidR="00E520F5" w:rsidRPr="005E4E4B" w:rsidRDefault="00496695" w:rsidP="00AD32BE">
    <w:pPr>
      <w:pStyle w:val="Encabezado"/>
      <w:jc w:val="right"/>
      <w:rPr>
        <w:rFonts w:ascii="Tahoma" w:hAnsi="Tahoma" w:cs="Tahoma"/>
        <w:sz w:val="12"/>
        <w:szCs w:val="12"/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F5" w:rsidRPr="00BC3CF2" w:rsidRDefault="00496695" w:rsidP="00AD32BE">
    <w:pPr>
      <w:pStyle w:val="Encabezado"/>
      <w:jc w:val="center"/>
      <w:rPr>
        <w:rFonts w:ascii="Tahoma" w:hAnsi="Tahoma" w:cs="Tahoma"/>
        <w:b/>
        <w:i/>
        <w:sz w:val="16"/>
        <w:szCs w:val="16"/>
      </w:rPr>
    </w:pPr>
    <w:r w:rsidRPr="00BC3CF2">
      <w:rPr>
        <w:rFonts w:ascii="Tahoma" w:hAnsi="Tahoma" w:cs="Tahoma"/>
        <w:b/>
        <w:i/>
        <w:noProof/>
        <w:sz w:val="16"/>
        <w:szCs w:val="16"/>
        <w:lang w:eastAsia="es-CO"/>
      </w:rPr>
      <w:drawing>
        <wp:inline distT="0" distB="0" distL="0" distR="0" wp14:anchorId="672B3E22" wp14:editId="00FB8F93">
          <wp:extent cx="668020" cy="6121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20F5" w:rsidRPr="00BC3CF2" w:rsidRDefault="00496695" w:rsidP="00AD32BE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 w:rsidRPr="00BC3CF2">
      <w:rPr>
        <w:rFonts w:ascii="Tahoma" w:hAnsi="Tahoma" w:cs="Tahoma"/>
        <w:b/>
        <w:sz w:val="16"/>
        <w:szCs w:val="16"/>
        <w:lang w:val="es-MX"/>
      </w:rPr>
      <w:t>JUZGADO TREINTA Y CUATRO ADMINISTRATIVO</w:t>
    </w:r>
  </w:p>
  <w:p w:rsidR="00E520F5" w:rsidRPr="00BC3CF2" w:rsidRDefault="00496695" w:rsidP="00AD32BE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 w:rsidRPr="00BC3CF2">
      <w:rPr>
        <w:rFonts w:ascii="Tahoma" w:hAnsi="Tahoma" w:cs="Tahoma"/>
        <w:b/>
        <w:sz w:val="16"/>
        <w:szCs w:val="16"/>
        <w:lang w:val="es-MX"/>
      </w:rPr>
      <w:t>ORAL DE BOGOTÁ</w:t>
    </w:r>
  </w:p>
  <w:p w:rsidR="00E520F5" w:rsidRPr="00BC3CF2" w:rsidRDefault="00496695" w:rsidP="00AD32BE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 w:rsidRPr="00BC3CF2">
      <w:rPr>
        <w:rFonts w:ascii="Tahoma" w:hAnsi="Tahoma" w:cs="Tahoma"/>
        <w:b/>
        <w:sz w:val="16"/>
        <w:szCs w:val="16"/>
        <w:lang w:val="es-MX"/>
      </w:rPr>
      <w:t>Sección Tercera</w:t>
    </w:r>
  </w:p>
  <w:p w:rsidR="00E520F5" w:rsidRPr="00BC3CF2" w:rsidRDefault="00496695">
    <w:pPr>
      <w:pStyle w:val="Encabezado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76A2B"/>
    <w:multiLevelType w:val="hybridMultilevel"/>
    <w:tmpl w:val="78DE3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7D"/>
    <w:rsid w:val="00040636"/>
    <w:rsid w:val="00107BA1"/>
    <w:rsid w:val="001F3F86"/>
    <w:rsid w:val="00272CDE"/>
    <w:rsid w:val="00406456"/>
    <w:rsid w:val="00496695"/>
    <w:rsid w:val="0062018F"/>
    <w:rsid w:val="00941CB2"/>
    <w:rsid w:val="00A46BB8"/>
    <w:rsid w:val="00A50FF4"/>
    <w:rsid w:val="00B1661A"/>
    <w:rsid w:val="00CC207E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D99EA48-6CDB-493C-9744-39A0A29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7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C3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347D"/>
  </w:style>
  <w:style w:type="paragraph" w:styleId="Piedepgina">
    <w:name w:val="footer"/>
    <w:basedOn w:val="Normal"/>
    <w:link w:val="PiedepginaCar"/>
    <w:uiPriority w:val="99"/>
    <w:unhideWhenUsed/>
    <w:rsid w:val="00FC34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47D"/>
  </w:style>
  <w:style w:type="character" w:styleId="Nmerodepgina">
    <w:name w:val="page number"/>
    <w:basedOn w:val="Fuentedeprrafopredeter"/>
    <w:uiPriority w:val="99"/>
    <w:rsid w:val="00FC347D"/>
    <w:rPr>
      <w:rFonts w:cs="Times New Roman"/>
    </w:rPr>
  </w:style>
  <w:style w:type="table" w:styleId="Tablaconcuadrcula">
    <w:name w:val="Table Grid"/>
    <w:basedOn w:val="Tablanormal"/>
    <w:uiPriority w:val="39"/>
    <w:rsid w:val="00FC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4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347D"/>
    <w:pPr>
      <w:ind w:left="720"/>
      <w:contextualSpacing/>
    </w:pPr>
    <w:rPr>
      <w:rFonts w:eastAsia="Times New Roman" w:cs="Times New Roman"/>
      <w:lang w:val="es-ES"/>
    </w:rPr>
  </w:style>
  <w:style w:type="character" w:styleId="Refdenotaalpie">
    <w:name w:val="footnote reference"/>
    <w:aliases w:val="Pie de Página,FC,Texto de nota al pie,Ref. de nota al pie 2"/>
    <w:basedOn w:val="Fuentedeprrafopredeter"/>
    <w:uiPriority w:val="99"/>
    <w:unhideWhenUsed/>
    <w:rsid w:val="00FC347D"/>
    <w:rPr>
      <w:vertAlign w:val="superscript"/>
    </w:rPr>
  </w:style>
  <w:style w:type="paragraph" w:customStyle="1" w:styleId="nueve-">
    <w:name w:val="nueve-"/>
    <w:rsid w:val="00FC347D"/>
    <w:pPr>
      <w:spacing w:before="216" w:after="216" w:line="240" w:lineRule="auto"/>
      <w:ind w:firstLine="432"/>
      <w:jc w:val="both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Judicante Juzgado 34 Administrativo</dc:creator>
  <cp:lastModifiedBy>Olga Henao Marin</cp:lastModifiedBy>
  <cp:revision>3</cp:revision>
  <dcterms:created xsi:type="dcterms:W3CDTF">2019-06-28T19:11:00Z</dcterms:created>
  <dcterms:modified xsi:type="dcterms:W3CDTF">2019-06-28T19:11:00Z</dcterms:modified>
</cp:coreProperties>
</file>