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051"/>
      </w:tblGrid>
      <w:tr w:rsidR="007A1F44" w:rsidRPr="00E54C7F" w14:paraId="1AD1B318" w14:textId="77777777" w:rsidTr="00BA6A12">
        <w:trPr>
          <w:trHeight w:val="192"/>
        </w:trPr>
        <w:tc>
          <w:tcPr>
            <w:tcW w:w="2014" w:type="dxa"/>
            <w:vAlign w:val="center"/>
          </w:tcPr>
          <w:p w14:paraId="4F3E7F1D" w14:textId="77777777" w:rsidR="007A1F44" w:rsidRPr="00E54C7F" w:rsidRDefault="007A1F44" w:rsidP="00E54C7F">
            <w:pPr>
              <w:pStyle w:val="Sinespaciado"/>
              <w:spacing w:line="276" w:lineRule="auto"/>
              <w:rPr>
                <w:rFonts w:ascii="Arial Narrow" w:hAnsi="Arial Narrow" w:cs="Arial"/>
                <w:sz w:val="20"/>
                <w:szCs w:val="20"/>
              </w:rPr>
            </w:pPr>
            <w:r w:rsidRPr="00E54C7F">
              <w:rPr>
                <w:rFonts w:ascii="Arial Narrow" w:hAnsi="Arial Narrow" w:cs="Arial"/>
                <w:sz w:val="20"/>
                <w:szCs w:val="20"/>
              </w:rPr>
              <w:t>CIUDAD Y FECHA</w:t>
            </w:r>
          </w:p>
        </w:tc>
        <w:tc>
          <w:tcPr>
            <w:tcW w:w="7051" w:type="dxa"/>
          </w:tcPr>
          <w:p w14:paraId="2B9F56CD" w14:textId="40A01534" w:rsidR="007A1F44" w:rsidRPr="00E54C7F" w:rsidRDefault="007A1F44" w:rsidP="00E54C7F">
            <w:pPr>
              <w:pStyle w:val="Sinespaciado"/>
              <w:spacing w:line="276" w:lineRule="auto"/>
              <w:rPr>
                <w:rFonts w:ascii="Arial Narrow" w:hAnsi="Arial Narrow" w:cs="Arial"/>
                <w:b/>
                <w:sz w:val="20"/>
                <w:szCs w:val="20"/>
              </w:rPr>
            </w:pPr>
            <w:r w:rsidRPr="00E54C7F">
              <w:rPr>
                <w:rFonts w:ascii="Arial Narrow" w:hAnsi="Arial Narrow" w:cs="Arial"/>
                <w:b/>
                <w:sz w:val="20"/>
                <w:szCs w:val="20"/>
              </w:rPr>
              <w:t xml:space="preserve">Bogotá D.C., </w:t>
            </w:r>
            <w:r w:rsidR="00CA3652">
              <w:rPr>
                <w:rFonts w:ascii="Arial Narrow" w:hAnsi="Arial Narrow" w:cs="Arial"/>
                <w:b/>
                <w:sz w:val="20"/>
                <w:szCs w:val="20"/>
              </w:rPr>
              <w:t>treinta (30)</w:t>
            </w:r>
            <w:r w:rsidRPr="00E54C7F">
              <w:rPr>
                <w:rFonts w:ascii="Arial Narrow" w:hAnsi="Arial Narrow" w:cs="Arial"/>
                <w:b/>
                <w:sz w:val="20"/>
                <w:szCs w:val="20"/>
              </w:rPr>
              <w:t xml:space="preserve"> de octubre de dos mil diecinueve (2019)</w:t>
            </w:r>
          </w:p>
        </w:tc>
      </w:tr>
      <w:tr w:rsidR="007A1F44" w:rsidRPr="00E54C7F" w14:paraId="32B29E29" w14:textId="77777777" w:rsidTr="00BA6A12">
        <w:trPr>
          <w:trHeight w:val="179"/>
        </w:trPr>
        <w:tc>
          <w:tcPr>
            <w:tcW w:w="2014" w:type="dxa"/>
            <w:vAlign w:val="center"/>
          </w:tcPr>
          <w:p w14:paraId="79D0512B" w14:textId="77777777" w:rsidR="007A1F44" w:rsidRPr="00E54C7F" w:rsidRDefault="007A1F44" w:rsidP="00E54C7F">
            <w:pPr>
              <w:pStyle w:val="Sinespaciado"/>
              <w:spacing w:line="276" w:lineRule="auto"/>
              <w:rPr>
                <w:rFonts w:ascii="Arial Narrow" w:hAnsi="Arial Narrow" w:cs="Arial"/>
                <w:sz w:val="20"/>
                <w:szCs w:val="20"/>
              </w:rPr>
            </w:pPr>
            <w:r w:rsidRPr="00E54C7F">
              <w:rPr>
                <w:rFonts w:ascii="Arial Narrow" w:hAnsi="Arial Narrow" w:cs="Arial"/>
                <w:sz w:val="20"/>
                <w:szCs w:val="20"/>
              </w:rPr>
              <w:t>REFERENCIA</w:t>
            </w:r>
          </w:p>
        </w:tc>
        <w:tc>
          <w:tcPr>
            <w:tcW w:w="7051" w:type="dxa"/>
          </w:tcPr>
          <w:p w14:paraId="47C6DA54" w14:textId="77777777" w:rsidR="007A1F44" w:rsidRPr="00E54C7F" w:rsidRDefault="007A1F44" w:rsidP="00E54C7F">
            <w:pPr>
              <w:spacing w:after="0" w:line="276" w:lineRule="auto"/>
              <w:rPr>
                <w:rFonts w:ascii="Arial Narrow" w:hAnsi="Arial Narrow" w:cs="Arial"/>
                <w:b/>
                <w:color w:val="000000"/>
                <w:sz w:val="20"/>
                <w:szCs w:val="20"/>
                <w:lang w:val="es-CO" w:eastAsia="es-ES"/>
              </w:rPr>
            </w:pPr>
            <w:r w:rsidRPr="00E54C7F">
              <w:rPr>
                <w:rFonts w:ascii="Arial Narrow" w:hAnsi="Arial Narrow" w:cs="Arial"/>
                <w:b/>
                <w:sz w:val="20"/>
                <w:szCs w:val="20"/>
                <w:lang w:val="es-CO" w:eastAsia="es-ES"/>
              </w:rPr>
              <w:t xml:space="preserve">Expediente No. </w:t>
            </w:r>
            <w:r w:rsidRPr="00E54C7F">
              <w:rPr>
                <w:rFonts w:ascii="Arial Narrow" w:hAnsi="Arial Narrow" w:cs="Arial"/>
                <w:b/>
                <w:color w:val="000000"/>
                <w:sz w:val="20"/>
                <w:szCs w:val="20"/>
                <w:lang w:val="es-CO" w:eastAsia="es-ES"/>
              </w:rPr>
              <w:fldChar w:fldCharType="begin"/>
            </w:r>
            <w:r w:rsidRPr="00E54C7F">
              <w:rPr>
                <w:rFonts w:ascii="Arial Narrow" w:hAnsi="Arial Narrow" w:cs="Arial"/>
                <w:b/>
                <w:color w:val="000000"/>
                <w:sz w:val="20"/>
                <w:szCs w:val="20"/>
                <w:lang w:val="es-CO" w:eastAsia="es-ES"/>
              </w:rPr>
              <w:instrText xml:space="preserve"> MERGEFIELD "No_DE_EXPEDIENTE" </w:instrText>
            </w:r>
            <w:r w:rsidRPr="00E54C7F">
              <w:rPr>
                <w:rFonts w:ascii="Arial Narrow" w:hAnsi="Arial Narrow" w:cs="Arial"/>
                <w:b/>
                <w:color w:val="000000"/>
                <w:sz w:val="20"/>
                <w:szCs w:val="20"/>
                <w:lang w:val="es-CO" w:eastAsia="es-ES"/>
              </w:rPr>
              <w:fldChar w:fldCharType="separate"/>
            </w:r>
            <w:r w:rsidRPr="00E54C7F">
              <w:rPr>
                <w:rFonts w:ascii="Arial Narrow" w:hAnsi="Arial Narrow" w:cs="Arial"/>
                <w:b/>
                <w:color w:val="000000"/>
                <w:sz w:val="20"/>
                <w:szCs w:val="20"/>
                <w:lang w:val="es-CO" w:eastAsia="es-ES"/>
              </w:rPr>
              <w:t>11001333603420170007400</w:t>
            </w:r>
            <w:r w:rsidRPr="00E54C7F">
              <w:rPr>
                <w:rFonts w:ascii="Arial Narrow" w:hAnsi="Arial Narrow" w:cs="Arial"/>
                <w:b/>
                <w:color w:val="000000"/>
                <w:sz w:val="20"/>
                <w:szCs w:val="20"/>
                <w:lang w:val="es-CO" w:eastAsia="es-ES"/>
              </w:rPr>
              <w:fldChar w:fldCharType="end"/>
            </w:r>
          </w:p>
        </w:tc>
      </w:tr>
      <w:tr w:rsidR="007A1F44" w:rsidRPr="00E54C7F" w14:paraId="3ED0F406" w14:textId="77777777" w:rsidTr="00BA6A12">
        <w:trPr>
          <w:trHeight w:val="248"/>
        </w:trPr>
        <w:tc>
          <w:tcPr>
            <w:tcW w:w="2014" w:type="dxa"/>
            <w:vAlign w:val="center"/>
          </w:tcPr>
          <w:p w14:paraId="096A55FA" w14:textId="77777777" w:rsidR="007A1F44" w:rsidRPr="00E54C7F" w:rsidRDefault="007A1F44" w:rsidP="00E54C7F">
            <w:pPr>
              <w:pStyle w:val="Sinespaciado"/>
              <w:spacing w:line="276" w:lineRule="auto"/>
              <w:rPr>
                <w:rFonts w:ascii="Arial Narrow" w:hAnsi="Arial Narrow" w:cs="Arial"/>
                <w:sz w:val="20"/>
                <w:szCs w:val="20"/>
              </w:rPr>
            </w:pPr>
            <w:r w:rsidRPr="00E54C7F">
              <w:rPr>
                <w:rFonts w:ascii="Arial Narrow" w:hAnsi="Arial Narrow" w:cs="Arial"/>
                <w:sz w:val="20"/>
                <w:szCs w:val="20"/>
              </w:rPr>
              <w:t>DEMANDANTE</w:t>
            </w:r>
          </w:p>
        </w:tc>
        <w:tc>
          <w:tcPr>
            <w:tcW w:w="7051" w:type="dxa"/>
          </w:tcPr>
          <w:p w14:paraId="4F710B72" w14:textId="77777777" w:rsidR="007A1F44" w:rsidRPr="00E54C7F" w:rsidRDefault="007A1F44" w:rsidP="00E54C7F">
            <w:pPr>
              <w:spacing w:after="0" w:line="276" w:lineRule="auto"/>
              <w:rPr>
                <w:rFonts w:ascii="Arial Narrow" w:hAnsi="Arial Narrow" w:cs="Arial"/>
                <w:b/>
                <w:color w:val="000000"/>
                <w:sz w:val="20"/>
                <w:szCs w:val="20"/>
                <w:lang w:val="es-CO" w:eastAsia="es-ES"/>
              </w:rPr>
            </w:pPr>
            <w:r w:rsidRPr="00E54C7F">
              <w:rPr>
                <w:rFonts w:ascii="Arial Narrow" w:hAnsi="Arial Narrow" w:cs="Arial"/>
                <w:b/>
                <w:color w:val="000000"/>
                <w:sz w:val="20"/>
                <w:szCs w:val="20"/>
                <w:lang w:val="es-CO" w:eastAsia="es-ES"/>
              </w:rPr>
              <w:t>DORALICE CERVERA ORTIZ Y OTROS</w:t>
            </w:r>
          </w:p>
        </w:tc>
      </w:tr>
      <w:tr w:rsidR="007A1F44" w:rsidRPr="00E54C7F" w14:paraId="33EBCAA2" w14:textId="77777777" w:rsidTr="00BA6A12">
        <w:trPr>
          <w:trHeight w:val="266"/>
        </w:trPr>
        <w:tc>
          <w:tcPr>
            <w:tcW w:w="2014" w:type="dxa"/>
            <w:vAlign w:val="center"/>
          </w:tcPr>
          <w:p w14:paraId="712E5B53" w14:textId="77777777" w:rsidR="007A1F44" w:rsidRPr="00E54C7F" w:rsidRDefault="007A1F44" w:rsidP="00E54C7F">
            <w:pPr>
              <w:pStyle w:val="Sinespaciado"/>
              <w:spacing w:line="276" w:lineRule="auto"/>
              <w:rPr>
                <w:rFonts w:ascii="Arial Narrow" w:hAnsi="Arial Narrow" w:cs="Arial"/>
                <w:sz w:val="20"/>
                <w:szCs w:val="20"/>
              </w:rPr>
            </w:pPr>
            <w:r w:rsidRPr="00E54C7F">
              <w:rPr>
                <w:rFonts w:ascii="Arial Narrow" w:hAnsi="Arial Narrow" w:cs="Arial"/>
                <w:sz w:val="20"/>
                <w:szCs w:val="20"/>
              </w:rPr>
              <w:t>DEMANDADO</w:t>
            </w:r>
          </w:p>
        </w:tc>
        <w:tc>
          <w:tcPr>
            <w:tcW w:w="7051" w:type="dxa"/>
          </w:tcPr>
          <w:p w14:paraId="1A72747E" w14:textId="77777777" w:rsidR="007A1F44" w:rsidRPr="00E54C7F" w:rsidRDefault="007A1F44" w:rsidP="00E54C7F">
            <w:pPr>
              <w:spacing w:after="0" w:line="276" w:lineRule="auto"/>
              <w:rPr>
                <w:rFonts w:ascii="Arial Narrow" w:hAnsi="Arial Narrow" w:cs="Arial"/>
                <w:b/>
                <w:sz w:val="20"/>
                <w:szCs w:val="20"/>
                <w:lang w:val="es-CO" w:eastAsia="es-ES"/>
              </w:rPr>
            </w:pPr>
            <w:r w:rsidRPr="00E54C7F">
              <w:rPr>
                <w:rFonts w:ascii="Arial Narrow" w:hAnsi="Arial Narrow" w:cs="Arial"/>
                <w:b/>
                <w:sz w:val="20"/>
                <w:szCs w:val="20"/>
                <w:lang w:val="es-CO" w:eastAsia="es-ES"/>
              </w:rPr>
              <w:t>HOSPITAL MILITAR CENTRAL Y OTROS</w:t>
            </w:r>
          </w:p>
        </w:tc>
      </w:tr>
      <w:tr w:rsidR="007A1F44" w:rsidRPr="00E54C7F" w14:paraId="2F6A88F8" w14:textId="77777777" w:rsidTr="00BA6A12">
        <w:trPr>
          <w:trHeight w:val="43"/>
        </w:trPr>
        <w:tc>
          <w:tcPr>
            <w:tcW w:w="2014" w:type="dxa"/>
            <w:vAlign w:val="center"/>
          </w:tcPr>
          <w:p w14:paraId="77C97FEA" w14:textId="77777777" w:rsidR="007A1F44" w:rsidRPr="00E54C7F" w:rsidRDefault="007A1F44" w:rsidP="00E54C7F">
            <w:pPr>
              <w:pStyle w:val="Sinespaciado"/>
              <w:spacing w:line="276" w:lineRule="auto"/>
              <w:rPr>
                <w:rFonts w:ascii="Arial Narrow" w:hAnsi="Arial Narrow" w:cs="Arial"/>
                <w:sz w:val="20"/>
                <w:szCs w:val="20"/>
              </w:rPr>
            </w:pPr>
            <w:r w:rsidRPr="00E54C7F">
              <w:rPr>
                <w:rFonts w:ascii="Arial Narrow" w:hAnsi="Arial Narrow" w:cs="Arial"/>
                <w:sz w:val="20"/>
                <w:szCs w:val="20"/>
              </w:rPr>
              <w:t>MEDIO DE CONTROL</w:t>
            </w:r>
          </w:p>
        </w:tc>
        <w:tc>
          <w:tcPr>
            <w:tcW w:w="7051" w:type="dxa"/>
          </w:tcPr>
          <w:p w14:paraId="083D36C3" w14:textId="77777777" w:rsidR="007A1F44" w:rsidRPr="00E54C7F" w:rsidRDefault="007A1F44" w:rsidP="00E54C7F">
            <w:pPr>
              <w:pStyle w:val="Sinespaciado"/>
              <w:spacing w:line="276" w:lineRule="auto"/>
              <w:rPr>
                <w:rFonts w:ascii="Arial Narrow" w:hAnsi="Arial Narrow" w:cs="Arial"/>
                <w:b/>
                <w:sz w:val="20"/>
                <w:szCs w:val="20"/>
              </w:rPr>
            </w:pPr>
            <w:r w:rsidRPr="00E54C7F">
              <w:rPr>
                <w:rFonts w:ascii="Arial Narrow" w:hAnsi="Arial Narrow" w:cs="Arial"/>
                <w:b/>
                <w:sz w:val="20"/>
                <w:szCs w:val="20"/>
              </w:rPr>
              <w:t>REPARACIÓN DIRECTA</w:t>
            </w:r>
          </w:p>
        </w:tc>
      </w:tr>
      <w:tr w:rsidR="007A1F44" w:rsidRPr="00E54C7F" w14:paraId="10B69389" w14:textId="77777777" w:rsidTr="00BA6A12">
        <w:trPr>
          <w:trHeight w:val="192"/>
        </w:trPr>
        <w:tc>
          <w:tcPr>
            <w:tcW w:w="2014" w:type="dxa"/>
            <w:vAlign w:val="center"/>
          </w:tcPr>
          <w:p w14:paraId="2515596D" w14:textId="77777777" w:rsidR="007A1F44" w:rsidRPr="00E54C7F" w:rsidRDefault="007A1F44" w:rsidP="00E54C7F">
            <w:pPr>
              <w:pStyle w:val="Sinespaciado"/>
              <w:spacing w:line="276" w:lineRule="auto"/>
              <w:rPr>
                <w:rFonts w:ascii="Arial Narrow" w:hAnsi="Arial Narrow" w:cs="Arial"/>
                <w:sz w:val="20"/>
                <w:szCs w:val="20"/>
              </w:rPr>
            </w:pPr>
            <w:r w:rsidRPr="00E54C7F">
              <w:rPr>
                <w:rFonts w:ascii="Arial Narrow" w:hAnsi="Arial Narrow" w:cs="Arial"/>
                <w:sz w:val="20"/>
                <w:szCs w:val="20"/>
              </w:rPr>
              <w:t>ASUNTO</w:t>
            </w:r>
          </w:p>
        </w:tc>
        <w:tc>
          <w:tcPr>
            <w:tcW w:w="7051" w:type="dxa"/>
          </w:tcPr>
          <w:p w14:paraId="3F148171" w14:textId="77777777" w:rsidR="007A1F44" w:rsidRPr="00E54C7F" w:rsidRDefault="00E54C7F" w:rsidP="00E54C7F">
            <w:pPr>
              <w:spacing w:after="0" w:line="276" w:lineRule="auto"/>
              <w:rPr>
                <w:rFonts w:ascii="Arial Narrow" w:hAnsi="Arial Narrow" w:cs="Arial"/>
                <w:b/>
                <w:sz w:val="20"/>
                <w:szCs w:val="20"/>
                <w:lang w:val="es-CO"/>
              </w:rPr>
            </w:pPr>
            <w:r w:rsidRPr="00E54C7F">
              <w:rPr>
                <w:rFonts w:ascii="Arial Narrow" w:hAnsi="Arial Narrow" w:cs="Arial"/>
                <w:b/>
                <w:sz w:val="20"/>
                <w:szCs w:val="20"/>
                <w:lang w:val="es-CO"/>
              </w:rPr>
              <w:t>NIEGA LLAMAMIENTO EN GARANTÍA-RECONOCE PERSONERÍA</w:t>
            </w:r>
          </w:p>
        </w:tc>
      </w:tr>
    </w:tbl>
    <w:p w14:paraId="4746AD2F" w14:textId="77777777" w:rsidR="007A1F44" w:rsidRPr="00E54C7F" w:rsidRDefault="007A1F44" w:rsidP="00E54C7F">
      <w:pPr>
        <w:spacing w:after="0" w:line="276" w:lineRule="auto"/>
        <w:jc w:val="both"/>
        <w:rPr>
          <w:rFonts w:ascii="Arial" w:hAnsi="Arial" w:cs="Arial"/>
          <w:color w:val="000000" w:themeColor="text1"/>
          <w:lang w:val="es-CO"/>
        </w:rPr>
      </w:pPr>
    </w:p>
    <w:p w14:paraId="7D6EC9AC" w14:textId="77777777" w:rsidR="007A1F44" w:rsidRPr="00E54C7F" w:rsidRDefault="007A1F44" w:rsidP="00E54C7F">
      <w:pPr>
        <w:spacing w:after="0" w:line="276" w:lineRule="auto"/>
        <w:jc w:val="both"/>
        <w:rPr>
          <w:rFonts w:ascii="Arial" w:hAnsi="Arial" w:cs="Arial"/>
          <w:lang w:val="es-CO" w:eastAsia="es-ES"/>
        </w:rPr>
      </w:pPr>
      <w:r w:rsidRPr="00E54C7F">
        <w:rPr>
          <w:rFonts w:ascii="Arial" w:hAnsi="Arial" w:cs="Arial"/>
          <w:lang w:val="es-CO" w:eastAsia="es-ES"/>
        </w:rPr>
        <w:t xml:space="preserve">La presente demanda pretende que se declare responsable al </w:t>
      </w:r>
      <w:r w:rsidRPr="00E54C7F">
        <w:rPr>
          <w:rFonts w:ascii="Arial" w:hAnsi="Arial" w:cs="Arial"/>
          <w:b/>
          <w:lang w:val="es-CO" w:eastAsia="es-ES"/>
        </w:rPr>
        <w:t>HOSPITAL MILITAR CENTRAL</w:t>
      </w:r>
      <w:r w:rsidRPr="00E54C7F">
        <w:rPr>
          <w:rFonts w:ascii="Arial" w:hAnsi="Arial" w:cs="Arial"/>
          <w:lang w:val="es-CO" w:eastAsia="es-ES"/>
        </w:rPr>
        <w:t xml:space="preserve">, a la </w:t>
      </w:r>
      <w:r w:rsidRPr="00E54C7F">
        <w:rPr>
          <w:rFonts w:ascii="Arial" w:hAnsi="Arial" w:cs="Arial"/>
          <w:b/>
          <w:lang w:val="es-CO" w:eastAsia="es-ES"/>
        </w:rPr>
        <w:t>CORPORACIÓN INTEGRAL DE MÉDICOS ESPECIALISTAS ASOCIADOS “CIMA</w:t>
      </w:r>
      <w:r w:rsidRPr="00E54C7F">
        <w:rPr>
          <w:rFonts w:ascii="Arial" w:hAnsi="Arial" w:cs="Arial"/>
          <w:lang w:val="es-CO" w:eastAsia="es-ES"/>
        </w:rPr>
        <w:t xml:space="preserve">” y a los médicos: </w:t>
      </w:r>
      <w:r w:rsidRPr="00E54C7F">
        <w:rPr>
          <w:rFonts w:ascii="Arial" w:hAnsi="Arial" w:cs="Arial"/>
          <w:b/>
          <w:lang w:val="es-CO" w:eastAsia="es-ES"/>
        </w:rPr>
        <w:t>EMILIANO  VARGAS GÓMEZ, EULER ANDRÉS PÉREZ, YESSER AMMAR RAMÍREZ, ARMANDO ROJAS CADENA, RODRIGO ERNESTO RODRÍGUEZ RUIZ y  CESAR JULIO ALBA FORERO</w:t>
      </w:r>
      <w:r w:rsidRPr="00E54C7F">
        <w:rPr>
          <w:rFonts w:ascii="Arial" w:hAnsi="Arial" w:cs="Arial"/>
          <w:lang w:val="es-CO" w:eastAsia="es-ES"/>
        </w:rPr>
        <w:t xml:space="preserve">, de los perjuicios causados a los demandantes con ocasión de la supuesta falla médica en que se incurrió al inducir el parto de la señora DORALICE CERVERA antes de las 39 semanas de gestación. </w:t>
      </w:r>
    </w:p>
    <w:p w14:paraId="1E3BD761" w14:textId="77777777" w:rsidR="007A1F44" w:rsidRPr="00E54C7F" w:rsidRDefault="007A1F44" w:rsidP="00E54C7F">
      <w:pPr>
        <w:spacing w:after="0" w:line="276" w:lineRule="auto"/>
        <w:jc w:val="both"/>
        <w:rPr>
          <w:rFonts w:ascii="Arial" w:hAnsi="Arial" w:cs="Arial"/>
          <w:lang w:val="es-CO" w:eastAsia="es-ES"/>
        </w:rPr>
      </w:pPr>
    </w:p>
    <w:p w14:paraId="78C25C82" w14:textId="77777777" w:rsidR="007A1F44" w:rsidRPr="00E54C7F" w:rsidRDefault="007A1F44" w:rsidP="00E54C7F">
      <w:pPr>
        <w:spacing w:after="0" w:line="276" w:lineRule="auto"/>
        <w:jc w:val="both"/>
        <w:rPr>
          <w:rFonts w:ascii="Arial" w:hAnsi="Arial" w:cs="Arial"/>
          <w:lang w:val="es-CO" w:eastAsia="es-ES"/>
        </w:rPr>
      </w:pPr>
      <w:r w:rsidRPr="00E54C7F">
        <w:rPr>
          <w:rFonts w:ascii="Arial" w:hAnsi="Arial" w:cs="Arial"/>
          <w:bCs/>
          <w:lang w:val="es-CO"/>
        </w:rPr>
        <w:t>En auto del 11 de octubre de 2017 se admitió la demanda.</w:t>
      </w:r>
    </w:p>
    <w:p w14:paraId="5363D0E0" w14:textId="77777777" w:rsidR="007A1F44" w:rsidRPr="00E54C7F" w:rsidRDefault="007A1F44" w:rsidP="00E54C7F">
      <w:pPr>
        <w:spacing w:after="0" w:line="276" w:lineRule="auto"/>
        <w:jc w:val="both"/>
        <w:rPr>
          <w:rFonts w:ascii="Arial" w:hAnsi="Arial" w:cs="Arial"/>
          <w:lang w:val="es-CO" w:eastAsia="es-ES"/>
        </w:rPr>
      </w:pPr>
    </w:p>
    <w:p w14:paraId="3750FFB6" w14:textId="77777777" w:rsidR="007A1F44" w:rsidRPr="00E54C7F" w:rsidRDefault="007A1F44" w:rsidP="00E54C7F">
      <w:pPr>
        <w:spacing w:after="0" w:line="276" w:lineRule="auto"/>
        <w:jc w:val="both"/>
        <w:rPr>
          <w:rFonts w:ascii="Arial" w:hAnsi="Arial" w:cs="Arial"/>
          <w:lang w:val="es-CO" w:eastAsia="es-ES"/>
        </w:rPr>
      </w:pPr>
      <w:r w:rsidRPr="00E54C7F">
        <w:rPr>
          <w:rFonts w:ascii="Arial" w:hAnsi="Arial" w:cs="Arial"/>
          <w:lang w:val="es-CO" w:eastAsia="es-ES"/>
        </w:rPr>
        <w:t>Con auto del 30 de enero de 2019 se decidió llamamiento en garantía y reconoció personería.</w:t>
      </w:r>
    </w:p>
    <w:p w14:paraId="396EB6E5" w14:textId="77777777" w:rsidR="007A1F44" w:rsidRPr="00E54C7F" w:rsidRDefault="007A1F44" w:rsidP="00E54C7F">
      <w:pPr>
        <w:spacing w:after="0" w:line="276" w:lineRule="auto"/>
        <w:jc w:val="both"/>
        <w:rPr>
          <w:rFonts w:ascii="Arial" w:hAnsi="Arial" w:cs="Arial"/>
          <w:lang w:val="es-CO" w:eastAsia="es-ES"/>
        </w:rPr>
      </w:pPr>
    </w:p>
    <w:p w14:paraId="676B377F" w14:textId="77777777" w:rsidR="007A1F44" w:rsidRPr="00E54C7F" w:rsidRDefault="007A1F44" w:rsidP="00E54C7F">
      <w:pPr>
        <w:spacing w:after="0" w:line="276" w:lineRule="auto"/>
        <w:jc w:val="both"/>
        <w:rPr>
          <w:rFonts w:ascii="Arial" w:hAnsi="Arial" w:cs="Arial"/>
          <w:lang w:val="es-CO" w:eastAsia="es-ES"/>
        </w:rPr>
      </w:pPr>
      <w:r w:rsidRPr="00E54C7F">
        <w:rPr>
          <w:rFonts w:ascii="Arial" w:hAnsi="Arial" w:cs="Arial"/>
          <w:lang w:val="es-CO" w:eastAsia="es-ES"/>
        </w:rPr>
        <w:t>En auto del 12 de junio de 2019 se decidió llamamiento en garantía.</w:t>
      </w:r>
    </w:p>
    <w:p w14:paraId="173CE7D8" w14:textId="77777777" w:rsidR="007A1F44" w:rsidRPr="00CA3652" w:rsidRDefault="007A1F44" w:rsidP="00E54C7F">
      <w:pPr>
        <w:spacing w:after="0" w:line="276" w:lineRule="auto"/>
        <w:jc w:val="both"/>
        <w:rPr>
          <w:rFonts w:ascii="Arial Narrow" w:hAnsi="Arial Narrow" w:cs="Arial"/>
          <w:spacing w:val="1"/>
          <w:lang w:val="es-CO"/>
        </w:rPr>
      </w:pPr>
    </w:p>
    <w:p w14:paraId="169701BE" w14:textId="77777777" w:rsidR="007A1F44" w:rsidRPr="00CA3652" w:rsidRDefault="007A1F44" w:rsidP="00E54C7F">
      <w:pPr>
        <w:spacing w:after="0" w:line="276" w:lineRule="auto"/>
        <w:jc w:val="both"/>
        <w:rPr>
          <w:rFonts w:ascii="Arial Narrow" w:hAnsi="Arial Narrow" w:cs="Arial"/>
          <w:i/>
          <w:spacing w:val="1"/>
          <w:sz w:val="20"/>
          <w:lang w:val="es-ES_tradnl"/>
        </w:rPr>
      </w:pPr>
      <w:r w:rsidRPr="00CA3652">
        <w:rPr>
          <w:rFonts w:ascii="Arial Narrow" w:hAnsi="Arial Narrow" w:cs="Arial"/>
          <w:spacing w:val="1"/>
          <w:lang w:val="es-ES_tradnl"/>
        </w:rPr>
        <w:t xml:space="preserve">En informe secretarial de agosto 16 de 2019 se anotó: </w:t>
      </w:r>
      <w:r w:rsidRPr="00CA3652">
        <w:rPr>
          <w:rFonts w:ascii="Arial Narrow" w:hAnsi="Arial Narrow" w:cs="Arial"/>
          <w:i/>
          <w:spacing w:val="1"/>
          <w:lang w:val="es-ES_tradnl"/>
        </w:rPr>
        <w:t>“</w:t>
      </w:r>
      <w:r w:rsidRPr="00CA3652">
        <w:rPr>
          <w:rFonts w:ascii="Arial Narrow" w:hAnsi="Arial Narrow" w:cs="Arial"/>
          <w:i/>
          <w:spacing w:val="1"/>
          <w:sz w:val="20"/>
          <w:lang w:val="es-ES_tradnl"/>
        </w:rPr>
        <w:t>JULIO 3 DE 2019 NOTIFICADO PERSONALMENTE LLAMADO EN GARANTIA CIMA. JULIO 24 DE 2019 VENCIDO TERMINO PARA CONTESTAR LLAMAMIENTO CON ELLA ALLEGADA OPORTUNAMENTE EN ESA FECHA SIN FORMULACION DE EXCEPCIONES, CON FORMULACION DE LLAMAMIENTO EN GARANTIA (CUADERNO 9) A LIBERTY SEGUROS, ALLEGANDO UNICAMENTE TRASLADO DE LA CONTESTACION Y DEL LLAMAMIENTO. JULIO 4 DE 2019 NOTIFICADOS POR AVISO SEGUROS DEL ESTADO Y ASEGURADORA SOLIDARIA, JULIO 26 DE 2019 VENCIO TERMINO PARA CONTESTAR LLAMIENTO, CON ELLA ALLEGADA OPORTUNAMENTE POR ASEGURADORA SOLIDARIA EL 25 DE JULIO DE 2019 CON FORMULACION DE EXCEPCIONES DEBIDAMENTE TRAMITADAS.”</w:t>
      </w:r>
    </w:p>
    <w:p w14:paraId="3A2A994F" w14:textId="77777777" w:rsidR="007A1F44" w:rsidRPr="00E54C7F" w:rsidRDefault="007A1F44" w:rsidP="00E54C7F">
      <w:pPr>
        <w:spacing w:after="0" w:line="276" w:lineRule="auto"/>
        <w:jc w:val="both"/>
        <w:rPr>
          <w:rFonts w:ascii="Arial" w:hAnsi="Arial" w:cs="Arial"/>
          <w:i/>
          <w:color w:val="000000"/>
          <w:lang w:val="es-CO" w:eastAsia="es-ES"/>
        </w:rPr>
      </w:pPr>
    </w:p>
    <w:p w14:paraId="0F4849E3" w14:textId="77777777" w:rsidR="007A1F44" w:rsidRPr="00E54C7F" w:rsidRDefault="007A1F44" w:rsidP="00E54C7F">
      <w:pPr>
        <w:spacing w:after="0" w:line="276" w:lineRule="auto"/>
        <w:jc w:val="center"/>
        <w:rPr>
          <w:rFonts w:ascii="Arial" w:hAnsi="Arial" w:cs="Arial"/>
          <w:b/>
          <w:color w:val="000000"/>
          <w:lang w:val="es-CO" w:eastAsia="es-ES"/>
        </w:rPr>
      </w:pPr>
      <w:r w:rsidRPr="00E54C7F">
        <w:rPr>
          <w:rFonts w:ascii="Arial" w:hAnsi="Arial" w:cs="Arial"/>
          <w:b/>
          <w:color w:val="000000"/>
          <w:lang w:val="es-CO" w:eastAsia="es-ES"/>
        </w:rPr>
        <w:t>CONSIDERACIONES</w:t>
      </w:r>
    </w:p>
    <w:p w14:paraId="6347494D" w14:textId="77777777" w:rsidR="007A1F44" w:rsidRPr="00E54C7F" w:rsidRDefault="007A1F44" w:rsidP="00E54C7F">
      <w:pPr>
        <w:shd w:val="clear" w:color="auto" w:fill="FFFFFF"/>
        <w:autoSpaceDE w:val="0"/>
        <w:autoSpaceDN w:val="0"/>
        <w:adjustRightInd w:val="0"/>
        <w:spacing w:after="0" w:line="276" w:lineRule="auto"/>
        <w:jc w:val="both"/>
        <w:rPr>
          <w:rFonts w:ascii="Arial" w:hAnsi="Arial" w:cs="Arial"/>
          <w:color w:val="000000"/>
          <w:highlight w:val="green"/>
          <w:lang w:val="es-CO" w:eastAsia="es-ES"/>
        </w:rPr>
      </w:pPr>
    </w:p>
    <w:p w14:paraId="40D405E2" w14:textId="77777777" w:rsidR="007A1F44" w:rsidRPr="00E54C7F" w:rsidRDefault="007A1F44" w:rsidP="00E54C7F">
      <w:pPr>
        <w:pStyle w:val="Prrafodelista"/>
        <w:numPr>
          <w:ilvl w:val="0"/>
          <w:numId w:val="2"/>
        </w:numPr>
        <w:tabs>
          <w:tab w:val="left" w:pos="426"/>
        </w:tabs>
        <w:spacing w:after="0" w:line="276" w:lineRule="auto"/>
        <w:ind w:left="0" w:firstLine="0"/>
        <w:jc w:val="both"/>
        <w:rPr>
          <w:rFonts w:ascii="Arial" w:hAnsi="Arial" w:cs="Arial"/>
          <w:b/>
          <w:color w:val="000000"/>
          <w:lang w:val="es-CO" w:eastAsia="es-ES"/>
        </w:rPr>
      </w:pPr>
      <w:r w:rsidRPr="00E54C7F">
        <w:rPr>
          <w:rFonts w:ascii="Arial" w:hAnsi="Arial" w:cs="Arial"/>
          <w:b/>
          <w:color w:val="000000"/>
          <w:lang w:val="es-CO" w:eastAsia="es-ES"/>
        </w:rPr>
        <w:t>DEL LLAMAMIENTO EN GARANTÍA</w:t>
      </w:r>
    </w:p>
    <w:p w14:paraId="20F2930F" w14:textId="77777777" w:rsidR="007A1F44" w:rsidRPr="00E54C7F" w:rsidRDefault="007A1F44" w:rsidP="00E54C7F">
      <w:pPr>
        <w:tabs>
          <w:tab w:val="left" w:pos="426"/>
        </w:tabs>
        <w:spacing w:after="0" w:line="276" w:lineRule="auto"/>
        <w:jc w:val="both"/>
        <w:rPr>
          <w:rFonts w:ascii="Arial" w:hAnsi="Arial" w:cs="Arial"/>
          <w:b/>
          <w:color w:val="000000"/>
          <w:lang w:val="es-CO" w:eastAsia="es-ES"/>
        </w:rPr>
      </w:pPr>
    </w:p>
    <w:p w14:paraId="150065C4" w14:textId="77777777" w:rsidR="007A1F44" w:rsidRPr="00E54C7F" w:rsidRDefault="007A1F44" w:rsidP="00E54C7F">
      <w:pPr>
        <w:pStyle w:val="Prrafodelista"/>
        <w:numPr>
          <w:ilvl w:val="1"/>
          <w:numId w:val="2"/>
        </w:numPr>
        <w:tabs>
          <w:tab w:val="left" w:pos="426"/>
        </w:tabs>
        <w:spacing w:after="0" w:line="276" w:lineRule="auto"/>
        <w:jc w:val="both"/>
        <w:rPr>
          <w:rFonts w:ascii="Arial" w:hAnsi="Arial" w:cs="Arial"/>
          <w:b/>
          <w:color w:val="000000"/>
          <w:lang w:val="es-CO" w:eastAsia="es-ES"/>
        </w:rPr>
      </w:pPr>
      <w:r w:rsidRPr="00E54C7F">
        <w:rPr>
          <w:rFonts w:ascii="Arial" w:hAnsi="Arial" w:cs="Arial"/>
          <w:b/>
          <w:color w:val="000000"/>
          <w:lang w:val="es-CO" w:eastAsia="es-ES"/>
        </w:rPr>
        <w:t>HECHOS.</w:t>
      </w:r>
    </w:p>
    <w:p w14:paraId="4B4CD656" w14:textId="77777777" w:rsidR="007A1F44" w:rsidRPr="00E54C7F" w:rsidRDefault="007A1F44" w:rsidP="00E54C7F">
      <w:pPr>
        <w:tabs>
          <w:tab w:val="left" w:pos="426"/>
        </w:tabs>
        <w:spacing w:after="0" w:line="276" w:lineRule="auto"/>
        <w:contextualSpacing/>
        <w:jc w:val="both"/>
        <w:rPr>
          <w:rFonts w:ascii="Arial" w:hAnsi="Arial" w:cs="Arial"/>
          <w:b/>
          <w:color w:val="000000"/>
          <w:lang w:val="es-CO" w:eastAsia="es-ES"/>
        </w:rPr>
      </w:pPr>
    </w:p>
    <w:p w14:paraId="5DC77BAE" w14:textId="77777777" w:rsidR="007A1F44" w:rsidRPr="00E54C7F" w:rsidRDefault="007A1F44" w:rsidP="00E54C7F">
      <w:pPr>
        <w:pStyle w:val="Prrafodelista"/>
        <w:tabs>
          <w:tab w:val="left" w:pos="567"/>
        </w:tabs>
        <w:spacing w:after="0" w:line="276" w:lineRule="auto"/>
        <w:ind w:left="0"/>
        <w:jc w:val="both"/>
        <w:rPr>
          <w:rFonts w:ascii="Arial" w:hAnsi="Arial" w:cs="Arial"/>
          <w:lang w:val="es-CO" w:eastAsia="es-ES"/>
        </w:rPr>
      </w:pPr>
      <w:r w:rsidRPr="00E54C7F">
        <w:rPr>
          <w:rFonts w:ascii="Arial" w:hAnsi="Arial" w:cs="Arial"/>
          <w:color w:val="000000"/>
          <w:lang w:val="es-CO" w:eastAsia="es-ES"/>
        </w:rPr>
        <w:t xml:space="preserve">Como razones de la solicitud de llamamiento en garantía que hace la </w:t>
      </w:r>
      <w:r w:rsidR="00790DC8">
        <w:rPr>
          <w:rFonts w:ascii="Arial" w:hAnsi="Arial" w:cs="Arial"/>
          <w:color w:val="000000"/>
          <w:lang w:val="es-CO" w:eastAsia="es-ES"/>
        </w:rPr>
        <w:t xml:space="preserve">llamada en garantía </w:t>
      </w:r>
      <w:r w:rsidR="00790DC8" w:rsidRPr="00790DC8">
        <w:rPr>
          <w:rFonts w:ascii="Arial" w:hAnsi="Arial" w:cs="Arial"/>
          <w:b/>
          <w:color w:val="000000"/>
          <w:lang w:val="es-CO" w:eastAsia="es-ES"/>
        </w:rPr>
        <w:t xml:space="preserve">Corporación Integral de Médicos Especialistas Asociados – CIMA </w:t>
      </w:r>
      <w:r w:rsidRPr="00E54C7F">
        <w:rPr>
          <w:rFonts w:ascii="Arial" w:hAnsi="Arial" w:cs="Arial"/>
          <w:lang w:val="es-CO" w:eastAsia="es-ES"/>
        </w:rPr>
        <w:t>sustentó lo siguiente:</w:t>
      </w:r>
    </w:p>
    <w:p w14:paraId="48E0A544" w14:textId="77777777" w:rsidR="007A1F44" w:rsidRPr="00E54C7F" w:rsidRDefault="007A1F44" w:rsidP="00E54C7F">
      <w:pPr>
        <w:pStyle w:val="Prrafodelista"/>
        <w:tabs>
          <w:tab w:val="left" w:pos="567"/>
        </w:tabs>
        <w:spacing w:after="0" w:line="276" w:lineRule="auto"/>
        <w:ind w:left="0"/>
        <w:jc w:val="both"/>
        <w:rPr>
          <w:rFonts w:ascii="Arial" w:hAnsi="Arial" w:cs="Arial"/>
          <w:lang w:val="es-CO" w:eastAsia="es-ES"/>
        </w:rPr>
      </w:pPr>
    </w:p>
    <w:p w14:paraId="6D31007C" w14:textId="77777777" w:rsidR="007A1F44" w:rsidRPr="00CA3652" w:rsidRDefault="007A1F44" w:rsidP="00E54C7F">
      <w:pPr>
        <w:pStyle w:val="Prrafodelista"/>
        <w:tabs>
          <w:tab w:val="left" w:pos="567"/>
        </w:tabs>
        <w:spacing w:after="0" w:line="276" w:lineRule="auto"/>
        <w:ind w:left="567"/>
        <w:jc w:val="both"/>
        <w:rPr>
          <w:rFonts w:ascii="Arial Narrow" w:hAnsi="Arial Narrow" w:cs="Arial"/>
          <w:lang w:val="es-CO" w:eastAsia="es-ES"/>
        </w:rPr>
      </w:pPr>
      <w:r w:rsidRPr="00CA3652">
        <w:rPr>
          <w:rFonts w:ascii="Arial Narrow" w:hAnsi="Arial Narrow" w:cs="Arial"/>
          <w:lang w:val="es-CO" w:eastAsia="es-ES"/>
        </w:rPr>
        <w:t xml:space="preserve">El hospital Militar Central suscribió contrato de prestación de servicios profesionales de ginecología y obstetricia Nº 217 de 2015 con la </w:t>
      </w:r>
      <w:r w:rsidRPr="00CA3652">
        <w:rPr>
          <w:rFonts w:ascii="Arial Narrow" w:hAnsi="Arial Narrow" w:cs="Arial"/>
          <w:b/>
          <w:lang w:val="es-CO" w:eastAsia="es-ES"/>
        </w:rPr>
        <w:t xml:space="preserve">Corporación Integral de Médicos Especialistas Asociados – CIMA, </w:t>
      </w:r>
      <w:r w:rsidRPr="00CA3652">
        <w:rPr>
          <w:rFonts w:ascii="Arial Narrow" w:hAnsi="Arial Narrow" w:cs="Arial"/>
          <w:lang w:val="es-CO" w:eastAsia="es-ES"/>
        </w:rPr>
        <w:t>el cual tuvo vigencia del 2015, 2016, 2017 y 2018.</w:t>
      </w:r>
    </w:p>
    <w:p w14:paraId="0BEC8CA3" w14:textId="77777777" w:rsidR="007A1F44" w:rsidRPr="00CA3652" w:rsidRDefault="007A1F44" w:rsidP="00E54C7F">
      <w:pPr>
        <w:pStyle w:val="Prrafodelista"/>
        <w:tabs>
          <w:tab w:val="left" w:pos="567"/>
        </w:tabs>
        <w:spacing w:after="0" w:line="276" w:lineRule="auto"/>
        <w:ind w:left="567"/>
        <w:jc w:val="both"/>
        <w:rPr>
          <w:rFonts w:ascii="Arial Narrow" w:hAnsi="Arial Narrow" w:cs="Arial"/>
          <w:lang w:val="es-CO" w:eastAsia="es-ES"/>
        </w:rPr>
      </w:pPr>
    </w:p>
    <w:p w14:paraId="0CDBF8CC" w14:textId="77777777" w:rsidR="007A1F44" w:rsidRPr="00CA3652" w:rsidRDefault="007A1F44" w:rsidP="00E54C7F">
      <w:pPr>
        <w:pStyle w:val="Prrafodelista"/>
        <w:tabs>
          <w:tab w:val="left" w:pos="567"/>
        </w:tabs>
        <w:spacing w:after="0" w:line="276" w:lineRule="auto"/>
        <w:ind w:left="567"/>
        <w:jc w:val="both"/>
        <w:rPr>
          <w:rFonts w:ascii="Arial Narrow" w:hAnsi="Arial Narrow" w:cs="Arial"/>
          <w:lang w:val="es-CO" w:eastAsia="es-ES"/>
        </w:rPr>
      </w:pPr>
      <w:r w:rsidRPr="00CA3652">
        <w:rPr>
          <w:rFonts w:ascii="Arial Narrow" w:hAnsi="Arial Narrow" w:cs="Arial"/>
          <w:lang w:val="es-CO" w:eastAsia="es-ES"/>
        </w:rPr>
        <w:t>En la cláusula 4 de dicho contrato CIMA se comprometió a suscribir póliza</w:t>
      </w:r>
      <w:r w:rsidRPr="00CA3652">
        <w:rPr>
          <w:rFonts w:ascii="Arial Narrow" w:hAnsi="Arial Narrow" w:cs="Arial"/>
          <w:i/>
          <w:lang w:val="es-CO" w:eastAsia="es-ES"/>
        </w:rPr>
        <w:t xml:space="preserve"> </w:t>
      </w:r>
      <w:r w:rsidRPr="00CA3652">
        <w:rPr>
          <w:rFonts w:ascii="Arial Narrow" w:hAnsi="Arial Narrow" w:cs="Arial"/>
          <w:lang w:val="es-CO" w:eastAsia="es-ES"/>
        </w:rPr>
        <w:t>de seguros cubriendo entre otras cosas la responsabilidad civil extracontrac</w:t>
      </w:r>
      <w:r w:rsidR="008971DF" w:rsidRPr="00CA3652">
        <w:rPr>
          <w:rFonts w:ascii="Arial Narrow" w:hAnsi="Arial Narrow" w:cs="Arial"/>
          <w:lang w:val="es-CO" w:eastAsia="es-ES"/>
        </w:rPr>
        <w:t xml:space="preserve">tual. Por lo anterior, CIMA suscribió contrato de seguros con LIBERTY SEGUROS </w:t>
      </w:r>
      <w:proofErr w:type="spellStart"/>
      <w:r w:rsidR="008971DF" w:rsidRPr="00CA3652">
        <w:rPr>
          <w:rFonts w:ascii="Arial Narrow" w:hAnsi="Arial Narrow" w:cs="Arial"/>
          <w:lang w:val="es-CO" w:eastAsia="es-ES"/>
        </w:rPr>
        <w:t>Nº</w:t>
      </w:r>
      <w:proofErr w:type="spellEnd"/>
      <w:r w:rsidR="008971DF" w:rsidRPr="00CA3652">
        <w:rPr>
          <w:rFonts w:ascii="Arial Narrow" w:hAnsi="Arial Narrow" w:cs="Arial"/>
          <w:lang w:val="es-CO" w:eastAsia="es-ES"/>
        </w:rPr>
        <w:t xml:space="preserve"> LB560852 cuya vigencia iba desde el 30 de octubre de 2015 hasta el 30 de diciembre de 2018.</w:t>
      </w:r>
    </w:p>
    <w:p w14:paraId="6DE46AB2" w14:textId="77777777" w:rsidR="008971DF" w:rsidRPr="00CA3652" w:rsidRDefault="008971DF" w:rsidP="00E54C7F">
      <w:pPr>
        <w:pStyle w:val="Prrafodelista"/>
        <w:tabs>
          <w:tab w:val="left" w:pos="567"/>
        </w:tabs>
        <w:spacing w:after="0" w:line="276" w:lineRule="auto"/>
        <w:ind w:left="567"/>
        <w:jc w:val="both"/>
        <w:rPr>
          <w:rFonts w:ascii="Arial Narrow" w:hAnsi="Arial Narrow" w:cs="Arial"/>
          <w:lang w:val="es-CO" w:eastAsia="es-ES"/>
        </w:rPr>
      </w:pPr>
    </w:p>
    <w:p w14:paraId="6EDE1E88" w14:textId="77777777" w:rsidR="008971DF" w:rsidRPr="00E54C7F" w:rsidRDefault="008971DF" w:rsidP="00E54C7F">
      <w:pPr>
        <w:pStyle w:val="Prrafodelista"/>
        <w:tabs>
          <w:tab w:val="left" w:pos="567"/>
        </w:tabs>
        <w:spacing w:after="0" w:line="276" w:lineRule="auto"/>
        <w:ind w:left="567"/>
        <w:jc w:val="both"/>
        <w:rPr>
          <w:rFonts w:ascii="Arial" w:hAnsi="Arial" w:cs="Arial"/>
          <w:lang w:val="es-CO" w:eastAsia="es-ES"/>
        </w:rPr>
      </w:pPr>
      <w:r w:rsidRPr="00CA3652">
        <w:rPr>
          <w:rFonts w:ascii="Arial Narrow" w:hAnsi="Arial Narrow" w:cs="Arial"/>
          <w:lang w:val="es-CO" w:eastAsia="es-ES"/>
        </w:rPr>
        <w:t>La póliza suscriba ampara los perjuicios materiales causados a terceros derivados de la responsabilidad civil  extracontractual en que incurra el tomador</w:t>
      </w:r>
      <w:r w:rsidRPr="00E54C7F">
        <w:rPr>
          <w:rFonts w:ascii="Arial" w:hAnsi="Arial" w:cs="Arial"/>
          <w:lang w:val="es-CO" w:eastAsia="es-ES"/>
        </w:rPr>
        <w:t xml:space="preserve">. </w:t>
      </w:r>
    </w:p>
    <w:p w14:paraId="5A462896" w14:textId="77777777" w:rsidR="007A1F44" w:rsidRPr="00E54C7F" w:rsidRDefault="007A1F44" w:rsidP="00E54C7F">
      <w:pPr>
        <w:pStyle w:val="Prrafodelista"/>
        <w:tabs>
          <w:tab w:val="left" w:pos="567"/>
        </w:tabs>
        <w:spacing w:after="0" w:line="276" w:lineRule="auto"/>
        <w:ind w:left="0"/>
        <w:jc w:val="both"/>
        <w:rPr>
          <w:rFonts w:ascii="Arial" w:hAnsi="Arial" w:cs="Arial"/>
          <w:i/>
          <w:lang w:val="es-CO" w:eastAsia="es-ES"/>
        </w:rPr>
      </w:pPr>
    </w:p>
    <w:p w14:paraId="508FF2F5" w14:textId="77777777" w:rsidR="007A1F44" w:rsidRPr="00E54C7F" w:rsidRDefault="007A1F44" w:rsidP="00E54C7F">
      <w:pPr>
        <w:pStyle w:val="Prrafodelista"/>
        <w:numPr>
          <w:ilvl w:val="1"/>
          <w:numId w:val="2"/>
        </w:numPr>
        <w:tabs>
          <w:tab w:val="left" w:pos="426"/>
        </w:tabs>
        <w:spacing w:after="0" w:line="276" w:lineRule="auto"/>
        <w:jc w:val="both"/>
        <w:rPr>
          <w:rFonts w:ascii="Arial" w:hAnsi="Arial" w:cs="Arial"/>
          <w:b/>
          <w:color w:val="000000"/>
          <w:lang w:val="es-CO" w:eastAsia="es-ES"/>
        </w:rPr>
      </w:pPr>
      <w:r w:rsidRPr="00E54C7F">
        <w:rPr>
          <w:rFonts w:ascii="Arial" w:hAnsi="Arial" w:cs="Arial"/>
          <w:b/>
          <w:color w:val="000000"/>
          <w:lang w:val="es-CO" w:eastAsia="es-ES"/>
        </w:rPr>
        <w:t>Normatividad aplicable</w:t>
      </w:r>
    </w:p>
    <w:p w14:paraId="3D68937F" w14:textId="77777777" w:rsidR="007A1F44" w:rsidRPr="00E54C7F" w:rsidRDefault="007A1F44" w:rsidP="00E54C7F">
      <w:pPr>
        <w:spacing w:after="0" w:line="276" w:lineRule="auto"/>
        <w:jc w:val="both"/>
        <w:rPr>
          <w:rFonts w:ascii="Arial" w:hAnsi="Arial" w:cs="Arial"/>
          <w:color w:val="000000"/>
          <w:highlight w:val="green"/>
          <w:lang w:val="es-CO" w:eastAsia="es-ES"/>
        </w:rPr>
      </w:pPr>
    </w:p>
    <w:p w14:paraId="6FEF3797" w14:textId="77777777" w:rsidR="007A1F44" w:rsidRPr="00E54C7F" w:rsidRDefault="007A1F44" w:rsidP="00E54C7F">
      <w:pPr>
        <w:spacing w:after="0" w:line="276" w:lineRule="auto"/>
        <w:jc w:val="both"/>
        <w:rPr>
          <w:rFonts w:ascii="Arial" w:hAnsi="Arial" w:cs="Arial"/>
          <w:i/>
          <w:color w:val="000000"/>
          <w:sz w:val="20"/>
          <w:lang w:val="es-CO" w:eastAsia="es-ES"/>
        </w:rPr>
      </w:pPr>
      <w:r w:rsidRPr="00E54C7F">
        <w:rPr>
          <w:rFonts w:ascii="Arial" w:hAnsi="Arial" w:cs="Arial"/>
          <w:color w:val="000000"/>
          <w:lang w:val="es-CO" w:eastAsia="es-ES"/>
        </w:rPr>
        <w:t xml:space="preserve">El artículo 225 del CPACA señala que: </w:t>
      </w:r>
      <w:r w:rsidRPr="00E54C7F">
        <w:rPr>
          <w:rFonts w:ascii="Arial" w:hAnsi="Arial" w:cs="Arial"/>
          <w:color w:val="000000"/>
          <w:sz w:val="20"/>
          <w:lang w:val="es-CO" w:eastAsia="es-ES"/>
        </w:rPr>
        <w:t xml:space="preserve">“(…) </w:t>
      </w:r>
      <w:r w:rsidRPr="00E54C7F">
        <w:rPr>
          <w:rFonts w:ascii="Arial" w:hAnsi="Arial" w:cs="Arial"/>
          <w:b/>
          <w:i/>
          <w:color w:val="000000"/>
          <w:sz w:val="20"/>
          <w:lang w:val="es-CO" w:eastAsia="es-ES"/>
        </w:rPr>
        <w:t>quien afirme tener derecho</w:t>
      </w:r>
      <w:r w:rsidRPr="00E54C7F">
        <w:rPr>
          <w:rFonts w:ascii="Arial" w:hAnsi="Arial" w:cs="Arial"/>
          <w:i/>
          <w:color w:val="000000"/>
          <w:sz w:val="20"/>
          <w:lang w:val="es-CO" w:eastAsia="es-ES"/>
        </w:rPr>
        <w:t xml:space="preserve"> legal o </w:t>
      </w:r>
      <w:r w:rsidRPr="00E54C7F">
        <w:rPr>
          <w:rFonts w:ascii="Arial" w:hAnsi="Arial" w:cs="Arial"/>
          <w:b/>
          <w:i/>
          <w:color w:val="000000"/>
          <w:sz w:val="20"/>
          <w:lang w:val="es-CO" w:eastAsia="es-ES"/>
        </w:rPr>
        <w:t>contractual de exigir a un tercero la reparación integral del perjuicio que llegare a sufrir</w:t>
      </w:r>
      <w:r w:rsidRPr="00E54C7F">
        <w:rPr>
          <w:rFonts w:ascii="Arial" w:hAnsi="Arial" w:cs="Arial"/>
          <w:i/>
          <w:color w:val="000000"/>
          <w:sz w:val="20"/>
          <w:lang w:val="es-CO" w:eastAsia="es-ES"/>
        </w:rPr>
        <w:t xml:space="preserve">, </w:t>
      </w:r>
      <w:r w:rsidRPr="00E54C7F">
        <w:rPr>
          <w:rFonts w:ascii="Arial" w:hAnsi="Arial" w:cs="Arial"/>
          <w:b/>
          <w:i/>
          <w:color w:val="000000"/>
          <w:sz w:val="20"/>
          <w:lang w:val="es-CO" w:eastAsia="es-ES"/>
        </w:rPr>
        <w:t>o el reembolso total o parcial del pago que tuviere que hacer como resultado de la sentencia</w:t>
      </w:r>
      <w:r w:rsidRPr="00E54C7F">
        <w:rPr>
          <w:rFonts w:ascii="Arial" w:hAnsi="Arial" w:cs="Arial"/>
          <w:i/>
          <w:color w:val="000000"/>
          <w:sz w:val="20"/>
          <w:lang w:val="es-CO" w:eastAsia="es-ES"/>
        </w:rPr>
        <w:t>, podrá pedir la citación de aquel, para que en el mismo proceso se resuelva sobre tal relación.</w:t>
      </w:r>
    </w:p>
    <w:p w14:paraId="47348E7F" w14:textId="77777777" w:rsidR="007A1F44" w:rsidRPr="00E54C7F" w:rsidRDefault="007A1F44" w:rsidP="00E54C7F">
      <w:pPr>
        <w:spacing w:after="0" w:line="276" w:lineRule="auto"/>
        <w:jc w:val="both"/>
        <w:rPr>
          <w:rFonts w:ascii="Arial" w:hAnsi="Arial" w:cs="Arial"/>
          <w:i/>
          <w:color w:val="000000"/>
          <w:sz w:val="20"/>
          <w:lang w:val="es-CO" w:eastAsia="es-ES"/>
        </w:rPr>
      </w:pPr>
    </w:p>
    <w:p w14:paraId="464B74AE" w14:textId="77777777" w:rsidR="007A1F44" w:rsidRPr="00E54C7F" w:rsidRDefault="007A1F44" w:rsidP="00E54C7F">
      <w:pPr>
        <w:spacing w:after="0" w:line="276" w:lineRule="auto"/>
        <w:jc w:val="both"/>
        <w:rPr>
          <w:rFonts w:ascii="Arial" w:hAnsi="Arial" w:cs="Arial"/>
          <w:b/>
          <w:i/>
          <w:color w:val="000000"/>
          <w:sz w:val="20"/>
          <w:lang w:val="es-CO" w:eastAsia="es-ES"/>
        </w:rPr>
      </w:pPr>
      <w:r w:rsidRPr="00E54C7F">
        <w:rPr>
          <w:rFonts w:ascii="Arial" w:hAnsi="Arial" w:cs="Arial"/>
          <w:b/>
          <w:i/>
          <w:color w:val="000000"/>
          <w:sz w:val="20"/>
          <w:lang w:val="es-CO" w:eastAsia="es-ES"/>
        </w:rPr>
        <w:t>El llamado</w:t>
      </w:r>
      <w:r w:rsidRPr="00E54C7F">
        <w:rPr>
          <w:rFonts w:ascii="Arial" w:hAnsi="Arial" w:cs="Arial"/>
          <w:i/>
          <w:color w:val="000000"/>
          <w:sz w:val="20"/>
          <w:lang w:val="es-CO" w:eastAsia="es-ES"/>
        </w:rPr>
        <w:t xml:space="preserve"> en tal término que disponga para responder el </w:t>
      </w:r>
      <w:r w:rsidRPr="00E54C7F">
        <w:rPr>
          <w:rFonts w:ascii="Arial" w:hAnsi="Arial" w:cs="Arial"/>
          <w:b/>
          <w:i/>
          <w:color w:val="000000"/>
          <w:sz w:val="20"/>
          <w:lang w:val="es-CO" w:eastAsia="es-ES"/>
        </w:rPr>
        <w:t>llamamiento que será de 15 días</w:t>
      </w:r>
      <w:r w:rsidRPr="00E54C7F">
        <w:rPr>
          <w:rFonts w:ascii="Arial" w:hAnsi="Arial" w:cs="Arial"/>
          <w:i/>
          <w:color w:val="000000"/>
          <w:sz w:val="20"/>
          <w:lang w:val="es-CO" w:eastAsia="es-ES"/>
        </w:rPr>
        <w:t xml:space="preserve">, </w:t>
      </w:r>
      <w:r w:rsidRPr="00E54C7F">
        <w:rPr>
          <w:rFonts w:ascii="Arial" w:hAnsi="Arial" w:cs="Arial"/>
          <w:b/>
          <w:i/>
          <w:color w:val="000000"/>
          <w:sz w:val="20"/>
          <w:lang w:val="es-CO" w:eastAsia="es-ES"/>
        </w:rPr>
        <w:t>podrá a su vez pedir la citación de un tercero en la misma forma que el demandante o demandado.</w:t>
      </w:r>
    </w:p>
    <w:p w14:paraId="57C8092E" w14:textId="77777777" w:rsidR="007A1F44" w:rsidRPr="00E54C7F" w:rsidRDefault="007A1F44" w:rsidP="00E54C7F">
      <w:pPr>
        <w:spacing w:after="0" w:line="276" w:lineRule="auto"/>
        <w:jc w:val="both"/>
        <w:rPr>
          <w:rFonts w:ascii="Arial" w:hAnsi="Arial" w:cs="Arial"/>
          <w:i/>
          <w:color w:val="000000"/>
          <w:sz w:val="20"/>
          <w:lang w:val="es-CO" w:eastAsia="es-ES"/>
        </w:rPr>
      </w:pPr>
    </w:p>
    <w:p w14:paraId="30151EFA" w14:textId="77777777" w:rsidR="007A1F44" w:rsidRPr="00E54C7F" w:rsidRDefault="007A1F44" w:rsidP="00E54C7F">
      <w:pPr>
        <w:spacing w:after="0" w:line="276" w:lineRule="auto"/>
        <w:jc w:val="both"/>
        <w:rPr>
          <w:rFonts w:ascii="Arial" w:hAnsi="Arial" w:cs="Arial"/>
          <w:i/>
          <w:color w:val="000000"/>
          <w:sz w:val="20"/>
          <w:lang w:val="es-CO" w:eastAsia="es-ES"/>
        </w:rPr>
      </w:pPr>
      <w:r w:rsidRPr="00E54C7F">
        <w:rPr>
          <w:rFonts w:ascii="Arial" w:hAnsi="Arial" w:cs="Arial"/>
          <w:i/>
          <w:color w:val="000000"/>
          <w:sz w:val="20"/>
          <w:lang w:val="es-CO" w:eastAsia="es-ES"/>
        </w:rPr>
        <w:t xml:space="preserve">El escrito de llamamiento deberá contener los siguientes </w:t>
      </w:r>
      <w:r w:rsidRPr="00E54C7F">
        <w:rPr>
          <w:rFonts w:ascii="Arial" w:hAnsi="Arial" w:cs="Arial"/>
          <w:b/>
          <w:i/>
          <w:color w:val="000000"/>
          <w:sz w:val="20"/>
          <w:lang w:val="es-CO" w:eastAsia="es-ES"/>
        </w:rPr>
        <w:t>requisitos</w:t>
      </w:r>
      <w:r w:rsidRPr="00E54C7F">
        <w:rPr>
          <w:rFonts w:ascii="Arial" w:hAnsi="Arial" w:cs="Arial"/>
          <w:i/>
          <w:color w:val="000000"/>
          <w:sz w:val="20"/>
          <w:lang w:val="es-CO" w:eastAsia="es-ES"/>
        </w:rPr>
        <w:t>:</w:t>
      </w:r>
    </w:p>
    <w:p w14:paraId="35521A90" w14:textId="77777777" w:rsidR="007A1F44" w:rsidRPr="00E54C7F" w:rsidRDefault="007A1F44" w:rsidP="00E54C7F">
      <w:pPr>
        <w:spacing w:after="0" w:line="276" w:lineRule="auto"/>
        <w:jc w:val="both"/>
        <w:rPr>
          <w:rFonts w:ascii="Arial" w:hAnsi="Arial" w:cs="Arial"/>
          <w:i/>
          <w:color w:val="000000"/>
          <w:sz w:val="20"/>
          <w:lang w:val="es-CO" w:eastAsia="es-ES"/>
        </w:rPr>
      </w:pPr>
    </w:p>
    <w:p w14:paraId="29D1D391" w14:textId="77777777" w:rsidR="007A1F44" w:rsidRPr="00E54C7F" w:rsidRDefault="007A1F44" w:rsidP="00E54C7F">
      <w:pPr>
        <w:numPr>
          <w:ilvl w:val="0"/>
          <w:numId w:val="1"/>
        </w:numPr>
        <w:spacing w:after="0" w:line="276" w:lineRule="auto"/>
        <w:jc w:val="both"/>
        <w:rPr>
          <w:rFonts w:ascii="Arial" w:hAnsi="Arial" w:cs="Arial"/>
          <w:i/>
          <w:color w:val="000000"/>
          <w:sz w:val="20"/>
          <w:lang w:val="es-CO" w:eastAsia="es-ES"/>
        </w:rPr>
      </w:pPr>
      <w:r w:rsidRPr="00E54C7F">
        <w:rPr>
          <w:rFonts w:ascii="Arial" w:hAnsi="Arial" w:cs="Arial"/>
          <w:i/>
          <w:color w:val="000000"/>
          <w:sz w:val="20"/>
          <w:lang w:val="es-CO" w:eastAsia="es-ES"/>
        </w:rPr>
        <w:t>El nombre del llamado y el de su representante si aquel no puede comparecer por si al proceso.</w:t>
      </w:r>
    </w:p>
    <w:p w14:paraId="71AE1F90" w14:textId="77777777" w:rsidR="007A1F44" w:rsidRPr="00E54C7F" w:rsidRDefault="007A1F44" w:rsidP="00E54C7F">
      <w:pPr>
        <w:numPr>
          <w:ilvl w:val="0"/>
          <w:numId w:val="1"/>
        </w:numPr>
        <w:spacing w:after="0" w:line="276" w:lineRule="auto"/>
        <w:jc w:val="both"/>
        <w:rPr>
          <w:rFonts w:ascii="Arial" w:hAnsi="Arial" w:cs="Arial"/>
          <w:i/>
          <w:color w:val="000000"/>
          <w:sz w:val="20"/>
          <w:lang w:val="es-CO" w:eastAsia="es-ES"/>
        </w:rPr>
      </w:pPr>
      <w:r w:rsidRPr="00E54C7F">
        <w:rPr>
          <w:rFonts w:ascii="Arial" w:hAnsi="Arial" w:cs="Arial"/>
          <w:i/>
          <w:color w:val="000000"/>
          <w:sz w:val="20"/>
          <w:lang w:val="es-CO" w:eastAsia="es-ES"/>
        </w:rPr>
        <w:t>La indicación del domicilio del llamado, o en su defecto, de su residencia, y la de su habitación u oficina y los de su representante, según fuere el caso, o la manifestación de que se ignora, lo último bajo juramento, que se entiende prestado por a sola prestación del escrito.</w:t>
      </w:r>
    </w:p>
    <w:p w14:paraId="3FFDD8DD" w14:textId="77777777" w:rsidR="007A1F44" w:rsidRPr="00E54C7F" w:rsidRDefault="007A1F44" w:rsidP="00E54C7F">
      <w:pPr>
        <w:numPr>
          <w:ilvl w:val="0"/>
          <w:numId w:val="1"/>
        </w:numPr>
        <w:spacing w:after="0" w:line="276" w:lineRule="auto"/>
        <w:jc w:val="both"/>
        <w:rPr>
          <w:rFonts w:ascii="Arial" w:hAnsi="Arial" w:cs="Arial"/>
          <w:i/>
          <w:color w:val="000000"/>
          <w:sz w:val="20"/>
          <w:lang w:val="es-CO" w:eastAsia="es-ES"/>
        </w:rPr>
      </w:pPr>
      <w:r w:rsidRPr="00E54C7F">
        <w:rPr>
          <w:rFonts w:ascii="Arial" w:hAnsi="Arial" w:cs="Arial"/>
          <w:i/>
          <w:color w:val="000000"/>
          <w:sz w:val="20"/>
          <w:lang w:val="es-CO" w:eastAsia="es-ES"/>
        </w:rPr>
        <w:t>Los hechos en que se basa el llamamiento y los fundamentos de derecho que se invoquen</w:t>
      </w:r>
    </w:p>
    <w:p w14:paraId="08757260" w14:textId="77777777" w:rsidR="007A1F44" w:rsidRPr="00E54C7F" w:rsidRDefault="007A1F44" w:rsidP="00E54C7F">
      <w:pPr>
        <w:numPr>
          <w:ilvl w:val="0"/>
          <w:numId w:val="1"/>
        </w:numPr>
        <w:spacing w:after="0" w:line="276" w:lineRule="auto"/>
        <w:jc w:val="both"/>
        <w:rPr>
          <w:rFonts w:ascii="Arial" w:hAnsi="Arial" w:cs="Arial"/>
          <w:i/>
          <w:color w:val="000000"/>
          <w:sz w:val="20"/>
          <w:lang w:val="es-CO" w:eastAsia="es-ES"/>
        </w:rPr>
      </w:pPr>
      <w:r w:rsidRPr="00E54C7F">
        <w:rPr>
          <w:rFonts w:ascii="Arial" w:hAnsi="Arial" w:cs="Arial"/>
          <w:i/>
          <w:color w:val="000000"/>
          <w:sz w:val="20"/>
          <w:lang w:val="es-CO" w:eastAsia="es-ES"/>
        </w:rPr>
        <w:t>La dirección de la oficina o habitación donde quien hace el llamamiento y su apoderado recibirán notificaciones personales</w:t>
      </w:r>
    </w:p>
    <w:p w14:paraId="1CB1896B" w14:textId="77777777" w:rsidR="007A1F44" w:rsidRPr="00E54C7F" w:rsidRDefault="007A1F44" w:rsidP="00E54C7F">
      <w:pPr>
        <w:numPr>
          <w:ilvl w:val="0"/>
          <w:numId w:val="1"/>
        </w:numPr>
        <w:spacing w:after="0" w:line="276" w:lineRule="auto"/>
        <w:jc w:val="both"/>
        <w:rPr>
          <w:rFonts w:ascii="Arial" w:hAnsi="Arial" w:cs="Arial"/>
          <w:color w:val="000000"/>
          <w:sz w:val="20"/>
          <w:lang w:val="es-CO" w:eastAsia="es-ES"/>
        </w:rPr>
      </w:pPr>
      <w:r w:rsidRPr="00E54C7F">
        <w:rPr>
          <w:rFonts w:ascii="Arial" w:hAnsi="Arial" w:cs="Arial"/>
          <w:i/>
          <w:color w:val="000000"/>
          <w:sz w:val="20"/>
          <w:lang w:val="es-CO" w:eastAsia="es-ES"/>
        </w:rPr>
        <w:t>En llamamiento en garantía con fines de repetición se regirá por las normas de la ley 678 de 2001 o por aquellas que la reformen o adicionen (…)”</w:t>
      </w:r>
    </w:p>
    <w:p w14:paraId="61F19EB8" w14:textId="77777777" w:rsidR="007A1F44" w:rsidRPr="00E54C7F" w:rsidRDefault="007A1F44" w:rsidP="00E54C7F">
      <w:pPr>
        <w:spacing w:after="0" w:line="276" w:lineRule="auto"/>
        <w:jc w:val="both"/>
        <w:rPr>
          <w:rFonts w:ascii="Arial" w:hAnsi="Arial" w:cs="Arial"/>
          <w:color w:val="000000"/>
          <w:lang w:val="es-CO" w:eastAsia="es-ES"/>
        </w:rPr>
      </w:pPr>
    </w:p>
    <w:p w14:paraId="0D62D250" w14:textId="77777777" w:rsidR="007A1F44" w:rsidRPr="00E54C7F" w:rsidRDefault="007A1F44" w:rsidP="00E54C7F">
      <w:pPr>
        <w:spacing w:after="0" w:line="276" w:lineRule="auto"/>
        <w:jc w:val="both"/>
        <w:rPr>
          <w:rFonts w:ascii="Arial" w:hAnsi="Arial" w:cs="Arial"/>
          <w:bCs/>
          <w:color w:val="000000"/>
          <w:lang w:val="es-CO" w:eastAsia="es-CO"/>
        </w:rPr>
      </w:pPr>
      <w:r w:rsidRPr="00E54C7F">
        <w:rPr>
          <w:rFonts w:ascii="Arial" w:hAnsi="Arial" w:cs="Arial"/>
          <w:color w:val="000000"/>
          <w:lang w:val="es-CO" w:eastAsia="es-ES"/>
        </w:rPr>
        <w:t xml:space="preserve">El artículo 227 del CPACA prevé: </w:t>
      </w:r>
      <w:r w:rsidRPr="00CA3652">
        <w:rPr>
          <w:rFonts w:ascii="Arial Narrow" w:hAnsi="Arial Narrow" w:cs="Arial"/>
          <w:color w:val="000000"/>
          <w:sz w:val="20"/>
          <w:lang w:val="es-CO" w:eastAsia="es-ES"/>
        </w:rPr>
        <w:t xml:space="preserve">“(…) </w:t>
      </w:r>
      <w:r w:rsidRPr="00CA3652">
        <w:rPr>
          <w:rFonts w:ascii="Arial Narrow" w:hAnsi="Arial Narrow" w:cs="Arial"/>
          <w:b/>
          <w:i/>
          <w:color w:val="000000"/>
          <w:sz w:val="20"/>
          <w:lang w:val="es-CO" w:eastAsia="es-ES"/>
        </w:rPr>
        <w:t xml:space="preserve">En lo no regulado en este código sobre la intervención de terceros se aplicaran las normas del Código de Procedimiento Civil </w:t>
      </w:r>
      <w:r w:rsidRPr="00CA3652">
        <w:rPr>
          <w:rFonts w:ascii="Arial Narrow" w:hAnsi="Arial Narrow" w:cs="Arial"/>
          <w:i/>
          <w:color w:val="000000"/>
          <w:sz w:val="20"/>
          <w:lang w:val="es-CO" w:eastAsia="es-ES"/>
        </w:rPr>
        <w:t>(…)”</w:t>
      </w:r>
      <w:r w:rsidRPr="00E54C7F">
        <w:rPr>
          <w:rFonts w:ascii="Arial" w:hAnsi="Arial" w:cs="Arial"/>
          <w:i/>
          <w:color w:val="000000"/>
          <w:lang w:val="es-CO" w:eastAsia="es-ES"/>
        </w:rPr>
        <w:t xml:space="preserve">. </w:t>
      </w:r>
      <w:r w:rsidRPr="00E54C7F">
        <w:rPr>
          <w:rFonts w:ascii="Arial" w:hAnsi="Arial" w:cs="Arial"/>
          <w:bCs/>
          <w:color w:val="000000"/>
          <w:lang w:val="es-CO" w:eastAsia="es-CO"/>
        </w:rPr>
        <w:t>Dicho Código fue reemplazado por el Código General del Proceso a partir de enero de 2014.</w:t>
      </w:r>
    </w:p>
    <w:p w14:paraId="232AF5E5" w14:textId="77777777" w:rsidR="007A1F44" w:rsidRPr="00E54C7F" w:rsidRDefault="007A1F44" w:rsidP="00E54C7F">
      <w:pPr>
        <w:spacing w:after="0" w:line="276" w:lineRule="auto"/>
        <w:jc w:val="both"/>
        <w:rPr>
          <w:rFonts w:ascii="Arial" w:hAnsi="Arial" w:cs="Arial"/>
          <w:color w:val="000000"/>
          <w:lang w:val="es-CO" w:eastAsia="es-ES"/>
        </w:rPr>
      </w:pPr>
    </w:p>
    <w:p w14:paraId="422819D3" w14:textId="77777777" w:rsidR="007A1F44" w:rsidRPr="00E54C7F" w:rsidRDefault="007A1F44" w:rsidP="00E54C7F">
      <w:pPr>
        <w:spacing w:after="0" w:line="276" w:lineRule="auto"/>
        <w:jc w:val="both"/>
        <w:rPr>
          <w:rFonts w:ascii="Arial" w:hAnsi="Arial" w:cs="Arial"/>
          <w:color w:val="000000"/>
          <w:sz w:val="20"/>
          <w:lang w:val="es-CO" w:eastAsia="es-ES"/>
        </w:rPr>
      </w:pPr>
      <w:r w:rsidRPr="00E54C7F">
        <w:rPr>
          <w:rFonts w:ascii="Arial" w:hAnsi="Arial" w:cs="Arial"/>
          <w:color w:val="000000"/>
          <w:lang w:val="es-CO" w:eastAsia="es-ES"/>
        </w:rPr>
        <w:t xml:space="preserve">De acuerdo con lo preceptuado por el artículo 64 del Código General del Proceso, </w:t>
      </w:r>
      <w:r w:rsidRPr="00E54C7F">
        <w:rPr>
          <w:rFonts w:ascii="Arial" w:hAnsi="Arial" w:cs="Arial"/>
          <w:i/>
          <w:color w:val="000000"/>
          <w:sz w:val="20"/>
          <w:lang w:val="es-CO" w:eastAsia="es-ES"/>
        </w:rPr>
        <w:t>“(…) quien afirme tener derecho legal o contractual a exigir de otro la indemnización del perjuicio que llegare a sufrir o el reembolso total o parcial del pago que tuviere que hacer como resultado de la sentencia”… “podrá pedir, en la demanda o dentro del término para contestarla, que en el mismo proceso se resuelva sobre tal relación (…)”</w:t>
      </w:r>
    </w:p>
    <w:p w14:paraId="17738002" w14:textId="77777777" w:rsidR="007A1F44" w:rsidRPr="00E54C7F" w:rsidRDefault="007A1F44" w:rsidP="00E54C7F">
      <w:pPr>
        <w:spacing w:after="0" w:line="276" w:lineRule="auto"/>
        <w:jc w:val="both"/>
        <w:rPr>
          <w:rFonts w:ascii="Arial" w:hAnsi="Arial" w:cs="Arial"/>
          <w:color w:val="000000"/>
          <w:sz w:val="20"/>
          <w:lang w:val="es-CO" w:eastAsia="es-ES"/>
        </w:rPr>
      </w:pPr>
    </w:p>
    <w:p w14:paraId="450283B9" w14:textId="77777777" w:rsidR="007A1F44" w:rsidRPr="00E54C7F" w:rsidRDefault="007A1F44" w:rsidP="00E54C7F">
      <w:pPr>
        <w:spacing w:after="0" w:line="276" w:lineRule="auto"/>
        <w:jc w:val="both"/>
        <w:rPr>
          <w:rFonts w:ascii="Arial" w:hAnsi="Arial" w:cs="Arial"/>
          <w:i/>
          <w:color w:val="000000"/>
          <w:sz w:val="20"/>
          <w:lang w:val="es-CO" w:eastAsia="es-ES"/>
        </w:rPr>
      </w:pPr>
      <w:r w:rsidRPr="00E54C7F">
        <w:rPr>
          <w:rFonts w:ascii="Arial" w:hAnsi="Arial" w:cs="Arial"/>
          <w:color w:val="000000"/>
          <w:lang w:val="es-CO" w:eastAsia="es-ES"/>
        </w:rPr>
        <w:t xml:space="preserve">Adicionalmente el artículo 65 de dicho estatuto preceptúa que </w:t>
      </w:r>
      <w:r w:rsidRPr="00E54C7F">
        <w:rPr>
          <w:rFonts w:ascii="Arial" w:hAnsi="Arial" w:cs="Arial"/>
          <w:color w:val="000000"/>
          <w:sz w:val="20"/>
          <w:lang w:val="es-CO" w:eastAsia="es-ES"/>
        </w:rPr>
        <w:t xml:space="preserve">“(…) </w:t>
      </w:r>
      <w:r w:rsidRPr="00E54C7F">
        <w:rPr>
          <w:rFonts w:ascii="Arial" w:hAnsi="Arial" w:cs="Arial"/>
          <w:i/>
          <w:color w:val="000000"/>
          <w:sz w:val="20"/>
          <w:lang w:val="es-CO" w:eastAsia="es-ES"/>
        </w:rPr>
        <w:t>la demanda por medio de la cual se llame en garantía deberá cumplir con los mismos requisitos exigidos en el artículo 82 y demás normas aplicables (…) el convocado podrá a su vez llamar en garantía (…)”</w:t>
      </w:r>
    </w:p>
    <w:p w14:paraId="0C84367D" w14:textId="77777777" w:rsidR="007A1F44" w:rsidRPr="00E54C7F" w:rsidRDefault="007A1F44" w:rsidP="00E54C7F">
      <w:pPr>
        <w:spacing w:after="0" w:line="276" w:lineRule="auto"/>
        <w:jc w:val="both"/>
        <w:rPr>
          <w:rFonts w:ascii="Arial" w:hAnsi="Arial" w:cs="Arial"/>
          <w:i/>
          <w:color w:val="000000"/>
          <w:lang w:val="es-CO" w:eastAsia="es-ES"/>
        </w:rPr>
      </w:pPr>
    </w:p>
    <w:p w14:paraId="472B0A90" w14:textId="77777777" w:rsidR="007A1F44" w:rsidRPr="00CA3652" w:rsidRDefault="007A1F44" w:rsidP="00E54C7F">
      <w:pPr>
        <w:spacing w:after="0" w:line="276" w:lineRule="auto"/>
        <w:jc w:val="both"/>
        <w:rPr>
          <w:rFonts w:ascii="Arial Narrow" w:hAnsi="Arial Narrow" w:cs="Arial"/>
          <w:i/>
          <w:color w:val="000000"/>
          <w:sz w:val="20"/>
          <w:lang w:val="es-CO" w:eastAsia="es-ES"/>
        </w:rPr>
      </w:pPr>
      <w:r w:rsidRPr="00E54C7F">
        <w:rPr>
          <w:rFonts w:ascii="Arial" w:hAnsi="Arial" w:cs="Arial"/>
          <w:color w:val="000000"/>
          <w:lang w:val="es-CO" w:eastAsia="es-ES"/>
        </w:rPr>
        <w:t xml:space="preserve">Y por último el artículo 66 del mismo estatuto señala </w:t>
      </w:r>
      <w:r w:rsidRPr="00CA3652">
        <w:rPr>
          <w:rFonts w:ascii="Arial Narrow" w:hAnsi="Arial Narrow" w:cs="Arial"/>
          <w:i/>
          <w:color w:val="000000"/>
          <w:sz w:val="20"/>
          <w:lang w:val="es-CO" w:eastAsia="es-ES"/>
        </w:rPr>
        <w:t xml:space="preserve">“(…) </w:t>
      </w:r>
      <w:r w:rsidRPr="00CA3652">
        <w:rPr>
          <w:rFonts w:ascii="Arial Narrow" w:hAnsi="Arial Narrow" w:cs="Arial"/>
          <w:b/>
          <w:i/>
          <w:color w:val="000000"/>
          <w:sz w:val="20"/>
          <w:lang w:val="es-CO" w:eastAsia="es-ES"/>
        </w:rPr>
        <w:t>si el juez halla procedente el llamamiento, ordenara notificar personalmente al convocado</w:t>
      </w:r>
      <w:r w:rsidRPr="00CA3652">
        <w:rPr>
          <w:rFonts w:ascii="Arial Narrow" w:hAnsi="Arial Narrow" w:cs="Arial"/>
          <w:i/>
          <w:color w:val="000000"/>
          <w:sz w:val="20"/>
          <w:lang w:val="es-CO" w:eastAsia="es-ES"/>
        </w:rPr>
        <w:t xml:space="preserve"> </w:t>
      </w:r>
      <w:r w:rsidRPr="00CA3652">
        <w:rPr>
          <w:rFonts w:ascii="Arial Narrow" w:hAnsi="Arial Narrow" w:cs="Arial"/>
          <w:b/>
          <w:i/>
          <w:color w:val="000000"/>
          <w:sz w:val="20"/>
          <w:lang w:val="es-CO" w:eastAsia="es-ES"/>
        </w:rPr>
        <w:t>y correrle traslado del escrito por el término de la demanda inicial,</w:t>
      </w:r>
      <w:r w:rsidRPr="00CA3652">
        <w:rPr>
          <w:rFonts w:ascii="Arial Narrow" w:hAnsi="Arial Narrow" w:cs="Arial"/>
          <w:i/>
          <w:color w:val="000000"/>
          <w:sz w:val="20"/>
          <w:lang w:val="es-CO" w:eastAsia="es-ES"/>
        </w:rPr>
        <w:t xml:space="preserve"> </w:t>
      </w:r>
      <w:r w:rsidRPr="00CA3652">
        <w:rPr>
          <w:rFonts w:ascii="Arial Narrow" w:hAnsi="Arial Narrow" w:cs="Arial"/>
          <w:b/>
          <w:i/>
          <w:color w:val="000000"/>
          <w:sz w:val="20"/>
          <w:lang w:val="es-CO" w:eastAsia="es-ES"/>
        </w:rPr>
        <w:t>si la notificación no se logra</w:t>
      </w:r>
      <w:r w:rsidRPr="00CA3652">
        <w:rPr>
          <w:rFonts w:ascii="Arial Narrow" w:hAnsi="Arial Narrow" w:cs="Arial"/>
          <w:i/>
          <w:color w:val="000000"/>
          <w:sz w:val="20"/>
          <w:lang w:val="es-CO" w:eastAsia="es-ES"/>
        </w:rPr>
        <w:t xml:space="preserve"> </w:t>
      </w:r>
      <w:r w:rsidRPr="00CA3652">
        <w:rPr>
          <w:rFonts w:ascii="Arial Narrow" w:hAnsi="Arial Narrow" w:cs="Arial"/>
          <w:b/>
          <w:i/>
          <w:color w:val="000000"/>
          <w:sz w:val="20"/>
          <w:lang w:val="es-CO" w:eastAsia="es-ES"/>
        </w:rPr>
        <w:t>dentro de los 6 meses siguientes</w:t>
      </w:r>
      <w:r w:rsidRPr="00CA3652">
        <w:rPr>
          <w:rFonts w:ascii="Arial Narrow" w:hAnsi="Arial Narrow" w:cs="Arial"/>
          <w:i/>
          <w:color w:val="000000"/>
          <w:sz w:val="20"/>
          <w:lang w:val="es-CO" w:eastAsia="es-ES"/>
        </w:rPr>
        <w:t xml:space="preserve">, </w:t>
      </w:r>
      <w:r w:rsidRPr="00CA3652">
        <w:rPr>
          <w:rFonts w:ascii="Arial Narrow" w:hAnsi="Arial Narrow" w:cs="Arial"/>
          <w:b/>
          <w:i/>
          <w:color w:val="000000"/>
          <w:sz w:val="20"/>
          <w:lang w:val="es-CO" w:eastAsia="es-ES"/>
        </w:rPr>
        <w:t>el llamamiento será ineficaz</w:t>
      </w:r>
      <w:r w:rsidRPr="00CA3652">
        <w:rPr>
          <w:rFonts w:ascii="Arial Narrow" w:hAnsi="Arial Narrow" w:cs="Arial"/>
          <w:i/>
          <w:color w:val="000000"/>
          <w:sz w:val="20"/>
          <w:lang w:val="es-CO" w:eastAsia="es-ES"/>
        </w:rPr>
        <w:t xml:space="preserve">, la misma regla se aplicará en el caso contemplado en el inciso segundo del artículo anterior.  </w:t>
      </w:r>
    </w:p>
    <w:p w14:paraId="59411625" w14:textId="77777777" w:rsidR="007A1F44" w:rsidRPr="00CA3652" w:rsidRDefault="007A1F44" w:rsidP="00E54C7F">
      <w:pPr>
        <w:spacing w:after="0" w:line="276" w:lineRule="auto"/>
        <w:jc w:val="both"/>
        <w:rPr>
          <w:rFonts w:ascii="Arial Narrow" w:hAnsi="Arial Narrow" w:cs="Arial"/>
          <w:i/>
          <w:color w:val="000000"/>
          <w:sz w:val="20"/>
          <w:lang w:val="es-CO" w:eastAsia="es-ES"/>
        </w:rPr>
      </w:pPr>
    </w:p>
    <w:p w14:paraId="30FB6F7F" w14:textId="77777777" w:rsidR="007A1F44" w:rsidRPr="00CA3652" w:rsidRDefault="007A1F44" w:rsidP="00E54C7F">
      <w:pPr>
        <w:spacing w:after="0" w:line="276" w:lineRule="auto"/>
        <w:jc w:val="both"/>
        <w:rPr>
          <w:rFonts w:ascii="Arial Narrow" w:hAnsi="Arial Narrow" w:cs="Arial"/>
          <w:b/>
          <w:i/>
          <w:color w:val="000000"/>
          <w:sz w:val="20"/>
          <w:lang w:val="es-CO" w:eastAsia="es-ES"/>
        </w:rPr>
      </w:pPr>
      <w:r w:rsidRPr="00CA3652">
        <w:rPr>
          <w:rFonts w:ascii="Arial Narrow" w:hAnsi="Arial Narrow" w:cs="Arial"/>
          <w:i/>
          <w:color w:val="000000"/>
          <w:sz w:val="20"/>
          <w:lang w:val="es-CO" w:eastAsia="es-ES"/>
        </w:rPr>
        <w:t xml:space="preserve">El llamado en garantía </w:t>
      </w:r>
      <w:r w:rsidRPr="00CA3652">
        <w:rPr>
          <w:rFonts w:ascii="Arial Narrow" w:hAnsi="Arial Narrow" w:cs="Arial"/>
          <w:b/>
          <w:i/>
          <w:color w:val="000000"/>
          <w:sz w:val="20"/>
          <w:lang w:val="es-CO" w:eastAsia="es-ES"/>
        </w:rPr>
        <w:t>podrá contestar en un solo escrito la demanda y el llamamiento y solicitar las pruebas que pretenda hacer valer</w:t>
      </w:r>
    </w:p>
    <w:p w14:paraId="38F11DC0" w14:textId="77777777" w:rsidR="007A1F44" w:rsidRPr="00CA3652" w:rsidRDefault="007A1F44" w:rsidP="00E54C7F">
      <w:pPr>
        <w:spacing w:after="0" w:line="276" w:lineRule="auto"/>
        <w:jc w:val="both"/>
        <w:rPr>
          <w:rFonts w:ascii="Arial Narrow" w:hAnsi="Arial Narrow" w:cs="Arial"/>
          <w:b/>
          <w:i/>
          <w:color w:val="000000"/>
          <w:sz w:val="20"/>
          <w:lang w:val="es-CO" w:eastAsia="es-ES"/>
        </w:rPr>
      </w:pPr>
    </w:p>
    <w:p w14:paraId="150F1496" w14:textId="77777777" w:rsidR="007A1F44" w:rsidRPr="00CA3652" w:rsidRDefault="007A1F44" w:rsidP="00E54C7F">
      <w:pPr>
        <w:spacing w:after="0" w:line="276" w:lineRule="auto"/>
        <w:jc w:val="both"/>
        <w:rPr>
          <w:rFonts w:ascii="Arial Narrow" w:hAnsi="Arial Narrow" w:cs="Arial"/>
          <w:i/>
          <w:color w:val="000000"/>
          <w:sz w:val="20"/>
          <w:lang w:val="es-CO" w:eastAsia="es-ES"/>
        </w:rPr>
      </w:pPr>
      <w:r w:rsidRPr="00CA3652">
        <w:rPr>
          <w:rFonts w:ascii="Arial Narrow" w:hAnsi="Arial Narrow" w:cs="Arial"/>
          <w:b/>
          <w:i/>
          <w:color w:val="000000"/>
          <w:sz w:val="20"/>
          <w:lang w:val="es-CO" w:eastAsia="es-ES"/>
        </w:rPr>
        <w:t xml:space="preserve">En la sentencia se resolverá, cuando fuere pertinente, sobre la relación sustancial aducida y acerca de las indemnizaciones o restituciones a cargo del llamado en garantía </w:t>
      </w:r>
      <w:r w:rsidRPr="00CA3652">
        <w:rPr>
          <w:rFonts w:ascii="Arial Narrow" w:hAnsi="Arial Narrow" w:cs="Arial"/>
          <w:i/>
          <w:color w:val="000000"/>
          <w:sz w:val="20"/>
          <w:lang w:val="es-CO" w:eastAsia="es-ES"/>
        </w:rPr>
        <w:t>(…)”</w:t>
      </w:r>
    </w:p>
    <w:p w14:paraId="7E957D0E" w14:textId="77777777" w:rsidR="007A1F44" w:rsidRPr="00E54C7F" w:rsidRDefault="007A1F44" w:rsidP="00E54C7F">
      <w:pPr>
        <w:spacing w:after="0" w:line="276" w:lineRule="auto"/>
        <w:jc w:val="both"/>
        <w:rPr>
          <w:rFonts w:ascii="Arial" w:hAnsi="Arial" w:cs="Arial"/>
          <w:color w:val="000000"/>
          <w:lang w:val="es-CO" w:eastAsia="es-ES"/>
        </w:rPr>
      </w:pPr>
    </w:p>
    <w:p w14:paraId="47EB75A0" w14:textId="77777777" w:rsidR="007A1F44" w:rsidRPr="00E54C7F" w:rsidRDefault="007A1F44" w:rsidP="00E54C7F">
      <w:pPr>
        <w:pStyle w:val="Prrafodelista"/>
        <w:numPr>
          <w:ilvl w:val="1"/>
          <w:numId w:val="2"/>
        </w:numPr>
        <w:tabs>
          <w:tab w:val="left" w:pos="426"/>
        </w:tabs>
        <w:spacing w:after="0" w:line="276" w:lineRule="auto"/>
        <w:jc w:val="both"/>
        <w:rPr>
          <w:rFonts w:ascii="Arial" w:hAnsi="Arial" w:cs="Arial"/>
          <w:b/>
          <w:color w:val="000000"/>
          <w:lang w:val="es-CO" w:eastAsia="es-ES"/>
        </w:rPr>
      </w:pPr>
      <w:r w:rsidRPr="00E54C7F">
        <w:rPr>
          <w:rFonts w:ascii="Arial" w:hAnsi="Arial" w:cs="Arial"/>
          <w:b/>
          <w:color w:val="000000"/>
          <w:lang w:val="es-CO" w:eastAsia="es-ES"/>
        </w:rPr>
        <w:t>DOCUMENTOS APORTADOS.</w:t>
      </w:r>
    </w:p>
    <w:p w14:paraId="2F0C5890" w14:textId="77777777" w:rsidR="007A1F44" w:rsidRPr="00E54C7F" w:rsidRDefault="007A1F44" w:rsidP="00E54C7F">
      <w:pPr>
        <w:tabs>
          <w:tab w:val="left" w:pos="426"/>
        </w:tabs>
        <w:spacing w:after="0" w:line="276" w:lineRule="auto"/>
        <w:contextualSpacing/>
        <w:jc w:val="both"/>
        <w:rPr>
          <w:rFonts w:ascii="Arial" w:hAnsi="Arial" w:cs="Arial"/>
          <w:b/>
          <w:color w:val="000000"/>
          <w:lang w:val="es-CO" w:eastAsia="es-ES"/>
        </w:rPr>
      </w:pPr>
    </w:p>
    <w:p w14:paraId="07AE5333" w14:textId="77777777" w:rsidR="008971DF" w:rsidRPr="00E54C7F" w:rsidRDefault="008971DF" w:rsidP="00E54C7F">
      <w:pPr>
        <w:pStyle w:val="Prrafodelista"/>
        <w:numPr>
          <w:ilvl w:val="2"/>
          <w:numId w:val="2"/>
        </w:numPr>
        <w:shd w:val="clear" w:color="auto" w:fill="FFFFFF"/>
        <w:tabs>
          <w:tab w:val="left" w:pos="567"/>
        </w:tabs>
        <w:autoSpaceDE w:val="0"/>
        <w:autoSpaceDN w:val="0"/>
        <w:adjustRightInd w:val="0"/>
        <w:spacing w:after="0" w:line="276" w:lineRule="auto"/>
        <w:ind w:left="0" w:firstLine="0"/>
        <w:jc w:val="both"/>
        <w:rPr>
          <w:rFonts w:ascii="Arial" w:hAnsi="Arial" w:cs="Arial"/>
          <w:color w:val="000000"/>
          <w:lang w:val="es-CO" w:eastAsia="es-ES"/>
        </w:rPr>
      </w:pPr>
      <w:r w:rsidRPr="00E54C7F">
        <w:rPr>
          <w:rFonts w:ascii="Arial" w:hAnsi="Arial" w:cs="Arial"/>
          <w:color w:val="000000"/>
          <w:lang w:val="es-CO" w:eastAsia="es-ES"/>
        </w:rPr>
        <w:t>Copia simple de la póliza Nº 560852. (cuaderno 9)</w:t>
      </w:r>
    </w:p>
    <w:p w14:paraId="45BA788F" w14:textId="77777777" w:rsidR="007A1F44" w:rsidRPr="00E54C7F" w:rsidRDefault="008971DF" w:rsidP="00E54C7F">
      <w:pPr>
        <w:pStyle w:val="Prrafodelista"/>
        <w:numPr>
          <w:ilvl w:val="2"/>
          <w:numId w:val="2"/>
        </w:numPr>
        <w:shd w:val="clear" w:color="auto" w:fill="FFFFFF"/>
        <w:tabs>
          <w:tab w:val="left" w:pos="567"/>
        </w:tabs>
        <w:autoSpaceDE w:val="0"/>
        <w:autoSpaceDN w:val="0"/>
        <w:adjustRightInd w:val="0"/>
        <w:spacing w:after="0" w:line="276" w:lineRule="auto"/>
        <w:ind w:left="0" w:firstLine="0"/>
        <w:jc w:val="both"/>
        <w:rPr>
          <w:rFonts w:ascii="Arial" w:hAnsi="Arial" w:cs="Arial"/>
          <w:color w:val="000000"/>
          <w:lang w:val="es-CO" w:eastAsia="es-ES"/>
        </w:rPr>
      </w:pPr>
      <w:r w:rsidRPr="00E54C7F">
        <w:rPr>
          <w:rFonts w:ascii="Arial" w:hAnsi="Arial" w:cs="Arial"/>
          <w:color w:val="000000"/>
          <w:lang w:val="es-CO" w:eastAsia="es-ES"/>
        </w:rPr>
        <w:t xml:space="preserve">Certificado de Liberty Seguros S.A. expedido </w:t>
      </w:r>
      <w:r w:rsidR="007A1F44" w:rsidRPr="00E54C7F">
        <w:rPr>
          <w:rFonts w:ascii="Arial" w:hAnsi="Arial" w:cs="Arial"/>
          <w:color w:val="000000"/>
          <w:lang w:val="es-CO" w:eastAsia="es-ES"/>
        </w:rPr>
        <w:t xml:space="preserve">por la Superintendencia Financiera de Colombia </w:t>
      </w:r>
      <w:r w:rsidRPr="00E54C7F">
        <w:rPr>
          <w:rFonts w:ascii="Arial" w:hAnsi="Arial" w:cs="Arial"/>
          <w:color w:val="000000"/>
          <w:lang w:val="es-CO" w:eastAsia="es-ES"/>
        </w:rPr>
        <w:t>(cuaderno 9</w:t>
      </w:r>
      <w:r w:rsidR="007A1F44" w:rsidRPr="00E54C7F">
        <w:rPr>
          <w:rFonts w:ascii="Arial" w:hAnsi="Arial" w:cs="Arial"/>
          <w:color w:val="000000"/>
          <w:lang w:val="es-CO" w:eastAsia="es-ES"/>
        </w:rPr>
        <w:t>).</w:t>
      </w:r>
    </w:p>
    <w:p w14:paraId="1DAFE629" w14:textId="77777777" w:rsidR="007A1F44" w:rsidRPr="00E54C7F" w:rsidRDefault="007A1F44" w:rsidP="00E54C7F">
      <w:pPr>
        <w:shd w:val="clear" w:color="auto" w:fill="FFFFFF"/>
        <w:tabs>
          <w:tab w:val="left" w:pos="284"/>
        </w:tabs>
        <w:autoSpaceDE w:val="0"/>
        <w:autoSpaceDN w:val="0"/>
        <w:adjustRightInd w:val="0"/>
        <w:spacing w:after="0" w:line="276" w:lineRule="auto"/>
        <w:jc w:val="both"/>
        <w:rPr>
          <w:rFonts w:ascii="Arial" w:hAnsi="Arial" w:cs="Arial"/>
          <w:color w:val="000000"/>
          <w:lang w:val="es-CO" w:eastAsia="es-ES"/>
        </w:rPr>
      </w:pPr>
    </w:p>
    <w:p w14:paraId="001D6F11" w14:textId="77777777" w:rsidR="007A1F44" w:rsidRPr="00E54C7F" w:rsidRDefault="007A1F44" w:rsidP="00E54C7F">
      <w:pPr>
        <w:pStyle w:val="Prrafodelista"/>
        <w:numPr>
          <w:ilvl w:val="1"/>
          <w:numId w:val="2"/>
        </w:numPr>
        <w:tabs>
          <w:tab w:val="left" w:pos="426"/>
        </w:tabs>
        <w:spacing w:after="0" w:line="276" w:lineRule="auto"/>
        <w:jc w:val="both"/>
        <w:rPr>
          <w:rFonts w:ascii="Arial" w:hAnsi="Arial" w:cs="Arial"/>
          <w:color w:val="000000"/>
          <w:lang w:val="es-CO" w:eastAsia="es-ES"/>
        </w:rPr>
      </w:pPr>
      <w:r w:rsidRPr="00E54C7F">
        <w:rPr>
          <w:rFonts w:ascii="Arial" w:hAnsi="Arial" w:cs="Arial"/>
          <w:b/>
          <w:color w:val="000000"/>
          <w:lang w:val="es-CO" w:eastAsia="es-ES"/>
        </w:rPr>
        <w:t>LLAMAMIENTO EN GARANTÍA A</w:t>
      </w:r>
      <w:r w:rsidR="008971DF" w:rsidRPr="00E54C7F">
        <w:rPr>
          <w:rFonts w:ascii="Arial" w:hAnsi="Arial" w:cs="Arial"/>
          <w:b/>
          <w:color w:val="000000"/>
          <w:lang w:val="es-CO" w:eastAsia="es-ES"/>
        </w:rPr>
        <w:t xml:space="preserve"> LIBERTY SEGUROS S.A.</w:t>
      </w:r>
    </w:p>
    <w:p w14:paraId="043A8D30" w14:textId="77777777" w:rsidR="007A1F44" w:rsidRPr="00E54C7F" w:rsidRDefault="007A1F44" w:rsidP="00E54C7F">
      <w:pPr>
        <w:pStyle w:val="Prrafodelista"/>
        <w:tabs>
          <w:tab w:val="left" w:pos="426"/>
        </w:tabs>
        <w:spacing w:after="0" w:line="276" w:lineRule="auto"/>
        <w:jc w:val="both"/>
        <w:rPr>
          <w:rFonts w:ascii="Arial" w:hAnsi="Arial" w:cs="Arial"/>
          <w:color w:val="000000"/>
          <w:lang w:val="es-CO" w:eastAsia="es-ES"/>
        </w:rPr>
      </w:pPr>
    </w:p>
    <w:p w14:paraId="55470BC8" w14:textId="77777777" w:rsidR="007A1F44" w:rsidRPr="00E54C7F" w:rsidRDefault="007A1F44" w:rsidP="00E54C7F">
      <w:pPr>
        <w:tabs>
          <w:tab w:val="left" w:pos="426"/>
        </w:tabs>
        <w:spacing w:after="0" w:line="276" w:lineRule="auto"/>
        <w:contextualSpacing/>
        <w:jc w:val="both"/>
        <w:rPr>
          <w:rFonts w:ascii="Arial" w:hAnsi="Arial" w:cs="Arial"/>
          <w:color w:val="000000"/>
          <w:lang w:val="es-CO" w:eastAsia="es-ES"/>
        </w:rPr>
      </w:pPr>
      <w:r w:rsidRPr="00E54C7F">
        <w:rPr>
          <w:rFonts w:ascii="Arial" w:hAnsi="Arial" w:cs="Arial"/>
          <w:color w:val="000000"/>
          <w:lang w:val="es-CO" w:eastAsia="es-ES"/>
        </w:rPr>
        <w:lastRenderedPageBreak/>
        <w:t xml:space="preserve">Revisado el expediente se observa que el solicitante aportó póliza de seguro de responsabilidad civil extracontractual No. </w:t>
      </w:r>
      <w:r w:rsidR="008971DF" w:rsidRPr="00E54C7F">
        <w:rPr>
          <w:rFonts w:ascii="Arial" w:hAnsi="Arial" w:cs="Arial"/>
          <w:color w:val="000000"/>
          <w:lang w:val="es-CO" w:eastAsia="es-ES"/>
        </w:rPr>
        <w:t>560852</w:t>
      </w:r>
      <w:r w:rsidRPr="00E54C7F">
        <w:rPr>
          <w:rFonts w:ascii="Arial" w:hAnsi="Arial" w:cs="Arial"/>
          <w:color w:val="000000"/>
          <w:lang w:val="es-CO" w:eastAsia="es-ES"/>
        </w:rPr>
        <w:t xml:space="preserve">, suscrita entre </w:t>
      </w:r>
      <w:r w:rsidR="008971DF" w:rsidRPr="00E54C7F">
        <w:rPr>
          <w:rFonts w:ascii="Arial" w:hAnsi="Arial" w:cs="Arial"/>
          <w:color w:val="000000"/>
          <w:lang w:val="es-CO" w:eastAsia="es-ES"/>
        </w:rPr>
        <w:t>CIMA (llamante) y LIBERTY SEGUROS S.A</w:t>
      </w:r>
      <w:r w:rsidRPr="00E54C7F">
        <w:rPr>
          <w:rFonts w:ascii="Arial" w:hAnsi="Arial" w:cs="Arial"/>
          <w:color w:val="000000"/>
          <w:lang w:val="es-CO" w:eastAsia="es-ES"/>
        </w:rPr>
        <w:t xml:space="preserve">, con vigencia del </w:t>
      </w:r>
      <w:r w:rsidR="008971DF" w:rsidRPr="00E54C7F">
        <w:rPr>
          <w:rFonts w:ascii="Arial" w:hAnsi="Arial" w:cs="Arial"/>
          <w:color w:val="000000"/>
          <w:lang w:val="es-CO" w:eastAsia="es-ES"/>
        </w:rPr>
        <w:t>30 de octubre de 2015 hasta el 30 de diciembre de 2018</w:t>
      </w:r>
      <w:r w:rsidRPr="00E54C7F">
        <w:rPr>
          <w:rFonts w:ascii="Arial" w:hAnsi="Arial" w:cs="Arial"/>
          <w:color w:val="000000"/>
          <w:lang w:val="es-CO" w:eastAsia="es-ES"/>
        </w:rPr>
        <w:t xml:space="preserve">. </w:t>
      </w:r>
      <w:r w:rsidR="008971DF" w:rsidRPr="00E54C7F">
        <w:rPr>
          <w:rFonts w:ascii="Arial" w:hAnsi="Arial" w:cs="Arial"/>
          <w:color w:val="000000"/>
          <w:lang w:val="es-CO" w:eastAsia="es-ES"/>
        </w:rPr>
        <w:t xml:space="preserve">Sin embargo, </w:t>
      </w:r>
      <w:r w:rsidRPr="00E54C7F">
        <w:rPr>
          <w:rFonts w:ascii="Arial" w:hAnsi="Arial" w:cs="Arial"/>
          <w:color w:val="000000"/>
          <w:lang w:val="es-CO" w:eastAsia="es-ES"/>
        </w:rPr>
        <w:t xml:space="preserve">los hechos objeto de la presente demanda ocurrieron el </w:t>
      </w:r>
      <w:r w:rsidR="008971DF" w:rsidRPr="00E54C7F">
        <w:rPr>
          <w:rFonts w:ascii="Arial" w:hAnsi="Arial" w:cs="Arial"/>
          <w:color w:val="000000"/>
          <w:lang w:val="es-CO" w:eastAsia="es-ES"/>
        </w:rPr>
        <w:t>28 de febrero de 2015</w:t>
      </w:r>
      <w:r w:rsidRPr="00E54C7F">
        <w:rPr>
          <w:rFonts w:ascii="Arial" w:hAnsi="Arial" w:cs="Arial"/>
          <w:color w:val="000000"/>
          <w:lang w:val="es-CO" w:eastAsia="es-ES"/>
        </w:rPr>
        <w:t xml:space="preserve">, </w:t>
      </w:r>
      <w:r w:rsidR="008971DF" w:rsidRPr="00E54C7F">
        <w:rPr>
          <w:rFonts w:ascii="Arial" w:hAnsi="Arial" w:cs="Arial"/>
          <w:color w:val="000000"/>
          <w:lang w:val="es-CO" w:eastAsia="es-ES"/>
        </w:rPr>
        <w:t xml:space="preserve">es decir, cuando </w:t>
      </w:r>
      <w:r w:rsidRPr="00E54C7F">
        <w:rPr>
          <w:rFonts w:ascii="Arial" w:hAnsi="Arial" w:cs="Arial"/>
          <w:color w:val="000000"/>
          <w:lang w:val="es-CO" w:eastAsia="es-ES"/>
        </w:rPr>
        <w:t xml:space="preserve">la póliza aportada </w:t>
      </w:r>
      <w:r w:rsidR="008971DF" w:rsidRPr="00E54C7F">
        <w:rPr>
          <w:rFonts w:ascii="Arial" w:hAnsi="Arial" w:cs="Arial"/>
          <w:color w:val="000000"/>
          <w:lang w:val="es-CO" w:eastAsia="es-ES"/>
        </w:rPr>
        <w:t xml:space="preserve">aún </w:t>
      </w:r>
      <w:r w:rsidRPr="00E54C7F">
        <w:rPr>
          <w:rFonts w:ascii="Arial" w:hAnsi="Arial" w:cs="Arial"/>
          <w:color w:val="000000"/>
          <w:lang w:val="es-CO" w:eastAsia="es-ES"/>
        </w:rPr>
        <w:t xml:space="preserve">no </w:t>
      </w:r>
      <w:r w:rsidR="008971DF" w:rsidRPr="00E54C7F">
        <w:rPr>
          <w:rFonts w:ascii="Arial" w:hAnsi="Arial" w:cs="Arial"/>
          <w:color w:val="000000"/>
          <w:lang w:val="es-CO" w:eastAsia="es-ES"/>
        </w:rPr>
        <w:t>tenía vigencia</w:t>
      </w:r>
      <w:r w:rsidRPr="00E54C7F">
        <w:rPr>
          <w:rFonts w:ascii="Arial" w:hAnsi="Arial" w:cs="Arial"/>
          <w:color w:val="000000"/>
          <w:lang w:val="es-CO" w:eastAsia="es-ES"/>
        </w:rPr>
        <w:t xml:space="preserve">.  </w:t>
      </w:r>
    </w:p>
    <w:p w14:paraId="219BD95A" w14:textId="77777777" w:rsidR="007A1F44" w:rsidRPr="00E54C7F" w:rsidRDefault="007A1F44" w:rsidP="00E54C7F">
      <w:pPr>
        <w:tabs>
          <w:tab w:val="left" w:pos="426"/>
        </w:tabs>
        <w:spacing w:after="0" w:line="276" w:lineRule="auto"/>
        <w:contextualSpacing/>
        <w:jc w:val="both"/>
        <w:rPr>
          <w:rFonts w:ascii="Arial" w:hAnsi="Arial" w:cs="Arial"/>
          <w:color w:val="000000"/>
          <w:lang w:val="es-CO" w:eastAsia="es-ES"/>
        </w:rPr>
      </w:pPr>
    </w:p>
    <w:p w14:paraId="72EE0F49" w14:textId="77777777" w:rsidR="007A1F44" w:rsidRPr="00E54C7F" w:rsidRDefault="007A1F44" w:rsidP="00E54C7F">
      <w:pPr>
        <w:tabs>
          <w:tab w:val="left" w:pos="426"/>
        </w:tabs>
        <w:spacing w:after="0" w:line="276" w:lineRule="auto"/>
        <w:contextualSpacing/>
        <w:jc w:val="both"/>
        <w:rPr>
          <w:rFonts w:ascii="Arial" w:hAnsi="Arial" w:cs="Arial"/>
          <w:color w:val="000000"/>
          <w:lang w:val="es-CO" w:eastAsia="es-ES"/>
        </w:rPr>
      </w:pPr>
      <w:r w:rsidRPr="00E54C7F">
        <w:rPr>
          <w:rFonts w:ascii="Arial" w:hAnsi="Arial" w:cs="Arial"/>
          <w:color w:val="000000"/>
          <w:lang w:val="es-CO" w:eastAsia="es-ES"/>
        </w:rPr>
        <w:t xml:space="preserve">Así las cosas, se observa que la póliza de seguro de responsabilidad civil extracontractual No. </w:t>
      </w:r>
      <w:r w:rsidR="008971DF" w:rsidRPr="00E54C7F">
        <w:rPr>
          <w:rFonts w:ascii="Arial" w:hAnsi="Arial" w:cs="Arial"/>
          <w:color w:val="000000"/>
          <w:lang w:val="es-CO" w:eastAsia="es-ES"/>
        </w:rPr>
        <w:t>560852</w:t>
      </w:r>
      <w:r w:rsidRPr="00E54C7F">
        <w:rPr>
          <w:rFonts w:ascii="Arial" w:hAnsi="Arial" w:cs="Arial"/>
          <w:color w:val="000000"/>
          <w:lang w:val="es-CO" w:eastAsia="es-ES"/>
        </w:rPr>
        <w:t xml:space="preserve"> suscrita</w:t>
      </w:r>
      <w:r w:rsidR="008971DF" w:rsidRPr="00E54C7F">
        <w:rPr>
          <w:rFonts w:ascii="Arial" w:hAnsi="Arial" w:cs="Arial"/>
          <w:color w:val="000000"/>
          <w:lang w:val="es-CO" w:eastAsia="es-ES"/>
        </w:rPr>
        <w:t xml:space="preserve"> entre CIMA (llamante) y LIBERTY SEGUROS S.A, </w:t>
      </w:r>
      <w:r w:rsidRPr="00E54C7F">
        <w:rPr>
          <w:rFonts w:ascii="Arial" w:hAnsi="Arial" w:cs="Arial"/>
          <w:color w:val="000000"/>
          <w:lang w:val="es-CO" w:eastAsia="es-ES"/>
        </w:rPr>
        <w:t xml:space="preserve">no se encontraba vigente para el momento de los hechos, por lo que no resulta procedente acceder a la solicitud de llamamiento en garantía. </w:t>
      </w:r>
    </w:p>
    <w:p w14:paraId="31CD4933" w14:textId="77777777" w:rsidR="007A1F44" w:rsidRPr="00E54C7F" w:rsidRDefault="007A1F44" w:rsidP="00E54C7F">
      <w:pPr>
        <w:tabs>
          <w:tab w:val="left" w:pos="426"/>
        </w:tabs>
        <w:spacing w:after="0" w:line="276" w:lineRule="auto"/>
        <w:contextualSpacing/>
        <w:jc w:val="both"/>
        <w:rPr>
          <w:rFonts w:ascii="Arial" w:hAnsi="Arial" w:cs="Arial"/>
          <w:color w:val="000000"/>
          <w:lang w:val="es-CO" w:eastAsia="es-ES"/>
        </w:rPr>
      </w:pPr>
    </w:p>
    <w:p w14:paraId="2B7DEFBD" w14:textId="77777777" w:rsidR="007A1F44" w:rsidRPr="00E54C7F" w:rsidRDefault="007A1F44" w:rsidP="00E54C7F">
      <w:pPr>
        <w:spacing w:after="0" w:line="276" w:lineRule="auto"/>
        <w:jc w:val="both"/>
        <w:rPr>
          <w:rFonts w:ascii="Arial" w:hAnsi="Arial" w:cs="Arial"/>
        </w:rPr>
      </w:pPr>
      <w:r w:rsidRPr="00E54C7F">
        <w:rPr>
          <w:rFonts w:ascii="Arial" w:hAnsi="Arial" w:cs="Arial"/>
          <w:color w:val="000000"/>
          <w:lang w:val="es-CO" w:eastAsia="es-ES"/>
        </w:rPr>
        <w:t xml:space="preserve">Por lo anterior, el llamamiento en garantía invocado por la </w:t>
      </w:r>
      <w:r w:rsidR="008971DF" w:rsidRPr="00E54C7F">
        <w:rPr>
          <w:rFonts w:ascii="Arial" w:hAnsi="Arial" w:cs="Arial"/>
          <w:color w:val="000000"/>
          <w:lang w:val="es-CO" w:eastAsia="es-ES"/>
        </w:rPr>
        <w:t xml:space="preserve">llamada en garantía CIMA </w:t>
      </w:r>
      <w:r w:rsidRPr="00E54C7F">
        <w:rPr>
          <w:rFonts w:ascii="Arial" w:hAnsi="Arial" w:cs="Arial"/>
          <w:color w:val="000000"/>
          <w:lang w:val="es-CO" w:eastAsia="es-ES"/>
        </w:rPr>
        <w:t xml:space="preserve">no cumple con los requisitos mínimos necesarios para convocar a </w:t>
      </w:r>
      <w:r w:rsidR="008971DF" w:rsidRPr="00E54C7F">
        <w:rPr>
          <w:rFonts w:ascii="Arial" w:hAnsi="Arial" w:cs="Arial"/>
          <w:b/>
          <w:color w:val="000000"/>
          <w:lang w:val="es-CO" w:eastAsia="es-ES"/>
        </w:rPr>
        <w:t>LIBERTY SEGUROS S.A.</w:t>
      </w:r>
    </w:p>
    <w:p w14:paraId="1962E0B5" w14:textId="77777777" w:rsidR="007A1F44" w:rsidRPr="00E54C7F" w:rsidRDefault="007A1F44" w:rsidP="00E54C7F">
      <w:pPr>
        <w:tabs>
          <w:tab w:val="left" w:pos="426"/>
        </w:tabs>
        <w:spacing w:after="0" w:line="276" w:lineRule="auto"/>
        <w:contextualSpacing/>
        <w:jc w:val="both"/>
        <w:rPr>
          <w:rFonts w:ascii="Arial" w:hAnsi="Arial" w:cs="Arial"/>
          <w:color w:val="000000"/>
          <w:lang w:val="es-CO" w:eastAsia="es-ES"/>
        </w:rPr>
      </w:pPr>
    </w:p>
    <w:p w14:paraId="01533854" w14:textId="77777777" w:rsidR="007A1F44" w:rsidRPr="00E54C7F" w:rsidRDefault="007A1F44" w:rsidP="00E54C7F">
      <w:pPr>
        <w:widowControl w:val="0"/>
        <w:spacing w:after="0" w:line="276" w:lineRule="auto"/>
        <w:jc w:val="both"/>
        <w:rPr>
          <w:rFonts w:ascii="Arial" w:hAnsi="Arial" w:cs="Arial"/>
          <w:b/>
          <w:color w:val="000000"/>
          <w:lang w:val="es-CO" w:eastAsia="es-ES"/>
        </w:rPr>
      </w:pPr>
      <w:r w:rsidRPr="00E54C7F">
        <w:rPr>
          <w:rFonts w:ascii="Arial" w:hAnsi="Arial" w:cs="Arial"/>
          <w:color w:val="000000"/>
          <w:lang w:val="es-CO" w:eastAsia="es-ES"/>
        </w:rPr>
        <w:t>Por lo brevemente expuesto,</w:t>
      </w:r>
      <w:r w:rsidRPr="00E54C7F">
        <w:rPr>
          <w:rFonts w:ascii="Arial" w:hAnsi="Arial" w:cs="Arial"/>
          <w:b/>
          <w:color w:val="000000"/>
          <w:lang w:val="es-CO" w:eastAsia="es-ES"/>
        </w:rPr>
        <w:t xml:space="preserve"> SE DISPONE:</w:t>
      </w:r>
    </w:p>
    <w:p w14:paraId="70A4A74F" w14:textId="77777777" w:rsidR="007A1F44" w:rsidRPr="00E54C7F" w:rsidRDefault="007A1F44" w:rsidP="00E54C7F">
      <w:pPr>
        <w:widowControl w:val="0"/>
        <w:spacing w:after="0" w:line="276" w:lineRule="auto"/>
        <w:jc w:val="both"/>
        <w:rPr>
          <w:rFonts w:ascii="Arial" w:hAnsi="Arial" w:cs="Arial"/>
          <w:b/>
          <w:color w:val="000000"/>
          <w:lang w:val="es-CO" w:eastAsia="es-ES"/>
        </w:rPr>
      </w:pPr>
    </w:p>
    <w:p w14:paraId="77B375C3" w14:textId="1EB38CCF" w:rsidR="007A1F44" w:rsidRPr="00E54C7F" w:rsidRDefault="007A1F44" w:rsidP="00E54C7F">
      <w:pPr>
        <w:spacing w:after="0" w:line="276" w:lineRule="auto"/>
        <w:jc w:val="both"/>
        <w:rPr>
          <w:rFonts w:ascii="Arial" w:hAnsi="Arial" w:cs="Arial"/>
        </w:rPr>
      </w:pPr>
      <w:bookmarkStart w:id="0" w:name="_GoBack"/>
      <w:bookmarkEnd w:id="0"/>
      <w:r w:rsidRPr="00E54C7F">
        <w:rPr>
          <w:rFonts w:ascii="Arial" w:hAnsi="Arial" w:cs="Arial"/>
          <w:color w:val="000000"/>
          <w:lang w:val="es-CO" w:eastAsia="es-ES"/>
        </w:rPr>
        <w:t xml:space="preserve">Niéguese el llamamiento en garantía a </w:t>
      </w:r>
      <w:r w:rsidR="008971DF" w:rsidRPr="00E54C7F">
        <w:rPr>
          <w:rFonts w:ascii="Arial" w:hAnsi="Arial" w:cs="Arial"/>
          <w:b/>
          <w:color w:val="000000"/>
          <w:lang w:val="es-CO" w:eastAsia="es-ES"/>
        </w:rPr>
        <w:t>LIBERTY SEGUROS S.A.</w:t>
      </w:r>
      <w:r w:rsidRPr="00E54C7F">
        <w:rPr>
          <w:rFonts w:ascii="Arial" w:hAnsi="Arial" w:cs="Arial"/>
        </w:rPr>
        <w:t xml:space="preserve">, </w:t>
      </w:r>
      <w:r w:rsidRPr="00E54C7F">
        <w:rPr>
          <w:rFonts w:ascii="Arial" w:hAnsi="Arial" w:cs="Arial"/>
          <w:color w:val="000000"/>
          <w:lang w:val="es-CO" w:eastAsia="es-ES"/>
        </w:rPr>
        <w:t xml:space="preserve">de acuerdo a lo expuesto en la parte motiva de esta providencia. </w:t>
      </w:r>
    </w:p>
    <w:p w14:paraId="3AB9AD28" w14:textId="77777777" w:rsidR="007A1F44" w:rsidRPr="00E54C7F" w:rsidRDefault="007A1F44" w:rsidP="00E54C7F">
      <w:pPr>
        <w:spacing w:after="0" w:line="276" w:lineRule="auto"/>
        <w:jc w:val="both"/>
        <w:rPr>
          <w:rFonts w:ascii="Arial" w:hAnsi="Arial" w:cs="Arial"/>
          <w:b/>
          <w:color w:val="000000"/>
          <w:lang w:val="es-CO" w:eastAsia="es-ES"/>
        </w:rPr>
      </w:pPr>
    </w:p>
    <w:p w14:paraId="00349FFE" w14:textId="77777777" w:rsidR="007A1F44" w:rsidRPr="00E54C7F" w:rsidRDefault="007A1F44" w:rsidP="00E54C7F">
      <w:pPr>
        <w:spacing w:after="0" w:line="276" w:lineRule="auto"/>
        <w:jc w:val="both"/>
        <w:rPr>
          <w:rFonts w:ascii="Arial" w:hAnsi="Arial" w:cs="Arial"/>
          <w:b/>
          <w:color w:val="000000"/>
          <w:lang w:val="es-CO" w:eastAsia="es-ES"/>
        </w:rPr>
      </w:pPr>
      <w:r w:rsidRPr="00E54C7F">
        <w:rPr>
          <w:rFonts w:ascii="Arial" w:hAnsi="Arial" w:cs="Arial"/>
          <w:b/>
          <w:color w:val="000000"/>
          <w:lang w:val="es-CO" w:eastAsia="es-ES"/>
        </w:rPr>
        <w:t>NOTIFÍQUESE Y CÚMPLASE,</w:t>
      </w:r>
    </w:p>
    <w:p w14:paraId="7DEA792F" w14:textId="77777777" w:rsidR="007A1F44" w:rsidRPr="00E54C7F" w:rsidRDefault="007A1F44" w:rsidP="00E54C7F">
      <w:pPr>
        <w:spacing w:after="0" w:line="276" w:lineRule="auto"/>
        <w:jc w:val="both"/>
        <w:rPr>
          <w:rFonts w:ascii="Arial" w:hAnsi="Arial" w:cs="Arial"/>
          <w:b/>
          <w:color w:val="000000"/>
          <w:lang w:val="es-CO" w:eastAsia="es-ES"/>
        </w:rPr>
      </w:pPr>
    </w:p>
    <w:p w14:paraId="2737FCD5" w14:textId="77777777" w:rsidR="007A1F44" w:rsidRPr="00E54C7F" w:rsidRDefault="007A1F44" w:rsidP="00E54C7F">
      <w:pPr>
        <w:spacing w:after="0" w:line="276" w:lineRule="auto"/>
        <w:jc w:val="center"/>
        <w:rPr>
          <w:rFonts w:ascii="Arial" w:hAnsi="Arial" w:cs="Arial"/>
          <w:b/>
          <w:color w:val="000000"/>
          <w:lang w:val="es-CO" w:eastAsia="es-ES"/>
        </w:rPr>
      </w:pPr>
      <w:r w:rsidRPr="00E54C7F">
        <w:rPr>
          <w:rFonts w:ascii="Arial" w:hAnsi="Arial" w:cs="Arial"/>
          <w:b/>
          <w:color w:val="000000"/>
          <w:lang w:val="es-CO" w:eastAsia="es-ES"/>
        </w:rPr>
        <w:t>OLGA CECILIA HENAO MARÍN</w:t>
      </w:r>
    </w:p>
    <w:p w14:paraId="29EB49E0" w14:textId="77777777" w:rsidR="007A1F44" w:rsidRPr="00E54C7F" w:rsidRDefault="007A1F44" w:rsidP="00E54C7F">
      <w:pPr>
        <w:spacing w:after="0" w:line="276" w:lineRule="auto"/>
        <w:jc w:val="center"/>
        <w:rPr>
          <w:rFonts w:ascii="Arial" w:hAnsi="Arial" w:cs="Arial"/>
          <w:color w:val="000000"/>
          <w:lang w:val="es-CO" w:eastAsia="es-ES"/>
        </w:rPr>
      </w:pPr>
      <w:r w:rsidRPr="00E54C7F">
        <w:rPr>
          <w:rFonts w:ascii="Arial" w:hAnsi="Arial" w:cs="Arial"/>
          <w:color w:val="000000"/>
          <w:lang w:val="es-CO" w:eastAsia="es-ES"/>
        </w:rPr>
        <w:t>Juez</w:t>
      </w:r>
    </w:p>
    <w:p w14:paraId="427DEFB1" w14:textId="77777777" w:rsidR="007A1F44" w:rsidRPr="00E54C7F" w:rsidRDefault="00E54C7F" w:rsidP="007A1F44">
      <w:pPr>
        <w:spacing w:after="0" w:line="240" w:lineRule="auto"/>
        <w:jc w:val="both"/>
        <w:rPr>
          <w:rFonts w:ascii="Tahoma" w:hAnsi="Tahoma" w:cs="Tahoma"/>
          <w:color w:val="000000"/>
          <w:sz w:val="10"/>
          <w:szCs w:val="18"/>
          <w:lang w:val="es-CO" w:eastAsia="es-ES"/>
        </w:rPr>
      </w:pPr>
      <w:r w:rsidRPr="00E54C7F">
        <w:rPr>
          <w:rFonts w:ascii="Tahoma" w:hAnsi="Tahoma" w:cs="Tahoma"/>
          <w:color w:val="000000"/>
          <w:sz w:val="10"/>
          <w:szCs w:val="18"/>
          <w:lang w:val="es-CO" w:eastAsia="es-ES"/>
        </w:rPr>
        <w:t>JBR</w:t>
      </w:r>
    </w:p>
    <w:p w14:paraId="7461208E" w14:textId="77777777" w:rsidR="007A1F44" w:rsidRPr="00E54C7F" w:rsidRDefault="007A1F44" w:rsidP="007A1F44">
      <w:pPr>
        <w:spacing w:after="0" w:line="240" w:lineRule="auto"/>
        <w:jc w:val="both"/>
        <w:rPr>
          <w:rFonts w:ascii="Tahoma" w:hAnsi="Tahoma" w:cs="Tahoma"/>
          <w:sz w:val="18"/>
          <w:szCs w:val="18"/>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7A1F44" w14:paraId="17730B58" w14:textId="77777777" w:rsidTr="00BA6A12">
        <w:trPr>
          <w:trHeight w:val="1404"/>
        </w:trPr>
        <w:tc>
          <w:tcPr>
            <w:tcW w:w="5954" w:type="dxa"/>
            <w:tcBorders>
              <w:top w:val="single" w:sz="4" w:space="0" w:color="auto"/>
              <w:left w:val="single" w:sz="4" w:space="0" w:color="auto"/>
              <w:bottom w:val="single" w:sz="4" w:space="0" w:color="auto"/>
              <w:right w:val="single" w:sz="4" w:space="0" w:color="auto"/>
            </w:tcBorders>
          </w:tcPr>
          <w:p w14:paraId="4D2ADDD3" w14:textId="77777777" w:rsidR="007A1F44" w:rsidRPr="007A1F44" w:rsidRDefault="007A1F44" w:rsidP="00BA6A12">
            <w:pPr>
              <w:spacing w:after="0" w:line="240" w:lineRule="auto"/>
              <w:jc w:val="center"/>
              <w:rPr>
                <w:rFonts w:ascii="Gill Sans MT" w:hAnsi="Gill Sans MT"/>
                <w:b/>
                <w:sz w:val="16"/>
                <w:szCs w:val="16"/>
                <w:highlight w:val="green"/>
              </w:rPr>
            </w:pPr>
          </w:p>
          <w:p w14:paraId="008CB369" w14:textId="77777777" w:rsidR="007A1F44" w:rsidRPr="00E54C7F" w:rsidRDefault="007A1F44" w:rsidP="00BA6A12">
            <w:pPr>
              <w:spacing w:after="0" w:line="240" w:lineRule="auto"/>
              <w:jc w:val="center"/>
              <w:rPr>
                <w:rFonts w:ascii="Agency FB" w:hAnsi="Agency FB"/>
                <w:b/>
                <w:sz w:val="16"/>
                <w:szCs w:val="16"/>
              </w:rPr>
            </w:pPr>
            <w:r w:rsidRPr="00E54C7F">
              <w:rPr>
                <w:rFonts w:ascii="Agency FB" w:hAnsi="Agency FB"/>
                <w:b/>
                <w:sz w:val="16"/>
                <w:szCs w:val="16"/>
              </w:rPr>
              <w:t>JUZGADO TREINTA Y CUATRO ADMINISTRATIVO CIRCUITO DE BOGOTÁ -  SECCIÓN TERCERA</w:t>
            </w:r>
          </w:p>
          <w:p w14:paraId="30CB68C3" w14:textId="77777777" w:rsidR="007A1F44" w:rsidRPr="00E54C7F" w:rsidRDefault="007A1F44" w:rsidP="00BA6A12">
            <w:pPr>
              <w:spacing w:after="0" w:line="240" w:lineRule="auto"/>
              <w:jc w:val="center"/>
              <w:rPr>
                <w:rFonts w:ascii="Agency FB" w:hAnsi="Agency FB"/>
                <w:sz w:val="16"/>
                <w:szCs w:val="16"/>
              </w:rPr>
            </w:pPr>
          </w:p>
          <w:p w14:paraId="067EBB5D" w14:textId="77777777" w:rsidR="007A1F44" w:rsidRDefault="007A1F44" w:rsidP="00BA6A12">
            <w:pPr>
              <w:spacing w:after="0" w:line="240" w:lineRule="auto"/>
              <w:jc w:val="both"/>
              <w:rPr>
                <w:rFonts w:ascii="Gill Sans MT" w:hAnsi="Gill Sans MT"/>
                <w:sz w:val="16"/>
                <w:szCs w:val="16"/>
              </w:rPr>
            </w:pPr>
            <w:r w:rsidRPr="00E54C7F">
              <w:rPr>
                <w:noProof/>
                <w:lang w:eastAsia="es-ES"/>
              </w:rPr>
              <w:drawing>
                <wp:anchor distT="0" distB="0" distL="114300" distR="114300" simplePos="0" relativeHeight="251658752" behindDoc="0" locked="0" layoutInCell="1" allowOverlap="1" wp14:anchorId="1E3AB709" wp14:editId="4D8CA2F2">
                  <wp:simplePos x="0" y="0"/>
                  <wp:positionH relativeFrom="margin">
                    <wp:posOffset>1374140</wp:posOffset>
                  </wp:positionH>
                  <wp:positionV relativeFrom="paragraph">
                    <wp:posOffset>178435</wp:posOffset>
                  </wp:positionV>
                  <wp:extent cx="815340" cy="485775"/>
                  <wp:effectExtent l="0" t="0" r="3810" b="9525"/>
                  <wp:wrapSquare wrapText="bothSides"/>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sidRPr="00E54C7F">
              <w:rPr>
                <w:rFonts w:ascii="Agency FB" w:hAnsi="Agency FB"/>
                <w:sz w:val="16"/>
                <w:szCs w:val="16"/>
              </w:rPr>
              <w:t xml:space="preserve">Por anotación en ESTADO notifico a las partes la providencia anterior, hoy </w:t>
            </w:r>
            <w:r w:rsidRPr="00E54C7F">
              <w:rPr>
                <w:rFonts w:ascii="Agency FB" w:hAnsi="Agency FB"/>
                <w:b/>
                <w:sz w:val="16"/>
                <w:szCs w:val="16"/>
              </w:rPr>
              <w:t>____________________________</w:t>
            </w:r>
            <w:r w:rsidRPr="00E54C7F">
              <w:rPr>
                <w:rFonts w:ascii="Agency FB" w:hAnsi="Agency FB"/>
                <w:sz w:val="16"/>
                <w:szCs w:val="16"/>
              </w:rPr>
              <w:t>a las</w:t>
            </w:r>
            <w:r w:rsidRPr="00E54C7F">
              <w:rPr>
                <w:rFonts w:ascii="Gill Sans MT" w:hAnsi="Gill Sans MT"/>
                <w:sz w:val="16"/>
                <w:szCs w:val="16"/>
              </w:rPr>
              <w:t xml:space="preserve"> 8:00 a.m.</w:t>
            </w:r>
          </w:p>
          <w:p w14:paraId="46E69871" w14:textId="77777777" w:rsidR="007A1F44" w:rsidRDefault="007A1F44" w:rsidP="00BA6A12">
            <w:pPr>
              <w:spacing w:after="0" w:line="240" w:lineRule="auto"/>
              <w:rPr>
                <w:rFonts w:ascii="Times New Roman" w:hAnsi="Times New Roman"/>
                <w:sz w:val="16"/>
                <w:szCs w:val="16"/>
              </w:rPr>
            </w:pPr>
          </w:p>
        </w:tc>
      </w:tr>
    </w:tbl>
    <w:p w14:paraId="3386FA7F" w14:textId="77777777" w:rsidR="007A1F44" w:rsidRPr="00CA35C4" w:rsidRDefault="007A1F44" w:rsidP="007A1F44">
      <w:pPr>
        <w:spacing w:after="0" w:line="240" w:lineRule="auto"/>
        <w:rPr>
          <w:rFonts w:ascii="Tahoma" w:hAnsi="Tahoma" w:cs="Tahoma"/>
          <w:sz w:val="18"/>
          <w:szCs w:val="18"/>
        </w:rPr>
      </w:pPr>
    </w:p>
    <w:p w14:paraId="5C44B792" w14:textId="77777777" w:rsidR="007A1F44" w:rsidRDefault="007A1F44" w:rsidP="007A1F44">
      <w:pPr>
        <w:spacing w:after="0" w:line="240" w:lineRule="auto"/>
      </w:pPr>
    </w:p>
    <w:p w14:paraId="53434949" w14:textId="77777777" w:rsidR="007A1F44" w:rsidRDefault="007A1F44" w:rsidP="007A1F44">
      <w:pPr>
        <w:spacing w:after="0" w:line="240" w:lineRule="auto"/>
      </w:pPr>
    </w:p>
    <w:p w14:paraId="575F48EA" w14:textId="77777777" w:rsidR="007A1F44" w:rsidRDefault="007A1F44" w:rsidP="007A1F44"/>
    <w:p w14:paraId="7D7D1936" w14:textId="77777777" w:rsidR="007A1F44" w:rsidRDefault="007A1F44" w:rsidP="007A1F44"/>
    <w:p w14:paraId="433D3583" w14:textId="77777777" w:rsidR="00977E91" w:rsidRDefault="000E6E2A"/>
    <w:sectPr w:rsidR="00977E91" w:rsidSect="00FC135C">
      <w:headerReference w:type="even" r:id="rId8"/>
      <w:headerReference w:type="default" r:id="rId9"/>
      <w:footerReference w:type="even" r:id="rId10"/>
      <w:headerReference w:type="first" r:id="rId11"/>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C3DE" w14:textId="77777777" w:rsidR="00E54C7F" w:rsidRDefault="00E54C7F" w:rsidP="00E54C7F">
      <w:pPr>
        <w:spacing w:after="0" w:line="240" w:lineRule="auto"/>
      </w:pPr>
      <w:r>
        <w:separator/>
      </w:r>
    </w:p>
  </w:endnote>
  <w:endnote w:type="continuationSeparator" w:id="0">
    <w:p w14:paraId="7A157428" w14:textId="77777777" w:rsidR="00E54C7F" w:rsidRDefault="00E54C7F" w:rsidP="00E5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DFC9" w14:textId="77777777" w:rsidR="00FC135C" w:rsidRDefault="00790DC8">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ED1D" w14:textId="77777777" w:rsidR="00E54C7F" w:rsidRDefault="00E54C7F" w:rsidP="00E54C7F">
      <w:pPr>
        <w:spacing w:after="0" w:line="240" w:lineRule="auto"/>
      </w:pPr>
      <w:r>
        <w:separator/>
      </w:r>
    </w:p>
  </w:footnote>
  <w:footnote w:type="continuationSeparator" w:id="0">
    <w:p w14:paraId="279BD3F0" w14:textId="77777777" w:rsidR="00E54C7F" w:rsidRDefault="00E54C7F" w:rsidP="00E5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5F5AA" w14:textId="77777777" w:rsidR="00FC135C" w:rsidRDefault="00790DC8">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sidRPr="00F55CA9">
      <w:rPr>
        <w:rFonts w:ascii="Tahoma" w:hAnsi="Tahoma" w:cs="Tahoma"/>
        <w:bCs/>
        <w:noProof/>
        <w:sz w:val="18"/>
        <w:szCs w:val="18"/>
      </w:rPr>
      <w:t>11001333603420170019900</w:t>
    </w:r>
    <w:r>
      <w:rPr>
        <w:rFonts w:ascii="Tahoma" w:hAnsi="Tahoma" w:cs="Tahoma"/>
        <w:bCs/>
        <w:sz w:val="18"/>
        <w:szCs w:val="18"/>
      </w:rPr>
      <w:fldChar w:fldCharType="end"/>
    </w:r>
  </w:p>
  <w:p w14:paraId="485E3A26" w14:textId="77777777" w:rsidR="00FC135C" w:rsidRDefault="00790DC8">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p>
  <w:p w14:paraId="61E990E8" w14:textId="77777777" w:rsidR="00C03C4A" w:rsidRDefault="000E6E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9F39" w14:textId="77777777" w:rsidR="00E54C7F" w:rsidRDefault="00790DC8" w:rsidP="00BA7A32">
    <w:pPr>
      <w:pStyle w:val="Encabezado"/>
      <w:jc w:val="right"/>
      <w:rPr>
        <w:rFonts w:ascii="Tahoma" w:hAnsi="Tahoma" w:cs="Tahoma"/>
        <w:sz w:val="13"/>
        <w:szCs w:val="13"/>
        <w:lang w:val="es-MX"/>
      </w:rPr>
    </w:pPr>
    <w:r>
      <w:rPr>
        <w:rFonts w:ascii="Tahoma" w:hAnsi="Tahoma" w:cs="Tahoma"/>
        <w:sz w:val="13"/>
        <w:szCs w:val="13"/>
        <w:lang w:val="es-MX"/>
      </w:rPr>
      <w:t>Expediente No. 2017-0</w:t>
    </w:r>
    <w:r w:rsidR="00E54C7F">
      <w:rPr>
        <w:rFonts w:ascii="Tahoma" w:hAnsi="Tahoma" w:cs="Tahoma"/>
        <w:sz w:val="13"/>
        <w:szCs w:val="13"/>
        <w:lang w:val="es-MX"/>
      </w:rPr>
      <w:t>074</w:t>
    </w:r>
  </w:p>
  <w:p w14:paraId="254D3EA0" w14:textId="77777777" w:rsidR="000A0797" w:rsidRDefault="00790DC8" w:rsidP="00BA7A32">
    <w:pPr>
      <w:pStyle w:val="Encabezado"/>
      <w:jc w:val="right"/>
      <w:rPr>
        <w:rFonts w:ascii="Tahoma" w:hAnsi="Tahoma" w:cs="Tahoma"/>
        <w:sz w:val="13"/>
        <w:szCs w:val="13"/>
        <w:lang w:val="es-MX"/>
      </w:rPr>
    </w:pPr>
    <w:r w:rsidRPr="000A0797">
      <w:rPr>
        <w:rFonts w:ascii="Tahoma" w:hAnsi="Tahoma" w:cs="Tahoma"/>
        <w:sz w:val="13"/>
        <w:szCs w:val="13"/>
        <w:lang w:val="es-MX"/>
      </w:rPr>
      <w:t>NIEGA LLAMAMIENTO EN GARANTÍA-RECONOCE PERSONERÍA</w:t>
    </w:r>
  </w:p>
  <w:p w14:paraId="1F684FB3" w14:textId="77777777" w:rsidR="00C03C4A" w:rsidRDefault="00790DC8" w:rsidP="00BA7A32">
    <w:pPr>
      <w:pStyle w:val="Encabezado"/>
      <w:jc w:val="right"/>
    </w:pPr>
    <w:r w:rsidRPr="00B63F65">
      <w:rPr>
        <w:rFonts w:ascii="Tahoma" w:hAnsi="Tahoma" w:cs="Tahoma"/>
        <w:sz w:val="13"/>
        <w:szCs w:val="13"/>
        <w:lang w:val="es-MX"/>
      </w:rPr>
      <w:t xml:space="preserve"> Páginas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PAGE  \* Arabic  \* MERGEFORMAT </w:instrText>
    </w:r>
    <w:r w:rsidRPr="00B63F65">
      <w:rPr>
        <w:rStyle w:val="Nmerodepgina"/>
        <w:rFonts w:ascii="Tahoma" w:hAnsi="Tahoma" w:cs="Tahoma"/>
        <w:sz w:val="13"/>
        <w:szCs w:val="13"/>
      </w:rPr>
      <w:fldChar w:fldCharType="separate"/>
    </w:r>
    <w:r>
      <w:rPr>
        <w:rStyle w:val="Nmerodepgina"/>
        <w:rFonts w:ascii="Tahoma" w:hAnsi="Tahoma" w:cs="Tahoma"/>
        <w:noProof/>
        <w:sz w:val="13"/>
        <w:szCs w:val="13"/>
      </w:rPr>
      <w:t>2</w:t>
    </w:r>
    <w:r w:rsidRPr="00B63F65">
      <w:rPr>
        <w:rStyle w:val="Nmerodepgina"/>
        <w:rFonts w:ascii="Tahoma" w:hAnsi="Tahoma" w:cs="Tahoma"/>
        <w:sz w:val="13"/>
        <w:szCs w:val="13"/>
      </w:rPr>
      <w:fldChar w:fldCharType="end"/>
    </w:r>
    <w:r w:rsidRPr="00B63F65">
      <w:rPr>
        <w:rStyle w:val="Nmerodepgina"/>
        <w:rFonts w:ascii="Tahoma" w:hAnsi="Tahoma" w:cs="Tahoma"/>
        <w:sz w:val="13"/>
        <w:szCs w:val="13"/>
      </w:rPr>
      <w:t xml:space="preserve"> de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NUMPAGES  \* Arabic  \* MERGEFORMAT </w:instrText>
    </w:r>
    <w:r w:rsidRPr="00B63F65">
      <w:rPr>
        <w:rStyle w:val="Nmerodepgina"/>
        <w:rFonts w:ascii="Tahoma" w:hAnsi="Tahoma" w:cs="Tahoma"/>
        <w:sz w:val="13"/>
        <w:szCs w:val="13"/>
      </w:rPr>
      <w:fldChar w:fldCharType="separate"/>
    </w:r>
    <w:r>
      <w:rPr>
        <w:rStyle w:val="Nmerodepgina"/>
        <w:rFonts w:ascii="Tahoma" w:hAnsi="Tahoma" w:cs="Tahoma"/>
        <w:noProof/>
        <w:sz w:val="13"/>
        <w:szCs w:val="13"/>
      </w:rPr>
      <w:t>3</w:t>
    </w:r>
    <w:r w:rsidRPr="00B63F65">
      <w:rPr>
        <w:rStyle w:val="Nmerodepgina"/>
        <w:rFonts w:ascii="Tahoma" w:hAnsi="Tahoma" w:cs="Tahoma"/>
        <w:sz w:val="13"/>
        <w:szCs w:val="1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E0E0" w14:textId="77777777" w:rsidR="00FC135C" w:rsidRPr="00B63F65" w:rsidRDefault="00790DC8">
    <w:pPr>
      <w:pStyle w:val="Encabezado"/>
      <w:jc w:val="center"/>
      <w:rPr>
        <w:rFonts w:ascii="Arial" w:hAnsi="Arial" w:cs="Arial"/>
        <w:b/>
        <w:i/>
        <w:sz w:val="13"/>
        <w:szCs w:val="13"/>
      </w:rPr>
    </w:pPr>
    <w:r>
      <w:rPr>
        <w:rFonts w:ascii="Arial" w:hAnsi="Arial" w:cs="Arial"/>
        <w:b/>
        <w:i/>
        <w:noProof/>
        <w:sz w:val="13"/>
        <w:szCs w:val="13"/>
        <w:lang w:eastAsia="es-ES"/>
      </w:rPr>
      <w:drawing>
        <wp:inline distT="0" distB="0" distL="0" distR="0" wp14:anchorId="4DED61D0" wp14:editId="26CE390A">
          <wp:extent cx="609600" cy="609600"/>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133B470" w14:textId="77777777" w:rsidR="00FC135C" w:rsidRPr="00B63F65" w:rsidRDefault="00790DC8">
    <w:pPr>
      <w:pStyle w:val="Encabezado"/>
      <w:jc w:val="center"/>
      <w:rPr>
        <w:rFonts w:ascii="Tahoma" w:hAnsi="Tahoma" w:cs="Tahoma"/>
        <w:b/>
        <w:sz w:val="13"/>
        <w:szCs w:val="13"/>
        <w:lang w:val="es-MX"/>
      </w:rPr>
    </w:pPr>
    <w:r w:rsidRPr="00B63F65">
      <w:rPr>
        <w:rFonts w:ascii="Tahoma" w:hAnsi="Tahoma" w:cs="Tahoma"/>
        <w:b/>
        <w:sz w:val="13"/>
        <w:szCs w:val="13"/>
        <w:lang w:val="es-MX"/>
      </w:rPr>
      <w:t>JUZGADO TREINTA Y CUATRO ADMINISTRATIVO</w:t>
    </w:r>
  </w:p>
  <w:p w14:paraId="279DF5F8" w14:textId="77777777" w:rsidR="00FC135C" w:rsidRPr="00B63F65" w:rsidRDefault="00790DC8">
    <w:pPr>
      <w:pStyle w:val="Encabezado"/>
      <w:jc w:val="center"/>
      <w:rPr>
        <w:rFonts w:ascii="Tahoma" w:hAnsi="Tahoma" w:cs="Tahoma"/>
        <w:b/>
        <w:sz w:val="13"/>
        <w:szCs w:val="13"/>
        <w:lang w:val="es-MX"/>
      </w:rPr>
    </w:pPr>
    <w:r w:rsidRPr="00B63F65">
      <w:rPr>
        <w:rFonts w:ascii="Tahoma" w:hAnsi="Tahoma" w:cs="Tahoma"/>
        <w:b/>
        <w:sz w:val="13"/>
        <w:szCs w:val="13"/>
        <w:lang w:val="es-MX"/>
      </w:rPr>
      <w:t>ORAL DE BOGOTÁ</w:t>
    </w:r>
  </w:p>
  <w:p w14:paraId="71F1F74B" w14:textId="77777777" w:rsidR="00FC135C" w:rsidRPr="00B63F65" w:rsidRDefault="00790DC8">
    <w:pPr>
      <w:pStyle w:val="Encabezado"/>
      <w:jc w:val="center"/>
      <w:rPr>
        <w:rFonts w:ascii="Tahoma" w:hAnsi="Tahoma" w:cs="Tahoma"/>
        <w:b/>
        <w:sz w:val="13"/>
        <w:szCs w:val="13"/>
        <w:lang w:val="es-MX"/>
      </w:rPr>
    </w:pPr>
    <w:r w:rsidRPr="00B63F65">
      <w:rPr>
        <w:rFonts w:ascii="Tahoma" w:hAnsi="Tahoma" w:cs="Tahoma"/>
        <w:b/>
        <w:sz w:val="13"/>
        <w:szCs w:val="13"/>
        <w:lang w:val="es-MX"/>
      </w:rPr>
      <w:t>Sección Tercera</w:t>
    </w:r>
  </w:p>
  <w:p w14:paraId="6AA8EE08" w14:textId="77777777" w:rsidR="00FC135C" w:rsidRDefault="000E6E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1B3F"/>
    <w:multiLevelType w:val="multilevel"/>
    <w:tmpl w:val="A642D32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C9C4710"/>
    <w:multiLevelType w:val="hybridMultilevel"/>
    <w:tmpl w:val="258844C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44"/>
    <w:rsid w:val="00041F99"/>
    <w:rsid w:val="000E6E2A"/>
    <w:rsid w:val="00167985"/>
    <w:rsid w:val="002E2A2F"/>
    <w:rsid w:val="0035280B"/>
    <w:rsid w:val="00380A99"/>
    <w:rsid w:val="003C778E"/>
    <w:rsid w:val="0064624D"/>
    <w:rsid w:val="00790DC8"/>
    <w:rsid w:val="007A1F44"/>
    <w:rsid w:val="008971DF"/>
    <w:rsid w:val="0098707E"/>
    <w:rsid w:val="00B355E6"/>
    <w:rsid w:val="00C360B1"/>
    <w:rsid w:val="00CA3652"/>
    <w:rsid w:val="00E54C7F"/>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0669"/>
  <w15:chartTrackingRefBased/>
  <w15:docId w15:val="{B0867596-18D0-4F9D-BA57-DD26CA5A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1F44"/>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F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1F44"/>
    <w:rPr>
      <w:rFonts w:eastAsia="Times New Roman" w:cs="Times New Roman"/>
    </w:rPr>
  </w:style>
  <w:style w:type="paragraph" w:styleId="Piedepgina">
    <w:name w:val="footer"/>
    <w:basedOn w:val="Normal"/>
    <w:link w:val="PiedepginaCar"/>
    <w:uiPriority w:val="99"/>
    <w:unhideWhenUsed/>
    <w:rsid w:val="007A1F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1F44"/>
    <w:rPr>
      <w:rFonts w:eastAsia="Times New Roman" w:cs="Times New Roman"/>
    </w:rPr>
  </w:style>
  <w:style w:type="character" w:styleId="Nmerodepgina">
    <w:name w:val="page number"/>
    <w:basedOn w:val="Fuentedeprrafopredeter"/>
    <w:uiPriority w:val="99"/>
    <w:rsid w:val="007A1F44"/>
    <w:rPr>
      <w:rFonts w:cs="Times New Roman"/>
    </w:rPr>
  </w:style>
  <w:style w:type="paragraph" w:styleId="Prrafodelista">
    <w:name w:val="List Paragraph"/>
    <w:basedOn w:val="Normal"/>
    <w:uiPriority w:val="34"/>
    <w:qFormat/>
    <w:rsid w:val="007A1F44"/>
    <w:pPr>
      <w:ind w:left="720"/>
      <w:contextualSpacing/>
    </w:pPr>
  </w:style>
  <w:style w:type="table" w:styleId="Tablaconcuadrcula">
    <w:name w:val="Table Grid"/>
    <w:basedOn w:val="Tablanormal"/>
    <w:uiPriority w:val="39"/>
    <w:rsid w:val="007A1F4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7A1F44"/>
    <w:pPr>
      <w:widowControl w:val="0"/>
      <w:autoSpaceDE w:val="0"/>
      <w:autoSpaceDN w:val="0"/>
      <w:adjustRightInd w:val="0"/>
      <w:spacing w:after="0" w:line="270" w:lineRule="exact"/>
      <w:ind w:firstLine="691"/>
      <w:jc w:val="both"/>
    </w:pPr>
    <w:rPr>
      <w:rFonts w:ascii="Tahoma" w:eastAsiaTheme="minorEastAsia" w:hAnsi="Tahoma" w:cs="Tahoma"/>
      <w:sz w:val="24"/>
      <w:szCs w:val="24"/>
      <w:lang w:val="es-CO" w:eastAsia="es-CO"/>
    </w:rPr>
  </w:style>
  <w:style w:type="paragraph" w:styleId="Sinespaciado">
    <w:name w:val="No Spacing"/>
    <w:uiPriority w:val="1"/>
    <w:qFormat/>
    <w:rsid w:val="007A1F44"/>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2019-10-30T21:17:00Z</dcterms:created>
  <dcterms:modified xsi:type="dcterms:W3CDTF">2019-10-30T21:17:00Z</dcterms:modified>
</cp:coreProperties>
</file>