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87110E" w:rsidRPr="009E63D4" w14:paraId="791E0BA4" w14:textId="77777777" w:rsidTr="009B5AC8">
        <w:tc>
          <w:tcPr>
            <w:tcW w:w="2127" w:type="dxa"/>
            <w:vAlign w:val="center"/>
          </w:tcPr>
          <w:p w14:paraId="5454F7DA" w14:textId="77777777" w:rsidR="0087110E" w:rsidRPr="009E63D4" w:rsidRDefault="0087110E" w:rsidP="009B5AC8">
            <w:pPr>
              <w:spacing w:line="276" w:lineRule="auto"/>
              <w:jc w:val="both"/>
              <w:rPr>
                <w:rFonts w:ascii="Arial Narrow" w:hAnsi="Arial Narrow" w:cs="Arial"/>
                <w:sz w:val="20"/>
                <w:szCs w:val="22"/>
                <w:lang w:val="es-CO"/>
              </w:rPr>
            </w:pPr>
            <w:r w:rsidRPr="009E63D4">
              <w:rPr>
                <w:rFonts w:ascii="Arial Narrow" w:hAnsi="Arial Narrow" w:cs="Arial"/>
                <w:sz w:val="20"/>
                <w:szCs w:val="22"/>
                <w:lang w:val="es-CO"/>
              </w:rPr>
              <w:t>CIUDAD Y FECHA</w:t>
            </w:r>
          </w:p>
        </w:tc>
        <w:tc>
          <w:tcPr>
            <w:tcW w:w="6804" w:type="dxa"/>
          </w:tcPr>
          <w:p w14:paraId="5AB5522A" w14:textId="094899EB" w:rsidR="0087110E" w:rsidRPr="009E63D4" w:rsidRDefault="0087110E" w:rsidP="009B5AC8">
            <w:pPr>
              <w:spacing w:line="276" w:lineRule="auto"/>
              <w:jc w:val="both"/>
              <w:rPr>
                <w:rFonts w:ascii="Arial Narrow" w:hAnsi="Arial Narrow" w:cs="Arial"/>
                <w:b/>
                <w:sz w:val="20"/>
                <w:szCs w:val="22"/>
                <w:lang w:val="es-CO"/>
              </w:rPr>
            </w:pPr>
            <w:r w:rsidRPr="009E63D4">
              <w:rPr>
                <w:rFonts w:ascii="Arial Narrow" w:hAnsi="Arial Narrow" w:cs="Arial"/>
                <w:b/>
                <w:sz w:val="20"/>
                <w:szCs w:val="22"/>
                <w:lang w:val="es-CO"/>
              </w:rPr>
              <w:t xml:space="preserve">Bogotá, D.C., </w:t>
            </w:r>
            <w:r w:rsidR="00AB7DD9">
              <w:rPr>
                <w:rFonts w:ascii="Arial Narrow" w:hAnsi="Arial Narrow" w:cs="Arial"/>
                <w:b/>
                <w:sz w:val="20"/>
                <w:szCs w:val="22"/>
                <w:lang w:val="es-CO"/>
              </w:rPr>
              <w:t>trece (13)</w:t>
            </w:r>
            <w:r w:rsidRPr="009E63D4">
              <w:rPr>
                <w:rFonts w:ascii="Arial Narrow" w:hAnsi="Arial Narrow" w:cs="Arial"/>
                <w:b/>
                <w:sz w:val="20"/>
                <w:szCs w:val="22"/>
                <w:lang w:val="es-CO"/>
              </w:rPr>
              <w:t xml:space="preserve"> de febrero</w:t>
            </w:r>
            <w:r w:rsidRPr="009E63D4">
              <w:rPr>
                <w:rFonts w:ascii="Arial Narrow" w:hAnsi="Arial Narrow" w:cs="Arial"/>
                <w:b/>
                <w:sz w:val="20"/>
                <w:szCs w:val="22"/>
                <w:lang w:val="es-CO"/>
              </w:rPr>
              <w:fldChar w:fldCharType="begin"/>
            </w:r>
            <w:r w:rsidRPr="009E63D4">
              <w:rPr>
                <w:rFonts w:ascii="Arial Narrow" w:hAnsi="Arial Narrow" w:cs="Arial"/>
                <w:b/>
                <w:sz w:val="20"/>
                <w:szCs w:val="22"/>
                <w:lang w:val="es-CO"/>
              </w:rPr>
              <w:instrText xml:space="preserve"> MERGEFIELD FECHA_PROYECTÓ_EL_AUTO_ADMISORIO </w:instrText>
            </w:r>
            <w:r w:rsidRPr="009E63D4">
              <w:rPr>
                <w:rFonts w:ascii="Arial Narrow" w:hAnsi="Arial Narrow" w:cs="Arial"/>
                <w:b/>
                <w:sz w:val="20"/>
                <w:szCs w:val="22"/>
                <w:lang w:val="es-CO"/>
              </w:rPr>
              <w:fldChar w:fldCharType="separate"/>
            </w:r>
            <w:r w:rsidRPr="009E63D4">
              <w:rPr>
                <w:rFonts w:ascii="Arial Narrow" w:hAnsi="Arial Narrow" w:cs="Arial"/>
                <w:b/>
                <w:sz w:val="20"/>
                <w:szCs w:val="22"/>
                <w:lang w:val="es-CO"/>
              </w:rPr>
              <w:t xml:space="preserve"> de dos mil veinte (2020)</w:t>
            </w:r>
            <w:r w:rsidRPr="009E63D4">
              <w:rPr>
                <w:rFonts w:ascii="Arial Narrow" w:hAnsi="Arial Narrow" w:cs="Arial"/>
                <w:b/>
                <w:sz w:val="20"/>
                <w:szCs w:val="22"/>
                <w:lang w:val="es-CO"/>
              </w:rPr>
              <w:fldChar w:fldCharType="end"/>
            </w:r>
          </w:p>
        </w:tc>
      </w:tr>
      <w:tr w:rsidR="0087110E" w:rsidRPr="009E63D4" w14:paraId="3CBFAC37" w14:textId="77777777" w:rsidTr="009B5AC8">
        <w:tc>
          <w:tcPr>
            <w:tcW w:w="2127" w:type="dxa"/>
            <w:vAlign w:val="center"/>
          </w:tcPr>
          <w:p w14:paraId="10B1927C" w14:textId="77777777" w:rsidR="0087110E" w:rsidRPr="009E63D4" w:rsidRDefault="0087110E" w:rsidP="009B5AC8">
            <w:pPr>
              <w:spacing w:line="276" w:lineRule="auto"/>
              <w:jc w:val="both"/>
              <w:rPr>
                <w:rFonts w:ascii="Arial Narrow" w:hAnsi="Arial Narrow" w:cs="Arial"/>
                <w:sz w:val="20"/>
                <w:szCs w:val="22"/>
                <w:lang w:val="es-CO"/>
              </w:rPr>
            </w:pPr>
            <w:r w:rsidRPr="009E63D4">
              <w:rPr>
                <w:rFonts w:ascii="Arial Narrow" w:hAnsi="Arial Narrow" w:cs="Arial"/>
                <w:sz w:val="20"/>
                <w:szCs w:val="22"/>
                <w:lang w:val="es-CO"/>
              </w:rPr>
              <w:t>REFERENCIA</w:t>
            </w:r>
          </w:p>
        </w:tc>
        <w:tc>
          <w:tcPr>
            <w:tcW w:w="6804" w:type="dxa"/>
          </w:tcPr>
          <w:p w14:paraId="074D54ED" w14:textId="77777777" w:rsidR="0087110E" w:rsidRPr="009E63D4" w:rsidRDefault="0087110E" w:rsidP="009B5AC8">
            <w:pPr>
              <w:spacing w:line="276" w:lineRule="auto"/>
              <w:jc w:val="both"/>
              <w:rPr>
                <w:rFonts w:ascii="Arial Narrow" w:hAnsi="Arial Narrow" w:cs="Arial"/>
                <w:b/>
                <w:sz w:val="20"/>
                <w:szCs w:val="22"/>
                <w:lang w:val="es-CO"/>
              </w:rPr>
            </w:pPr>
            <w:r w:rsidRPr="009E63D4">
              <w:rPr>
                <w:rFonts w:ascii="Arial Narrow" w:hAnsi="Arial Narrow" w:cs="Arial"/>
                <w:b/>
                <w:sz w:val="20"/>
                <w:szCs w:val="22"/>
                <w:lang w:val="es-CO"/>
              </w:rPr>
              <w:t>Expediente No. 11001333603420200002100</w:t>
            </w:r>
          </w:p>
        </w:tc>
      </w:tr>
      <w:tr w:rsidR="0087110E" w:rsidRPr="009E63D4" w14:paraId="2A8383E8" w14:textId="77777777" w:rsidTr="009B5AC8">
        <w:tc>
          <w:tcPr>
            <w:tcW w:w="2127" w:type="dxa"/>
            <w:vAlign w:val="center"/>
          </w:tcPr>
          <w:p w14:paraId="203E8297" w14:textId="77777777" w:rsidR="0087110E" w:rsidRPr="009E63D4" w:rsidRDefault="0087110E" w:rsidP="009B5AC8">
            <w:pPr>
              <w:spacing w:line="276" w:lineRule="auto"/>
              <w:jc w:val="both"/>
              <w:rPr>
                <w:rFonts w:ascii="Arial Narrow" w:hAnsi="Arial Narrow" w:cs="Arial"/>
                <w:sz w:val="20"/>
                <w:szCs w:val="22"/>
                <w:lang w:val="es-CO"/>
              </w:rPr>
            </w:pPr>
            <w:r w:rsidRPr="009E63D4">
              <w:rPr>
                <w:rFonts w:ascii="Arial Narrow" w:hAnsi="Arial Narrow" w:cs="Arial"/>
                <w:sz w:val="20"/>
                <w:szCs w:val="22"/>
                <w:lang w:val="es-CO"/>
              </w:rPr>
              <w:t>DEMANDANTE</w:t>
            </w:r>
          </w:p>
        </w:tc>
        <w:tc>
          <w:tcPr>
            <w:tcW w:w="6804" w:type="dxa"/>
          </w:tcPr>
          <w:p w14:paraId="19248EB5" w14:textId="77777777" w:rsidR="0087110E" w:rsidRPr="009E63D4" w:rsidRDefault="0087110E" w:rsidP="009B5AC8">
            <w:pPr>
              <w:spacing w:line="276" w:lineRule="auto"/>
              <w:jc w:val="both"/>
              <w:rPr>
                <w:rFonts w:ascii="Arial Narrow" w:hAnsi="Arial Narrow" w:cs="Arial"/>
                <w:b/>
                <w:sz w:val="20"/>
                <w:szCs w:val="22"/>
                <w:lang w:val="es-CO"/>
              </w:rPr>
            </w:pPr>
            <w:r w:rsidRPr="009E63D4">
              <w:rPr>
                <w:rFonts w:ascii="Arial Narrow" w:hAnsi="Arial Narrow" w:cs="Arial"/>
                <w:b/>
                <w:sz w:val="20"/>
                <w:szCs w:val="22"/>
                <w:lang w:val="es-CO"/>
              </w:rPr>
              <w:t>PEDRO ANTONIO LORZA TORRES</w:t>
            </w:r>
          </w:p>
        </w:tc>
      </w:tr>
      <w:tr w:rsidR="0087110E" w:rsidRPr="009E63D4" w14:paraId="6AB4E9EF" w14:textId="77777777" w:rsidTr="009B5AC8">
        <w:tc>
          <w:tcPr>
            <w:tcW w:w="2127" w:type="dxa"/>
            <w:vAlign w:val="center"/>
          </w:tcPr>
          <w:p w14:paraId="12682012" w14:textId="77777777" w:rsidR="0087110E" w:rsidRPr="009E63D4" w:rsidRDefault="0087110E" w:rsidP="009B5AC8">
            <w:pPr>
              <w:spacing w:line="276" w:lineRule="auto"/>
              <w:jc w:val="both"/>
              <w:rPr>
                <w:rFonts w:ascii="Arial Narrow" w:hAnsi="Arial Narrow" w:cs="Arial"/>
                <w:sz w:val="20"/>
                <w:szCs w:val="22"/>
                <w:lang w:val="es-CO"/>
              </w:rPr>
            </w:pPr>
            <w:r w:rsidRPr="009E63D4">
              <w:rPr>
                <w:rFonts w:ascii="Arial Narrow" w:hAnsi="Arial Narrow" w:cs="Arial"/>
                <w:sz w:val="20"/>
                <w:szCs w:val="22"/>
                <w:lang w:val="es-CO"/>
              </w:rPr>
              <w:t>DEMANDADO</w:t>
            </w:r>
          </w:p>
        </w:tc>
        <w:tc>
          <w:tcPr>
            <w:tcW w:w="6804" w:type="dxa"/>
          </w:tcPr>
          <w:p w14:paraId="3FA2FC46" w14:textId="77777777" w:rsidR="0087110E" w:rsidRPr="009E63D4" w:rsidRDefault="0087110E" w:rsidP="009B5AC8">
            <w:pPr>
              <w:spacing w:line="276" w:lineRule="auto"/>
              <w:jc w:val="both"/>
              <w:rPr>
                <w:rFonts w:ascii="Arial Narrow" w:hAnsi="Arial Narrow" w:cs="Arial"/>
                <w:b/>
                <w:sz w:val="20"/>
                <w:szCs w:val="22"/>
                <w:lang w:val="es-CO"/>
              </w:rPr>
            </w:pPr>
            <w:r w:rsidRPr="009E63D4">
              <w:rPr>
                <w:rFonts w:ascii="Arial Narrow" w:hAnsi="Arial Narrow" w:cs="Arial"/>
                <w:b/>
                <w:sz w:val="20"/>
                <w:szCs w:val="22"/>
                <w:lang w:val="es-CO"/>
              </w:rPr>
              <w:t>MINISTERIO DE TRANSPORTE</w:t>
            </w:r>
          </w:p>
        </w:tc>
      </w:tr>
      <w:tr w:rsidR="0087110E" w:rsidRPr="009E63D4" w14:paraId="70AA75FE" w14:textId="77777777" w:rsidTr="009B5AC8">
        <w:tc>
          <w:tcPr>
            <w:tcW w:w="2127" w:type="dxa"/>
            <w:vAlign w:val="center"/>
          </w:tcPr>
          <w:p w14:paraId="397F743B" w14:textId="77777777" w:rsidR="0087110E" w:rsidRPr="009E63D4" w:rsidRDefault="0087110E" w:rsidP="009B5AC8">
            <w:pPr>
              <w:spacing w:line="276" w:lineRule="auto"/>
              <w:jc w:val="both"/>
              <w:rPr>
                <w:rFonts w:ascii="Arial Narrow" w:hAnsi="Arial Narrow" w:cs="Arial"/>
                <w:sz w:val="20"/>
                <w:szCs w:val="22"/>
                <w:lang w:val="es-CO"/>
              </w:rPr>
            </w:pPr>
            <w:r w:rsidRPr="009E63D4">
              <w:rPr>
                <w:rFonts w:ascii="Arial Narrow" w:hAnsi="Arial Narrow" w:cs="Arial"/>
                <w:sz w:val="20"/>
                <w:szCs w:val="22"/>
                <w:lang w:val="es-CO"/>
              </w:rPr>
              <w:t>MEDIO DE CONTROL</w:t>
            </w:r>
          </w:p>
        </w:tc>
        <w:tc>
          <w:tcPr>
            <w:tcW w:w="6804" w:type="dxa"/>
          </w:tcPr>
          <w:p w14:paraId="699ABF51" w14:textId="77777777" w:rsidR="0087110E" w:rsidRPr="009E63D4" w:rsidRDefault="0087110E" w:rsidP="009B5AC8">
            <w:pPr>
              <w:spacing w:line="276" w:lineRule="auto"/>
              <w:jc w:val="both"/>
              <w:rPr>
                <w:rFonts w:ascii="Arial Narrow" w:hAnsi="Arial Narrow" w:cs="Arial"/>
                <w:b/>
                <w:sz w:val="20"/>
                <w:szCs w:val="22"/>
                <w:lang w:val="es-CO"/>
              </w:rPr>
            </w:pPr>
            <w:r w:rsidRPr="009E63D4">
              <w:rPr>
                <w:rFonts w:ascii="Arial Narrow" w:hAnsi="Arial Narrow" w:cs="Arial"/>
                <w:b/>
                <w:sz w:val="20"/>
                <w:szCs w:val="22"/>
                <w:lang w:val="es-CO"/>
              </w:rPr>
              <w:t>TUTELA</w:t>
            </w:r>
          </w:p>
        </w:tc>
      </w:tr>
      <w:tr w:rsidR="0087110E" w:rsidRPr="009E63D4" w14:paraId="693517BA" w14:textId="77777777" w:rsidTr="009B5AC8">
        <w:tc>
          <w:tcPr>
            <w:tcW w:w="2127" w:type="dxa"/>
            <w:vAlign w:val="center"/>
          </w:tcPr>
          <w:p w14:paraId="567D7CDF" w14:textId="77777777" w:rsidR="0087110E" w:rsidRPr="009E63D4" w:rsidRDefault="0087110E" w:rsidP="009B5AC8">
            <w:pPr>
              <w:spacing w:line="276" w:lineRule="auto"/>
              <w:jc w:val="both"/>
              <w:rPr>
                <w:rFonts w:ascii="Arial Narrow" w:hAnsi="Arial Narrow" w:cs="Arial"/>
                <w:sz w:val="20"/>
                <w:szCs w:val="22"/>
                <w:lang w:val="es-CO"/>
              </w:rPr>
            </w:pPr>
            <w:r w:rsidRPr="009E63D4">
              <w:rPr>
                <w:rFonts w:ascii="Arial Narrow" w:hAnsi="Arial Narrow" w:cs="Arial"/>
                <w:sz w:val="20"/>
                <w:szCs w:val="22"/>
                <w:lang w:val="es-CO"/>
              </w:rPr>
              <w:t>ASUNTO</w:t>
            </w:r>
          </w:p>
        </w:tc>
        <w:tc>
          <w:tcPr>
            <w:tcW w:w="6804" w:type="dxa"/>
          </w:tcPr>
          <w:p w14:paraId="272C4A8F" w14:textId="77777777" w:rsidR="0087110E" w:rsidRPr="009E63D4" w:rsidRDefault="0087110E" w:rsidP="009B5AC8">
            <w:pPr>
              <w:spacing w:line="276" w:lineRule="auto"/>
              <w:jc w:val="both"/>
              <w:rPr>
                <w:rFonts w:ascii="Arial Narrow" w:hAnsi="Arial Narrow" w:cs="Arial"/>
                <w:b/>
                <w:sz w:val="20"/>
                <w:szCs w:val="22"/>
                <w:lang w:val="es-CO"/>
              </w:rPr>
            </w:pPr>
            <w:r w:rsidRPr="009E63D4">
              <w:rPr>
                <w:rFonts w:ascii="Arial Narrow" w:hAnsi="Arial Narrow" w:cs="Arial"/>
                <w:b/>
                <w:sz w:val="20"/>
                <w:szCs w:val="22"/>
                <w:lang w:val="es-CO"/>
              </w:rPr>
              <w:t xml:space="preserve">FALLO DE PRIMERA INSTANCIA </w:t>
            </w:r>
          </w:p>
        </w:tc>
      </w:tr>
    </w:tbl>
    <w:p w14:paraId="34DC3B39" w14:textId="77777777" w:rsidR="0087110E" w:rsidRPr="009E63D4" w:rsidRDefault="0087110E" w:rsidP="0087110E">
      <w:pPr>
        <w:spacing w:line="276" w:lineRule="auto"/>
        <w:jc w:val="both"/>
        <w:rPr>
          <w:rFonts w:ascii="Arial Narrow" w:hAnsi="Arial Narrow" w:cs="Arial"/>
          <w:sz w:val="20"/>
          <w:szCs w:val="22"/>
          <w:highlight w:val="yellow"/>
          <w:lang w:val="es-CO"/>
        </w:rPr>
      </w:pPr>
    </w:p>
    <w:p w14:paraId="7FD8CED2" w14:textId="77777777" w:rsidR="0087110E" w:rsidRPr="009E63D4" w:rsidRDefault="0087110E" w:rsidP="0087110E">
      <w:pPr>
        <w:spacing w:line="276" w:lineRule="auto"/>
        <w:jc w:val="both"/>
        <w:rPr>
          <w:rFonts w:ascii="Arial" w:hAnsi="Arial" w:cs="Arial"/>
          <w:sz w:val="22"/>
          <w:szCs w:val="22"/>
          <w:lang w:val="es-CO"/>
        </w:rPr>
      </w:pPr>
      <w:r w:rsidRPr="009E63D4">
        <w:rPr>
          <w:rFonts w:ascii="Arial" w:hAnsi="Arial" w:cs="Arial"/>
          <w:sz w:val="22"/>
          <w:szCs w:val="22"/>
          <w:lang w:val="es-CO"/>
        </w:rPr>
        <w:fldChar w:fldCharType="begin"/>
      </w:r>
      <w:r w:rsidRPr="009E63D4">
        <w:rPr>
          <w:rFonts w:ascii="Arial" w:hAnsi="Arial" w:cs="Arial"/>
          <w:sz w:val="22"/>
          <w:szCs w:val="22"/>
          <w:lang w:val="es-CO"/>
        </w:rPr>
        <w:instrText xml:space="preserve"> MERGEFIELD Demandante_ </w:instrText>
      </w:r>
      <w:r w:rsidRPr="009E63D4">
        <w:rPr>
          <w:rFonts w:ascii="Arial" w:hAnsi="Arial" w:cs="Arial"/>
          <w:sz w:val="22"/>
          <w:szCs w:val="22"/>
          <w:lang w:val="es-CO"/>
        </w:rPr>
        <w:fldChar w:fldCharType="separate"/>
      </w:r>
      <w:r w:rsidRPr="009E63D4">
        <w:rPr>
          <w:rFonts w:ascii="Arial" w:hAnsi="Arial" w:cs="Arial"/>
          <w:sz w:val="22"/>
          <w:szCs w:val="22"/>
          <w:lang w:val="es-CO"/>
        </w:rPr>
        <w:t xml:space="preserve">PEDRO ANTONIO LORZA TORRES actuando en nombre propio </w:t>
      </w:r>
      <w:r w:rsidRPr="009E63D4">
        <w:rPr>
          <w:rFonts w:ascii="Arial" w:hAnsi="Arial" w:cs="Arial"/>
          <w:sz w:val="22"/>
          <w:szCs w:val="22"/>
          <w:lang w:val="es-CO"/>
        </w:rPr>
        <w:fldChar w:fldCharType="end"/>
      </w:r>
      <w:r w:rsidRPr="009E63D4">
        <w:rPr>
          <w:rFonts w:ascii="Arial" w:hAnsi="Arial" w:cs="Arial"/>
          <w:sz w:val="22"/>
          <w:szCs w:val="22"/>
          <w:lang w:val="es-CO"/>
        </w:rPr>
        <w:t xml:space="preserve">interpuso acción de tutela en contra del MINISTERIO DE TRANSPORTE con el fin de proteger su derecho fundamental de petición en conexidad al debido proceso, presunción de inocencia y al trabajo. </w:t>
      </w:r>
    </w:p>
    <w:p w14:paraId="3B835BAE" w14:textId="77777777" w:rsidR="0087110E" w:rsidRPr="009E63D4" w:rsidRDefault="0087110E" w:rsidP="0087110E">
      <w:pPr>
        <w:tabs>
          <w:tab w:val="left" w:pos="5472"/>
        </w:tabs>
        <w:spacing w:line="276" w:lineRule="auto"/>
        <w:jc w:val="both"/>
        <w:rPr>
          <w:rFonts w:ascii="Arial" w:hAnsi="Arial" w:cs="Arial"/>
          <w:sz w:val="22"/>
          <w:szCs w:val="22"/>
          <w:lang w:val="es-CO"/>
        </w:rPr>
      </w:pPr>
    </w:p>
    <w:p w14:paraId="3960F2C2" w14:textId="77777777" w:rsidR="0087110E" w:rsidRPr="009E63D4" w:rsidRDefault="0087110E" w:rsidP="0087110E">
      <w:pPr>
        <w:pStyle w:val="Textoindependiente"/>
        <w:numPr>
          <w:ilvl w:val="0"/>
          <w:numId w:val="1"/>
        </w:numPr>
        <w:tabs>
          <w:tab w:val="left" w:pos="0"/>
        </w:tabs>
        <w:spacing w:after="0" w:line="276" w:lineRule="auto"/>
        <w:jc w:val="both"/>
        <w:rPr>
          <w:rFonts w:cs="Arial"/>
          <w:b/>
          <w:sz w:val="22"/>
          <w:szCs w:val="22"/>
          <w:lang w:val="es-CO"/>
        </w:rPr>
      </w:pPr>
      <w:r w:rsidRPr="009E63D4">
        <w:rPr>
          <w:rFonts w:cs="Arial"/>
          <w:b/>
          <w:sz w:val="22"/>
          <w:szCs w:val="22"/>
          <w:lang w:val="es-CO"/>
        </w:rPr>
        <w:t>LA DEMANDA:</w:t>
      </w:r>
    </w:p>
    <w:p w14:paraId="574DE06E" w14:textId="77777777" w:rsidR="0087110E" w:rsidRPr="009E63D4" w:rsidRDefault="0087110E" w:rsidP="0087110E">
      <w:pPr>
        <w:pStyle w:val="Textoindependiente"/>
        <w:spacing w:after="0" w:line="276" w:lineRule="auto"/>
        <w:jc w:val="both"/>
        <w:rPr>
          <w:rFonts w:cs="Arial"/>
          <w:b/>
          <w:sz w:val="22"/>
          <w:szCs w:val="22"/>
          <w:lang w:val="es-CO"/>
        </w:rPr>
      </w:pPr>
    </w:p>
    <w:p w14:paraId="61A7C1A3" w14:textId="77777777" w:rsidR="0087110E" w:rsidRPr="009E63D4" w:rsidRDefault="0087110E" w:rsidP="0087110E">
      <w:pPr>
        <w:pStyle w:val="Textoindependiente"/>
        <w:spacing w:after="0" w:line="276" w:lineRule="auto"/>
        <w:jc w:val="both"/>
        <w:rPr>
          <w:rFonts w:cs="Arial"/>
          <w:b/>
          <w:sz w:val="22"/>
          <w:szCs w:val="22"/>
          <w:lang w:val="es-CO"/>
        </w:rPr>
      </w:pPr>
      <w:r w:rsidRPr="009E63D4">
        <w:rPr>
          <w:rFonts w:cs="Arial"/>
          <w:b/>
          <w:sz w:val="22"/>
          <w:szCs w:val="22"/>
          <w:lang w:val="es-CO"/>
        </w:rPr>
        <w:t>El accionante solicita que se ordene al Ministerio de Transporte eliminar el bloqueo de carga al vehículo SVP160 para que este pueda ser explotado económicamente y quitar el vehículo del memorando No. 20194020090373.</w:t>
      </w:r>
    </w:p>
    <w:p w14:paraId="7BBC76B5" w14:textId="77777777" w:rsidR="0087110E" w:rsidRPr="009E63D4" w:rsidRDefault="0087110E" w:rsidP="0087110E">
      <w:pPr>
        <w:pStyle w:val="Textoindependiente"/>
        <w:spacing w:after="0" w:line="276" w:lineRule="auto"/>
        <w:jc w:val="both"/>
        <w:rPr>
          <w:rFonts w:cs="Arial"/>
          <w:b/>
          <w:sz w:val="22"/>
          <w:szCs w:val="22"/>
          <w:lang w:val="es-CO"/>
        </w:rPr>
      </w:pPr>
    </w:p>
    <w:p w14:paraId="0822FE8F" w14:textId="77777777" w:rsidR="0087110E" w:rsidRPr="009E63D4" w:rsidRDefault="0087110E" w:rsidP="0087110E">
      <w:pPr>
        <w:pStyle w:val="Textoindependiente"/>
        <w:spacing w:after="0" w:line="276" w:lineRule="auto"/>
        <w:jc w:val="both"/>
        <w:rPr>
          <w:rFonts w:cs="Arial"/>
          <w:sz w:val="22"/>
          <w:szCs w:val="22"/>
          <w:lang w:val="es-CO"/>
        </w:rPr>
      </w:pPr>
      <w:r w:rsidRPr="009E63D4">
        <w:rPr>
          <w:rFonts w:cs="Arial"/>
          <w:sz w:val="22"/>
          <w:szCs w:val="22"/>
          <w:lang w:val="es-CO"/>
        </w:rPr>
        <w:t xml:space="preserve">Como </w:t>
      </w:r>
      <w:r w:rsidRPr="009E63D4">
        <w:rPr>
          <w:rFonts w:cs="Arial"/>
          <w:b/>
          <w:sz w:val="22"/>
          <w:szCs w:val="22"/>
          <w:lang w:val="es-CO"/>
        </w:rPr>
        <w:t>hechos</w:t>
      </w:r>
      <w:r w:rsidRPr="009E63D4">
        <w:rPr>
          <w:rFonts w:cs="Arial"/>
          <w:sz w:val="22"/>
          <w:szCs w:val="22"/>
          <w:lang w:val="es-CO"/>
        </w:rPr>
        <w:t xml:space="preserve"> sustento de las pretensiones anotadas se aducen los siguientes: </w:t>
      </w:r>
    </w:p>
    <w:p w14:paraId="418C70B7" w14:textId="77777777" w:rsidR="0087110E" w:rsidRPr="009E63D4" w:rsidRDefault="0087110E" w:rsidP="0087110E">
      <w:pPr>
        <w:pStyle w:val="Textoindependiente"/>
        <w:spacing w:after="0" w:line="276" w:lineRule="auto"/>
        <w:ind w:left="708"/>
        <w:jc w:val="both"/>
        <w:rPr>
          <w:rFonts w:cs="Arial"/>
          <w:sz w:val="22"/>
          <w:szCs w:val="22"/>
          <w:lang w:val="es-CO"/>
        </w:rPr>
      </w:pPr>
    </w:p>
    <w:p w14:paraId="43CD023C" w14:textId="77777777" w:rsidR="0087110E" w:rsidRPr="009E63D4" w:rsidRDefault="0087110E" w:rsidP="0087110E">
      <w:pPr>
        <w:pStyle w:val="Textoindependiente"/>
        <w:spacing w:after="0" w:line="276" w:lineRule="auto"/>
        <w:jc w:val="both"/>
        <w:rPr>
          <w:rFonts w:cs="Arial"/>
          <w:sz w:val="22"/>
          <w:szCs w:val="22"/>
          <w:lang w:val="es-CO"/>
        </w:rPr>
      </w:pPr>
      <w:r w:rsidRPr="009E63D4">
        <w:rPr>
          <w:rFonts w:cs="Arial"/>
          <w:sz w:val="22"/>
          <w:szCs w:val="22"/>
          <w:lang w:val="es-CO"/>
        </w:rPr>
        <w:t xml:space="preserve">PEDRO ANTONIO LORZA TORRES es propietario del vehículo con placas SVP160 con licencia de tránsito No. 10011404730 expedida el 20 de junio de 2012 con matrícula autorizada por la Secretaria de Tránsito y Transporte de ANDALUCIA. En los últimos días de septiembre cuando el vehículo en caso se alistaba para prestar un servicio de transporte de carga terrestre se ve limitado al mismo, puesto que, se encontraba incluido dentro del listado de la circular No. 20194020090373 emitida por el MINISTERIO DE TRANSPORTE, por medio de la cual, </w:t>
      </w:r>
      <w:r w:rsidRPr="009E63D4">
        <w:rPr>
          <w:rFonts w:cs="Arial"/>
          <w:i/>
          <w:sz w:val="22"/>
          <w:szCs w:val="22"/>
          <w:lang w:val="es-CO"/>
        </w:rPr>
        <w:t>se hace un listado de vehículos matriculados entre el 1 de enero de 2012 y el 31 de diciembre de 2018 que presuntamente no cuentan con el Certificado de Cumplimiento de Requisitos – CCR, o con el Certificado de Aprobación de Caución –CC exigido en el momento de su matrícula</w:t>
      </w:r>
      <w:r w:rsidRPr="009E63D4">
        <w:rPr>
          <w:rFonts w:cs="Arial"/>
          <w:sz w:val="22"/>
          <w:szCs w:val="22"/>
          <w:lang w:val="es-CO"/>
        </w:rPr>
        <w:t xml:space="preserve">. </w:t>
      </w:r>
    </w:p>
    <w:p w14:paraId="2ADB84E6" w14:textId="77777777" w:rsidR="0087110E" w:rsidRPr="009E63D4" w:rsidRDefault="0087110E" w:rsidP="0087110E">
      <w:pPr>
        <w:pStyle w:val="Textoindependiente"/>
        <w:spacing w:after="0" w:line="276" w:lineRule="auto"/>
        <w:jc w:val="both"/>
        <w:rPr>
          <w:rFonts w:cs="Arial"/>
          <w:sz w:val="22"/>
          <w:szCs w:val="22"/>
          <w:lang w:val="es-CO"/>
        </w:rPr>
      </w:pPr>
    </w:p>
    <w:p w14:paraId="428641DF" w14:textId="77777777" w:rsidR="0087110E" w:rsidRPr="009E63D4" w:rsidRDefault="0087110E" w:rsidP="0087110E">
      <w:pPr>
        <w:pStyle w:val="Textoindependiente"/>
        <w:spacing w:after="0" w:line="276" w:lineRule="auto"/>
        <w:jc w:val="both"/>
        <w:rPr>
          <w:rFonts w:cs="Arial"/>
          <w:b/>
          <w:i/>
          <w:sz w:val="22"/>
          <w:szCs w:val="22"/>
          <w:lang w:val="es-CO"/>
        </w:rPr>
      </w:pPr>
      <w:r w:rsidRPr="009E63D4">
        <w:rPr>
          <w:rFonts w:cs="Arial"/>
          <w:b/>
          <w:sz w:val="22"/>
          <w:szCs w:val="22"/>
          <w:lang w:val="es-CO"/>
        </w:rPr>
        <w:t>ACTUACIÓN PROCESAL</w:t>
      </w:r>
    </w:p>
    <w:p w14:paraId="3399EB71" w14:textId="77777777" w:rsidR="0087110E" w:rsidRPr="009E63D4" w:rsidRDefault="0087110E" w:rsidP="0087110E">
      <w:pPr>
        <w:pStyle w:val="Textoindependiente"/>
        <w:spacing w:after="0" w:line="276" w:lineRule="auto"/>
        <w:jc w:val="both"/>
        <w:rPr>
          <w:rFonts w:cs="Arial"/>
          <w:sz w:val="22"/>
          <w:szCs w:val="22"/>
          <w:lang w:val="es-CO"/>
        </w:rPr>
      </w:pPr>
    </w:p>
    <w:p w14:paraId="32EA2951" w14:textId="77777777" w:rsidR="0087110E" w:rsidRPr="009E63D4" w:rsidRDefault="0087110E" w:rsidP="0087110E">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9E63D4">
        <w:rPr>
          <w:rFonts w:cs="Arial"/>
          <w:sz w:val="22"/>
          <w:szCs w:val="22"/>
          <w:lang w:val="es-CO"/>
        </w:rPr>
        <w:t>La presente demanda fue radicada el 31 de enero de 2020.</w:t>
      </w:r>
    </w:p>
    <w:p w14:paraId="5C3FC50B" w14:textId="77777777" w:rsidR="0087110E" w:rsidRPr="009E63D4" w:rsidRDefault="0087110E" w:rsidP="0087110E">
      <w:pPr>
        <w:pStyle w:val="Textoindependiente"/>
        <w:tabs>
          <w:tab w:val="left" w:pos="426"/>
        </w:tabs>
        <w:spacing w:after="0" w:line="276" w:lineRule="auto"/>
        <w:ind w:left="360"/>
        <w:jc w:val="both"/>
        <w:rPr>
          <w:rFonts w:cs="Arial"/>
          <w:b/>
          <w:sz w:val="22"/>
          <w:szCs w:val="22"/>
          <w:lang w:val="es-CO"/>
        </w:rPr>
      </w:pPr>
    </w:p>
    <w:p w14:paraId="15770ED1" w14:textId="77777777" w:rsidR="0087110E" w:rsidRPr="009E63D4" w:rsidRDefault="0087110E" w:rsidP="0087110E">
      <w:pPr>
        <w:pStyle w:val="Textoindependiente"/>
        <w:numPr>
          <w:ilvl w:val="1"/>
          <w:numId w:val="2"/>
        </w:numPr>
        <w:tabs>
          <w:tab w:val="left" w:pos="426"/>
        </w:tabs>
        <w:spacing w:after="0" w:line="276" w:lineRule="auto"/>
        <w:ind w:left="0" w:firstLine="0"/>
        <w:jc w:val="both"/>
        <w:rPr>
          <w:rFonts w:cs="Arial"/>
          <w:b/>
          <w:sz w:val="22"/>
          <w:szCs w:val="22"/>
          <w:lang w:val="es-CO"/>
        </w:rPr>
      </w:pPr>
      <w:r w:rsidRPr="009E63D4">
        <w:rPr>
          <w:rFonts w:cs="Arial"/>
          <w:sz w:val="22"/>
          <w:szCs w:val="22"/>
          <w:lang w:val="es-CO"/>
        </w:rPr>
        <w:t>Mediante providencia del 05 de febrero de 2020 se admitió la demanda y se ordenó notificar al demandado para que en el término improrrogable de dos (2) días se pronuncie sobre la demanda.</w:t>
      </w:r>
    </w:p>
    <w:p w14:paraId="138016E9" w14:textId="77777777" w:rsidR="0087110E" w:rsidRPr="009E63D4" w:rsidRDefault="0087110E" w:rsidP="0087110E">
      <w:pPr>
        <w:pStyle w:val="Textoindependiente"/>
        <w:tabs>
          <w:tab w:val="left" w:pos="426"/>
        </w:tabs>
        <w:spacing w:after="0" w:line="276" w:lineRule="auto"/>
        <w:jc w:val="both"/>
        <w:rPr>
          <w:rFonts w:cs="Arial"/>
          <w:b/>
          <w:sz w:val="22"/>
          <w:szCs w:val="22"/>
          <w:lang w:val="es-CO"/>
        </w:rPr>
      </w:pPr>
    </w:p>
    <w:p w14:paraId="33FB97DA" w14:textId="77777777" w:rsidR="0087110E" w:rsidRPr="009E63D4" w:rsidRDefault="0087110E" w:rsidP="0087110E">
      <w:pPr>
        <w:pStyle w:val="Textoindependiente"/>
        <w:numPr>
          <w:ilvl w:val="0"/>
          <w:numId w:val="4"/>
        </w:numPr>
        <w:spacing w:after="0" w:line="276" w:lineRule="auto"/>
        <w:jc w:val="both"/>
        <w:rPr>
          <w:rFonts w:cs="Arial"/>
          <w:b/>
          <w:sz w:val="22"/>
          <w:szCs w:val="22"/>
          <w:lang w:val="es-CO"/>
        </w:rPr>
      </w:pPr>
      <w:r w:rsidRPr="009E63D4">
        <w:rPr>
          <w:rFonts w:cs="Arial"/>
          <w:b/>
          <w:sz w:val="22"/>
          <w:szCs w:val="22"/>
          <w:lang w:val="es-CO"/>
        </w:rPr>
        <w:t xml:space="preserve">LA IMPUGNACIÓN </w:t>
      </w:r>
      <w:r w:rsidRPr="009E63D4">
        <w:rPr>
          <w:rFonts w:cs="Arial"/>
          <w:b/>
          <w:bCs/>
          <w:i/>
          <w:sz w:val="22"/>
          <w:szCs w:val="22"/>
          <w:lang w:val="es-CO"/>
        </w:rPr>
        <w:t xml:space="preserve"> </w:t>
      </w:r>
    </w:p>
    <w:p w14:paraId="55FD4A4E" w14:textId="77777777" w:rsidR="0087110E" w:rsidRPr="009E63D4" w:rsidRDefault="0087110E" w:rsidP="0087110E">
      <w:pPr>
        <w:pStyle w:val="Textoindependiente"/>
        <w:tabs>
          <w:tab w:val="left" w:pos="426"/>
        </w:tabs>
        <w:spacing w:after="0" w:line="276" w:lineRule="auto"/>
        <w:jc w:val="both"/>
        <w:rPr>
          <w:rFonts w:cs="Arial"/>
          <w:sz w:val="22"/>
          <w:szCs w:val="22"/>
          <w:lang w:val="es-CO"/>
        </w:rPr>
      </w:pPr>
    </w:p>
    <w:p w14:paraId="71187071" w14:textId="77777777" w:rsidR="0087110E" w:rsidRPr="009E63D4" w:rsidRDefault="0087110E" w:rsidP="0087110E">
      <w:pPr>
        <w:pStyle w:val="Textoindependiente"/>
        <w:tabs>
          <w:tab w:val="left" w:pos="426"/>
        </w:tabs>
        <w:spacing w:after="0" w:line="276" w:lineRule="auto"/>
        <w:jc w:val="both"/>
        <w:rPr>
          <w:rFonts w:cs="Arial"/>
          <w:sz w:val="22"/>
          <w:szCs w:val="22"/>
          <w:lang w:val="es-CO"/>
        </w:rPr>
      </w:pPr>
      <w:r w:rsidRPr="009E63D4">
        <w:rPr>
          <w:rFonts w:cs="Arial"/>
          <w:sz w:val="22"/>
          <w:szCs w:val="22"/>
          <w:lang w:val="es-CO"/>
        </w:rPr>
        <w:t xml:space="preserve">El 06 de febrero de 2020 se notificó el demandado </w:t>
      </w:r>
      <w:r w:rsidRPr="009E63D4">
        <w:rPr>
          <w:rFonts w:cs="Arial"/>
          <w:b/>
          <w:sz w:val="22"/>
          <w:szCs w:val="22"/>
          <w:lang w:val="es-CO"/>
        </w:rPr>
        <w:t>MINISTERIO DE TRANSPORTE, quien</w:t>
      </w:r>
      <w:r w:rsidRPr="009E63D4">
        <w:rPr>
          <w:rFonts w:cs="Arial"/>
          <w:sz w:val="22"/>
          <w:szCs w:val="22"/>
          <w:lang w:val="es-CO"/>
        </w:rPr>
        <w:t xml:space="preserve"> contestó el 07 de febrero lo siguiente:</w:t>
      </w:r>
    </w:p>
    <w:p w14:paraId="519EA4A6" w14:textId="77777777" w:rsidR="0087110E" w:rsidRPr="009E63D4" w:rsidRDefault="0087110E" w:rsidP="0087110E">
      <w:pPr>
        <w:pStyle w:val="Textoindependiente"/>
        <w:tabs>
          <w:tab w:val="left" w:pos="426"/>
        </w:tabs>
        <w:spacing w:after="0" w:line="276" w:lineRule="auto"/>
        <w:jc w:val="both"/>
        <w:rPr>
          <w:rFonts w:cs="Arial"/>
          <w:sz w:val="22"/>
          <w:szCs w:val="22"/>
          <w:lang w:val="es-CO"/>
        </w:rPr>
      </w:pPr>
    </w:p>
    <w:p w14:paraId="4E1F490C" w14:textId="77777777" w:rsidR="0087110E" w:rsidRPr="009E63D4" w:rsidRDefault="0087110E" w:rsidP="0087110E">
      <w:pPr>
        <w:pStyle w:val="Textoindependiente"/>
        <w:tabs>
          <w:tab w:val="left" w:pos="426"/>
        </w:tabs>
        <w:spacing w:after="0" w:line="276" w:lineRule="auto"/>
        <w:jc w:val="both"/>
        <w:rPr>
          <w:rFonts w:cs="Arial"/>
          <w:i/>
          <w:sz w:val="20"/>
          <w:szCs w:val="22"/>
          <w:lang w:val="es-CO"/>
        </w:rPr>
      </w:pPr>
      <w:r w:rsidRPr="009E63D4">
        <w:rPr>
          <w:rFonts w:cs="Arial"/>
          <w:i/>
          <w:sz w:val="20"/>
          <w:szCs w:val="22"/>
          <w:lang w:val="es-CO"/>
        </w:rPr>
        <w:t xml:space="preserve">Argumenta el accionado que el ministerio de Transporte de acuerdo a la normatividad existente respecto al servicio público de transporte ha establecido los requisitos que se deben cumplir para el registro inicial de vehículos de carga ante los organismos de tránsito, estableciendo de manera obligatoria la exigencia del Certificado de Cumplimiento de Requisitos o la aprobación de la caución </w:t>
      </w:r>
      <w:r w:rsidRPr="009E63D4">
        <w:rPr>
          <w:rFonts w:cs="Arial"/>
          <w:i/>
          <w:sz w:val="20"/>
          <w:szCs w:val="22"/>
          <w:lang w:val="es-CO"/>
        </w:rPr>
        <w:lastRenderedPageBreak/>
        <w:t xml:space="preserve">por parte del Ministerio de Transporte. Así pues, el Ministerio de Transporte ha realizado el cruce de las informaciones contenidas en el Registro Único Nacional de Transporte (RUNT) con las bases de datos propias y la información allegada por los organismos de tránsito desde el año 2005 y encontró que existen vehículos registrados con omisión en los requisitos establecidos por la ley. </w:t>
      </w:r>
    </w:p>
    <w:p w14:paraId="21423BE9" w14:textId="77777777" w:rsidR="0087110E" w:rsidRPr="009E63D4" w:rsidRDefault="0087110E" w:rsidP="0087110E">
      <w:pPr>
        <w:pStyle w:val="Textoindependiente"/>
        <w:tabs>
          <w:tab w:val="left" w:pos="426"/>
        </w:tabs>
        <w:spacing w:after="0" w:line="276" w:lineRule="auto"/>
        <w:jc w:val="both"/>
        <w:rPr>
          <w:rFonts w:cs="Arial"/>
          <w:i/>
          <w:sz w:val="20"/>
          <w:szCs w:val="22"/>
          <w:highlight w:val="yellow"/>
          <w:lang w:val="es-CO"/>
        </w:rPr>
      </w:pPr>
    </w:p>
    <w:p w14:paraId="0501185D" w14:textId="77777777" w:rsidR="0087110E" w:rsidRPr="009E63D4" w:rsidRDefault="0087110E" w:rsidP="0087110E">
      <w:pPr>
        <w:pStyle w:val="Textoindependiente"/>
        <w:tabs>
          <w:tab w:val="left" w:pos="426"/>
        </w:tabs>
        <w:spacing w:after="0" w:line="276" w:lineRule="auto"/>
        <w:jc w:val="both"/>
        <w:rPr>
          <w:rFonts w:cs="Arial"/>
          <w:i/>
          <w:sz w:val="20"/>
          <w:szCs w:val="22"/>
          <w:lang w:val="es-CO"/>
        </w:rPr>
      </w:pPr>
      <w:r w:rsidRPr="009E63D4">
        <w:rPr>
          <w:rFonts w:cs="Arial"/>
          <w:i/>
          <w:sz w:val="20"/>
          <w:szCs w:val="22"/>
          <w:lang w:val="es-CO"/>
        </w:rPr>
        <w:t>Por lo anterior, argumenta el accionado que se expidió el Decreto 1514 de 2016 “por el cual se adoptan medidas especiales y transitorias para sanear el registro inicial de los vehículos de transporte de carga y se adiciona la subsección 1 a la Sección 7 del Capítulo 7 del Título 1 de la Parte 2 del Libro 2 del Decreto número 1079 de 2015.” Que posteriormente el Decreto 632 de 2019 en su artículo 4 modifico el artículo 2.2.1.7.7.1.4 de la Subsección 1 de la sección 7 del capítulo 7 del título 1 de la parte 2 del libro 2 Decreto 1079 de 2015 Único Reglamentario del Sector Transporte.</w:t>
      </w:r>
    </w:p>
    <w:p w14:paraId="16105C8A" w14:textId="77777777" w:rsidR="0087110E" w:rsidRPr="009E63D4" w:rsidRDefault="0087110E" w:rsidP="0087110E">
      <w:pPr>
        <w:pStyle w:val="Textoindependiente"/>
        <w:tabs>
          <w:tab w:val="left" w:pos="426"/>
        </w:tabs>
        <w:spacing w:after="0" w:line="276" w:lineRule="auto"/>
        <w:jc w:val="both"/>
        <w:rPr>
          <w:rFonts w:cs="Arial"/>
          <w:i/>
          <w:sz w:val="20"/>
          <w:szCs w:val="22"/>
          <w:lang w:val="es-CO"/>
        </w:rPr>
      </w:pPr>
    </w:p>
    <w:p w14:paraId="0CBAC8D1" w14:textId="77777777" w:rsidR="0087110E" w:rsidRPr="009E63D4" w:rsidRDefault="0087110E" w:rsidP="0087110E">
      <w:pPr>
        <w:pStyle w:val="Textoindependiente"/>
        <w:tabs>
          <w:tab w:val="left" w:pos="426"/>
        </w:tabs>
        <w:spacing w:after="0" w:line="276" w:lineRule="auto"/>
        <w:jc w:val="both"/>
        <w:rPr>
          <w:rFonts w:cs="Arial"/>
          <w:i/>
          <w:sz w:val="20"/>
          <w:szCs w:val="22"/>
          <w:lang w:val="es-CO"/>
        </w:rPr>
      </w:pPr>
      <w:r w:rsidRPr="009E63D4">
        <w:rPr>
          <w:rFonts w:cs="Arial"/>
          <w:i/>
          <w:sz w:val="20"/>
          <w:szCs w:val="22"/>
          <w:lang w:val="es-CO"/>
        </w:rPr>
        <w:t>Así pues, respecto a la presunta vulneración del derecho fundamental del debido proceso y al trabajo argumenta el accionado que es inexistente, toda vez que, el servicio público de transporte es una actividad económica sujeta a un alto grado de intervención del Estado, en la cual, hay prevalencia del interés público sobre el particular, motivo por el cual, dependerá de los requisitos y condiciones que señale la normatividad vigente. Por lo tanto, en lo que respecta a este caso, la medida implementada para incluir al vehículo de placas SVP160 de propiedad del accionante no es derivada de un proceso sancionatorio, sino con base a un trabajo de investigación con los Organismos de Tránsito y RUNT que buscó identificar que vehículos en el Territorio Nacional presentan omisión por su registro inicial por no contar con el Certificado de Cumplimiento de Requisitos o la Aprobación de caución Expedida por este ministerio al momento de su matrícula. Que para la fecha de la matrícula del vehículo en mención se encontraba vigente el Decreto 2085 de 2008 el cual señala en su artículo 4 que el Certificado de cumplimiento de Requisitos es esencial para realizar el registro inicial de vehículos de transporte de carga. De igual manera, el accionado manifiesta que la normatividad vigente para llevar a cabo el procedimiento de inclusión del vehículo SVP160 es la señalada por el artículo 4 y 5 del Decreto 632 de 2019.</w:t>
      </w:r>
    </w:p>
    <w:p w14:paraId="74B6B39E" w14:textId="77777777" w:rsidR="0087110E" w:rsidRPr="009E63D4" w:rsidRDefault="0087110E" w:rsidP="0087110E">
      <w:pPr>
        <w:pStyle w:val="Textoindependiente"/>
        <w:tabs>
          <w:tab w:val="left" w:pos="426"/>
        </w:tabs>
        <w:spacing w:after="0" w:line="276" w:lineRule="auto"/>
        <w:jc w:val="both"/>
        <w:rPr>
          <w:rFonts w:cs="Arial"/>
          <w:i/>
          <w:sz w:val="20"/>
          <w:szCs w:val="22"/>
          <w:lang w:val="es-CO"/>
        </w:rPr>
      </w:pPr>
    </w:p>
    <w:p w14:paraId="2015AF5C" w14:textId="41458624" w:rsidR="0087110E" w:rsidRPr="009E63D4" w:rsidRDefault="0087110E" w:rsidP="0087110E">
      <w:pPr>
        <w:pStyle w:val="Textoindependiente"/>
        <w:tabs>
          <w:tab w:val="left" w:pos="426"/>
        </w:tabs>
        <w:spacing w:after="0" w:line="276" w:lineRule="auto"/>
        <w:jc w:val="both"/>
        <w:rPr>
          <w:rFonts w:cs="Arial"/>
          <w:i/>
          <w:sz w:val="20"/>
          <w:szCs w:val="22"/>
          <w:lang w:val="es-CO"/>
        </w:rPr>
      </w:pPr>
      <w:r w:rsidRPr="009E63D4">
        <w:rPr>
          <w:rFonts w:cs="Arial"/>
          <w:i/>
          <w:sz w:val="20"/>
          <w:szCs w:val="22"/>
          <w:lang w:val="es-CO"/>
        </w:rPr>
        <w:t xml:space="preserve">Resalta el accionado que previo a la inclusión de los vehículos en los listados de mal matriculados de conformidad con el Decreto 632 de 2019 el Ministerio de Transporte emitió circular No. 20194000077831 del 28 de febrero de 2019 en la cual se publican los vehículos que presuntamente presentan omisiones en su registro inicial por no contar con CCR o CC exigido al momento de su matrícula para ello se les da término de un (1) mes para que verifiquen la situación presentada con su vehículo y demuestren que cumplieron con la normatividad vigente. </w:t>
      </w:r>
    </w:p>
    <w:p w14:paraId="7AF512BE" w14:textId="77777777" w:rsidR="0087110E" w:rsidRPr="009E63D4" w:rsidRDefault="0087110E" w:rsidP="0087110E">
      <w:pPr>
        <w:pStyle w:val="Textoindependiente"/>
        <w:tabs>
          <w:tab w:val="left" w:pos="426"/>
        </w:tabs>
        <w:spacing w:after="0" w:line="276" w:lineRule="auto"/>
        <w:jc w:val="both"/>
        <w:rPr>
          <w:rFonts w:cs="Arial"/>
          <w:sz w:val="22"/>
          <w:szCs w:val="22"/>
          <w:lang w:val="es-CO"/>
        </w:rPr>
      </w:pPr>
    </w:p>
    <w:p w14:paraId="26DCF750" w14:textId="77777777" w:rsidR="0087110E" w:rsidRPr="009E63D4" w:rsidRDefault="0087110E" w:rsidP="0087110E">
      <w:pPr>
        <w:pStyle w:val="Textoindependiente"/>
        <w:numPr>
          <w:ilvl w:val="0"/>
          <w:numId w:val="4"/>
        </w:numPr>
        <w:spacing w:after="0" w:line="276" w:lineRule="auto"/>
        <w:jc w:val="both"/>
        <w:rPr>
          <w:rFonts w:cs="Arial"/>
          <w:b/>
          <w:sz w:val="22"/>
          <w:szCs w:val="22"/>
          <w:lang w:val="es-CO"/>
        </w:rPr>
      </w:pPr>
      <w:r w:rsidRPr="009E63D4">
        <w:rPr>
          <w:rFonts w:cs="Arial"/>
          <w:b/>
          <w:sz w:val="22"/>
          <w:szCs w:val="22"/>
          <w:lang w:val="es-CO"/>
        </w:rPr>
        <w:t>LAS PRUEBAS:</w:t>
      </w:r>
    </w:p>
    <w:p w14:paraId="06088E4F" w14:textId="77777777" w:rsidR="0087110E" w:rsidRPr="009E63D4" w:rsidRDefault="0087110E" w:rsidP="0087110E">
      <w:pPr>
        <w:pStyle w:val="Textoindependiente"/>
        <w:spacing w:after="0" w:line="276" w:lineRule="auto"/>
        <w:ind w:left="720"/>
        <w:jc w:val="both"/>
        <w:rPr>
          <w:rFonts w:cs="Arial"/>
          <w:b/>
          <w:sz w:val="22"/>
          <w:szCs w:val="22"/>
          <w:lang w:val="es-CO"/>
        </w:rPr>
      </w:pPr>
    </w:p>
    <w:p w14:paraId="114822CD" w14:textId="77777777" w:rsidR="0087110E" w:rsidRPr="009E63D4" w:rsidRDefault="0087110E" w:rsidP="0087110E">
      <w:pPr>
        <w:pStyle w:val="Prrafodelista"/>
        <w:numPr>
          <w:ilvl w:val="0"/>
          <w:numId w:val="5"/>
        </w:numPr>
        <w:spacing w:line="276" w:lineRule="auto"/>
        <w:jc w:val="both"/>
        <w:rPr>
          <w:rFonts w:cs="Arial"/>
          <w:sz w:val="22"/>
          <w:szCs w:val="22"/>
          <w:lang w:eastAsia="es-ES_tradnl"/>
        </w:rPr>
      </w:pPr>
      <w:r w:rsidRPr="009E63D4">
        <w:rPr>
          <w:rFonts w:cs="Arial"/>
          <w:sz w:val="22"/>
          <w:szCs w:val="22"/>
          <w:lang w:eastAsia="es-ES_tradnl"/>
        </w:rPr>
        <w:t>Copia de la Lista publicada con el Memorando No. 20194020090373. (folio 13-14 del cuaderno principal).</w:t>
      </w:r>
    </w:p>
    <w:p w14:paraId="176BCB7F" w14:textId="77777777" w:rsidR="0087110E" w:rsidRPr="009E63D4" w:rsidRDefault="0087110E" w:rsidP="0087110E">
      <w:pPr>
        <w:pStyle w:val="Textoindependiente"/>
        <w:numPr>
          <w:ilvl w:val="0"/>
          <w:numId w:val="5"/>
        </w:numPr>
        <w:tabs>
          <w:tab w:val="left" w:pos="426"/>
        </w:tabs>
        <w:spacing w:after="0" w:line="276" w:lineRule="auto"/>
        <w:jc w:val="both"/>
        <w:rPr>
          <w:rFonts w:cs="Arial"/>
          <w:sz w:val="22"/>
          <w:szCs w:val="22"/>
          <w:lang w:val="es-CO"/>
        </w:rPr>
      </w:pPr>
      <w:r w:rsidRPr="009E63D4">
        <w:rPr>
          <w:rFonts w:cs="Arial"/>
          <w:sz w:val="22"/>
          <w:szCs w:val="22"/>
          <w:lang w:val="es-CO"/>
        </w:rPr>
        <w:t>Copia de la Circular No. 20194000077831. (folio 30-31 del cuaderno principal)</w:t>
      </w:r>
    </w:p>
    <w:p w14:paraId="1D6A8362" w14:textId="77777777" w:rsidR="0087110E" w:rsidRPr="009E63D4" w:rsidRDefault="0087110E" w:rsidP="0087110E">
      <w:pPr>
        <w:pStyle w:val="Textoindependiente"/>
        <w:numPr>
          <w:ilvl w:val="0"/>
          <w:numId w:val="5"/>
        </w:numPr>
        <w:tabs>
          <w:tab w:val="left" w:pos="426"/>
        </w:tabs>
        <w:spacing w:after="0" w:line="276" w:lineRule="auto"/>
        <w:jc w:val="both"/>
        <w:rPr>
          <w:rFonts w:cs="Arial"/>
          <w:sz w:val="22"/>
          <w:szCs w:val="22"/>
          <w:lang w:val="es-CO"/>
        </w:rPr>
      </w:pPr>
      <w:r w:rsidRPr="009E63D4">
        <w:rPr>
          <w:rFonts w:cs="Arial"/>
          <w:sz w:val="22"/>
          <w:szCs w:val="22"/>
          <w:lang w:val="es-CO"/>
        </w:rPr>
        <w:t>Copia del RUNT (folio 12 del cuaderno principal).</w:t>
      </w:r>
    </w:p>
    <w:p w14:paraId="1A3EFB94" w14:textId="77777777" w:rsidR="0087110E" w:rsidRPr="009E63D4" w:rsidRDefault="0087110E" w:rsidP="0087110E">
      <w:pPr>
        <w:pStyle w:val="Prrafodelista"/>
        <w:spacing w:line="276" w:lineRule="auto"/>
        <w:jc w:val="both"/>
        <w:rPr>
          <w:rFonts w:cs="Arial"/>
          <w:sz w:val="22"/>
          <w:szCs w:val="22"/>
          <w:highlight w:val="yellow"/>
          <w:lang w:eastAsia="es-ES_tradnl"/>
        </w:rPr>
      </w:pPr>
    </w:p>
    <w:p w14:paraId="7D462059" w14:textId="77777777" w:rsidR="0087110E" w:rsidRPr="009E63D4" w:rsidRDefault="0087110E" w:rsidP="0087110E">
      <w:pPr>
        <w:pStyle w:val="Sangra2detindependiente"/>
        <w:widowControl/>
        <w:numPr>
          <w:ilvl w:val="0"/>
          <w:numId w:val="4"/>
        </w:numPr>
        <w:spacing w:line="276" w:lineRule="auto"/>
        <w:jc w:val="center"/>
        <w:rPr>
          <w:rFonts w:cs="Arial"/>
          <w:b/>
          <w:sz w:val="22"/>
          <w:szCs w:val="22"/>
          <w:lang w:val="es-CO"/>
        </w:rPr>
      </w:pPr>
      <w:r w:rsidRPr="009E63D4">
        <w:rPr>
          <w:rFonts w:cs="Arial"/>
          <w:b/>
          <w:sz w:val="22"/>
          <w:szCs w:val="22"/>
          <w:lang w:val="es-CO"/>
        </w:rPr>
        <w:t>CONSIDERACIONES:</w:t>
      </w:r>
    </w:p>
    <w:p w14:paraId="0653F065" w14:textId="77777777" w:rsidR="0087110E" w:rsidRPr="009E63D4" w:rsidRDefault="0087110E" w:rsidP="0087110E">
      <w:pPr>
        <w:pStyle w:val="Sangra2detindependiente"/>
        <w:widowControl/>
        <w:spacing w:line="276" w:lineRule="auto"/>
        <w:ind w:left="720" w:firstLine="0"/>
        <w:rPr>
          <w:rFonts w:cs="Arial"/>
          <w:b/>
          <w:sz w:val="22"/>
          <w:szCs w:val="22"/>
          <w:highlight w:val="yellow"/>
          <w:lang w:val="es-CO"/>
        </w:rPr>
      </w:pPr>
    </w:p>
    <w:p w14:paraId="5D3A021F" w14:textId="3E08E169" w:rsidR="0087110E" w:rsidRPr="00AB7DD9" w:rsidRDefault="0087110E" w:rsidP="00AB7DD9">
      <w:pPr>
        <w:pStyle w:val="Prrafodelista"/>
        <w:numPr>
          <w:ilvl w:val="1"/>
          <w:numId w:val="4"/>
        </w:numPr>
        <w:tabs>
          <w:tab w:val="left" w:pos="0"/>
          <w:tab w:val="left" w:pos="567"/>
        </w:tabs>
        <w:spacing w:line="276" w:lineRule="auto"/>
        <w:ind w:left="0" w:firstLine="0"/>
        <w:jc w:val="both"/>
        <w:rPr>
          <w:rFonts w:eastAsia="Calibri" w:cs="Arial"/>
          <w:b/>
          <w:sz w:val="22"/>
          <w:szCs w:val="22"/>
        </w:rPr>
      </w:pPr>
      <w:r w:rsidRPr="00AB7DD9">
        <w:rPr>
          <w:rFonts w:eastAsia="Calibri" w:cs="Arial"/>
          <w:sz w:val="22"/>
          <w:szCs w:val="22"/>
        </w:rPr>
        <w:t>De conformidad con lo dispuesto en el artículo 86 de la Constitución Política, en el articulado general y, en particular, en los Artículos 1°, 5° y 8° del Decreto – Ley 2591 de 1991 “</w:t>
      </w:r>
      <w:r w:rsidRPr="00AB7DD9">
        <w:rPr>
          <w:rFonts w:eastAsia="Calibri" w:cs="Arial"/>
          <w:i/>
          <w:sz w:val="22"/>
          <w:szCs w:val="22"/>
        </w:rPr>
        <w:t>Por el cual se reglamenta la acción de tutela consagrada en el artículo 86 de la Constitución Política”</w:t>
      </w:r>
      <w:r w:rsidRPr="00AB7DD9">
        <w:rPr>
          <w:rFonts w:eastAsia="Calibri" w:cs="Arial"/>
          <w:sz w:val="22"/>
          <w:szCs w:val="22"/>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w:t>
      </w:r>
      <w:r w:rsidRPr="00AB7DD9">
        <w:rPr>
          <w:rFonts w:eastAsia="Calibri" w:cs="Arial"/>
          <w:sz w:val="22"/>
          <w:szCs w:val="22"/>
        </w:rPr>
        <w:lastRenderedPageBreak/>
        <w:t xml:space="preserve">que se concreta en un daño producido como consecuencia de la vulneración de un derecho de rango superior y que no puede protegerse de otra manera. Dentro de este entendido, de manera excepcional se autoriza el recurso a la </w:t>
      </w:r>
      <w:proofErr w:type="gramStart"/>
      <w:r w:rsidRPr="00AB7DD9">
        <w:rPr>
          <w:rFonts w:eastAsia="Calibri" w:cs="Arial"/>
          <w:sz w:val="22"/>
          <w:szCs w:val="22"/>
        </w:rPr>
        <w:t>tutela</w:t>
      </w:r>
      <w:proofErr w:type="gramEnd"/>
      <w:r w:rsidRPr="00AB7DD9">
        <w:rPr>
          <w:rFonts w:eastAsia="Calibri" w:cs="Arial"/>
          <w:sz w:val="22"/>
          <w:szCs w:val="22"/>
        </w:rPr>
        <w:t xml:space="preserve">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w:t>
      </w:r>
      <w:proofErr w:type="gramStart"/>
      <w:r w:rsidRPr="00AB7DD9">
        <w:rPr>
          <w:rFonts w:eastAsia="Calibri" w:cs="Arial"/>
          <w:sz w:val="22"/>
          <w:szCs w:val="22"/>
        </w:rPr>
        <w:t>que</w:t>
      </w:r>
      <w:proofErr w:type="gramEnd"/>
      <w:r w:rsidRPr="00AB7DD9">
        <w:rPr>
          <w:rFonts w:eastAsia="Calibri" w:cs="Arial"/>
          <w:sz w:val="22"/>
          <w:szCs w:val="22"/>
        </w:rPr>
        <w:t xml:space="preserve"> el legislador autoriza su ejercicio.</w:t>
      </w:r>
    </w:p>
    <w:p w14:paraId="15703848" w14:textId="77777777" w:rsidR="0087110E" w:rsidRPr="009E63D4" w:rsidRDefault="0087110E" w:rsidP="0087110E">
      <w:pPr>
        <w:spacing w:line="276" w:lineRule="auto"/>
        <w:ind w:left="708"/>
        <w:jc w:val="both"/>
        <w:rPr>
          <w:rFonts w:ascii="Arial" w:eastAsia="Calibri" w:hAnsi="Arial" w:cs="Arial"/>
          <w:sz w:val="22"/>
          <w:szCs w:val="22"/>
          <w:lang w:val="es-CO"/>
        </w:rPr>
      </w:pPr>
    </w:p>
    <w:p w14:paraId="0D2BCD8B" w14:textId="77777777" w:rsidR="0087110E" w:rsidRPr="009E63D4" w:rsidRDefault="0087110E" w:rsidP="0087110E">
      <w:pPr>
        <w:spacing w:line="276" w:lineRule="auto"/>
        <w:jc w:val="both"/>
        <w:rPr>
          <w:rFonts w:ascii="Arial" w:eastAsia="Calibri" w:hAnsi="Arial" w:cs="Arial"/>
          <w:sz w:val="22"/>
          <w:szCs w:val="22"/>
          <w:lang w:val="es-CO"/>
        </w:rPr>
      </w:pPr>
      <w:r w:rsidRPr="009E63D4">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6479077D" w14:textId="77777777" w:rsidR="0087110E" w:rsidRPr="009E63D4" w:rsidRDefault="0087110E" w:rsidP="0087110E">
      <w:pPr>
        <w:tabs>
          <w:tab w:val="left" w:pos="709"/>
        </w:tabs>
        <w:spacing w:line="276" w:lineRule="auto"/>
        <w:jc w:val="both"/>
        <w:rPr>
          <w:rFonts w:ascii="Arial" w:eastAsia="Calibri" w:hAnsi="Arial" w:cs="Arial"/>
          <w:sz w:val="22"/>
          <w:szCs w:val="22"/>
          <w:lang w:val="es-CO"/>
        </w:rPr>
      </w:pPr>
    </w:p>
    <w:p w14:paraId="122136E1" w14:textId="48E95654" w:rsidR="0087110E" w:rsidRPr="009E63D4" w:rsidRDefault="0087110E" w:rsidP="00AB7DD9">
      <w:pPr>
        <w:pStyle w:val="Prrafodelista"/>
        <w:numPr>
          <w:ilvl w:val="1"/>
          <w:numId w:val="4"/>
        </w:numPr>
        <w:tabs>
          <w:tab w:val="left" w:pos="0"/>
          <w:tab w:val="left" w:pos="567"/>
        </w:tabs>
        <w:spacing w:line="276" w:lineRule="auto"/>
        <w:ind w:left="0" w:firstLine="0"/>
        <w:jc w:val="both"/>
        <w:rPr>
          <w:rFonts w:cs="Arial"/>
          <w:sz w:val="22"/>
          <w:szCs w:val="22"/>
        </w:rPr>
      </w:pPr>
      <w:r w:rsidRPr="009E63D4">
        <w:rPr>
          <w:rFonts w:cs="Arial"/>
          <w:sz w:val="22"/>
          <w:szCs w:val="22"/>
        </w:rPr>
        <w:t>Observa el Despacho que el derecho fundamental del cual pretende obtener protección el accionante es el de debido proceso, toda vez, que considera, que la accionada omitió notificar la circular No. 20194000077831 y la 20194020090373 donde se requería a los propietario</w:t>
      </w:r>
      <w:r w:rsidR="00AB7DD9">
        <w:rPr>
          <w:rFonts w:cs="Arial"/>
          <w:sz w:val="22"/>
          <w:szCs w:val="22"/>
        </w:rPr>
        <w:t>s</w:t>
      </w:r>
      <w:r w:rsidRPr="009E63D4">
        <w:rPr>
          <w:rFonts w:cs="Arial"/>
          <w:sz w:val="22"/>
          <w:szCs w:val="22"/>
        </w:rPr>
        <w:t xml:space="preserve"> de varios vehículo</w:t>
      </w:r>
      <w:r w:rsidR="00AB7DD9">
        <w:rPr>
          <w:rFonts w:cs="Arial"/>
          <w:sz w:val="22"/>
          <w:szCs w:val="22"/>
        </w:rPr>
        <w:t>s</w:t>
      </w:r>
      <w:bookmarkStart w:id="0" w:name="_GoBack"/>
      <w:bookmarkEnd w:id="0"/>
      <w:r w:rsidRPr="009E63D4">
        <w:rPr>
          <w:rFonts w:cs="Arial"/>
          <w:sz w:val="22"/>
          <w:szCs w:val="22"/>
        </w:rPr>
        <w:t>, entre ellos el del accionante, por presentar omisiones en su registro inicial.</w:t>
      </w:r>
    </w:p>
    <w:p w14:paraId="1F4321DE" w14:textId="77777777" w:rsidR="0087110E" w:rsidRPr="009E63D4" w:rsidRDefault="0087110E" w:rsidP="0087110E">
      <w:pPr>
        <w:pStyle w:val="Textoindependiente"/>
        <w:tabs>
          <w:tab w:val="left" w:pos="0"/>
          <w:tab w:val="left" w:pos="142"/>
          <w:tab w:val="left" w:pos="284"/>
          <w:tab w:val="left" w:pos="426"/>
        </w:tabs>
        <w:spacing w:after="0" w:line="276" w:lineRule="auto"/>
        <w:jc w:val="both"/>
        <w:rPr>
          <w:rFonts w:cs="Arial"/>
          <w:sz w:val="22"/>
          <w:szCs w:val="22"/>
          <w:highlight w:val="yellow"/>
          <w:lang w:val="es-CO"/>
        </w:rPr>
      </w:pPr>
    </w:p>
    <w:p w14:paraId="6D770A1A" w14:textId="77777777" w:rsidR="0087110E" w:rsidRPr="009E63D4" w:rsidRDefault="0087110E" w:rsidP="0087110E">
      <w:pPr>
        <w:spacing w:line="276" w:lineRule="auto"/>
        <w:jc w:val="both"/>
        <w:rPr>
          <w:rFonts w:ascii="Arial" w:hAnsi="Arial" w:cs="Arial"/>
          <w:b/>
          <w:sz w:val="22"/>
          <w:szCs w:val="22"/>
          <w:lang w:val="es-CO"/>
        </w:rPr>
      </w:pPr>
      <w:r w:rsidRPr="009E63D4">
        <w:rPr>
          <w:rFonts w:ascii="Arial" w:hAnsi="Arial" w:cs="Arial"/>
          <w:sz w:val="22"/>
          <w:szCs w:val="22"/>
          <w:lang w:val="es-CO"/>
        </w:rPr>
        <w:t xml:space="preserve">Así las cosas, cabe preguntarse </w:t>
      </w:r>
      <w:r w:rsidRPr="009E63D4">
        <w:rPr>
          <w:rFonts w:ascii="Arial" w:hAnsi="Arial" w:cs="Arial"/>
          <w:b/>
          <w:sz w:val="22"/>
          <w:szCs w:val="22"/>
          <w:lang w:val="es-CO"/>
        </w:rPr>
        <w:t>¿Debe tutelarse el derecho de petición ante la falta de respuesta por parte de la entidad accionada?</w:t>
      </w:r>
    </w:p>
    <w:p w14:paraId="0ACB7A17" w14:textId="77777777" w:rsidR="0087110E" w:rsidRPr="009E63D4" w:rsidRDefault="0087110E" w:rsidP="0087110E">
      <w:pPr>
        <w:spacing w:line="276" w:lineRule="auto"/>
        <w:jc w:val="both"/>
        <w:rPr>
          <w:rFonts w:ascii="Arial" w:hAnsi="Arial" w:cs="Arial"/>
          <w:b/>
          <w:sz w:val="22"/>
          <w:szCs w:val="22"/>
          <w:lang w:val="es-CO"/>
        </w:rPr>
      </w:pPr>
    </w:p>
    <w:p w14:paraId="3B177489" w14:textId="77777777" w:rsidR="0087110E" w:rsidRPr="009E63D4" w:rsidRDefault="0087110E" w:rsidP="0087110E">
      <w:pPr>
        <w:pStyle w:val="Sangradetextonormal"/>
        <w:spacing w:line="276" w:lineRule="auto"/>
        <w:ind w:left="0"/>
        <w:rPr>
          <w:rFonts w:cs="Arial"/>
          <w:sz w:val="22"/>
          <w:szCs w:val="22"/>
          <w:lang w:val="es-CO"/>
        </w:rPr>
      </w:pPr>
      <w:r w:rsidRPr="009E63D4">
        <w:rPr>
          <w:rFonts w:cs="Arial"/>
          <w:sz w:val="22"/>
          <w:szCs w:val="22"/>
          <w:lang w:val="es-CO"/>
        </w:rPr>
        <w:t xml:space="preserve">La respuesta al anterior interrogante es </w:t>
      </w:r>
      <w:r w:rsidRPr="009E63D4">
        <w:rPr>
          <w:rFonts w:cs="Arial"/>
          <w:b/>
          <w:sz w:val="22"/>
          <w:szCs w:val="22"/>
          <w:lang w:val="es-CO"/>
        </w:rPr>
        <w:t xml:space="preserve">negativa </w:t>
      </w:r>
      <w:r w:rsidRPr="009E63D4">
        <w:rPr>
          <w:rFonts w:cs="Arial"/>
          <w:sz w:val="22"/>
          <w:szCs w:val="22"/>
          <w:lang w:val="es-CO"/>
        </w:rPr>
        <w:t>por las siguientes razones:</w:t>
      </w:r>
    </w:p>
    <w:p w14:paraId="0DDE7DBF" w14:textId="77777777" w:rsidR="0087110E" w:rsidRPr="009E63D4" w:rsidRDefault="0087110E" w:rsidP="0087110E">
      <w:pPr>
        <w:spacing w:line="276" w:lineRule="auto"/>
        <w:jc w:val="both"/>
        <w:rPr>
          <w:rFonts w:ascii="Arial" w:hAnsi="Arial" w:cs="Arial"/>
          <w:b/>
          <w:spacing w:val="3"/>
          <w:sz w:val="22"/>
          <w:szCs w:val="22"/>
          <w:lang w:val="es-CO"/>
        </w:rPr>
      </w:pPr>
    </w:p>
    <w:p w14:paraId="2B8AB0ED" w14:textId="77777777" w:rsidR="0087110E" w:rsidRPr="009E63D4" w:rsidRDefault="0087110E" w:rsidP="0087110E">
      <w:pPr>
        <w:spacing w:line="276" w:lineRule="auto"/>
        <w:jc w:val="both"/>
        <w:rPr>
          <w:rFonts w:ascii="Arial" w:hAnsi="Arial" w:cs="Arial"/>
          <w:sz w:val="22"/>
          <w:szCs w:val="22"/>
          <w:lang w:val="es-CO"/>
        </w:rPr>
      </w:pPr>
      <w:r w:rsidRPr="009E63D4">
        <w:rPr>
          <w:rFonts w:ascii="Arial" w:hAnsi="Arial" w:cs="Arial"/>
          <w:sz w:val="22"/>
          <w:szCs w:val="22"/>
          <w:lang w:val="es-CO"/>
        </w:rPr>
        <w:t>La acción de tutela tiene carácter residual o subsidiario,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14:paraId="02B231D8" w14:textId="77777777" w:rsidR="0087110E" w:rsidRPr="009E63D4" w:rsidRDefault="0087110E" w:rsidP="0087110E">
      <w:pPr>
        <w:spacing w:line="276" w:lineRule="auto"/>
        <w:jc w:val="both"/>
        <w:rPr>
          <w:rFonts w:ascii="Arial" w:hAnsi="Arial" w:cs="Arial"/>
          <w:sz w:val="22"/>
          <w:szCs w:val="22"/>
          <w:lang w:val="es-CO"/>
        </w:rPr>
      </w:pPr>
    </w:p>
    <w:p w14:paraId="092ED25C" w14:textId="77777777" w:rsidR="0087110E" w:rsidRPr="009E63D4" w:rsidRDefault="0087110E" w:rsidP="0087110E">
      <w:pPr>
        <w:pStyle w:val="Sangradetextonormal"/>
        <w:spacing w:line="276" w:lineRule="auto"/>
        <w:ind w:left="0"/>
        <w:rPr>
          <w:rFonts w:cs="Arial"/>
          <w:sz w:val="20"/>
          <w:szCs w:val="22"/>
          <w:lang w:val="es-CO"/>
        </w:rPr>
      </w:pPr>
      <w:r w:rsidRPr="009E63D4">
        <w:rPr>
          <w:rFonts w:cs="Arial"/>
          <w:sz w:val="22"/>
          <w:szCs w:val="22"/>
          <w:lang w:val="es-CO"/>
        </w:rPr>
        <w:t xml:space="preserve">El numeral 1 del artículo 6 del decreto 2591 de 1991 señala que: </w:t>
      </w:r>
      <w:r w:rsidRPr="009E63D4">
        <w:rPr>
          <w:rFonts w:cs="Arial"/>
          <w:sz w:val="20"/>
          <w:szCs w:val="22"/>
          <w:lang w:val="es-CO"/>
        </w:rPr>
        <w:t>“</w:t>
      </w:r>
      <w:r w:rsidRPr="009E63D4">
        <w:rPr>
          <w:rFonts w:cs="Arial"/>
          <w:i/>
          <w:sz w:val="20"/>
          <w:szCs w:val="22"/>
          <w:lang w:val="es-CO"/>
        </w:rPr>
        <w:t xml:space="preserve">La acción de tutela no procederá: 1. Cuando existan otros recursos o medios de defensa judiciales, </w:t>
      </w:r>
      <w:r w:rsidRPr="009E63D4">
        <w:rPr>
          <w:rFonts w:cs="Arial"/>
          <w:i/>
          <w:sz w:val="20"/>
          <w:szCs w:val="22"/>
          <w:u w:val="single"/>
          <w:lang w:val="es-CO"/>
        </w:rPr>
        <w:t>salvo que aquella se utilice como mecanismo transitorio para evitar un perjuicio irremediable</w:t>
      </w:r>
      <w:r w:rsidRPr="009E63D4">
        <w:rPr>
          <w:rStyle w:val="Refdenotaalpie"/>
          <w:rFonts w:cs="Arial"/>
          <w:i/>
          <w:sz w:val="20"/>
          <w:szCs w:val="22"/>
          <w:u w:val="single"/>
          <w:lang w:val="es-CO"/>
        </w:rPr>
        <w:footnoteReference w:id="1"/>
      </w:r>
      <w:r w:rsidRPr="009E63D4">
        <w:rPr>
          <w:rFonts w:cs="Arial"/>
          <w:i/>
          <w:sz w:val="20"/>
          <w:szCs w:val="22"/>
          <w:lang w:val="es-CO"/>
        </w:rPr>
        <w:t>”</w:t>
      </w:r>
      <w:r w:rsidRPr="009E63D4">
        <w:rPr>
          <w:rFonts w:cs="Arial"/>
          <w:sz w:val="20"/>
          <w:szCs w:val="22"/>
          <w:lang w:val="es-CO"/>
        </w:rPr>
        <w:t xml:space="preserve"> (Subrayado fuera de texto).</w:t>
      </w:r>
    </w:p>
    <w:p w14:paraId="6448D150" w14:textId="77777777" w:rsidR="0087110E" w:rsidRPr="009E63D4" w:rsidRDefault="0087110E" w:rsidP="0087110E">
      <w:pPr>
        <w:pStyle w:val="Sangradetextonormal"/>
        <w:spacing w:line="276" w:lineRule="auto"/>
        <w:ind w:left="0"/>
        <w:rPr>
          <w:rFonts w:cs="Arial"/>
          <w:sz w:val="22"/>
          <w:szCs w:val="22"/>
          <w:lang w:val="es-CO"/>
        </w:rPr>
      </w:pPr>
    </w:p>
    <w:p w14:paraId="5892DC3E" w14:textId="77777777" w:rsidR="0087110E" w:rsidRPr="009E63D4" w:rsidRDefault="0087110E" w:rsidP="0087110E">
      <w:pPr>
        <w:shd w:val="clear" w:color="auto" w:fill="FFFFFF"/>
        <w:spacing w:line="276" w:lineRule="auto"/>
        <w:jc w:val="both"/>
        <w:rPr>
          <w:rFonts w:ascii="Arial" w:hAnsi="Arial" w:cs="Arial"/>
          <w:sz w:val="22"/>
          <w:szCs w:val="22"/>
          <w:lang w:val="es-CO" w:eastAsia="es-CO"/>
        </w:rPr>
      </w:pPr>
      <w:r w:rsidRPr="009E63D4">
        <w:rPr>
          <w:rFonts w:ascii="Arial" w:hAnsi="Arial" w:cs="Arial"/>
          <w:sz w:val="22"/>
          <w:szCs w:val="22"/>
          <w:lang w:val="es-CO" w:eastAsia="es-CO"/>
        </w:rPr>
        <w:t xml:space="preserve">No obstante, si los medios ordinarios de defensa judicial no resultan aptos, idóneos y eficaces para la protección del derecho o de los derechos fundamentales violados o amenazados, es evidente que de manera excepcional la acción de tutela se impone como </w:t>
      </w:r>
      <w:r w:rsidRPr="009E63D4">
        <w:rPr>
          <w:rFonts w:ascii="Arial" w:hAnsi="Arial" w:cs="Arial"/>
          <w:sz w:val="22"/>
          <w:szCs w:val="22"/>
          <w:lang w:val="es-CO" w:eastAsia="es-CO"/>
        </w:rPr>
        <w:lastRenderedPageBreak/>
        <w:t>el instrumento idóneo para salvaguardarlos, teniendo en cuenta que la jurisprudencia ha reiterado el vínculo estrecho que une al mínimo vital y la vida digna con la recepción de ciertas acreencias prestacionales.</w:t>
      </w:r>
    </w:p>
    <w:p w14:paraId="1518208D" w14:textId="77777777" w:rsidR="0087110E" w:rsidRPr="009E63D4" w:rsidRDefault="0087110E" w:rsidP="0087110E">
      <w:pPr>
        <w:shd w:val="clear" w:color="auto" w:fill="FFFFFF"/>
        <w:spacing w:line="276" w:lineRule="auto"/>
        <w:jc w:val="both"/>
        <w:rPr>
          <w:rFonts w:ascii="Arial" w:hAnsi="Arial" w:cs="Arial"/>
          <w:sz w:val="22"/>
          <w:szCs w:val="22"/>
          <w:lang w:val="es-CO" w:eastAsia="es-CO"/>
        </w:rPr>
      </w:pPr>
      <w:r w:rsidRPr="009E63D4">
        <w:rPr>
          <w:rFonts w:ascii="Arial" w:hAnsi="Arial" w:cs="Arial"/>
          <w:sz w:val="22"/>
          <w:szCs w:val="22"/>
          <w:lang w:val="es-CO" w:eastAsia="es-CO"/>
        </w:rPr>
        <w:t> </w:t>
      </w:r>
    </w:p>
    <w:p w14:paraId="59A57585" w14:textId="77777777" w:rsidR="0087110E" w:rsidRPr="009E63D4" w:rsidRDefault="0087110E" w:rsidP="0087110E">
      <w:pPr>
        <w:shd w:val="clear" w:color="auto" w:fill="FFFFFF"/>
        <w:spacing w:line="276" w:lineRule="auto"/>
        <w:jc w:val="both"/>
        <w:rPr>
          <w:rFonts w:ascii="Arial" w:hAnsi="Arial" w:cs="Arial"/>
          <w:sz w:val="22"/>
          <w:szCs w:val="22"/>
          <w:lang w:val="es-CO" w:eastAsia="es-CO"/>
        </w:rPr>
      </w:pPr>
      <w:r w:rsidRPr="009E63D4">
        <w:rPr>
          <w:rFonts w:ascii="Arial" w:hAnsi="Arial" w:cs="Arial"/>
          <w:sz w:val="22"/>
          <w:szCs w:val="22"/>
          <w:lang w:val="es-CO"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14:paraId="3B9A6747" w14:textId="77777777" w:rsidR="0087110E" w:rsidRPr="009E63D4" w:rsidRDefault="0087110E" w:rsidP="0087110E">
      <w:pPr>
        <w:shd w:val="clear" w:color="auto" w:fill="FFFFFF"/>
        <w:spacing w:line="276" w:lineRule="auto"/>
        <w:jc w:val="both"/>
        <w:rPr>
          <w:rFonts w:ascii="Arial" w:hAnsi="Arial" w:cs="Arial"/>
          <w:sz w:val="22"/>
          <w:szCs w:val="22"/>
          <w:lang w:val="es-CO" w:eastAsia="es-CO"/>
        </w:rPr>
      </w:pPr>
      <w:r w:rsidRPr="009E63D4">
        <w:rPr>
          <w:rFonts w:ascii="Arial" w:hAnsi="Arial" w:cs="Arial"/>
          <w:sz w:val="22"/>
          <w:szCs w:val="22"/>
          <w:lang w:val="es-CO" w:eastAsia="es-CO"/>
        </w:rPr>
        <w:t>  </w:t>
      </w:r>
    </w:p>
    <w:p w14:paraId="2D78E137" w14:textId="77777777" w:rsidR="0087110E" w:rsidRPr="009E63D4" w:rsidRDefault="0087110E" w:rsidP="0087110E">
      <w:pPr>
        <w:spacing w:line="276" w:lineRule="auto"/>
        <w:jc w:val="both"/>
        <w:rPr>
          <w:rFonts w:ascii="Arial" w:hAnsi="Arial" w:cs="Arial"/>
          <w:sz w:val="22"/>
          <w:szCs w:val="22"/>
          <w:lang w:val="es-CO"/>
        </w:rPr>
      </w:pPr>
      <w:r w:rsidRPr="009E63D4">
        <w:rPr>
          <w:rFonts w:ascii="Arial" w:hAnsi="Arial" w:cs="Arial"/>
          <w:sz w:val="22"/>
          <w:szCs w:val="22"/>
          <w:lang w:val="es-CO"/>
        </w:rPr>
        <w:t xml:space="preserve">Para el presente caso, el accionante cuenta con otro medio de defensa judicial, pues para impugnar los actos administrativos categoría en la cual se encuentra la circular No. 20194000077831 emitida por el MINISTERIO DE TRANSPORTE existe otro mecanismo de defensa judicial que es la acción de nulidad y de restablecimiento del derecho, dentro de la cual se pueden alegar las violaciones que se estimen frente al ordenamiento jurídico, entre otras, las indebidas notificaciones y las afectaciones contra derechos constitucionales fundamentales. Por lo tanto, la tutela no tiene cabida por tener el carácter de subsidiaria y no debe ser utilizada cuando el ordenamiento jurídico ha establecido medios de control donde se pueda definir controversias como las que argumenta el accionante. </w:t>
      </w:r>
    </w:p>
    <w:p w14:paraId="1164CD54" w14:textId="77777777" w:rsidR="0087110E" w:rsidRPr="009E63D4" w:rsidRDefault="0087110E" w:rsidP="0087110E">
      <w:pPr>
        <w:pStyle w:val="Ttulo"/>
        <w:tabs>
          <w:tab w:val="left" w:pos="0"/>
          <w:tab w:val="left" w:pos="709"/>
          <w:tab w:val="left" w:pos="993"/>
        </w:tabs>
        <w:spacing w:line="276" w:lineRule="auto"/>
        <w:jc w:val="both"/>
        <w:rPr>
          <w:rFonts w:cs="Arial"/>
          <w:b w:val="0"/>
          <w:sz w:val="22"/>
          <w:szCs w:val="22"/>
          <w:highlight w:val="yellow"/>
        </w:rPr>
      </w:pPr>
    </w:p>
    <w:p w14:paraId="6325DAE4" w14:textId="77777777" w:rsidR="0087110E" w:rsidRPr="009E63D4" w:rsidRDefault="0087110E" w:rsidP="0087110E">
      <w:pPr>
        <w:pStyle w:val="Ttulo"/>
        <w:tabs>
          <w:tab w:val="left" w:pos="0"/>
          <w:tab w:val="left" w:pos="709"/>
          <w:tab w:val="left" w:pos="993"/>
        </w:tabs>
        <w:spacing w:line="276" w:lineRule="auto"/>
        <w:jc w:val="both"/>
        <w:rPr>
          <w:rFonts w:cs="Arial"/>
          <w:b w:val="0"/>
          <w:sz w:val="20"/>
          <w:szCs w:val="22"/>
        </w:rPr>
      </w:pPr>
      <w:r w:rsidRPr="009E63D4">
        <w:rPr>
          <w:rFonts w:cs="Arial"/>
          <w:b w:val="0"/>
          <w:sz w:val="22"/>
          <w:szCs w:val="22"/>
        </w:rPr>
        <w:t xml:space="preserve">El medio de control de tutela tampoco tendría cabida como mecanismo transitorio, porque no está demostrado que la demandante padezca un perjuicio irremediable y como lo ha resuelto el Consejo de Estado en casos similares al estudiado </w:t>
      </w:r>
      <w:r w:rsidRPr="009E63D4">
        <w:rPr>
          <w:rFonts w:cs="Arial"/>
          <w:b w:val="0"/>
          <w:sz w:val="20"/>
          <w:szCs w:val="22"/>
        </w:rPr>
        <w:t>“</w:t>
      </w:r>
      <w:r w:rsidRPr="009E63D4">
        <w:rPr>
          <w:rFonts w:cs="Arial"/>
          <w:b w:val="0"/>
          <w:i/>
          <w:sz w:val="20"/>
          <w:szCs w:val="22"/>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9E63D4">
        <w:rPr>
          <w:rFonts w:cs="Arial"/>
          <w:b w:val="0"/>
          <w:i/>
          <w:sz w:val="20"/>
          <w:szCs w:val="22"/>
          <w:vertAlign w:val="superscript"/>
        </w:rPr>
        <w:footnoteReference w:id="2"/>
      </w:r>
      <w:r w:rsidRPr="009E63D4">
        <w:rPr>
          <w:rFonts w:cs="Arial"/>
          <w:b w:val="0"/>
          <w:i/>
          <w:sz w:val="20"/>
          <w:szCs w:val="22"/>
        </w:rPr>
        <w:t>.”</w:t>
      </w:r>
    </w:p>
    <w:p w14:paraId="3E4B52B1" w14:textId="77777777" w:rsidR="0087110E" w:rsidRPr="009E63D4" w:rsidRDefault="0087110E" w:rsidP="0087110E">
      <w:pPr>
        <w:pStyle w:val="Ttulo"/>
        <w:tabs>
          <w:tab w:val="left" w:pos="0"/>
          <w:tab w:val="left" w:pos="709"/>
          <w:tab w:val="left" w:pos="993"/>
        </w:tabs>
        <w:spacing w:line="276" w:lineRule="auto"/>
        <w:jc w:val="both"/>
        <w:rPr>
          <w:rFonts w:cs="Arial"/>
          <w:b w:val="0"/>
          <w:sz w:val="20"/>
          <w:szCs w:val="22"/>
        </w:rPr>
      </w:pPr>
    </w:p>
    <w:p w14:paraId="6AB01F6C" w14:textId="77777777" w:rsidR="0087110E" w:rsidRPr="009E63D4" w:rsidRDefault="0087110E" w:rsidP="0087110E">
      <w:pPr>
        <w:spacing w:line="276" w:lineRule="auto"/>
        <w:jc w:val="both"/>
        <w:rPr>
          <w:rFonts w:ascii="Arial" w:hAnsi="Arial" w:cs="Arial"/>
          <w:sz w:val="20"/>
          <w:szCs w:val="22"/>
          <w:lang w:val="es-CO"/>
        </w:rPr>
      </w:pPr>
      <w:r w:rsidRPr="009E63D4">
        <w:rPr>
          <w:rFonts w:ascii="Arial" w:hAnsi="Arial" w:cs="Arial"/>
          <w:iCs/>
          <w:sz w:val="22"/>
          <w:szCs w:val="22"/>
          <w:lang w:val="es-CO"/>
        </w:rPr>
        <w:t xml:space="preserve">Es decir, para que proceda la tutela transitoria se requiere que el daño aún no se haya causado y que de causarse no pueda remediarse. </w:t>
      </w:r>
      <w:r w:rsidRPr="009E63D4">
        <w:rPr>
          <w:rFonts w:ascii="Arial" w:hAnsi="Arial" w:cs="Arial"/>
          <w:spacing w:val="-3"/>
          <w:sz w:val="22"/>
          <w:szCs w:val="22"/>
          <w:lang w:val="es-CO"/>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9E63D4">
        <w:rPr>
          <w:rFonts w:ascii="Arial" w:hAnsi="Arial" w:cs="Arial"/>
          <w:sz w:val="22"/>
          <w:szCs w:val="22"/>
          <w:lang w:val="es-CO"/>
        </w:rPr>
        <w:t xml:space="preserve">las pruebas aportadas al expediente no se infiere la existencia de un perjuicio de carácter irremediable que pudiere evitarse con el ejercicio transitorio de ésta acción, pues según Sentencia de la Corte Constitucional: </w:t>
      </w:r>
      <w:r w:rsidRPr="009E63D4">
        <w:rPr>
          <w:rFonts w:ascii="Arial" w:hAnsi="Arial" w:cs="Arial"/>
          <w:b/>
          <w:i/>
          <w:sz w:val="20"/>
          <w:szCs w:val="22"/>
          <w:lang w:val="es-CO"/>
        </w:rPr>
        <w:t xml:space="preserve">“no basta pues, afirmar la </w:t>
      </w:r>
      <w:proofErr w:type="spellStart"/>
      <w:r w:rsidRPr="009E63D4">
        <w:rPr>
          <w:rFonts w:ascii="Arial" w:hAnsi="Arial" w:cs="Arial"/>
          <w:b/>
          <w:i/>
          <w:sz w:val="20"/>
          <w:szCs w:val="22"/>
          <w:lang w:val="es-CO"/>
        </w:rPr>
        <w:t>irreparabilidad</w:t>
      </w:r>
      <w:proofErr w:type="spellEnd"/>
      <w:r w:rsidRPr="009E63D4">
        <w:rPr>
          <w:rFonts w:ascii="Arial" w:hAnsi="Arial" w:cs="Arial"/>
          <w:b/>
          <w:i/>
          <w:sz w:val="20"/>
          <w:szCs w:val="22"/>
          <w:lang w:val="es-CO"/>
        </w:rPr>
        <w:t xml:space="preserve"> del perjuicio de un daño, sino, ofrecer las explicaciones y pruebas correspondientes, para que el juez de tutela adquiera certeza sobre su decisión”</w:t>
      </w:r>
      <w:r w:rsidRPr="009E63D4">
        <w:rPr>
          <w:rFonts w:ascii="Arial" w:hAnsi="Arial" w:cs="Arial"/>
          <w:sz w:val="20"/>
          <w:szCs w:val="22"/>
          <w:lang w:val="es-CO"/>
        </w:rPr>
        <w:t xml:space="preserve"> (Sentencia T-449 de </w:t>
      </w:r>
      <w:smartTag w:uri="urn:schemas-microsoft-com:office:smarttags" w:element="metricconverter">
        <w:smartTagPr>
          <w:attr w:name="ProductID" w:val="1998, M"/>
        </w:smartTagPr>
        <w:r w:rsidRPr="009E63D4">
          <w:rPr>
            <w:rFonts w:ascii="Arial" w:hAnsi="Arial" w:cs="Arial"/>
            <w:sz w:val="20"/>
            <w:szCs w:val="22"/>
            <w:lang w:val="es-CO"/>
          </w:rPr>
          <w:t>1998, M</w:t>
        </w:r>
      </w:smartTag>
      <w:r w:rsidRPr="009E63D4">
        <w:rPr>
          <w:rFonts w:ascii="Arial" w:hAnsi="Arial" w:cs="Arial"/>
          <w:sz w:val="20"/>
          <w:szCs w:val="22"/>
          <w:lang w:val="es-CO"/>
        </w:rPr>
        <w:t>.P. Dr. Alfredo Beltrán Sierra).</w:t>
      </w:r>
    </w:p>
    <w:p w14:paraId="01B26B3F" w14:textId="77777777" w:rsidR="0087110E" w:rsidRPr="009E63D4" w:rsidRDefault="0087110E" w:rsidP="0087110E">
      <w:pPr>
        <w:spacing w:line="276" w:lineRule="auto"/>
        <w:jc w:val="both"/>
        <w:rPr>
          <w:rFonts w:ascii="Arial" w:hAnsi="Arial" w:cs="Arial"/>
          <w:sz w:val="22"/>
          <w:szCs w:val="22"/>
          <w:lang w:val="es-CO"/>
        </w:rPr>
      </w:pPr>
    </w:p>
    <w:p w14:paraId="34C910C7" w14:textId="77777777" w:rsidR="0087110E" w:rsidRPr="009E63D4" w:rsidRDefault="0087110E" w:rsidP="0087110E">
      <w:pPr>
        <w:spacing w:line="276" w:lineRule="auto"/>
        <w:jc w:val="both"/>
        <w:rPr>
          <w:rFonts w:ascii="Arial" w:hAnsi="Arial" w:cs="Arial"/>
          <w:sz w:val="22"/>
          <w:szCs w:val="22"/>
          <w:lang w:val="es-CO"/>
        </w:rPr>
      </w:pPr>
      <w:r w:rsidRPr="009E63D4">
        <w:rPr>
          <w:rFonts w:ascii="Arial" w:hAnsi="Arial" w:cs="Arial"/>
          <w:sz w:val="22"/>
          <w:szCs w:val="22"/>
          <w:lang w:val="es-CO"/>
        </w:rPr>
        <w:t xml:space="preserve">Teniendo en cuenta lo anotado, no se tutelarán los derechos fundamentales del actor, toda vez que la acción de tutela no es el medio apropiado para su protección, pues existe otro mecanismo de defensa judicial idóneo para la satisfacción de sus pretensiones y no se encuentra probada la existencia de un perjuicio irremediable. </w:t>
      </w:r>
    </w:p>
    <w:p w14:paraId="20956150" w14:textId="77777777" w:rsidR="0087110E" w:rsidRPr="009E63D4" w:rsidRDefault="0087110E" w:rsidP="0087110E">
      <w:pPr>
        <w:spacing w:line="276" w:lineRule="auto"/>
        <w:jc w:val="both"/>
        <w:rPr>
          <w:rFonts w:ascii="Arial" w:hAnsi="Arial" w:cs="Arial"/>
          <w:sz w:val="22"/>
          <w:szCs w:val="22"/>
          <w:lang w:val="es-CO"/>
        </w:rPr>
      </w:pPr>
    </w:p>
    <w:p w14:paraId="1DC2FB54" w14:textId="77777777" w:rsidR="0087110E" w:rsidRPr="009E63D4" w:rsidRDefault="0087110E" w:rsidP="0087110E">
      <w:pPr>
        <w:spacing w:line="276" w:lineRule="auto"/>
        <w:jc w:val="both"/>
        <w:rPr>
          <w:rFonts w:ascii="Arial" w:hAnsi="Arial" w:cs="Arial"/>
          <w:sz w:val="22"/>
          <w:szCs w:val="22"/>
          <w:lang w:val="es-CO"/>
        </w:rPr>
      </w:pPr>
      <w:r w:rsidRPr="009E63D4">
        <w:rPr>
          <w:rFonts w:ascii="Arial" w:hAnsi="Arial" w:cs="Arial"/>
          <w:sz w:val="22"/>
          <w:szCs w:val="22"/>
          <w:lang w:val="es-CO"/>
        </w:rPr>
        <w:lastRenderedPageBreak/>
        <w:t xml:space="preserve">En mérito de lo expuesto, el </w:t>
      </w:r>
      <w:r w:rsidRPr="009E63D4">
        <w:rPr>
          <w:rFonts w:ascii="Arial" w:hAnsi="Arial" w:cs="Arial"/>
          <w:b/>
          <w:sz w:val="22"/>
          <w:szCs w:val="22"/>
          <w:lang w:val="es-CO"/>
        </w:rPr>
        <w:t>JUZGADO TREINTA Y CUATRO (34) ADMINISTRATIVO DEL CIRCUITO DE BOGOTÁ</w:t>
      </w:r>
      <w:r w:rsidRPr="009E63D4">
        <w:rPr>
          <w:rFonts w:ascii="Arial" w:hAnsi="Arial" w:cs="Arial"/>
          <w:sz w:val="22"/>
          <w:szCs w:val="22"/>
          <w:lang w:val="es-CO"/>
        </w:rPr>
        <w:t xml:space="preserve">, administrando justicia en nombre de la República de Colombia y por autoridad de la ley, </w:t>
      </w:r>
    </w:p>
    <w:p w14:paraId="5C308102" w14:textId="77777777" w:rsidR="0087110E" w:rsidRDefault="0087110E" w:rsidP="0087110E">
      <w:pPr>
        <w:pStyle w:val="Sangradetextonormal"/>
        <w:spacing w:line="276" w:lineRule="auto"/>
        <w:ind w:left="0"/>
        <w:jc w:val="center"/>
        <w:rPr>
          <w:rFonts w:cs="Arial"/>
          <w:b/>
          <w:sz w:val="22"/>
          <w:szCs w:val="22"/>
          <w:lang w:val="es-CO"/>
        </w:rPr>
      </w:pPr>
      <w:r w:rsidRPr="009E63D4">
        <w:rPr>
          <w:rFonts w:cs="Arial"/>
          <w:b/>
          <w:sz w:val="22"/>
          <w:szCs w:val="22"/>
          <w:lang w:val="es-CO"/>
        </w:rPr>
        <w:t>FALLA:</w:t>
      </w:r>
    </w:p>
    <w:p w14:paraId="4BD20C1B" w14:textId="77777777" w:rsidR="0087110E" w:rsidRPr="009E63D4" w:rsidRDefault="0087110E" w:rsidP="0087110E">
      <w:pPr>
        <w:pStyle w:val="Sangradetextonormal"/>
        <w:spacing w:line="276" w:lineRule="auto"/>
        <w:ind w:left="0"/>
        <w:jc w:val="center"/>
        <w:rPr>
          <w:rFonts w:cs="Arial"/>
          <w:b/>
          <w:sz w:val="22"/>
          <w:szCs w:val="22"/>
          <w:lang w:val="es-CO"/>
        </w:rPr>
      </w:pPr>
    </w:p>
    <w:p w14:paraId="5427549B" w14:textId="77777777" w:rsidR="0087110E" w:rsidRPr="009E63D4" w:rsidRDefault="0087110E" w:rsidP="0087110E">
      <w:pPr>
        <w:spacing w:line="276" w:lineRule="auto"/>
        <w:jc w:val="both"/>
        <w:rPr>
          <w:rFonts w:ascii="Arial" w:hAnsi="Arial" w:cs="Arial"/>
          <w:sz w:val="22"/>
          <w:szCs w:val="22"/>
          <w:lang w:val="es-CO"/>
        </w:rPr>
      </w:pPr>
      <w:r w:rsidRPr="009E63D4">
        <w:rPr>
          <w:rFonts w:ascii="Arial" w:hAnsi="Arial" w:cs="Arial"/>
          <w:b/>
          <w:bCs/>
          <w:sz w:val="22"/>
          <w:szCs w:val="22"/>
          <w:lang w:val="es-CO"/>
        </w:rPr>
        <w:t>PRIMERO:</w:t>
      </w:r>
      <w:r w:rsidRPr="009E63D4">
        <w:rPr>
          <w:rFonts w:ascii="Arial" w:hAnsi="Arial" w:cs="Arial"/>
          <w:sz w:val="22"/>
          <w:szCs w:val="22"/>
          <w:lang w:val="es-CO"/>
        </w:rPr>
        <w:t xml:space="preserve"> NIÉGUESE por improcedente la Acción de Tutela impetrada por el señor </w:t>
      </w:r>
      <w:r w:rsidRPr="009E63D4">
        <w:rPr>
          <w:rFonts w:ascii="Arial" w:hAnsi="Arial" w:cs="Arial"/>
          <w:b/>
          <w:sz w:val="22"/>
          <w:szCs w:val="22"/>
          <w:lang w:val="es-CO"/>
        </w:rPr>
        <w:t>PEDRO ANTONIO LORZA</w:t>
      </w:r>
      <w:r w:rsidRPr="009E63D4">
        <w:rPr>
          <w:rFonts w:ascii="Arial" w:hAnsi="Arial" w:cs="Arial"/>
          <w:sz w:val="22"/>
          <w:szCs w:val="22"/>
          <w:lang w:val="es-CO"/>
        </w:rPr>
        <w:t>, por las razones expuestas en la parte motiva de esta providencia.</w:t>
      </w:r>
    </w:p>
    <w:p w14:paraId="03E58E43" w14:textId="77777777" w:rsidR="0087110E" w:rsidRPr="009E63D4" w:rsidRDefault="0087110E" w:rsidP="0087110E">
      <w:pPr>
        <w:shd w:val="clear" w:color="auto" w:fill="FFFFFF"/>
        <w:autoSpaceDE w:val="0"/>
        <w:autoSpaceDN w:val="0"/>
        <w:adjustRightInd w:val="0"/>
        <w:spacing w:line="276" w:lineRule="auto"/>
        <w:ind w:right="-162"/>
        <w:jc w:val="both"/>
        <w:rPr>
          <w:rFonts w:ascii="Arial" w:hAnsi="Arial" w:cs="Arial"/>
          <w:b/>
          <w:i/>
          <w:sz w:val="22"/>
          <w:szCs w:val="22"/>
          <w:lang w:val="es-CO"/>
        </w:rPr>
      </w:pPr>
    </w:p>
    <w:p w14:paraId="188F4C8D" w14:textId="77777777" w:rsidR="0087110E" w:rsidRPr="009E63D4" w:rsidRDefault="0087110E" w:rsidP="0087110E">
      <w:pPr>
        <w:spacing w:line="276" w:lineRule="auto"/>
        <w:jc w:val="both"/>
        <w:rPr>
          <w:rFonts w:ascii="Arial" w:hAnsi="Arial" w:cs="Arial"/>
          <w:sz w:val="22"/>
          <w:szCs w:val="22"/>
        </w:rPr>
      </w:pPr>
      <w:r w:rsidRPr="009E63D4">
        <w:rPr>
          <w:rFonts w:ascii="Arial" w:hAnsi="Arial" w:cs="Arial"/>
          <w:b/>
          <w:bCs/>
          <w:sz w:val="22"/>
          <w:szCs w:val="22"/>
          <w:lang w:val="es-CO"/>
        </w:rPr>
        <w:t xml:space="preserve">SEGUNDO: </w:t>
      </w:r>
      <w:r w:rsidRPr="009E63D4">
        <w:rPr>
          <w:rFonts w:ascii="Arial" w:hAnsi="Arial" w:cs="Arial"/>
          <w:sz w:val="22"/>
          <w:szCs w:val="22"/>
        </w:rPr>
        <w:t>Comuníquese por el medio más expedito la presente providencia al accionante y al accionado.</w:t>
      </w:r>
    </w:p>
    <w:p w14:paraId="4C787724" w14:textId="77777777" w:rsidR="0087110E" w:rsidRPr="009E63D4" w:rsidRDefault="0087110E" w:rsidP="0087110E">
      <w:pPr>
        <w:shd w:val="clear" w:color="auto" w:fill="FFFFFF"/>
        <w:autoSpaceDE w:val="0"/>
        <w:autoSpaceDN w:val="0"/>
        <w:adjustRightInd w:val="0"/>
        <w:spacing w:line="276" w:lineRule="auto"/>
        <w:ind w:right="-162"/>
        <w:jc w:val="both"/>
        <w:rPr>
          <w:rFonts w:ascii="Arial" w:hAnsi="Arial" w:cs="Arial"/>
          <w:sz w:val="22"/>
          <w:szCs w:val="22"/>
          <w:highlight w:val="yellow"/>
        </w:rPr>
      </w:pPr>
    </w:p>
    <w:p w14:paraId="447F8994" w14:textId="77777777" w:rsidR="0087110E" w:rsidRPr="009E63D4" w:rsidRDefault="0087110E" w:rsidP="0087110E">
      <w:pPr>
        <w:shd w:val="clear" w:color="auto" w:fill="FFFFFF"/>
        <w:autoSpaceDE w:val="0"/>
        <w:autoSpaceDN w:val="0"/>
        <w:adjustRightInd w:val="0"/>
        <w:spacing w:line="276" w:lineRule="auto"/>
        <w:ind w:right="-162"/>
        <w:jc w:val="both"/>
        <w:rPr>
          <w:rFonts w:ascii="Arial" w:hAnsi="Arial" w:cs="Arial"/>
          <w:sz w:val="22"/>
          <w:szCs w:val="22"/>
          <w:lang w:val="es-CO"/>
        </w:rPr>
      </w:pPr>
      <w:r w:rsidRPr="009E63D4">
        <w:rPr>
          <w:rFonts w:ascii="Arial" w:hAnsi="Arial" w:cs="Arial"/>
          <w:b/>
          <w:bCs/>
          <w:sz w:val="22"/>
          <w:szCs w:val="22"/>
          <w:lang w:val="es-CO"/>
        </w:rPr>
        <w:t xml:space="preserve">TERCERO: </w:t>
      </w:r>
      <w:r w:rsidRPr="009E63D4">
        <w:rPr>
          <w:rFonts w:ascii="Arial" w:hAnsi="Arial" w:cs="Arial"/>
          <w:sz w:val="22"/>
          <w:szCs w:val="22"/>
          <w:lang w:val="es-CO"/>
        </w:rPr>
        <w:t>En caso de que la presente providencia no fuere impugnada, remítase, para efectos de su revisión, a la Honorable Corte Constitucional, en los términos del artículo 31 del Decreto - Ley 2591 de 1991.</w:t>
      </w:r>
    </w:p>
    <w:p w14:paraId="6BCDC303" w14:textId="77777777" w:rsidR="0087110E" w:rsidRPr="009E63D4" w:rsidRDefault="0087110E" w:rsidP="0087110E">
      <w:pPr>
        <w:spacing w:line="276" w:lineRule="auto"/>
        <w:jc w:val="both"/>
        <w:rPr>
          <w:rFonts w:ascii="Arial" w:hAnsi="Arial" w:cs="Arial"/>
          <w:sz w:val="22"/>
          <w:szCs w:val="22"/>
          <w:lang w:val="es-CO"/>
        </w:rPr>
      </w:pPr>
    </w:p>
    <w:p w14:paraId="4FBF3889" w14:textId="77777777" w:rsidR="0087110E" w:rsidRPr="009E63D4" w:rsidRDefault="0087110E" w:rsidP="0087110E">
      <w:pPr>
        <w:pStyle w:val="Sangra2detindependiente"/>
        <w:spacing w:line="276" w:lineRule="auto"/>
        <w:ind w:firstLine="0"/>
        <w:rPr>
          <w:rFonts w:cs="Arial"/>
          <w:b/>
          <w:sz w:val="22"/>
          <w:szCs w:val="22"/>
          <w:lang w:val="es-CO"/>
        </w:rPr>
      </w:pPr>
      <w:r w:rsidRPr="009E63D4">
        <w:rPr>
          <w:rFonts w:cs="Arial"/>
          <w:b/>
          <w:sz w:val="22"/>
          <w:szCs w:val="22"/>
          <w:lang w:val="es-CO"/>
        </w:rPr>
        <w:t>CÓPIESE, NOTIFÍQUESE y CÚMPLASE,</w:t>
      </w:r>
    </w:p>
    <w:p w14:paraId="75E8AFB7" w14:textId="77777777" w:rsidR="0087110E" w:rsidRPr="009E63D4" w:rsidRDefault="0087110E" w:rsidP="0087110E">
      <w:pPr>
        <w:pStyle w:val="Sangra2detindependiente"/>
        <w:spacing w:line="276" w:lineRule="auto"/>
        <w:ind w:firstLine="0"/>
        <w:rPr>
          <w:rFonts w:cs="Arial"/>
          <w:b/>
          <w:sz w:val="22"/>
          <w:szCs w:val="22"/>
          <w:lang w:val="es-CO"/>
        </w:rPr>
      </w:pPr>
    </w:p>
    <w:p w14:paraId="7AA9F869" w14:textId="77777777" w:rsidR="0087110E" w:rsidRPr="009E63D4" w:rsidRDefault="0087110E" w:rsidP="0087110E">
      <w:pPr>
        <w:pStyle w:val="Sangra2detindependiente"/>
        <w:spacing w:line="276" w:lineRule="auto"/>
        <w:ind w:firstLine="0"/>
        <w:rPr>
          <w:rFonts w:cs="Arial"/>
          <w:b/>
          <w:sz w:val="22"/>
          <w:szCs w:val="22"/>
          <w:lang w:val="es-CO"/>
        </w:rPr>
      </w:pPr>
    </w:p>
    <w:p w14:paraId="65ABDAF0" w14:textId="77777777" w:rsidR="0087110E" w:rsidRPr="009E63D4" w:rsidRDefault="0087110E" w:rsidP="0087110E">
      <w:pPr>
        <w:spacing w:line="276" w:lineRule="auto"/>
        <w:jc w:val="center"/>
        <w:rPr>
          <w:rFonts w:ascii="Arial" w:hAnsi="Arial" w:cs="Arial"/>
          <w:b/>
          <w:sz w:val="22"/>
          <w:szCs w:val="22"/>
          <w:lang w:val="es-CO"/>
        </w:rPr>
      </w:pPr>
      <w:r w:rsidRPr="009E63D4">
        <w:rPr>
          <w:rFonts w:ascii="Arial" w:hAnsi="Arial" w:cs="Arial"/>
          <w:b/>
          <w:sz w:val="22"/>
          <w:szCs w:val="22"/>
          <w:lang w:val="es-CO"/>
        </w:rPr>
        <w:t>OLGA CECILIA HENAO MARÍN</w:t>
      </w:r>
    </w:p>
    <w:p w14:paraId="0CFB20B4" w14:textId="77777777" w:rsidR="0087110E" w:rsidRPr="009E63D4" w:rsidRDefault="0087110E" w:rsidP="0087110E">
      <w:pPr>
        <w:spacing w:line="276" w:lineRule="auto"/>
        <w:jc w:val="center"/>
        <w:rPr>
          <w:rFonts w:ascii="Arial" w:hAnsi="Arial" w:cs="Arial"/>
          <w:sz w:val="22"/>
          <w:szCs w:val="22"/>
          <w:lang w:val="es-CO"/>
        </w:rPr>
      </w:pPr>
      <w:r w:rsidRPr="009E63D4">
        <w:rPr>
          <w:rFonts w:ascii="Arial" w:hAnsi="Arial" w:cs="Arial"/>
          <w:sz w:val="22"/>
          <w:szCs w:val="22"/>
          <w:lang w:val="es-CO"/>
        </w:rPr>
        <w:t>Juez</w:t>
      </w:r>
    </w:p>
    <w:p w14:paraId="19224201" w14:textId="77777777" w:rsidR="0087110E" w:rsidRPr="009E63D4" w:rsidRDefault="0087110E" w:rsidP="0087110E">
      <w:pPr>
        <w:spacing w:line="276" w:lineRule="auto"/>
        <w:jc w:val="center"/>
        <w:rPr>
          <w:rFonts w:ascii="Arial" w:hAnsi="Arial" w:cs="Arial"/>
          <w:sz w:val="22"/>
          <w:szCs w:val="22"/>
          <w:lang w:val="es-CO"/>
        </w:rPr>
      </w:pPr>
    </w:p>
    <w:p w14:paraId="524AE512" w14:textId="77777777" w:rsidR="0087110E" w:rsidRPr="009E63D4" w:rsidRDefault="0087110E" w:rsidP="0087110E">
      <w:pPr>
        <w:spacing w:line="276" w:lineRule="auto"/>
        <w:rPr>
          <w:rFonts w:ascii="Arial" w:hAnsi="Arial" w:cs="Arial"/>
          <w:sz w:val="14"/>
          <w:szCs w:val="22"/>
          <w:lang w:val="es-CO"/>
        </w:rPr>
      </w:pPr>
      <w:r w:rsidRPr="009E63D4">
        <w:rPr>
          <w:rFonts w:ascii="Arial" w:hAnsi="Arial" w:cs="Arial"/>
          <w:sz w:val="14"/>
          <w:szCs w:val="22"/>
          <w:lang w:val="es-CO"/>
        </w:rPr>
        <w:t>APEC/JBR</w:t>
      </w:r>
    </w:p>
    <w:p w14:paraId="1E42D309" w14:textId="77777777" w:rsidR="0087110E" w:rsidRPr="009E63D4" w:rsidRDefault="0087110E" w:rsidP="0087110E">
      <w:pPr>
        <w:spacing w:line="276" w:lineRule="auto"/>
        <w:rPr>
          <w:rFonts w:ascii="Arial" w:hAnsi="Arial" w:cs="Arial"/>
          <w:sz w:val="22"/>
          <w:szCs w:val="22"/>
          <w:lang w:val="es-CO"/>
        </w:rPr>
      </w:pPr>
    </w:p>
    <w:p w14:paraId="04A6BE8A" w14:textId="77777777" w:rsidR="0087110E" w:rsidRPr="009E63D4" w:rsidRDefault="0087110E" w:rsidP="0087110E">
      <w:pPr>
        <w:spacing w:line="276" w:lineRule="auto"/>
        <w:rPr>
          <w:rFonts w:ascii="Arial" w:hAnsi="Arial" w:cs="Arial"/>
          <w:sz w:val="22"/>
          <w:szCs w:val="22"/>
          <w:lang w:val="es-CO"/>
        </w:rPr>
      </w:pPr>
    </w:p>
    <w:p w14:paraId="0BE86570" w14:textId="77777777" w:rsidR="00977E91" w:rsidRDefault="00CF400F"/>
    <w:sectPr w:rsidR="00977E91"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639AF" w14:textId="77777777" w:rsidR="00CF400F" w:rsidRDefault="00CF400F" w:rsidP="0087110E">
      <w:r>
        <w:separator/>
      </w:r>
    </w:p>
  </w:endnote>
  <w:endnote w:type="continuationSeparator" w:id="0">
    <w:p w14:paraId="73EDC4E6" w14:textId="77777777" w:rsidR="00CF400F" w:rsidRDefault="00CF400F" w:rsidP="0087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B707" w14:textId="77777777" w:rsidR="00751104" w:rsidRPr="002257EC" w:rsidRDefault="00CF400F" w:rsidP="00BA697A">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4939D" w14:textId="77777777" w:rsidR="00CF400F" w:rsidRDefault="00CF400F" w:rsidP="0087110E">
      <w:r>
        <w:separator/>
      </w:r>
    </w:p>
  </w:footnote>
  <w:footnote w:type="continuationSeparator" w:id="0">
    <w:p w14:paraId="1CE59F91" w14:textId="77777777" w:rsidR="00CF400F" w:rsidRDefault="00CF400F" w:rsidP="0087110E">
      <w:r>
        <w:continuationSeparator/>
      </w:r>
    </w:p>
  </w:footnote>
  <w:footnote w:id="1">
    <w:p w14:paraId="0E1F4577" w14:textId="77777777" w:rsidR="0087110E" w:rsidRPr="008E1BAA" w:rsidRDefault="0087110E" w:rsidP="0087110E">
      <w:pPr>
        <w:jc w:val="both"/>
        <w:rPr>
          <w:rFonts w:ascii="Tahoma" w:hAnsi="Tahoma" w:cs="Tahoma"/>
          <w:sz w:val="12"/>
          <w:szCs w:val="12"/>
        </w:rPr>
      </w:pPr>
      <w:r w:rsidRPr="008E1BAA">
        <w:rPr>
          <w:rStyle w:val="Refdenotaalpie"/>
          <w:rFonts w:ascii="Tahoma" w:hAnsi="Tahoma" w:cs="Tahoma"/>
          <w:sz w:val="12"/>
          <w:szCs w:val="12"/>
        </w:rPr>
        <w:footnoteRef/>
      </w:r>
      <w:r w:rsidRPr="008E1BAA">
        <w:rPr>
          <w:rFonts w:ascii="Tahoma" w:hAnsi="Tahoma" w:cs="Tahoma"/>
          <w:sz w:val="12"/>
          <w:szCs w:val="12"/>
        </w:rPr>
        <w:t xml:space="preserve"> Según Sentencia de la Corte Constitucional: </w:t>
      </w:r>
      <w:r w:rsidRPr="008E1BAA">
        <w:rPr>
          <w:rFonts w:ascii="Tahoma" w:hAnsi="Tahoma" w:cs="Tahoma"/>
          <w:b/>
          <w:i/>
          <w:sz w:val="12"/>
          <w:szCs w:val="12"/>
        </w:rPr>
        <w:t xml:space="preserve">“no basta pues, afirmar la </w:t>
      </w:r>
      <w:proofErr w:type="spellStart"/>
      <w:r w:rsidRPr="008E1BAA">
        <w:rPr>
          <w:rFonts w:ascii="Tahoma" w:hAnsi="Tahoma" w:cs="Tahoma"/>
          <w:b/>
          <w:i/>
          <w:sz w:val="12"/>
          <w:szCs w:val="12"/>
        </w:rPr>
        <w:t>irreparabilidad</w:t>
      </w:r>
      <w:proofErr w:type="spellEnd"/>
      <w:r w:rsidRPr="008E1BAA">
        <w:rPr>
          <w:rFonts w:ascii="Tahoma" w:hAnsi="Tahoma" w:cs="Tahoma"/>
          <w:b/>
          <w:i/>
          <w:sz w:val="12"/>
          <w:szCs w:val="12"/>
        </w:rPr>
        <w:t xml:space="preserve"> del perjuicio de un daño, sino, ofrecer las explicaciones y pruebas correspondientes, para que el juez de tutela adquiera certeza sobre su decisión”</w:t>
      </w:r>
      <w:r w:rsidRPr="008E1BAA">
        <w:rPr>
          <w:rFonts w:ascii="Tahoma" w:hAnsi="Tahoma" w:cs="Tahoma"/>
          <w:sz w:val="12"/>
          <w:szCs w:val="12"/>
        </w:rPr>
        <w:t xml:space="preserve"> (</w:t>
      </w:r>
      <w:r w:rsidRPr="008E1BAA">
        <w:rPr>
          <w:rFonts w:ascii="Tahoma" w:hAnsi="Tahoma" w:cs="Tahoma"/>
          <w:b/>
          <w:sz w:val="12"/>
          <w:szCs w:val="12"/>
        </w:rPr>
        <w:t xml:space="preserve">Sentencia T-449 de </w:t>
      </w:r>
      <w:smartTag w:uri="urn:schemas-microsoft-com:office:smarttags" w:element="metricconverter">
        <w:smartTagPr>
          <w:attr w:name="ProductID" w:val="1998, M"/>
        </w:smartTagPr>
        <w:r w:rsidRPr="008E1BAA">
          <w:rPr>
            <w:rFonts w:ascii="Tahoma" w:hAnsi="Tahoma" w:cs="Tahoma"/>
            <w:b/>
            <w:sz w:val="12"/>
            <w:szCs w:val="12"/>
          </w:rPr>
          <w:t>1998, M</w:t>
        </w:r>
      </w:smartTag>
      <w:r w:rsidRPr="008E1BAA">
        <w:rPr>
          <w:rFonts w:ascii="Tahoma" w:hAnsi="Tahoma" w:cs="Tahoma"/>
          <w:b/>
          <w:sz w:val="12"/>
          <w:szCs w:val="12"/>
        </w:rPr>
        <w:t>.P. Dr. Alfredo Beltrán Sierra</w:t>
      </w:r>
      <w:r w:rsidRPr="008E1BAA">
        <w:rPr>
          <w:rFonts w:ascii="Tahoma" w:hAnsi="Tahoma" w:cs="Tahoma"/>
          <w:sz w:val="12"/>
          <w:szCs w:val="12"/>
        </w:rPr>
        <w:t>).</w:t>
      </w:r>
    </w:p>
    <w:p w14:paraId="60B89F06" w14:textId="77777777" w:rsidR="0087110E" w:rsidRPr="008E1BAA" w:rsidRDefault="0087110E" w:rsidP="0087110E">
      <w:pPr>
        <w:pStyle w:val="Textoindependiente21"/>
        <w:tabs>
          <w:tab w:val="left" w:pos="-720"/>
          <w:tab w:val="left" w:pos="284"/>
        </w:tabs>
        <w:suppressAutoHyphens/>
        <w:spacing w:line="240" w:lineRule="auto"/>
        <w:ind w:firstLine="0"/>
        <w:rPr>
          <w:rFonts w:ascii="Tahoma" w:hAnsi="Tahoma" w:cs="Tahoma"/>
          <w:sz w:val="12"/>
          <w:szCs w:val="12"/>
        </w:rPr>
      </w:pPr>
    </w:p>
    <w:p w14:paraId="25B99D3F" w14:textId="77777777" w:rsidR="0087110E" w:rsidRPr="008E1BAA" w:rsidRDefault="0087110E" w:rsidP="0087110E">
      <w:pPr>
        <w:pStyle w:val="Textoindependiente2"/>
        <w:spacing w:after="0" w:line="240" w:lineRule="auto"/>
        <w:jc w:val="both"/>
        <w:rPr>
          <w:rFonts w:ascii="Tahoma" w:hAnsi="Tahoma" w:cs="Tahoma"/>
          <w:b/>
          <w:i/>
          <w:sz w:val="12"/>
          <w:szCs w:val="12"/>
        </w:rPr>
      </w:pPr>
      <w:r w:rsidRPr="008E1BAA">
        <w:rPr>
          <w:rFonts w:ascii="Tahoma" w:hAnsi="Tahoma" w:cs="Tahoma"/>
          <w:iCs/>
          <w:sz w:val="12"/>
          <w:szCs w:val="12"/>
          <w:lang w:val="es-ES_tradnl"/>
        </w:rPr>
        <w:t>La definición y características del perjuicio irremediable han sido señaladas por la Corte Constitucional así:</w:t>
      </w:r>
      <w:r w:rsidRPr="008E1BAA">
        <w:rPr>
          <w:rFonts w:ascii="Tahoma" w:hAnsi="Tahoma" w:cs="Tahoma"/>
          <w:i/>
          <w:sz w:val="12"/>
          <w:szCs w:val="12"/>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8E1BAA">
        <w:rPr>
          <w:rFonts w:ascii="Tahoma" w:hAnsi="Tahoma" w:cs="Tahoma"/>
          <w:b/>
          <w:i/>
          <w:sz w:val="12"/>
          <w:szCs w:val="12"/>
        </w:rPr>
        <w:t>Sentencia T-348/97, M.P. Dr. Eduardo Cifuentes M.)</w:t>
      </w:r>
    </w:p>
    <w:p w14:paraId="5CD23B39" w14:textId="77777777" w:rsidR="0087110E" w:rsidRPr="008E1BAA" w:rsidRDefault="0087110E" w:rsidP="0087110E">
      <w:pPr>
        <w:pStyle w:val="Textonotapie"/>
        <w:rPr>
          <w:rFonts w:ascii="Tahoma" w:hAnsi="Tahoma" w:cs="Tahoma"/>
          <w:sz w:val="12"/>
          <w:szCs w:val="12"/>
        </w:rPr>
      </w:pPr>
    </w:p>
  </w:footnote>
  <w:footnote w:id="2">
    <w:p w14:paraId="0836E289" w14:textId="77777777" w:rsidR="0087110E" w:rsidRPr="008E1BAA" w:rsidRDefault="0087110E" w:rsidP="0087110E">
      <w:pPr>
        <w:jc w:val="both"/>
        <w:rPr>
          <w:rFonts w:ascii="Tahoma" w:hAnsi="Tahoma" w:cs="Tahoma"/>
          <w:i/>
          <w:sz w:val="12"/>
          <w:szCs w:val="12"/>
        </w:rPr>
      </w:pPr>
      <w:r w:rsidRPr="008E1BAA">
        <w:rPr>
          <w:rStyle w:val="Refdenotaalpie"/>
          <w:rFonts w:ascii="Tahoma" w:hAnsi="Tahoma" w:cs="Tahoma"/>
          <w:i/>
          <w:sz w:val="12"/>
          <w:szCs w:val="12"/>
        </w:rPr>
        <w:footnoteRef/>
      </w:r>
      <w:r w:rsidRPr="008E1BAA">
        <w:rPr>
          <w:rFonts w:ascii="Tahoma" w:hAnsi="Tahoma" w:cs="Tahoma"/>
          <w:i/>
          <w:sz w:val="12"/>
          <w:szCs w:val="12"/>
        </w:rPr>
        <w:t xml:space="preserve"> Santa Fe de Bogotá, D.C., veinticuatro de junio de mil novecientos noventa y ocho - CONSEJO DE ESTADO - SALA DE LO CONTENCIOSO ADMINISTRATIVO - SECCION PRIMERA - Consejero ponente: LIBARDO RODRIGUEZ RODRÍGUEZ - Radicación número: AC-5988.</w:t>
      </w:r>
    </w:p>
    <w:p w14:paraId="3C9D59AB" w14:textId="77777777" w:rsidR="0087110E" w:rsidRPr="008E1BAA" w:rsidRDefault="0087110E" w:rsidP="0087110E">
      <w:pPr>
        <w:pStyle w:val="Textonotapie"/>
        <w:jc w:val="both"/>
        <w:rPr>
          <w:rFonts w:ascii="Tahoma" w:hAnsi="Tahoma" w:cs="Tahoma"/>
          <w:i/>
          <w:sz w:val="12"/>
          <w:szCs w:val="12"/>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96100" w14:textId="77777777" w:rsidR="0036320A" w:rsidRPr="000E0796" w:rsidRDefault="0087110E" w:rsidP="0036320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Pr>
        <w:rFonts w:ascii="Arial" w:hAnsi="Arial" w:cs="Arial"/>
        <w:smallCaps/>
        <w:sz w:val="16"/>
        <w:szCs w:val="16"/>
        <w:lang w:val="es-MX"/>
      </w:rPr>
      <w:t>Expediente No. 2020-0021</w:t>
    </w:r>
  </w:p>
  <w:p w14:paraId="088B25D4" w14:textId="77777777" w:rsidR="00751104" w:rsidRPr="000E0796" w:rsidRDefault="0087110E"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14:paraId="5D36EDE9" w14:textId="77777777" w:rsidR="00751104" w:rsidRPr="000E0796" w:rsidRDefault="0087110E"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14:paraId="1F51F0D1" w14:textId="77777777" w:rsidR="00751104" w:rsidRPr="000E0796" w:rsidRDefault="0087110E"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5</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5</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01222" w14:textId="77777777" w:rsidR="00751104" w:rsidRPr="00F43E40" w:rsidRDefault="0087110E" w:rsidP="00BA697A">
    <w:pPr>
      <w:pStyle w:val="Encabezado"/>
      <w:jc w:val="center"/>
      <w:rPr>
        <w:rFonts w:ascii="Arial" w:hAnsi="Arial" w:cs="Arial"/>
        <w:b/>
        <w:i/>
        <w:sz w:val="16"/>
        <w:szCs w:val="16"/>
      </w:rPr>
    </w:pPr>
    <w:r w:rsidRPr="00F43E40">
      <w:rPr>
        <w:rFonts w:ascii="Arial" w:hAnsi="Arial" w:cs="Arial"/>
        <w:b/>
        <w:i/>
        <w:noProof/>
        <w:sz w:val="16"/>
        <w:szCs w:val="16"/>
      </w:rPr>
      <w:drawing>
        <wp:inline distT="0" distB="0" distL="0" distR="0" wp14:anchorId="5E9A6947" wp14:editId="64C5AA33">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78247EA9" w14:textId="77777777" w:rsidR="00751104" w:rsidRPr="00F43E40" w:rsidRDefault="0087110E" w:rsidP="00BA697A">
    <w:pPr>
      <w:pStyle w:val="Encabezado"/>
      <w:jc w:val="center"/>
      <w:rPr>
        <w:rFonts w:ascii="Arial" w:hAnsi="Arial" w:cs="Arial"/>
        <w:b/>
        <w:sz w:val="16"/>
        <w:szCs w:val="16"/>
        <w:lang w:val="es-MX"/>
      </w:rPr>
    </w:pPr>
    <w:r w:rsidRPr="00F43E40">
      <w:rPr>
        <w:rFonts w:ascii="Arial" w:hAnsi="Arial" w:cs="Arial"/>
        <w:b/>
        <w:sz w:val="16"/>
        <w:szCs w:val="16"/>
        <w:lang w:val="es-MX"/>
      </w:rPr>
      <w:t>JUZGADO TREINTA Y CUATRO ADMINISTRATIVO</w:t>
    </w:r>
  </w:p>
  <w:p w14:paraId="2B1C1135" w14:textId="77777777" w:rsidR="00751104" w:rsidRPr="00F43E40" w:rsidRDefault="0087110E" w:rsidP="00BA697A">
    <w:pPr>
      <w:pStyle w:val="Encabezado"/>
      <w:jc w:val="center"/>
      <w:rPr>
        <w:rFonts w:ascii="Arial" w:hAnsi="Arial" w:cs="Arial"/>
        <w:b/>
        <w:sz w:val="16"/>
        <w:szCs w:val="16"/>
        <w:lang w:val="es-MX"/>
      </w:rPr>
    </w:pPr>
    <w:r w:rsidRPr="00F43E40">
      <w:rPr>
        <w:rFonts w:ascii="Arial" w:hAnsi="Arial" w:cs="Arial"/>
        <w:b/>
        <w:sz w:val="16"/>
        <w:szCs w:val="16"/>
        <w:lang w:val="es-MX"/>
      </w:rPr>
      <w:t>ORAL DEL CIRCUITO DE BOGOTÁ</w:t>
    </w:r>
  </w:p>
  <w:p w14:paraId="6ECCE2D0" w14:textId="77777777" w:rsidR="00751104" w:rsidRPr="00F43E40" w:rsidRDefault="0087110E" w:rsidP="00BA697A">
    <w:pPr>
      <w:pStyle w:val="Encabezado"/>
      <w:jc w:val="center"/>
      <w:rPr>
        <w:rFonts w:ascii="Arial" w:hAnsi="Arial" w:cs="Arial"/>
        <w:b/>
        <w:sz w:val="16"/>
        <w:szCs w:val="16"/>
        <w:lang w:val="es-MX"/>
      </w:rPr>
    </w:pPr>
    <w:r w:rsidRPr="00F43E40">
      <w:rPr>
        <w:rFonts w:ascii="Arial" w:hAnsi="Arial" w:cs="Arial"/>
        <w:b/>
        <w:sz w:val="16"/>
        <w:szCs w:val="16"/>
        <w:lang w:val="es-MX"/>
      </w:rPr>
      <w:t>Sección Tercera</w:t>
    </w:r>
  </w:p>
  <w:p w14:paraId="4526271F" w14:textId="77777777" w:rsidR="00751104" w:rsidRPr="00F43E40" w:rsidRDefault="00CF400F">
    <w:pPr>
      <w:pStyle w:val="Encabezad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2F4232"/>
    <w:multiLevelType w:val="multilevel"/>
    <w:tmpl w:val="67BC323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8A7E3C"/>
    <w:multiLevelType w:val="multilevel"/>
    <w:tmpl w:val="2F542FC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5"/>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10E"/>
    <w:rsid w:val="00041F99"/>
    <w:rsid w:val="00167985"/>
    <w:rsid w:val="002E2A2F"/>
    <w:rsid w:val="0035280B"/>
    <w:rsid w:val="00380A99"/>
    <w:rsid w:val="003C778E"/>
    <w:rsid w:val="0064624D"/>
    <w:rsid w:val="0087110E"/>
    <w:rsid w:val="0098707E"/>
    <w:rsid w:val="00AB76A7"/>
    <w:rsid w:val="00AB7DD9"/>
    <w:rsid w:val="00B355E6"/>
    <w:rsid w:val="00C360B1"/>
    <w:rsid w:val="00CF400F"/>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5C99CB"/>
  <w15:chartTrackingRefBased/>
  <w15:docId w15:val="{10CF090D-E8E8-4DAA-9748-1305BC64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10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7110E"/>
    <w:pPr>
      <w:tabs>
        <w:tab w:val="center" w:pos="4252"/>
        <w:tab w:val="right" w:pos="8504"/>
      </w:tabs>
    </w:pPr>
  </w:style>
  <w:style w:type="character" w:customStyle="1" w:styleId="EncabezadoCar">
    <w:name w:val="Encabezado Car"/>
    <w:basedOn w:val="Fuentedeprrafopredeter"/>
    <w:link w:val="Encabezado"/>
    <w:rsid w:val="0087110E"/>
    <w:rPr>
      <w:rFonts w:ascii="Times New Roman" w:eastAsia="Times New Roman" w:hAnsi="Times New Roman" w:cs="Times New Roman"/>
      <w:sz w:val="24"/>
      <w:szCs w:val="24"/>
      <w:lang w:eastAsia="es-ES"/>
    </w:rPr>
  </w:style>
  <w:style w:type="paragraph" w:styleId="Piedepgina">
    <w:name w:val="footer"/>
    <w:basedOn w:val="Normal"/>
    <w:link w:val="PiedepginaCar"/>
    <w:rsid w:val="0087110E"/>
    <w:pPr>
      <w:tabs>
        <w:tab w:val="center" w:pos="4252"/>
        <w:tab w:val="right" w:pos="8504"/>
      </w:tabs>
    </w:pPr>
  </w:style>
  <w:style w:type="character" w:customStyle="1" w:styleId="PiedepginaCar">
    <w:name w:val="Pie de página Car"/>
    <w:basedOn w:val="Fuentedeprrafopredeter"/>
    <w:link w:val="Piedepgina"/>
    <w:rsid w:val="0087110E"/>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87110E"/>
    <w:rPr>
      <w:sz w:val="20"/>
      <w:szCs w:val="20"/>
    </w:rPr>
  </w:style>
  <w:style w:type="character" w:customStyle="1" w:styleId="TextonotapieCar">
    <w:name w:val="Texto nota pie Car"/>
    <w:basedOn w:val="Fuentedeprrafopredeter"/>
    <w:link w:val="Textonotapie"/>
    <w:uiPriority w:val="99"/>
    <w:rsid w:val="0087110E"/>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87110E"/>
    <w:rPr>
      <w:vertAlign w:val="superscript"/>
    </w:rPr>
  </w:style>
  <w:style w:type="paragraph" w:styleId="Sangradetextonormal">
    <w:name w:val="Body Text Indent"/>
    <w:basedOn w:val="Normal"/>
    <w:link w:val="SangradetextonormalCar"/>
    <w:rsid w:val="0087110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87110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87110E"/>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87110E"/>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87110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87110E"/>
    <w:rPr>
      <w:rFonts w:ascii="Arial" w:eastAsia="Times New Roman" w:hAnsi="Arial" w:cs="Times New Roman"/>
      <w:sz w:val="24"/>
      <w:szCs w:val="20"/>
      <w:lang w:val="x-none" w:eastAsia="es-ES"/>
    </w:rPr>
  </w:style>
  <w:style w:type="paragraph" w:styleId="Prrafodelista">
    <w:name w:val="List Paragraph"/>
    <w:basedOn w:val="Normal"/>
    <w:uiPriority w:val="34"/>
    <w:qFormat/>
    <w:rsid w:val="0087110E"/>
    <w:pPr>
      <w:ind w:left="720"/>
      <w:contextualSpacing/>
    </w:pPr>
    <w:rPr>
      <w:rFonts w:ascii="Arial" w:hAnsi="Arial"/>
      <w:szCs w:val="20"/>
      <w:lang w:val="es-CO"/>
    </w:rPr>
  </w:style>
  <w:style w:type="paragraph" w:styleId="Ttulo">
    <w:name w:val="Title"/>
    <w:basedOn w:val="Normal"/>
    <w:link w:val="TtuloCar"/>
    <w:qFormat/>
    <w:rsid w:val="0087110E"/>
    <w:pPr>
      <w:overflowPunct w:val="0"/>
      <w:autoSpaceDE w:val="0"/>
      <w:autoSpaceDN w:val="0"/>
      <w:adjustRightInd w:val="0"/>
      <w:jc w:val="center"/>
      <w:textAlignment w:val="baseline"/>
    </w:pPr>
    <w:rPr>
      <w:rFonts w:ascii="Arial" w:hAnsi="Arial"/>
      <w:b/>
      <w:sz w:val="28"/>
      <w:szCs w:val="20"/>
      <w:lang w:val="es-CO"/>
    </w:rPr>
  </w:style>
  <w:style w:type="character" w:customStyle="1" w:styleId="TtuloCar">
    <w:name w:val="Título Car"/>
    <w:basedOn w:val="Fuentedeprrafopredeter"/>
    <w:link w:val="Ttulo"/>
    <w:rsid w:val="0087110E"/>
    <w:rPr>
      <w:rFonts w:ascii="Arial" w:eastAsia="Times New Roman" w:hAnsi="Arial" w:cs="Times New Roman"/>
      <w:b/>
      <w:sz w:val="28"/>
      <w:szCs w:val="20"/>
      <w:lang w:val="es-CO" w:eastAsia="es-ES"/>
    </w:rPr>
  </w:style>
  <w:style w:type="paragraph" w:styleId="Textoindependiente2">
    <w:name w:val="Body Text 2"/>
    <w:basedOn w:val="Normal"/>
    <w:link w:val="Textoindependiente2Car"/>
    <w:rsid w:val="0087110E"/>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87110E"/>
    <w:rPr>
      <w:rFonts w:ascii="Arial" w:eastAsia="Times New Roman" w:hAnsi="Arial" w:cs="Arial"/>
      <w:color w:val="000000"/>
      <w:sz w:val="24"/>
      <w:szCs w:val="24"/>
      <w:lang w:eastAsia="es-ES"/>
    </w:rPr>
  </w:style>
  <w:style w:type="paragraph" w:customStyle="1" w:styleId="Textoindependiente21">
    <w:name w:val="Texto independiente 21"/>
    <w:basedOn w:val="Normal"/>
    <w:rsid w:val="0087110E"/>
    <w:pPr>
      <w:overflowPunct w:val="0"/>
      <w:autoSpaceDE w:val="0"/>
      <w:autoSpaceDN w:val="0"/>
      <w:adjustRightInd w:val="0"/>
      <w:spacing w:line="360" w:lineRule="auto"/>
      <w:ind w:firstLine="1080"/>
      <w:jc w:val="both"/>
      <w:textAlignment w:val="baseline"/>
    </w:pPr>
    <w:rPr>
      <w:rFonts w:ascii="Arial" w:hAnsi="Arial"/>
      <w:sz w:val="28"/>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2151</Words>
  <Characters>11832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2020-02-13T20:21:00Z</dcterms:created>
  <dcterms:modified xsi:type="dcterms:W3CDTF">2020-02-13T20:21:00Z</dcterms:modified>
</cp:coreProperties>
</file>