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6776"/>
      </w:tblGrid>
      <w:tr w:rsidR="00F13774" w:rsidRPr="00F13774" w14:paraId="5C341A77" w14:textId="77777777" w:rsidTr="00832216">
        <w:tc>
          <w:tcPr>
            <w:tcW w:w="2155" w:type="dxa"/>
            <w:vAlign w:val="center"/>
          </w:tcPr>
          <w:p w14:paraId="4CD8D768" w14:textId="77777777" w:rsidR="00F13774" w:rsidRPr="00F13774" w:rsidRDefault="00F13774" w:rsidP="00F13774">
            <w:pPr>
              <w:jc w:val="both"/>
              <w:rPr>
                <w:rFonts w:ascii="Century Gothic" w:eastAsia="Times New Roman" w:hAnsi="Century Gothic" w:cs="Arial"/>
                <w:sz w:val="24"/>
                <w:szCs w:val="24"/>
                <w:lang w:val="es-ES"/>
              </w:rPr>
            </w:pPr>
            <w:r w:rsidRPr="00F13774">
              <w:rPr>
                <w:rFonts w:ascii="Century Gothic" w:eastAsia="Times New Roman" w:hAnsi="Century Gothic" w:cs="Arial"/>
                <w:sz w:val="24"/>
                <w:szCs w:val="24"/>
                <w:lang w:val="es-ES"/>
              </w:rPr>
              <w:t>Ciudad y fecha</w:t>
            </w:r>
          </w:p>
        </w:tc>
        <w:tc>
          <w:tcPr>
            <w:tcW w:w="6776" w:type="dxa"/>
          </w:tcPr>
          <w:p w14:paraId="35CC9303" w14:textId="77777777" w:rsidR="00F13774" w:rsidRPr="00F13774" w:rsidRDefault="00F13774" w:rsidP="00F13774">
            <w:pPr>
              <w:ind w:right="-427"/>
              <w:jc w:val="both"/>
              <w:rPr>
                <w:rFonts w:ascii="Century Gothic" w:eastAsia="Times New Roman" w:hAnsi="Century Gothic" w:cs="Arial"/>
                <w:b/>
                <w:sz w:val="24"/>
                <w:szCs w:val="24"/>
                <w:lang w:val="es-ES"/>
              </w:rPr>
            </w:pPr>
            <w:r w:rsidRPr="00F13774">
              <w:rPr>
                <w:rFonts w:ascii="Century Gothic" w:eastAsia="Times New Roman" w:hAnsi="Century Gothic" w:cs="Arial"/>
                <w:b/>
                <w:sz w:val="24"/>
                <w:szCs w:val="24"/>
                <w:lang w:val="es-ES"/>
              </w:rPr>
              <w:t xml:space="preserve">Bogotá, D.C., veintidós (22) de mayo </w:t>
            </w:r>
            <w:r w:rsidRPr="00F13774">
              <w:rPr>
                <w:rFonts w:ascii="Century Gothic" w:eastAsia="Times New Roman" w:hAnsi="Century Gothic" w:cs="Arial"/>
                <w:b/>
                <w:sz w:val="24"/>
                <w:szCs w:val="24"/>
                <w:lang w:val="es-ES"/>
              </w:rPr>
              <w:fldChar w:fldCharType="begin"/>
            </w:r>
            <w:r w:rsidRPr="00F13774">
              <w:rPr>
                <w:rFonts w:ascii="Century Gothic" w:eastAsia="Times New Roman" w:hAnsi="Century Gothic" w:cs="Arial"/>
                <w:b/>
                <w:sz w:val="24"/>
                <w:szCs w:val="24"/>
                <w:lang w:val="es-ES"/>
              </w:rPr>
              <w:instrText xml:space="preserve"> MERGEFIELD FECHA_PROYECTÓ_EL_AUTO_ADMISORIO </w:instrText>
            </w:r>
            <w:r w:rsidRPr="00F13774">
              <w:rPr>
                <w:rFonts w:ascii="Century Gothic" w:eastAsia="Times New Roman" w:hAnsi="Century Gothic" w:cs="Arial"/>
                <w:b/>
                <w:sz w:val="24"/>
                <w:szCs w:val="24"/>
                <w:lang w:val="es-ES"/>
              </w:rPr>
              <w:fldChar w:fldCharType="separate"/>
            </w:r>
            <w:r w:rsidRPr="00F13774">
              <w:rPr>
                <w:rFonts w:ascii="Century Gothic" w:eastAsia="Times New Roman" w:hAnsi="Century Gothic" w:cs="Arial"/>
                <w:b/>
                <w:sz w:val="24"/>
                <w:szCs w:val="24"/>
                <w:lang w:val="es-ES"/>
              </w:rPr>
              <w:t>de dos mil veinte</w:t>
            </w:r>
          </w:p>
          <w:p w14:paraId="0430B8F4" w14:textId="77777777" w:rsidR="00F13774" w:rsidRPr="00F13774" w:rsidRDefault="00F13774" w:rsidP="00F13774">
            <w:pPr>
              <w:ind w:right="-427"/>
              <w:jc w:val="both"/>
              <w:rPr>
                <w:rFonts w:ascii="Century Gothic" w:eastAsia="Times New Roman" w:hAnsi="Century Gothic" w:cs="Arial"/>
                <w:b/>
                <w:sz w:val="24"/>
                <w:szCs w:val="24"/>
                <w:lang w:val="es-ES"/>
              </w:rPr>
            </w:pPr>
            <w:r w:rsidRPr="00F13774">
              <w:rPr>
                <w:rFonts w:ascii="Century Gothic" w:eastAsia="Times New Roman" w:hAnsi="Century Gothic" w:cs="Arial"/>
                <w:b/>
                <w:sz w:val="24"/>
                <w:szCs w:val="24"/>
                <w:lang w:val="es-ES"/>
              </w:rPr>
              <w:t xml:space="preserve"> (2020)</w:t>
            </w:r>
            <w:r w:rsidRPr="00F13774">
              <w:rPr>
                <w:rFonts w:ascii="Century Gothic" w:eastAsia="Times New Roman" w:hAnsi="Century Gothic" w:cs="Arial"/>
                <w:b/>
                <w:sz w:val="24"/>
                <w:szCs w:val="24"/>
                <w:lang w:val="es-ES"/>
              </w:rPr>
              <w:fldChar w:fldCharType="end"/>
            </w:r>
          </w:p>
        </w:tc>
      </w:tr>
      <w:tr w:rsidR="00F13774" w:rsidRPr="00F13774" w14:paraId="255453BA" w14:textId="77777777" w:rsidTr="00832216">
        <w:tc>
          <w:tcPr>
            <w:tcW w:w="2155" w:type="dxa"/>
            <w:vAlign w:val="center"/>
          </w:tcPr>
          <w:p w14:paraId="55E83F6A" w14:textId="77777777" w:rsidR="00F13774" w:rsidRPr="00F13774" w:rsidRDefault="00F13774" w:rsidP="00F13774">
            <w:pPr>
              <w:jc w:val="both"/>
              <w:rPr>
                <w:rFonts w:ascii="Century Gothic" w:eastAsia="Times New Roman" w:hAnsi="Century Gothic" w:cs="Arial"/>
                <w:sz w:val="24"/>
                <w:szCs w:val="24"/>
                <w:lang w:val="es-ES"/>
              </w:rPr>
            </w:pPr>
            <w:r w:rsidRPr="00F13774">
              <w:rPr>
                <w:rFonts w:ascii="Century Gothic" w:eastAsia="Times New Roman" w:hAnsi="Century Gothic" w:cs="Arial"/>
                <w:sz w:val="24"/>
                <w:szCs w:val="24"/>
                <w:lang w:val="es-ES"/>
              </w:rPr>
              <w:t>Referencia</w:t>
            </w:r>
          </w:p>
        </w:tc>
        <w:tc>
          <w:tcPr>
            <w:tcW w:w="6776" w:type="dxa"/>
          </w:tcPr>
          <w:p w14:paraId="49D5ACD5" w14:textId="77777777" w:rsidR="00F13774" w:rsidRPr="00F13774" w:rsidRDefault="00F13774" w:rsidP="00F13774">
            <w:pPr>
              <w:jc w:val="both"/>
              <w:rPr>
                <w:rFonts w:ascii="Century Gothic" w:eastAsia="Times New Roman" w:hAnsi="Century Gothic" w:cs="Arial"/>
                <w:b/>
                <w:sz w:val="24"/>
                <w:szCs w:val="24"/>
                <w:lang w:val="es-ES"/>
              </w:rPr>
            </w:pPr>
            <w:r w:rsidRPr="00F13774">
              <w:rPr>
                <w:rFonts w:ascii="Century Gothic" w:eastAsia="Times New Roman" w:hAnsi="Century Gothic" w:cs="Arial"/>
                <w:b/>
                <w:sz w:val="24"/>
                <w:szCs w:val="24"/>
                <w:lang w:val="es-ES"/>
              </w:rPr>
              <w:t>Expediente No. 110013336034</w:t>
            </w:r>
            <w:r w:rsidRPr="00F13774">
              <w:rPr>
                <w:rFonts w:ascii="Century Gothic" w:eastAsia="Times New Roman" w:hAnsi="Century Gothic" w:cs="Arial"/>
                <w:b/>
                <w:sz w:val="24"/>
                <w:szCs w:val="24"/>
                <w:lang w:val="es-ES"/>
              </w:rPr>
              <w:fldChar w:fldCharType="begin"/>
            </w:r>
            <w:r w:rsidRPr="00F13774">
              <w:rPr>
                <w:rFonts w:ascii="Century Gothic" w:eastAsia="Times New Roman" w:hAnsi="Century Gothic" w:cs="Arial"/>
                <w:b/>
                <w:sz w:val="24"/>
                <w:szCs w:val="24"/>
                <w:lang w:val="es-ES"/>
              </w:rPr>
              <w:instrText xml:space="preserve"> MERGEFIELD Año </w:instrText>
            </w:r>
            <w:r w:rsidRPr="00F13774">
              <w:rPr>
                <w:rFonts w:ascii="Century Gothic" w:eastAsia="Times New Roman" w:hAnsi="Century Gothic" w:cs="Arial"/>
                <w:b/>
                <w:sz w:val="24"/>
                <w:szCs w:val="24"/>
                <w:lang w:val="es-ES"/>
              </w:rPr>
              <w:fldChar w:fldCharType="separate"/>
            </w:r>
            <w:r w:rsidRPr="00F13774">
              <w:rPr>
                <w:rFonts w:ascii="Century Gothic" w:eastAsia="Times New Roman" w:hAnsi="Century Gothic" w:cs="Arial"/>
                <w:b/>
                <w:sz w:val="24"/>
                <w:szCs w:val="24"/>
                <w:lang w:val="es-ES"/>
              </w:rPr>
              <w:t>20</w:t>
            </w:r>
            <w:r w:rsidRPr="00F13774">
              <w:rPr>
                <w:rFonts w:ascii="Century Gothic" w:eastAsia="Times New Roman" w:hAnsi="Century Gothic" w:cs="Arial"/>
                <w:b/>
                <w:sz w:val="24"/>
                <w:szCs w:val="24"/>
                <w:lang w:val="es-ES"/>
              </w:rPr>
              <w:fldChar w:fldCharType="end"/>
            </w:r>
            <w:r w:rsidRPr="00F13774">
              <w:rPr>
                <w:rFonts w:ascii="Century Gothic" w:eastAsia="Times New Roman" w:hAnsi="Century Gothic" w:cs="Arial"/>
                <w:b/>
                <w:sz w:val="24"/>
                <w:szCs w:val="24"/>
                <w:lang w:val="es-ES"/>
              </w:rPr>
              <w:t>2000</w:t>
            </w:r>
            <w:bookmarkStart w:id="0" w:name="_GoBack"/>
            <w:bookmarkEnd w:id="0"/>
            <w:r w:rsidRPr="00F13774">
              <w:rPr>
                <w:rFonts w:ascii="Century Gothic" w:eastAsia="Times New Roman" w:hAnsi="Century Gothic" w:cs="Arial"/>
                <w:b/>
                <w:sz w:val="24"/>
                <w:szCs w:val="24"/>
                <w:lang w:val="es-ES"/>
              </w:rPr>
              <w:t>093</w:t>
            </w:r>
            <w:r w:rsidRPr="00F13774">
              <w:rPr>
                <w:rFonts w:ascii="Century Gothic" w:eastAsia="Times New Roman" w:hAnsi="Century Gothic" w:cs="Arial"/>
                <w:b/>
                <w:sz w:val="24"/>
                <w:szCs w:val="24"/>
                <w:lang w:val="es-ES"/>
              </w:rPr>
              <w:fldChar w:fldCharType="begin"/>
            </w:r>
            <w:r w:rsidRPr="00F13774">
              <w:rPr>
                <w:rFonts w:ascii="Century Gothic" w:eastAsia="Times New Roman" w:hAnsi="Century Gothic" w:cs="Arial"/>
                <w:b/>
                <w:sz w:val="24"/>
                <w:szCs w:val="24"/>
                <w:lang w:val="es-ES"/>
              </w:rPr>
              <w:instrText xml:space="preserve"> MERGEFIELD radicado </w:instrText>
            </w:r>
            <w:r w:rsidRPr="00F13774">
              <w:rPr>
                <w:rFonts w:ascii="Century Gothic" w:eastAsia="Times New Roman" w:hAnsi="Century Gothic" w:cs="Arial"/>
                <w:b/>
                <w:sz w:val="24"/>
                <w:szCs w:val="24"/>
                <w:lang w:val="es-ES"/>
              </w:rPr>
              <w:fldChar w:fldCharType="end"/>
            </w:r>
            <w:r w:rsidRPr="00F13774">
              <w:rPr>
                <w:rFonts w:ascii="Century Gothic" w:eastAsia="Times New Roman" w:hAnsi="Century Gothic" w:cs="Arial"/>
                <w:b/>
                <w:sz w:val="24"/>
                <w:szCs w:val="24"/>
                <w:lang w:val="es-ES"/>
              </w:rPr>
              <w:t>00</w:t>
            </w:r>
          </w:p>
        </w:tc>
      </w:tr>
      <w:tr w:rsidR="00F13774" w:rsidRPr="00F13774" w14:paraId="738FA3C6" w14:textId="77777777" w:rsidTr="00832216">
        <w:tc>
          <w:tcPr>
            <w:tcW w:w="2155" w:type="dxa"/>
            <w:vAlign w:val="center"/>
          </w:tcPr>
          <w:p w14:paraId="2F1CD313" w14:textId="77777777" w:rsidR="00F13774" w:rsidRPr="00F13774" w:rsidRDefault="00F13774" w:rsidP="00F13774">
            <w:pPr>
              <w:jc w:val="both"/>
              <w:rPr>
                <w:rFonts w:ascii="Century Gothic" w:eastAsia="Times New Roman" w:hAnsi="Century Gothic" w:cs="Arial"/>
                <w:sz w:val="24"/>
                <w:szCs w:val="24"/>
                <w:lang w:val="es-ES"/>
              </w:rPr>
            </w:pPr>
            <w:r w:rsidRPr="00F13774">
              <w:rPr>
                <w:rFonts w:ascii="Century Gothic" w:eastAsia="Times New Roman" w:hAnsi="Century Gothic" w:cs="Arial"/>
                <w:sz w:val="24"/>
                <w:szCs w:val="24"/>
                <w:lang w:val="es-ES"/>
              </w:rPr>
              <w:t>Demandante</w:t>
            </w:r>
          </w:p>
        </w:tc>
        <w:tc>
          <w:tcPr>
            <w:tcW w:w="6776" w:type="dxa"/>
          </w:tcPr>
          <w:p w14:paraId="7FDA44D5" w14:textId="77777777" w:rsidR="00F13774" w:rsidRPr="00F13774" w:rsidRDefault="00F13774" w:rsidP="00F13774">
            <w:pPr>
              <w:jc w:val="both"/>
              <w:rPr>
                <w:rFonts w:ascii="Century Gothic" w:eastAsia="Times New Roman" w:hAnsi="Century Gothic" w:cs="Arial"/>
                <w:b/>
                <w:sz w:val="24"/>
                <w:szCs w:val="24"/>
                <w:lang w:val="es-ES"/>
              </w:rPr>
            </w:pPr>
            <w:proofErr w:type="spellStart"/>
            <w:r w:rsidRPr="00F13774">
              <w:rPr>
                <w:rFonts w:ascii="Century Gothic" w:eastAsia="Times New Roman" w:hAnsi="Century Gothic" w:cs="Arial"/>
                <w:b/>
                <w:sz w:val="24"/>
                <w:szCs w:val="24"/>
                <w:lang w:val="es-ES"/>
              </w:rPr>
              <w:t>Leimis</w:t>
            </w:r>
            <w:proofErr w:type="spellEnd"/>
            <w:r w:rsidRPr="00F13774">
              <w:rPr>
                <w:rFonts w:ascii="Century Gothic" w:eastAsia="Times New Roman" w:hAnsi="Century Gothic" w:cs="Arial"/>
                <w:b/>
                <w:sz w:val="24"/>
                <w:szCs w:val="24"/>
                <w:lang w:val="es-ES"/>
              </w:rPr>
              <w:t xml:space="preserve"> Pontón Castillejo</w:t>
            </w:r>
          </w:p>
        </w:tc>
      </w:tr>
      <w:tr w:rsidR="00F13774" w:rsidRPr="00F13774" w14:paraId="777196A0" w14:textId="77777777" w:rsidTr="00832216">
        <w:tc>
          <w:tcPr>
            <w:tcW w:w="2155" w:type="dxa"/>
            <w:vAlign w:val="center"/>
          </w:tcPr>
          <w:p w14:paraId="688AE1A2" w14:textId="77777777" w:rsidR="00F13774" w:rsidRPr="00F13774" w:rsidRDefault="00F13774" w:rsidP="00F13774">
            <w:pPr>
              <w:jc w:val="both"/>
              <w:rPr>
                <w:rFonts w:ascii="Century Gothic" w:eastAsia="Times New Roman" w:hAnsi="Century Gothic" w:cs="Arial"/>
                <w:sz w:val="24"/>
                <w:szCs w:val="24"/>
                <w:lang w:val="es-ES"/>
              </w:rPr>
            </w:pPr>
            <w:r w:rsidRPr="00F13774">
              <w:rPr>
                <w:rFonts w:ascii="Century Gothic" w:eastAsia="Times New Roman" w:hAnsi="Century Gothic" w:cs="Arial"/>
                <w:sz w:val="24"/>
                <w:szCs w:val="24"/>
                <w:lang w:val="es-ES"/>
              </w:rPr>
              <w:t>Demandado</w:t>
            </w:r>
          </w:p>
        </w:tc>
        <w:tc>
          <w:tcPr>
            <w:tcW w:w="6776" w:type="dxa"/>
          </w:tcPr>
          <w:p w14:paraId="32FEE3B0" w14:textId="1CAD826E" w:rsidR="00F13774" w:rsidRPr="00F13774" w:rsidRDefault="00F13774" w:rsidP="00F13774">
            <w:pPr>
              <w:jc w:val="both"/>
              <w:rPr>
                <w:rFonts w:ascii="Century Gothic" w:eastAsia="Times New Roman" w:hAnsi="Century Gothic" w:cs="Arial"/>
                <w:b/>
                <w:sz w:val="24"/>
                <w:szCs w:val="24"/>
                <w:lang w:val="es-ES"/>
              </w:rPr>
            </w:pPr>
            <w:r w:rsidRPr="00F13774">
              <w:rPr>
                <w:rFonts w:ascii="Century Gothic" w:eastAsia="Times New Roman" w:hAnsi="Century Gothic" w:cs="Arial"/>
                <w:b/>
                <w:sz w:val="24"/>
                <w:szCs w:val="24"/>
                <w:lang w:val="es-ES"/>
              </w:rPr>
              <w:t>Departamento Administrativo Para La Prosperidad Social</w:t>
            </w:r>
            <w:r w:rsidR="00885C1E">
              <w:rPr>
                <w:rFonts w:ascii="Century Gothic" w:eastAsia="Times New Roman" w:hAnsi="Century Gothic" w:cs="Arial"/>
                <w:b/>
                <w:sz w:val="24"/>
                <w:szCs w:val="24"/>
                <w:lang w:val="es-ES"/>
              </w:rPr>
              <w:t xml:space="preserve"> </w:t>
            </w:r>
            <w:r w:rsidRPr="00F13774">
              <w:rPr>
                <w:rFonts w:ascii="Century Gothic" w:eastAsia="Times New Roman" w:hAnsi="Century Gothic" w:cs="Arial"/>
                <w:b/>
                <w:sz w:val="24"/>
                <w:szCs w:val="24"/>
                <w:lang w:val="es-ES"/>
              </w:rPr>
              <w:t>-</w:t>
            </w:r>
            <w:r w:rsidR="00885C1E">
              <w:rPr>
                <w:rFonts w:ascii="Century Gothic" w:eastAsia="Times New Roman" w:hAnsi="Century Gothic" w:cs="Arial"/>
                <w:b/>
                <w:sz w:val="24"/>
                <w:szCs w:val="24"/>
                <w:lang w:val="es-ES"/>
              </w:rPr>
              <w:t xml:space="preserve"> </w:t>
            </w:r>
            <w:r w:rsidRPr="00F13774">
              <w:rPr>
                <w:rFonts w:ascii="Century Gothic" w:eastAsia="Times New Roman" w:hAnsi="Century Gothic" w:cs="Arial"/>
                <w:b/>
                <w:sz w:val="24"/>
                <w:szCs w:val="24"/>
                <w:lang w:val="es-ES"/>
              </w:rPr>
              <w:t>Programa Familias en Acción de Palmira Valle del Cauca y Bogotá D.C.</w:t>
            </w:r>
          </w:p>
        </w:tc>
      </w:tr>
      <w:tr w:rsidR="00F13774" w:rsidRPr="00F13774" w14:paraId="067FB099" w14:textId="77777777" w:rsidTr="00832216">
        <w:tc>
          <w:tcPr>
            <w:tcW w:w="2155" w:type="dxa"/>
            <w:vAlign w:val="center"/>
          </w:tcPr>
          <w:p w14:paraId="5BAC6119" w14:textId="77777777" w:rsidR="00F13774" w:rsidRPr="00F13774" w:rsidRDefault="00F13774" w:rsidP="00F13774">
            <w:pPr>
              <w:jc w:val="both"/>
              <w:rPr>
                <w:rFonts w:ascii="Century Gothic" w:eastAsia="Times New Roman" w:hAnsi="Century Gothic" w:cs="Arial"/>
                <w:sz w:val="24"/>
                <w:szCs w:val="24"/>
                <w:lang w:val="es-ES"/>
              </w:rPr>
            </w:pPr>
            <w:r w:rsidRPr="00F13774">
              <w:rPr>
                <w:rFonts w:ascii="Century Gothic" w:eastAsia="Times New Roman" w:hAnsi="Century Gothic" w:cs="Arial"/>
                <w:sz w:val="24"/>
                <w:szCs w:val="24"/>
                <w:lang w:val="es-ES"/>
              </w:rPr>
              <w:t>Medio de control</w:t>
            </w:r>
          </w:p>
        </w:tc>
        <w:tc>
          <w:tcPr>
            <w:tcW w:w="6776" w:type="dxa"/>
          </w:tcPr>
          <w:p w14:paraId="7F15E85A" w14:textId="77777777" w:rsidR="00F13774" w:rsidRPr="00F13774" w:rsidRDefault="00F13774" w:rsidP="00F13774">
            <w:pPr>
              <w:jc w:val="both"/>
              <w:rPr>
                <w:rFonts w:ascii="Century Gothic" w:eastAsia="Times New Roman" w:hAnsi="Century Gothic" w:cs="Arial"/>
                <w:b/>
                <w:sz w:val="24"/>
                <w:szCs w:val="24"/>
                <w:lang w:val="es-ES"/>
              </w:rPr>
            </w:pPr>
            <w:r w:rsidRPr="00F13774">
              <w:rPr>
                <w:rFonts w:ascii="Century Gothic" w:eastAsia="Times New Roman" w:hAnsi="Century Gothic" w:cs="Arial"/>
                <w:b/>
                <w:sz w:val="24"/>
                <w:szCs w:val="24"/>
                <w:lang w:val="es-ES"/>
              </w:rPr>
              <w:t>Tutela</w:t>
            </w:r>
          </w:p>
        </w:tc>
      </w:tr>
      <w:tr w:rsidR="00F13774" w:rsidRPr="00F13774" w14:paraId="5C48DD4B" w14:textId="77777777" w:rsidTr="00832216">
        <w:tc>
          <w:tcPr>
            <w:tcW w:w="2155" w:type="dxa"/>
            <w:vAlign w:val="center"/>
          </w:tcPr>
          <w:p w14:paraId="6BA68046" w14:textId="77777777" w:rsidR="00F13774" w:rsidRPr="00F13774" w:rsidRDefault="00F13774" w:rsidP="00F13774">
            <w:pPr>
              <w:jc w:val="both"/>
              <w:rPr>
                <w:rFonts w:ascii="Century Gothic" w:eastAsia="Times New Roman" w:hAnsi="Century Gothic" w:cs="Arial"/>
                <w:sz w:val="24"/>
                <w:szCs w:val="24"/>
                <w:lang w:val="es-ES"/>
              </w:rPr>
            </w:pPr>
            <w:r w:rsidRPr="00F13774">
              <w:rPr>
                <w:rFonts w:ascii="Century Gothic" w:eastAsia="Times New Roman" w:hAnsi="Century Gothic" w:cs="Arial"/>
                <w:sz w:val="24"/>
                <w:szCs w:val="24"/>
                <w:lang w:val="es-ES"/>
              </w:rPr>
              <w:t>Asunto</w:t>
            </w:r>
          </w:p>
        </w:tc>
        <w:tc>
          <w:tcPr>
            <w:tcW w:w="6776" w:type="dxa"/>
          </w:tcPr>
          <w:p w14:paraId="6D93DB16" w14:textId="77777777" w:rsidR="00F13774" w:rsidRPr="00F13774" w:rsidRDefault="00F13774" w:rsidP="00F13774">
            <w:pPr>
              <w:jc w:val="both"/>
              <w:rPr>
                <w:rFonts w:ascii="Century Gothic" w:eastAsia="Times New Roman" w:hAnsi="Century Gothic" w:cs="Arial"/>
                <w:b/>
                <w:sz w:val="24"/>
                <w:szCs w:val="24"/>
                <w:lang w:val="es-ES"/>
              </w:rPr>
            </w:pPr>
            <w:r w:rsidRPr="00F13774">
              <w:rPr>
                <w:rFonts w:ascii="Century Gothic" w:eastAsia="Times New Roman" w:hAnsi="Century Gothic" w:cs="Arial"/>
                <w:b/>
                <w:sz w:val="24"/>
                <w:szCs w:val="24"/>
                <w:lang w:val="es-ES"/>
              </w:rPr>
              <w:t>Sentencia de primera instancia</w:t>
            </w:r>
          </w:p>
        </w:tc>
      </w:tr>
    </w:tbl>
    <w:p w14:paraId="725E5B49" w14:textId="77777777" w:rsidR="00F13774" w:rsidRPr="00F13774" w:rsidRDefault="00F13774" w:rsidP="00F13774">
      <w:pPr>
        <w:spacing w:line="360" w:lineRule="auto"/>
        <w:jc w:val="both"/>
        <w:rPr>
          <w:rFonts w:ascii="Century Gothic" w:eastAsia="Times New Roman" w:hAnsi="Century Gothic" w:cs="Arial"/>
          <w:sz w:val="24"/>
          <w:szCs w:val="24"/>
          <w:lang w:val="es-ES"/>
        </w:rPr>
      </w:pPr>
    </w:p>
    <w:p w14:paraId="28E105F1" w14:textId="77777777" w:rsidR="00F13774" w:rsidRPr="00F13774" w:rsidRDefault="00F13774" w:rsidP="00F13774">
      <w:pPr>
        <w:spacing w:line="360" w:lineRule="auto"/>
        <w:jc w:val="center"/>
        <w:rPr>
          <w:rFonts w:ascii="Century Gothic" w:eastAsia="Times New Roman" w:hAnsi="Century Gothic" w:cs="Arial"/>
          <w:b/>
          <w:sz w:val="24"/>
          <w:szCs w:val="24"/>
          <w:lang w:val="es-ES"/>
        </w:rPr>
      </w:pPr>
      <w:r w:rsidRPr="00F13774">
        <w:rPr>
          <w:rFonts w:ascii="Century Gothic" w:eastAsia="Times New Roman" w:hAnsi="Century Gothic" w:cs="Arial"/>
          <w:b/>
          <w:sz w:val="24"/>
          <w:szCs w:val="24"/>
          <w:lang w:val="es-ES"/>
        </w:rPr>
        <w:t>SENTENCIA</w:t>
      </w:r>
    </w:p>
    <w:p w14:paraId="5BADC34B" w14:textId="77777777" w:rsidR="00F13774" w:rsidRPr="00F13774" w:rsidRDefault="00F13774" w:rsidP="00F13774">
      <w:pPr>
        <w:spacing w:line="360" w:lineRule="auto"/>
        <w:jc w:val="center"/>
        <w:rPr>
          <w:rFonts w:ascii="Century Gothic" w:eastAsia="Times New Roman" w:hAnsi="Century Gothic" w:cs="Arial"/>
          <w:sz w:val="24"/>
          <w:szCs w:val="24"/>
          <w:lang w:val="es-ES"/>
        </w:rPr>
      </w:pPr>
    </w:p>
    <w:p w14:paraId="3429FECC" w14:textId="6334EE3B" w:rsidR="00F13774" w:rsidRPr="00F13774" w:rsidRDefault="00F13774" w:rsidP="00F13774">
      <w:pPr>
        <w:spacing w:line="360" w:lineRule="auto"/>
        <w:jc w:val="both"/>
        <w:rPr>
          <w:rFonts w:ascii="Century Gothic" w:eastAsia="Times New Roman" w:hAnsi="Century Gothic" w:cs="Arial"/>
          <w:b/>
          <w:sz w:val="24"/>
          <w:szCs w:val="24"/>
          <w:lang w:val="es-ES"/>
        </w:rPr>
      </w:pPr>
      <w:r w:rsidRPr="00F13774">
        <w:rPr>
          <w:rFonts w:ascii="Century Gothic" w:eastAsia="Times New Roman" w:hAnsi="Century Gothic" w:cs="Arial"/>
          <w:sz w:val="24"/>
          <w:szCs w:val="24"/>
          <w:lang w:val="es-ES"/>
        </w:rPr>
        <w:t xml:space="preserve">El despacho decide la acción de tutela que presentó </w:t>
      </w:r>
      <w:r w:rsidR="00236265">
        <w:rPr>
          <w:rFonts w:ascii="Century Gothic" w:eastAsia="Times New Roman" w:hAnsi="Century Gothic" w:cs="Arial"/>
          <w:sz w:val="24"/>
          <w:szCs w:val="24"/>
          <w:lang w:val="es-ES"/>
        </w:rPr>
        <w:t>en nombre propio</w:t>
      </w:r>
      <w:r w:rsidRPr="00F13774">
        <w:rPr>
          <w:rFonts w:ascii="Century Gothic" w:eastAsia="Times New Roman" w:hAnsi="Century Gothic" w:cs="Arial"/>
          <w:sz w:val="24"/>
          <w:szCs w:val="24"/>
          <w:lang w:val="es-ES"/>
        </w:rPr>
        <w:t xml:space="preserve"> la señora </w:t>
      </w:r>
      <w:proofErr w:type="spellStart"/>
      <w:r w:rsidR="00236265">
        <w:rPr>
          <w:rFonts w:ascii="Century Gothic" w:eastAsia="Times New Roman" w:hAnsi="Century Gothic" w:cs="Arial"/>
          <w:sz w:val="24"/>
          <w:szCs w:val="24"/>
          <w:lang w:val="es-ES"/>
        </w:rPr>
        <w:t>Leimis</w:t>
      </w:r>
      <w:proofErr w:type="spellEnd"/>
      <w:r w:rsidR="00236265">
        <w:rPr>
          <w:rFonts w:ascii="Century Gothic" w:eastAsia="Times New Roman" w:hAnsi="Century Gothic" w:cs="Arial"/>
          <w:sz w:val="24"/>
          <w:szCs w:val="24"/>
          <w:lang w:val="es-ES"/>
        </w:rPr>
        <w:t xml:space="preserve"> Pontón Castillejo</w:t>
      </w:r>
      <w:r w:rsidRPr="00F13774">
        <w:rPr>
          <w:rFonts w:ascii="Century Gothic" w:eastAsia="Times New Roman" w:hAnsi="Century Gothic" w:cs="Arial"/>
          <w:sz w:val="24"/>
          <w:szCs w:val="24"/>
          <w:lang w:val="es-ES"/>
        </w:rPr>
        <w:t xml:space="preserve"> en contra de</w:t>
      </w:r>
      <w:r w:rsidR="0002120A">
        <w:rPr>
          <w:rFonts w:ascii="Century Gothic" w:eastAsia="Times New Roman" w:hAnsi="Century Gothic" w:cs="Arial"/>
          <w:sz w:val="24"/>
          <w:szCs w:val="24"/>
          <w:lang w:val="es-ES"/>
        </w:rPr>
        <w:t xml:space="preserve">l Departamento Administrativo </w:t>
      </w:r>
      <w:r w:rsidR="00E64184">
        <w:rPr>
          <w:rFonts w:ascii="Century Gothic" w:eastAsia="Times New Roman" w:hAnsi="Century Gothic" w:cs="Arial"/>
          <w:sz w:val="24"/>
          <w:szCs w:val="24"/>
          <w:lang w:val="es-ES"/>
        </w:rPr>
        <w:t>p</w:t>
      </w:r>
      <w:r w:rsidR="0002120A">
        <w:rPr>
          <w:rFonts w:ascii="Century Gothic" w:eastAsia="Times New Roman" w:hAnsi="Century Gothic" w:cs="Arial"/>
          <w:sz w:val="24"/>
          <w:szCs w:val="24"/>
          <w:lang w:val="es-ES"/>
        </w:rPr>
        <w:t xml:space="preserve">ara </w:t>
      </w:r>
      <w:r w:rsidR="00E64184">
        <w:rPr>
          <w:rFonts w:ascii="Century Gothic" w:eastAsia="Times New Roman" w:hAnsi="Century Gothic" w:cs="Arial"/>
          <w:sz w:val="24"/>
          <w:szCs w:val="24"/>
          <w:lang w:val="es-ES"/>
        </w:rPr>
        <w:t>l</w:t>
      </w:r>
      <w:r w:rsidR="0002120A">
        <w:rPr>
          <w:rFonts w:ascii="Century Gothic" w:eastAsia="Times New Roman" w:hAnsi="Century Gothic" w:cs="Arial"/>
          <w:sz w:val="24"/>
          <w:szCs w:val="24"/>
          <w:lang w:val="es-ES"/>
        </w:rPr>
        <w:t>a Prosperidad Social – Programa de Familias en Acción de Palmira Valle del Cauca y Bogotá D.C.,</w:t>
      </w:r>
      <w:r w:rsidRPr="00F13774">
        <w:rPr>
          <w:rFonts w:ascii="Century Gothic" w:eastAsia="Times New Roman" w:hAnsi="Century Gothic" w:cs="Arial"/>
          <w:sz w:val="24"/>
          <w:szCs w:val="24"/>
          <w:lang w:val="es-ES"/>
        </w:rPr>
        <w:t xml:space="preserve"> con el fin de proteger sus derechos fundamentales a</w:t>
      </w:r>
      <w:r w:rsidR="0002120A">
        <w:rPr>
          <w:rFonts w:ascii="Century Gothic" w:eastAsia="Times New Roman" w:hAnsi="Century Gothic" w:cs="Arial"/>
          <w:sz w:val="24"/>
          <w:szCs w:val="24"/>
          <w:lang w:val="es-ES"/>
        </w:rPr>
        <w:t xml:space="preserve">l mínimo vital, debido proceso </w:t>
      </w:r>
      <w:r w:rsidR="00465820">
        <w:rPr>
          <w:rFonts w:ascii="Century Gothic" w:eastAsia="Times New Roman" w:hAnsi="Century Gothic" w:cs="Arial"/>
          <w:sz w:val="24"/>
          <w:szCs w:val="24"/>
          <w:lang w:val="es-ES"/>
        </w:rPr>
        <w:t>y dignidad humana</w:t>
      </w:r>
      <w:r w:rsidRPr="00F13774">
        <w:rPr>
          <w:rFonts w:ascii="Century Gothic" w:eastAsia="Times New Roman" w:hAnsi="Century Gothic" w:cs="Arial"/>
          <w:sz w:val="24"/>
          <w:szCs w:val="24"/>
          <w:lang w:val="es-ES"/>
        </w:rPr>
        <w:t xml:space="preserve">. </w:t>
      </w:r>
    </w:p>
    <w:p w14:paraId="4A2096D3" w14:textId="77777777" w:rsidR="00F13774" w:rsidRPr="00F13774" w:rsidRDefault="00F13774" w:rsidP="00F13774">
      <w:pPr>
        <w:tabs>
          <w:tab w:val="left" w:pos="5472"/>
        </w:tabs>
        <w:spacing w:line="360" w:lineRule="auto"/>
        <w:jc w:val="both"/>
        <w:rPr>
          <w:rFonts w:ascii="Century Gothic" w:eastAsia="Times New Roman" w:hAnsi="Century Gothic" w:cs="Arial"/>
          <w:sz w:val="24"/>
          <w:szCs w:val="24"/>
          <w:lang w:val="es-ES"/>
        </w:rPr>
      </w:pPr>
    </w:p>
    <w:p w14:paraId="5F46F7C3" w14:textId="77777777" w:rsidR="00F13774" w:rsidRPr="00F13774" w:rsidRDefault="00F13774" w:rsidP="00F13774">
      <w:pPr>
        <w:tabs>
          <w:tab w:val="left" w:pos="5472"/>
        </w:tabs>
        <w:spacing w:line="360" w:lineRule="auto"/>
        <w:jc w:val="center"/>
        <w:rPr>
          <w:rFonts w:ascii="Century Gothic" w:eastAsia="Times New Roman" w:hAnsi="Century Gothic" w:cs="Arial"/>
          <w:b/>
          <w:sz w:val="24"/>
          <w:szCs w:val="24"/>
          <w:lang w:val="es-ES"/>
        </w:rPr>
      </w:pPr>
      <w:r w:rsidRPr="00F13774">
        <w:rPr>
          <w:rFonts w:ascii="Century Gothic" w:eastAsia="Times New Roman" w:hAnsi="Century Gothic" w:cs="Arial"/>
          <w:b/>
          <w:sz w:val="24"/>
          <w:szCs w:val="24"/>
          <w:lang w:val="es-ES"/>
        </w:rPr>
        <w:t>I. ANTECEDENTES</w:t>
      </w:r>
    </w:p>
    <w:p w14:paraId="409BEF3F" w14:textId="77777777" w:rsidR="00F13774" w:rsidRPr="00F13774" w:rsidRDefault="00F13774" w:rsidP="00F13774">
      <w:pPr>
        <w:tabs>
          <w:tab w:val="left" w:pos="5472"/>
        </w:tabs>
        <w:spacing w:line="360" w:lineRule="auto"/>
        <w:jc w:val="both"/>
        <w:rPr>
          <w:rFonts w:ascii="Century Gothic" w:eastAsia="Times New Roman" w:hAnsi="Century Gothic" w:cs="Arial"/>
          <w:sz w:val="24"/>
          <w:szCs w:val="24"/>
          <w:lang w:val="es-ES"/>
        </w:rPr>
      </w:pPr>
    </w:p>
    <w:p w14:paraId="393623F2" w14:textId="3F351F41" w:rsidR="00F13774" w:rsidRPr="00F13774" w:rsidRDefault="00F13774" w:rsidP="00F13774">
      <w:pPr>
        <w:tabs>
          <w:tab w:val="left" w:pos="5472"/>
        </w:tabs>
        <w:spacing w:line="360" w:lineRule="auto"/>
        <w:jc w:val="both"/>
        <w:rPr>
          <w:rFonts w:ascii="Century Gothic" w:eastAsia="Times New Roman" w:hAnsi="Century Gothic" w:cs="Arial"/>
          <w:b/>
          <w:sz w:val="24"/>
          <w:szCs w:val="24"/>
          <w:lang w:val="es-ES"/>
        </w:rPr>
      </w:pPr>
      <w:r w:rsidRPr="00F13774">
        <w:rPr>
          <w:rFonts w:ascii="Century Gothic" w:eastAsia="Times New Roman" w:hAnsi="Century Gothic" w:cs="Arial"/>
          <w:b/>
          <w:sz w:val="24"/>
          <w:szCs w:val="24"/>
          <w:lang w:val="es-ES"/>
        </w:rPr>
        <w:t>1. Síntesis del caso</w:t>
      </w:r>
    </w:p>
    <w:p w14:paraId="6D0DCF81" w14:textId="77777777" w:rsidR="00F13774" w:rsidRPr="00F13774" w:rsidRDefault="00F13774" w:rsidP="00F13774">
      <w:pPr>
        <w:spacing w:line="360" w:lineRule="auto"/>
        <w:ind w:right="-568"/>
        <w:jc w:val="both"/>
        <w:rPr>
          <w:rFonts w:ascii="Century Gothic" w:eastAsia="Times New Roman" w:hAnsi="Century Gothic" w:cs="Arial"/>
          <w:sz w:val="24"/>
          <w:szCs w:val="24"/>
          <w:lang w:val="es-ES"/>
        </w:rPr>
      </w:pPr>
    </w:p>
    <w:p w14:paraId="45DE8AD7" w14:textId="173D55F0" w:rsidR="00465820" w:rsidRDefault="00F13774" w:rsidP="00465820">
      <w:pPr>
        <w:spacing w:line="360" w:lineRule="auto"/>
        <w:ind w:right="-1"/>
        <w:jc w:val="both"/>
        <w:rPr>
          <w:rFonts w:ascii="Century Gothic" w:hAnsi="Century Gothic" w:cs="Arial"/>
          <w:sz w:val="24"/>
          <w:szCs w:val="24"/>
          <w:lang w:val="es-ES"/>
        </w:rPr>
      </w:pPr>
      <w:r w:rsidRPr="00F13774">
        <w:rPr>
          <w:rFonts w:ascii="Century Gothic" w:hAnsi="Century Gothic" w:cs="Arial"/>
          <w:sz w:val="24"/>
          <w:szCs w:val="24"/>
          <w:lang w:val="es-ES"/>
        </w:rPr>
        <w:t xml:space="preserve">1. </w:t>
      </w:r>
      <w:r w:rsidR="00704067">
        <w:rPr>
          <w:rFonts w:ascii="Century Gothic" w:hAnsi="Century Gothic" w:cs="Arial"/>
          <w:sz w:val="24"/>
          <w:szCs w:val="24"/>
          <w:lang w:val="es-ES"/>
        </w:rPr>
        <w:t xml:space="preserve">La señora </w:t>
      </w:r>
      <w:proofErr w:type="spellStart"/>
      <w:r w:rsidR="00704067">
        <w:rPr>
          <w:rFonts w:ascii="Century Gothic" w:hAnsi="Century Gothic" w:cs="Arial"/>
          <w:sz w:val="24"/>
          <w:szCs w:val="24"/>
          <w:lang w:val="es-ES"/>
        </w:rPr>
        <w:t>Leimis</w:t>
      </w:r>
      <w:proofErr w:type="spellEnd"/>
      <w:r w:rsidR="00704067">
        <w:rPr>
          <w:rFonts w:ascii="Century Gothic" w:hAnsi="Century Gothic" w:cs="Arial"/>
          <w:sz w:val="24"/>
          <w:szCs w:val="24"/>
          <w:lang w:val="es-ES"/>
        </w:rPr>
        <w:t xml:space="preserve"> Pontón Castillejo </w:t>
      </w:r>
      <w:r w:rsidR="00E64184">
        <w:rPr>
          <w:rFonts w:ascii="Century Gothic" w:hAnsi="Century Gothic" w:cs="Arial"/>
          <w:sz w:val="24"/>
          <w:szCs w:val="24"/>
          <w:lang w:val="es-ES"/>
        </w:rPr>
        <w:t>manifestó</w:t>
      </w:r>
      <w:r w:rsidR="00704067">
        <w:rPr>
          <w:rFonts w:ascii="Century Gothic" w:hAnsi="Century Gothic" w:cs="Arial"/>
          <w:sz w:val="24"/>
          <w:szCs w:val="24"/>
          <w:lang w:val="es-ES"/>
        </w:rPr>
        <w:t xml:space="preserve"> </w:t>
      </w:r>
      <w:r w:rsidR="00E64184">
        <w:rPr>
          <w:rFonts w:ascii="Century Gothic" w:hAnsi="Century Gothic" w:cs="Arial"/>
          <w:sz w:val="24"/>
          <w:szCs w:val="24"/>
          <w:lang w:val="es-ES"/>
        </w:rPr>
        <w:t xml:space="preserve">ser </w:t>
      </w:r>
      <w:r w:rsidR="00704067">
        <w:rPr>
          <w:rFonts w:ascii="Century Gothic" w:hAnsi="Century Gothic" w:cs="Arial"/>
          <w:sz w:val="24"/>
          <w:szCs w:val="24"/>
          <w:lang w:val="es-ES"/>
        </w:rPr>
        <w:t xml:space="preserve">madre cabeza de familia y víctima del conflicto armado, por lo que </w:t>
      </w:r>
      <w:r w:rsidR="00E64184">
        <w:rPr>
          <w:rFonts w:ascii="Century Gothic" w:hAnsi="Century Gothic" w:cs="Arial"/>
          <w:sz w:val="24"/>
          <w:szCs w:val="24"/>
          <w:lang w:val="es-ES"/>
        </w:rPr>
        <w:t>indicó está</w:t>
      </w:r>
      <w:r w:rsidR="00704067">
        <w:rPr>
          <w:rFonts w:ascii="Century Gothic" w:hAnsi="Century Gothic" w:cs="Arial"/>
          <w:sz w:val="24"/>
          <w:szCs w:val="24"/>
          <w:lang w:val="es-ES"/>
        </w:rPr>
        <w:t xml:space="preserve"> inscrita en el Reg</w:t>
      </w:r>
      <w:r w:rsidR="00885C1E">
        <w:rPr>
          <w:rFonts w:ascii="Century Gothic" w:hAnsi="Century Gothic" w:cs="Arial"/>
          <w:sz w:val="24"/>
          <w:szCs w:val="24"/>
          <w:lang w:val="es-ES"/>
        </w:rPr>
        <w:t>i</w:t>
      </w:r>
      <w:r w:rsidR="00704067">
        <w:rPr>
          <w:rFonts w:ascii="Century Gothic" w:hAnsi="Century Gothic" w:cs="Arial"/>
          <w:sz w:val="24"/>
          <w:szCs w:val="24"/>
          <w:lang w:val="es-ES"/>
        </w:rPr>
        <w:t xml:space="preserve">stro Único de Víctimas </w:t>
      </w:r>
      <w:r w:rsidR="00AD33D3">
        <w:rPr>
          <w:rFonts w:ascii="Century Gothic" w:hAnsi="Century Gothic" w:cs="Arial"/>
          <w:sz w:val="24"/>
          <w:szCs w:val="24"/>
          <w:lang w:val="es-ES"/>
        </w:rPr>
        <w:t xml:space="preserve">y </w:t>
      </w:r>
      <w:r w:rsidR="00E64184">
        <w:rPr>
          <w:rFonts w:ascii="Century Gothic" w:hAnsi="Century Gothic" w:cs="Arial"/>
          <w:sz w:val="24"/>
          <w:szCs w:val="24"/>
          <w:lang w:val="es-ES"/>
        </w:rPr>
        <w:t>es</w:t>
      </w:r>
      <w:r w:rsidR="00AD33D3">
        <w:rPr>
          <w:rFonts w:ascii="Century Gothic" w:hAnsi="Century Gothic" w:cs="Arial"/>
          <w:sz w:val="24"/>
          <w:szCs w:val="24"/>
          <w:lang w:val="es-ES"/>
        </w:rPr>
        <w:t xml:space="preserve"> beneficiaria del programa </w:t>
      </w:r>
      <w:r w:rsidR="00E64184">
        <w:rPr>
          <w:rFonts w:ascii="Century Gothic" w:hAnsi="Century Gothic" w:cs="Arial"/>
          <w:sz w:val="24"/>
          <w:szCs w:val="24"/>
          <w:lang w:val="es-ES"/>
        </w:rPr>
        <w:t>de f</w:t>
      </w:r>
      <w:r w:rsidR="00AD33D3">
        <w:rPr>
          <w:rFonts w:ascii="Century Gothic" w:hAnsi="Century Gothic" w:cs="Arial"/>
          <w:sz w:val="24"/>
          <w:szCs w:val="24"/>
          <w:lang w:val="es-ES"/>
        </w:rPr>
        <w:t xml:space="preserve">amilias en </w:t>
      </w:r>
      <w:r w:rsidR="00E64184">
        <w:rPr>
          <w:rFonts w:ascii="Century Gothic" w:hAnsi="Century Gothic" w:cs="Arial"/>
          <w:sz w:val="24"/>
          <w:szCs w:val="24"/>
          <w:lang w:val="es-ES"/>
        </w:rPr>
        <w:t>a</w:t>
      </w:r>
      <w:r w:rsidR="00AD33D3">
        <w:rPr>
          <w:rFonts w:ascii="Century Gothic" w:hAnsi="Century Gothic" w:cs="Arial"/>
          <w:sz w:val="24"/>
          <w:szCs w:val="24"/>
          <w:lang w:val="es-ES"/>
        </w:rPr>
        <w:t>cción en Palmira</w:t>
      </w:r>
      <w:r w:rsidR="00E64184">
        <w:rPr>
          <w:rFonts w:ascii="Century Gothic" w:hAnsi="Century Gothic" w:cs="Arial"/>
          <w:sz w:val="24"/>
          <w:szCs w:val="24"/>
          <w:lang w:val="es-ES"/>
        </w:rPr>
        <w:t xml:space="preserve">, </w:t>
      </w:r>
      <w:r w:rsidR="00AD33D3">
        <w:rPr>
          <w:rFonts w:ascii="Century Gothic" w:hAnsi="Century Gothic" w:cs="Arial"/>
          <w:sz w:val="24"/>
          <w:szCs w:val="24"/>
          <w:lang w:val="es-ES"/>
        </w:rPr>
        <w:t xml:space="preserve">Valle del Cauca. </w:t>
      </w:r>
    </w:p>
    <w:p w14:paraId="4C03707B" w14:textId="4B8F664C" w:rsidR="00AD33D3" w:rsidRDefault="00AD33D3" w:rsidP="00465820">
      <w:pPr>
        <w:spacing w:line="360" w:lineRule="auto"/>
        <w:ind w:right="-1"/>
        <w:jc w:val="both"/>
        <w:rPr>
          <w:rFonts w:ascii="Century Gothic" w:hAnsi="Century Gothic" w:cs="Arial"/>
          <w:sz w:val="24"/>
          <w:szCs w:val="24"/>
          <w:lang w:val="es-ES"/>
        </w:rPr>
      </w:pPr>
    </w:p>
    <w:p w14:paraId="575450C4" w14:textId="43B2A3EA" w:rsidR="00055D19" w:rsidRDefault="00055D19" w:rsidP="00055D19">
      <w:pPr>
        <w:spacing w:line="360" w:lineRule="auto"/>
        <w:ind w:right="-1"/>
        <w:jc w:val="both"/>
        <w:rPr>
          <w:rFonts w:ascii="Century Gothic" w:hAnsi="Century Gothic" w:cs="Arial"/>
          <w:sz w:val="24"/>
          <w:szCs w:val="24"/>
          <w:lang w:val="es-ES"/>
        </w:rPr>
      </w:pPr>
      <w:r>
        <w:rPr>
          <w:rFonts w:ascii="Century Gothic" w:hAnsi="Century Gothic" w:cs="Arial"/>
          <w:sz w:val="24"/>
          <w:szCs w:val="24"/>
          <w:lang w:val="es-ES"/>
        </w:rPr>
        <w:t xml:space="preserve">2. </w:t>
      </w:r>
      <w:r w:rsidR="00E64184">
        <w:rPr>
          <w:rFonts w:ascii="Century Gothic" w:hAnsi="Century Gothic" w:cs="Arial"/>
          <w:sz w:val="24"/>
          <w:szCs w:val="24"/>
          <w:lang w:val="es-ES"/>
        </w:rPr>
        <w:t>Señaló que hace</w:t>
      </w:r>
      <w:r w:rsidR="0080001B">
        <w:rPr>
          <w:rFonts w:ascii="Century Gothic" w:hAnsi="Century Gothic" w:cs="Arial"/>
          <w:sz w:val="24"/>
          <w:szCs w:val="24"/>
          <w:lang w:val="es-ES"/>
        </w:rPr>
        <w:t xml:space="preserve"> un año cambió de residencia a la ciudad de Bogotá,</w:t>
      </w:r>
      <w:r w:rsidR="00E64184">
        <w:rPr>
          <w:rFonts w:ascii="Century Gothic" w:hAnsi="Century Gothic" w:cs="Arial"/>
          <w:sz w:val="24"/>
          <w:szCs w:val="24"/>
          <w:lang w:val="es-ES"/>
        </w:rPr>
        <w:t xml:space="preserve"> motivo por el que solicitó</w:t>
      </w:r>
      <w:r w:rsidR="00735831">
        <w:rPr>
          <w:rFonts w:ascii="Century Gothic" w:hAnsi="Century Gothic" w:cs="Arial"/>
          <w:sz w:val="24"/>
          <w:szCs w:val="24"/>
          <w:lang w:val="es-ES"/>
        </w:rPr>
        <w:t xml:space="preserve"> en varias ocasiones</w:t>
      </w:r>
      <w:r w:rsidR="0080001B">
        <w:rPr>
          <w:rFonts w:ascii="Century Gothic" w:hAnsi="Century Gothic" w:cs="Arial"/>
          <w:sz w:val="24"/>
          <w:szCs w:val="24"/>
          <w:lang w:val="es-ES"/>
        </w:rPr>
        <w:t xml:space="preserve"> </w:t>
      </w:r>
      <w:r w:rsidR="00E800DB">
        <w:rPr>
          <w:rFonts w:ascii="Century Gothic" w:hAnsi="Century Gothic" w:cs="Arial"/>
          <w:sz w:val="24"/>
          <w:szCs w:val="24"/>
          <w:lang w:val="es-ES"/>
        </w:rPr>
        <w:t>recibir e</w:t>
      </w:r>
      <w:r w:rsidR="00153459">
        <w:rPr>
          <w:rFonts w:ascii="Century Gothic" w:hAnsi="Century Gothic" w:cs="Arial"/>
          <w:sz w:val="24"/>
          <w:szCs w:val="24"/>
          <w:lang w:val="es-ES"/>
        </w:rPr>
        <w:t>l incentivo</w:t>
      </w:r>
      <w:r w:rsidR="00D0222F">
        <w:rPr>
          <w:rFonts w:ascii="Century Gothic" w:hAnsi="Century Gothic" w:cs="Arial"/>
          <w:sz w:val="24"/>
          <w:szCs w:val="24"/>
          <w:lang w:val="es-ES"/>
        </w:rPr>
        <w:t xml:space="preserve"> en</w:t>
      </w:r>
      <w:r w:rsidR="00A34C5C">
        <w:rPr>
          <w:rFonts w:ascii="Century Gothic" w:hAnsi="Century Gothic" w:cs="Arial"/>
          <w:sz w:val="24"/>
          <w:szCs w:val="24"/>
          <w:lang w:val="es-ES"/>
        </w:rPr>
        <w:t xml:space="preserve"> </w:t>
      </w:r>
      <w:r w:rsidR="00153459">
        <w:rPr>
          <w:rFonts w:ascii="Century Gothic" w:hAnsi="Century Gothic" w:cs="Arial"/>
          <w:sz w:val="24"/>
          <w:szCs w:val="24"/>
          <w:lang w:val="es-ES"/>
        </w:rPr>
        <w:t>esta</w:t>
      </w:r>
      <w:r w:rsidR="00A34C5C">
        <w:rPr>
          <w:rFonts w:ascii="Century Gothic" w:hAnsi="Century Gothic" w:cs="Arial"/>
          <w:sz w:val="24"/>
          <w:szCs w:val="24"/>
          <w:lang w:val="es-ES"/>
        </w:rPr>
        <w:t xml:space="preserve"> ciudad</w:t>
      </w:r>
      <w:r w:rsidR="00D0222F">
        <w:rPr>
          <w:rFonts w:ascii="Century Gothic" w:hAnsi="Century Gothic" w:cs="Arial"/>
          <w:sz w:val="24"/>
          <w:szCs w:val="24"/>
          <w:lang w:val="es-ES"/>
        </w:rPr>
        <w:t>,</w:t>
      </w:r>
      <w:r w:rsidR="00A34C5C">
        <w:rPr>
          <w:rFonts w:ascii="Century Gothic" w:hAnsi="Century Gothic" w:cs="Arial"/>
          <w:sz w:val="24"/>
          <w:szCs w:val="24"/>
          <w:lang w:val="es-ES"/>
        </w:rPr>
        <w:t xml:space="preserve"> sin que </w:t>
      </w:r>
      <w:r w:rsidR="00E64184">
        <w:rPr>
          <w:rFonts w:ascii="Century Gothic" w:hAnsi="Century Gothic" w:cs="Arial"/>
          <w:sz w:val="24"/>
          <w:szCs w:val="24"/>
          <w:lang w:val="es-ES"/>
        </w:rPr>
        <w:t>esto fuere</w:t>
      </w:r>
      <w:r w:rsidR="00A34C5C">
        <w:rPr>
          <w:rFonts w:ascii="Century Gothic" w:hAnsi="Century Gothic" w:cs="Arial"/>
          <w:sz w:val="24"/>
          <w:szCs w:val="24"/>
          <w:lang w:val="es-ES"/>
        </w:rPr>
        <w:t xml:space="preserve"> posible. </w:t>
      </w:r>
    </w:p>
    <w:p w14:paraId="4B9F5C3B" w14:textId="691147E5" w:rsidR="00F13774" w:rsidRPr="00F13774" w:rsidRDefault="00D0222F" w:rsidP="00F13774">
      <w:pPr>
        <w:spacing w:line="360" w:lineRule="auto"/>
        <w:ind w:right="-1"/>
        <w:jc w:val="both"/>
        <w:rPr>
          <w:rFonts w:ascii="Century Gothic" w:hAnsi="Century Gothic" w:cs="Arial"/>
          <w:sz w:val="24"/>
          <w:szCs w:val="24"/>
          <w:lang w:val="es-ES"/>
        </w:rPr>
      </w:pPr>
      <w:r>
        <w:rPr>
          <w:rFonts w:ascii="Century Gothic" w:hAnsi="Century Gothic" w:cs="Arial"/>
          <w:sz w:val="24"/>
          <w:szCs w:val="24"/>
          <w:lang w:val="es-ES"/>
        </w:rPr>
        <w:lastRenderedPageBreak/>
        <w:t xml:space="preserve">3. </w:t>
      </w:r>
      <w:r w:rsidR="00E64184">
        <w:rPr>
          <w:rFonts w:ascii="Century Gothic" w:hAnsi="Century Gothic" w:cs="Arial"/>
          <w:sz w:val="24"/>
          <w:szCs w:val="24"/>
          <w:lang w:val="es-ES"/>
        </w:rPr>
        <w:t>Indicó que d</w:t>
      </w:r>
      <w:r w:rsidR="00CC0732">
        <w:rPr>
          <w:rFonts w:ascii="Century Gothic" w:hAnsi="Century Gothic" w:cs="Arial"/>
          <w:sz w:val="24"/>
          <w:szCs w:val="24"/>
          <w:lang w:val="es-ES"/>
        </w:rPr>
        <w:t xml:space="preserve">ebido a la situación de orden público </w:t>
      </w:r>
      <w:r w:rsidR="00E64184">
        <w:rPr>
          <w:rFonts w:ascii="Century Gothic" w:hAnsi="Century Gothic" w:cs="Arial"/>
          <w:sz w:val="24"/>
          <w:szCs w:val="24"/>
          <w:lang w:val="es-ES"/>
        </w:rPr>
        <w:t xml:space="preserve">que ocasionó </w:t>
      </w:r>
      <w:r w:rsidR="00CC0732">
        <w:rPr>
          <w:rFonts w:ascii="Century Gothic" w:hAnsi="Century Gothic" w:cs="Arial"/>
          <w:sz w:val="24"/>
          <w:szCs w:val="24"/>
          <w:lang w:val="es-ES"/>
        </w:rPr>
        <w:t>la pandemia C</w:t>
      </w:r>
      <w:r w:rsidR="00FB19F8">
        <w:rPr>
          <w:rFonts w:ascii="Century Gothic" w:hAnsi="Century Gothic" w:cs="Arial"/>
          <w:sz w:val="24"/>
          <w:szCs w:val="24"/>
          <w:lang w:val="es-ES"/>
        </w:rPr>
        <w:t>ovid</w:t>
      </w:r>
      <w:r w:rsidR="00CC0732">
        <w:rPr>
          <w:rFonts w:ascii="Century Gothic" w:hAnsi="Century Gothic" w:cs="Arial"/>
          <w:sz w:val="24"/>
          <w:szCs w:val="24"/>
          <w:lang w:val="es-ES"/>
        </w:rPr>
        <w:t>-19, así como por su precaria situación</w:t>
      </w:r>
      <w:r w:rsidR="00CC5EF1">
        <w:rPr>
          <w:rFonts w:ascii="Century Gothic" w:hAnsi="Century Gothic" w:cs="Arial"/>
          <w:sz w:val="24"/>
          <w:szCs w:val="24"/>
          <w:lang w:val="es-ES"/>
        </w:rPr>
        <w:t xml:space="preserve"> económica, no</w:t>
      </w:r>
      <w:r w:rsidR="00E64184">
        <w:rPr>
          <w:rFonts w:ascii="Century Gothic" w:hAnsi="Century Gothic" w:cs="Arial"/>
          <w:sz w:val="24"/>
          <w:szCs w:val="24"/>
          <w:lang w:val="es-ES"/>
        </w:rPr>
        <w:t xml:space="preserve"> puede trasladarse a Palmira, Valle del Cauca, para reclamar el subsidio</w:t>
      </w:r>
      <w:r w:rsidR="00F13774" w:rsidRPr="00F13774">
        <w:rPr>
          <w:rFonts w:ascii="Century Gothic" w:hAnsi="Century Gothic"/>
          <w:sz w:val="24"/>
          <w:szCs w:val="24"/>
          <w:vertAlign w:val="superscript"/>
          <w:lang w:val="es-ES"/>
        </w:rPr>
        <w:footnoteReference w:id="2"/>
      </w:r>
      <w:r w:rsidR="00F13774" w:rsidRPr="00F13774">
        <w:rPr>
          <w:rFonts w:ascii="Century Gothic" w:hAnsi="Century Gothic" w:cs="Arial"/>
          <w:sz w:val="24"/>
          <w:szCs w:val="24"/>
          <w:lang w:val="es-ES"/>
        </w:rPr>
        <w:t>.</w:t>
      </w:r>
    </w:p>
    <w:p w14:paraId="3BA21448" w14:textId="77777777" w:rsidR="00F13774" w:rsidRPr="00F13774" w:rsidRDefault="00F13774" w:rsidP="00F13774">
      <w:pPr>
        <w:spacing w:line="360" w:lineRule="auto"/>
        <w:ind w:right="-427"/>
        <w:jc w:val="both"/>
        <w:rPr>
          <w:rFonts w:ascii="Century Gothic" w:hAnsi="Century Gothic" w:cs="Arial"/>
          <w:sz w:val="24"/>
          <w:szCs w:val="24"/>
          <w:lang w:val="es-ES"/>
        </w:rPr>
      </w:pPr>
    </w:p>
    <w:p w14:paraId="53F0E79F" w14:textId="77777777" w:rsidR="00F13774" w:rsidRPr="00F13774" w:rsidRDefault="00F13774" w:rsidP="00F13774">
      <w:pPr>
        <w:spacing w:line="360" w:lineRule="auto"/>
        <w:jc w:val="both"/>
        <w:rPr>
          <w:rFonts w:ascii="Century Gothic" w:eastAsia="Times New Roman" w:hAnsi="Century Gothic" w:cs="Arial"/>
          <w:i/>
          <w:sz w:val="24"/>
          <w:szCs w:val="24"/>
          <w:lang w:val="es-ES"/>
        </w:rPr>
      </w:pPr>
      <w:r w:rsidRPr="00F13774">
        <w:rPr>
          <w:rFonts w:ascii="Century Gothic" w:eastAsia="Times New Roman" w:hAnsi="Century Gothic" w:cs="Arial"/>
          <w:b/>
          <w:sz w:val="24"/>
          <w:szCs w:val="24"/>
          <w:lang w:val="es-ES"/>
        </w:rPr>
        <w:t>2. Actuación procesal</w:t>
      </w:r>
    </w:p>
    <w:p w14:paraId="5BF293F4" w14:textId="77777777" w:rsidR="00F13774" w:rsidRPr="00F13774" w:rsidRDefault="00F13774" w:rsidP="00F13774">
      <w:pPr>
        <w:spacing w:line="360" w:lineRule="auto"/>
        <w:jc w:val="both"/>
        <w:rPr>
          <w:rFonts w:ascii="Century Gothic" w:eastAsia="Times New Roman" w:hAnsi="Century Gothic" w:cs="Arial"/>
          <w:b/>
          <w:sz w:val="24"/>
          <w:szCs w:val="24"/>
          <w:lang w:val="es-ES"/>
        </w:rPr>
      </w:pPr>
    </w:p>
    <w:p w14:paraId="0422E5A4" w14:textId="068BDBBA" w:rsidR="00F13774" w:rsidRPr="00F13774" w:rsidRDefault="00F13774" w:rsidP="00F13774">
      <w:pPr>
        <w:spacing w:line="360" w:lineRule="auto"/>
        <w:jc w:val="both"/>
        <w:rPr>
          <w:rFonts w:ascii="Century Gothic" w:hAnsi="Century Gothic" w:cs="Arial"/>
          <w:sz w:val="24"/>
          <w:szCs w:val="24"/>
          <w:lang w:val="es-ES"/>
        </w:rPr>
      </w:pPr>
      <w:r w:rsidRPr="00F13774">
        <w:rPr>
          <w:rFonts w:ascii="Century Gothic" w:hAnsi="Century Gothic" w:cs="Arial"/>
          <w:sz w:val="24"/>
          <w:szCs w:val="24"/>
          <w:lang w:val="es-ES"/>
        </w:rPr>
        <w:t xml:space="preserve">4. El escrito de tutela se presentó el </w:t>
      </w:r>
      <w:r w:rsidR="006527A3">
        <w:rPr>
          <w:rFonts w:ascii="Century Gothic" w:hAnsi="Century Gothic" w:cs="Arial"/>
          <w:sz w:val="24"/>
          <w:szCs w:val="24"/>
          <w:lang w:val="es-ES"/>
        </w:rPr>
        <w:t>8</w:t>
      </w:r>
      <w:r w:rsidRPr="00F13774">
        <w:rPr>
          <w:rFonts w:ascii="Century Gothic" w:hAnsi="Century Gothic" w:cs="Arial"/>
          <w:sz w:val="24"/>
          <w:szCs w:val="24"/>
          <w:lang w:val="es-ES"/>
        </w:rPr>
        <w:t xml:space="preserve"> de </w:t>
      </w:r>
      <w:r w:rsidR="006527A3">
        <w:rPr>
          <w:rFonts w:ascii="Century Gothic" w:hAnsi="Century Gothic" w:cs="Arial"/>
          <w:sz w:val="24"/>
          <w:szCs w:val="24"/>
          <w:lang w:val="es-ES"/>
        </w:rPr>
        <w:t>mayo</w:t>
      </w:r>
      <w:r w:rsidRPr="00F13774">
        <w:rPr>
          <w:rFonts w:ascii="Century Gothic" w:hAnsi="Century Gothic" w:cs="Arial"/>
          <w:sz w:val="24"/>
          <w:szCs w:val="24"/>
          <w:lang w:val="es-ES"/>
        </w:rPr>
        <w:t xml:space="preserve"> de 2020</w:t>
      </w:r>
      <w:r w:rsidRPr="00F13774">
        <w:rPr>
          <w:rFonts w:ascii="Century Gothic" w:hAnsi="Century Gothic" w:cs="Arial"/>
          <w:b/>
          <w:sz w:val="24"/>
          <w:szCs w:val="24"/>
          <w:lang w:val="es-ES"/>
        </w:rPr>
        <w:t xml:space="preserve">. </w:t>
      </w:r>
      <w:r w:rsidRPr="00F13774">
        <w:rPr>
          <w:rFonts w:ascii="Century Gothic" w:hAnsi="Century Gothic" w:cs="Arial"/>
          <w:sz w:val="24"/>
          <w:szCs w:val="24"/>
          <w:lang w:val="es-ES"/>
        </w:rPr>
        <w:t xml:space="preserve">En auto del </w:t>
      </w:r>
      <w:r w:rsidR="006527A3">
        <w:rPr>
          <w:rFonts w:ascii="Century Gothic" w:hAnsi="Century Gothic" w:cs="Arial"/>
          <w:sz w:val="24"/>
          <w:szCs w:val="24"/>
          <w:lang w:val="es-ES"/>
        </w:rPr>
        <w:t>11</w:t>
      </w:r>
      <w:r w:rsidRPr="00F13774">
        <w:rPr>
          <w:rFonts w:ascii="Century Gothic" w:hAnsi="Century Gothic" w:cs="Arial"/>
          <w:sz w:val="24"/>
          <w:szCs w:val="24"/>
          <w:lang w:val="es-ES"/>
        </w:rPr>
        <w:t xml:space="preserve"> de </w:t>
      </w:r>
      <w:r w:rsidR="006527A3">
        <w:rPr>
          <w:rFonts w:ascii="Century Gothic" w:hAnsi="Century Gothic" w:cs="Arial"/>
          <w:sz w:val="24"/>
          <w:szCs w:val="24"/>
          <w:lang w:val="es-ES"/>
        </w:rPr>
        <w:t>mayo</w:t>
      </w:r>
      <w:r w:rsidRPr="00F13774">
        <w:rPr>
          <w:rFonts w:ascii="Century Gothic" w:hAnsi="Century Gothic" w:cs="Arial"/>
          <w:sz w:val="24"/>
          <w:szCs w:val="24"/>
          <w:lang w:val="es-ES"/>
        </w:rPr>
        <w:t xml:space="preserve"> de la misma anualidad, el despacho admitió la solicitud de tutela. </w:t>
      </w:r>
    </w:p>
    <w:p w14:paraId="15F688A1" w14:textId="255680B9" w:rsidR="006A469A" w:rsidRPr="00350F9E" w:rsidRDefault="006A469A" w:rsidP="00832216">
      <w:pPr>
        <w:spacing w:line="360" w:lineRule="auto"/>
        <w:jc w:val="both"/>
        <w:rPr>
          <w:rFonts w:ascii="Century Gothic" w:hAnsi="Century Gothic" w:cs="Arial"/>
          <w:sz w:val="24"/>
          <w:szCs w:val="24"/>
          <w:lang w:val="es-ES"/>
        </w:rPr>
      </w:pPr>
      <w:r w:rsidRPr="00350F9E">
        <w:rPr>
          <w:rFonts w:ascii="Century Gothic" w:hAnsi="Century Gothic" w:cs="Arial"/>
          <w:sz w:val="24"/>
          <w:szCs w:val="24"/>
          <w:lang w:val="es-ES"/>
        </w:rPr>
        <w:t xml:space="preserve">El </w:t>
      </w:r>
      <w:r w:rsidR="00A553D3" w:rsidRPr="00350F9E">
        <w:rPr>
          <w:rFonts w:ascii="Century Gothic" w:hAnsi="Century Gothic" w:cs="Arial"/>
          <w:sz w:val="24"/>
          <w:szCs w:val="24"/>
          <w:lang w:val="es-ES"/>
        </w:rPr>
        <w:t>15 de mayo</w:t>
      </w:r>
      <w:r w:rsidRPr="00350F9E">
        <w:rPr>
          <w:rFonts w:ascii="Century Gothic" w:hAnsi="Century Gothic" w:cs="Arial"/>
          <w:sz w:val="24"/>
          <w:szCs w:val="24"/>
          <w:lang w:val="es-ES"/>
        </w:rPr>
        <w:t xml:space="preserve"> de 2020, </w:t>
      </w:r>
      <w:r w:rsidR="00577B65" w:rsidRPr="00350F9E">
        <w:rPr>
          <w:rFonts w:ascii="Century Gothic" w:hAnsi="Century Gothic" w:cs="Arial"/>
          <w:sz w:val="24"/>
          <w:szCs w:val="24"/>
          <w:lang w:val="es-ES"/>
        </w:rPr>
        <w:t>el Departamento Administrativo para la Prosperidad Social radicó</w:t>
      </w:r>
      <w:r w:rsidRPr="00350F9E">
        <w:rPr>
          <w:rFonts w:ascii="Century Gothic" w:hAnsi="Century Gothic" w:cs="Arial"/>
          <w:sz w:val="24"/>
          <w:szCs w:val="24"/>
          <w:lang w:val="es-ES"/>
        </w:rPr>
        <w:t xml:space="preserve"> su contestación.  </w:t>
      </w:r>
    </w:p>
    <w:p w14:paraId="49D06A91" w14:textId="77777777" w:rsidR="00F13774" w:rsidRPr="00F13774" w:rsidRDefault="00F13774" w:rsidP="00F13774">
      <w:pPr>
        <w:spacing w:line="360" w:lineRule="auto"/>
        <w:jc w:val="both"/>
        <w:rPr>
          <w:rFonts w:ascii="Century Gothic" w:eastAsia="Times New Roman" w:hAnsi="Century Gothic" w:cs="Arial"/>
          <w:sz w:val="24"/>
          <w:szCs w:val="24"/>
          <w:lang w:val="es-ES"/>
        </w:rPr>
      </w:pPr>
    </w:p>
    <w:p w14:paraId="737C85B5" w14:textId="419AFFFA" w:rsidR="00F13774" w:rsidRDefault="00F13774" w:rsidP="00F13774">
      <w:pPr>
        <w:spacing w:line="360" w:lineRule="auto"/>
        <w:jc w:val="both"/>
        <w:rPr>
          <w:rFonts w:ascii="Century Gothic" w:eastAsia="Times New Roman" w:hAnsi="Century Gothic" w:cs="Arial"/>
          <w:b/>
          <w:sz w:val="24"/>
          <w:szCs w:val="24"/>
          <w:lang w:val="es-ES"/>
        </w:rPr>
      </w:pPr>
      <w:r w:rsidRPr="00F13774">
        <w:rPr>
          <w:rFonts w:ascii="Century Gothic" w:eastAsia="Times New Roman" w:hAnsi="Century Gothic" w:cs="Arial"/>
          <w:b/>
          <w:sz w:val="24"/>
          <w:szCs w:val="24"/>
          <w:lang w:val="es-ES"/>
        </w:rPr>
        <w:t>3. Contestación de la tutela</w:t>
      </w:r>
    </w:p>
    <w:p w14:paraId="725AF9F3" w14:textId="77777777" w:rsidR="00795EAD" w:rsidRPr="00F13774" w:rsidRDefault="00795EAD" w:rsidP="00F13774">
      <w:pPr>
        <w:spacing w:line="360" w:lineRule="auto"/>
        <w:jc w:val="both"/>
        <w:rPr>
          <w:rFonts w:ascii="Century Gothic" w:eastAsia="Times New Roman" w:hAnsi="Century Gothic" w:cs="Arial"/>
          <w:b/>
          <w:sz w:val="24"/>
          <w:szCs w:val="24"/>
          <w:lang w:val="es-ES"/>
        </w:rPr>
      </w:pPr>
    </w:p>
    <w:p w14:paraId="1349F28D" w14:textId="022EE4FB" w:rsidR="00E64184" w:rsidRDefault="00F13774" w:rsidP="00795EAD">
      <w:pPr>
        <w:spacing w:line="360" w:lineRule="auto"/>
        <w:jc w:val="both"/>
        <w:rPr>
          <w:rFonts w:ascii="Century Gothic" w:hAnsi="Century Gothic" w:cs="Arial"/>
          <w:sz w:val="24"/>
          <w:szCs w:val="24"/>
          <w:lang w:val="es-ES"/>
        </w:rPr>
      </w:pPr>
      <w:r w:rsidRPr="00F13774">
        <w:rPr>
          <w:rFonts w:ascii="Century Gothic" w:hAnsi="Century Gothic" w:cs="Arial"/>
          <w:sz w:val="24"/>
          <w:szCs w:val="24"/>
          <w:lang w:val="es-ES"/>
        </w:rPr>
        <w:t xml:space="preserve">5. </w:t>
      </w:r>
      <w:r w:rsidR="00B154E8">
        <w:rPr>
          <w:rFonts w:ascii="Century Gothic" w:hAnsi="Century Gothic" w:cs="Arial"/>
          <w:sz w:val="24"/>
          <w:szCs w:val="24"/>
          <w:lang w:val="es-ES"/>
        </w:rPr>
        <w:t xml:space="preserve">El Departamento Administrativo para la Prosperidad Social </w:t>
      </w:r>
      <w:r w:rsidR="00E64184">
        <w:rPr>
          <w:rFonts w:ascii="Century Gothic" w:hAnsi="Century Gothic" w:cs="Arial"/>
          <w:sz w:val="24"/>
          <w:szCs w:val="24"/>
          <w:lang w:val="es-ES"/>
        </w:rPr>
        <w:t>señaló</w:t>
      </w:r>
      <w:r w:rsidR="00B154E8">
        <w:rPr>
          <w:rFonts w:ascii="Century Gothic" w:hAnsi="Century Gothic" w:cs="Arial"/>
          <w:sz w:val="24"/>
          <w:szCs w:val="24"/>
          <w:lang w:val="es-ES"/>
        </w:rPr>
        <w:t xml:space="preserve"> que no existe vulneración alguna a los derechos fundamentales alegados por la actora</w:t>
      </w:r>
      <w:r w:rsidR="00E64184">
        <w:rPr>
          <w:rFonts w:ascii="Century Gothic" w:hAnsi="Century Gothic" w:cs="Arial"/>
          <w:sz w:val="24"/>
          <w:szCs w:val="24"/>
          <w:lang w:val="es-ES"/>
        </w:rPr>
        <w:t>. Precisó que la accionante no aportó pruebas de las peticiones a las que hizo referencia en la solicitud de tutela</w:t>
      </w:r>
      <w:r w:rsidR="00747589">
        <w:rPr>
          <w:rFonts w:ascii="Century Gothic" w:hAnsi="Century Gothic" w:cs="Arial"/>
          <w:sz w:val="24"/>
          <w:szCs w:val="24"/>
          <w:lang w:val="es-ES"/>
        </w:rPr>
        <w:t>. Agregó que en</w:t>
      </w:r>
      <w:r w:rsidR="00DC4BC3">
        <w:rPr>
          <w:rFonts w:ascii="Century Gothic" w:hAnsi="Century Gothic" w:cs="Arial"/>
          <w:sz w:val="24"/>
          <w:szCs w:val="24"/>
          <w:lang w:val="es-ES"/>
        </w:rPr>
        <w:t xml:space="preserve"> su sistema no tiene registro de la petición de la accionante.</w:t>
      </w:r>
      <w:r w:rsidR="00747589">
        <w:rPr>
          <w:rFonts w:ascii="Century Gothic" w:hAnsi="Century Gothic" w:cs="Arial"/>
          <w:sz w:val="24"/>
          <w:szCs w:val="24"/>
          <w:lang w:val="es-ES"/>
        </w:rPr>
        <w:t xml:space="preserve"> </w:t>
      </w:r>
      <w:r w:rsidR="00E64184">
        <w:rPr>
          <w:rFonts w:ascii="Century Gothic" w:hAnsi="Century Gothic" w:cs="Arial"/>
          <w:sz w:val="24"/>
          <w:szCs w:val="24"/>
          <w:lang w:val="es-ES"/>
        </w:rPr>
        <w:t xml:space="preserve"> </w:t>
      </w:r>
    </w:p>
    <w:p w14:paraId="3A80CE5B" w14:textId="63D8D855" w:rsidR="00E4369D" w:rsidRDefault="00E4369D" w:rsidP="00795EAD">
      <w:pPr>
        <w:spacing w:line="360" w:lineRule="auto"/>
        <w:jc w:val="both"/>
        <w:rPr>
          <w:rFonts w:ascii="Century Gothic" w:hAnsi="Century Gothic" w:cs="Arial"/>
          <w:sz w:val="24"/>
          <w:szCs w:val="24"/>
          <w:lang w:val="es-ES"/>
        </w:rPr>
      </w:pPr>
      <w:r w:rsidRPr="00DC4BC3">
        <w:rPr>
          <w:rFonts w:ascii="Century Gothic" w:hAnsi="Century Gothic" w:cs="Arial"/>
          <w:sz w:val="24"/>
          <w:szCs w:val="24"/>
          <w:lang w:val="es-ES"/>
        </w:rPr>
        <w:lastRenderedPageBreak/>
        <w:t xml:space="preserve">6. </w:t>
      </w:r>
      <w:r w:rsidR="00DC4BC3" w:rsidRPr="00DC4BC3">
        <w:rPr>
          <w:rFonts w:ascii="Century Gothic" w:hAnsi="Century Gothic" w:cs="Arial"/>
          <w:sz w:val="24"/>
          <w:szCs w:val="24"/>
          <w:lang w:val="es-ES"/>
        </w:rPr>
        <w:t xml:space="preserve">Manifestó que </w:t>
      </w:r>
      <w:r w:rsidR="00642C33" w:rsidRPr="00DC4BC3">
        <w:rPr>
          <w:rFonts w:ascii="Century Gothic" w:hAnsi="Century Gothic" w:cs="Arial"/>
          <w:sz w:val="24"/>
          <w:szCs w:val="24"/>
          <w:lang w:val="es-ES"/>
        </w:rPr>
        <w:t xml:space="preserve">la señora </w:t>
      </w:r>
      <w:proofErr w:type="spellStart"/>
      <w:r w:rsidR="00642C33" w:rsidRPr="00DC4BC3">
        <w:rPr>
          <w:rFonts w:ascii="Century Gothic" w:hAnsi="Century Gothic" w:cs="Arial"/>
          <w:sz w:val="24"/>
          <w:szCs w:val="24"/>
          <w:lang w:val="es-ES"/>
        </w:rPr>
        <w:t>Leimis</w:t>
      </w:r>
      <w:proofErr w:type="spellEnd"/>
      <w:r w:rsidR="00642C33" w:rsidRPr="00DC4BC3">
        <w:rPr>
          <w:rFonts w:ascii="Century Gothic" w:hAnsi="Century Gothic" w:cs="Arial"/>
          <w:sz w:val="24"/>
          <w:szCs w:val="24"/>
          <w:lang w:val="es-ES"/>
        </w:rPr>
        <w:t xml:space="preserve"> Pontón Castillejo se encuentra inscrita en el programa con el código 3274274 en Palmira</w:t>
      </w:r>
      <w:r w:rsidR="00DC4BC3">
        <w:rPr>
          <w:rFonts w:ascii="Century Gothic" w:hAnsi="Century Gothic" w:cs="Arial"/>
          <w:sz w:val="24"/>
          <w:szCs w:val="24"/>
          <w:lang w:val="es-ES"/>
        </w:rPr>
        <w:t xml:space="preserve">, </w:t>
      </w:r>
      <w:r w:rsidR="00642C33" w:rsidRPr="00DC4BC3">
        <w:rPr>
          <w:rFonts w:ascii="Century Gothic" w:hAnsi="Century Gothic" w:cs="Arial"/>
          <w:sz w:val="24"/>
          <w:szCs w:val="24"/>
          <w:lang w:val="es-ES"/>
        </w:rPr>
        <w:t>Valle del Cauca</w:t>
      </w:r>
      <w:r w:rsidR="00DC4BC3">
        <w:rPr>
          <w:rFonts w:ascii="Century Gothic" w:hAnsi="Century Gothic" w:cs="Arial"/>
          <w:sz w:val="24"/>
          <w:szCs w:val="24"/>
          <w:lang w:val="es-ES"/>
        </w:rPr>
        <w:t>,</w:t>
      </w:r>
      <w:r w:rsidR="00642C33" w:rsidRPr="00DC4BC3">
        <w:rPr>
          <w:rFonts w:ascii="Century Gothic" w:hAnsi="Century Gothic" w:cs="Arial"/>
          <w:sz w:val="24"/>
          <w:szCs w:val="24"/>
          <w:lang w:val="es-ES"/>
        </w:rPr>
        <w:t xml:space="preserve"> por situación de desplazamiento.</w:t>
      </w:r>
      <w:r w:rsidR="00642C33">
        <w:rPr>
          <w:rFonts w:ascii="Century Gothic" w:hAnsi="Century Gothic" w:cs="Arial"/>
          <w:sz w:val="24"/>
          <w:szCs w:val="24"/>
          <w:lang w:val="es-ES"/>
        </w:rPr>
        <w:t xml:space="preserve"> </w:t>
      </w:r>
    </w:p>
    <w:p w14:paraId="2E522FED" w14:textId="22056A92" w:rsidR="00642C33" w:rsidRDefault="00642C33" w:rsidP="00795EAD">
      <w:pPr>
        <w:spacing w:line="360" w:lineRule="auto"/>
        <w:jc w:val="both"/>
        <w:rPr>
          <w:rFonts w:ascii="Century Gothic" w:hAnsi="Century Gothic" w:cs="Arial"/>
          <w:sz w:val="24"/>
          <w:szCs w:val="24"/>
          <w:lang w:val="es-ES"/>
        </w:rPr>
      </w:pPr>
    </w:p>
    <w:p w14:paraId="44D623DA" w14:textId="40BCD0AF" w:rsidR="00642C33" w:rsidRDefault="00642C33" w:rsidP="00795EAD">
      <w:pPr>
        <w:spacing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7. Asimismo, </w:t>
      </w:r>
      <w:r w:rsidR="003A2B16">
        <w:rPr>
          <w:rFonts w:ascii="Century Gothic" w:hAnsi="Century Gothic" w:cs="Arial"/>
          <w:sz w:val="24"/>
          <w:szCs w:val="24"/>
          <w:lang w:val="es-ES"/>
        </w:rPr>
        <w:t>inform</w:t>
      </w:r>
      <w:r w:rsidR="00DC4BC3">
        <w:rPr>
          <w:rFonts w:ascii="Century Gothic" w:hAnsi="Century Gothic" w:cs="Arial"/>
          <w:sz w:val="24"/>
          <w:szCs w:val="24"/>
          <w:lang w:val="es-ES"/>
        </w:rPr>
        <w:t>ó</w:t>
      </w:r>
      <w:r w:rsidR="003A2B16">
        <w:rPr>
          <w:rFonts w:ascii="Century Gothic" w:hAnsi="Century Gothic" w:cs="Arial"/>
          <w:sz w:val="24"/>
          <w:szCs w:val="24"/>
          <w:lang w:val="es-ES"/>
        </w:rPr>
        <w:t xml:space="preserve"> que se realizaron las transferencias monetarias </w:t>
      </w:r>
      <w:r w:rsidR="002A151A">
        <w:rPr>
          <w:rFonts w:ascii="Century Gothic" w:hAnsi="Century Gothic" w:cs="Arial"/>
          <w:sz w:val="24"/>
          <w:szCs w:val="24"/>
          <w:lang w:val="es-ES"/>
        </w:rPr>
        <w:t xml:space="preserve">del </w:t>
      </w:r>
      <w:r w:rsidR="00EC467C">
        <w:rPr>
          <w:rFonts w:ascii="Century Gothic" w:hAnsi="Century Gothic" w:cs="Arial"/>
          <w:sz w:val="24"/>
          <w:szCs w:val="24"/>
          <w:lang w:val="es-ES"/>
        </w:rPr>
        <w:t xml:space="preserve">incentivo en cuestión, </w:t>
      </w:r>
      <w:r w:rsidR="009D1F7D">
        <w:rPr>
          <w:rFonts w:ascii="Century Gothic" w:hAnsi="Century Gothic" w:cs="Arial"/>
          <w:sz w:val="24"/>
          <w:szCs w:val="24"/>
          <w:lang w:val="es-ES"/>
        </w:rPr>
        <w:t xml:space="preserve">para </w:t>
      </w:r>
      <w:r w:rsidR="00EC467C">
        <w:rPr>
          <w:rFonts w:ascii="Century Gothic" w:hAnsi="Century Gothic" w:cs="Arial"/>
          <w:sz w:val="24"/>
          <w:szCs w:val="24"/>
          <w:lang w:val="es-ES"/>
        </w:rPr>
        <w:t>ser cobrad</w:t>
      </w:r>
      <w:r w:rsidR="00EB1E8C">
        <w:rPr>
          <w:rFonts w:ascii="Century Gothic" w:hAnsi="Century Gothic" w:cs="Arial"/>
          <w:sz w:val="24"/>
          <w:szCs w:val="24"/>
          <w:lang w:val="es-ES"/>
        </w:rPr>
        <w:t xml:space="preserve">as </w:t>
      </w:r>
      <w:r w:rsidR="009D1F7D">
        <w:rPr>
          <w:rFonts w:ascii="Century Gothic" w:hAnsi="Century Gothic" w:cs="Arial"/>
          <w:sz w:val="24"/>
          <w:szCs w:val="24"/>
          <w:lang w:val="es-ES"/>
        </w:rPr>
        <w:t>en el Banco Agrario de Palmira</w:t>
      </w:r>
      <w:r w:rsidR="00034545">
        <w:rPr>
          <w:rFonts w:ascii="Century Gothic" w:hAnsi="Century Gothic" w:cs="Arial"/>
          <w:sz w:val="24"/>
          <w:szCs w:val="24"/>
          <w:lang w:val="es-ES"/>
        </w:rPr>
        <w:t xml:space="preserve"> (último domicilio registrado)</w:t>
      </w:r>
      <w:r w:rsidR="00DC4BC3">
        <w:rPr>
          <w:rFonts w:ascii="Century Gothic" w:hAnsi="Century Gothic" w:cs="Arial"/>
          <w:sz w:val="24"/>
          <w:szCs w:val="24"/>
          <w:lang w:val="es-ES"/>
        </w:rPr>
        <w:t>.</w:t>
      </w:r>
      <w:r w:rsidR="00034545">
        <w:rPr>
          <w:rFonts w:ascii="Century Gothic" w:hAnsi="Century Gothic" w:cs="Arial"/>
          <w:sz w:val="24"/>
          <w:szCs w:val="24"/>
          <w:lang w:val="es-ES"/>
        </w:rPr>
        <w:t xml:space="preserve"> </w:t>
      </w:r>
    </w:p>
    <w:p w14:paraId="4C014743" w14:textId="6817C402" w:rsidR="00034545" w:rsidRDefault="00034545" w:rsidP="00795EAD">
      <w:pPr>
        <w:spacing w:line="360" w:lineRule="auto"/>
        <w:jc w:val="both"/>
        <w:rPr>
          <w:rFonts w:ascii="Century Gothic" w:hAnsi="Century Gothic" w:cs="Arial"/>
          <w:sz w:val="24"/>
          <w:szCs w:val="24"/>
          <w:lang w:val="es-ES"/>
        </w:rPr>
      </w:pPr>
    </w:p>
    <w:p w14:paraId="4E61E80B" w14:textId="48F4EDD6" w:rsidR="003D18D5" w:rsidRDefault="00034545" w:rsidP="00795EAD">
      <w:pPr>
        <w:spacing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8. </w:t>
      </w:r>
      <w:r w:rsidR="00DC4BC3">
        <w:rPr>
          <w:rFonts w:ascii="Century Gothic" w:hAnsi="Century Gothic" w:cs="Arial"/>
          <w:sz w:val="24"/>
          <w:szCs w:val="24"/>
          <w:lang w:val="es-ES"/>
        </w:rPr>
        <w:t xml:space="preserve">Indicó </w:t>
      </w:r>
      <w:r w:rsidR="00D57148">
        <w:rPr>
          <w:rFonts w:ascii="Century Gothic" w:hAnsi="Century Gothic" w:cs="Arial"/>
          <w:sz w:val="24"/>
          <w:szCs w:val="24"/>
          <w:lang w:val="es-ES"/>
        </w:rPr>
        <w:t xml:space="preserve">que no se registra en </w:t>
      </w:r>
      <w:r w:rsidR="00EB1E8C">
        <w:rPr>
          <w:rFonts w:ascii="Century Gothic" w:hAnsi="Century Gothic" w:cs="Arial"/>
          <w:sz w:val="24"/>
          <w:szCs w:val="24"/>
          <w:lang w:val="es-ES"/>
        </w:rPr>
        <w:t>el</w:t>
      </w:r>
      <w:r w:rsidR="00D57148">
        <w:rPr>
          <w:rFonts w:ascii="Century Gothic" w:hAnsi="Century Gothic" w:cs="Arial"/>
          <w:sz w:val="24"/>
          <w:szCs w:val="24"/>
          <w:lang w:val="es-ES"/>
        </w:rPr>
        <w:t xml:space="preserve"> sistema ninguna petición elevada por la señora </w:t>
      </w:r>
      <w:proofErr w:type="spellStart"/>
      <w:r w:rsidR="00D57148">
        <w:rPr>
          <w:rFonts w:ascii="Century Gothic" w:hAnsi="Century Gothic" w:cs="Arial"/>
          <w:sz w:val="24"/>
          <w:szCs w:val="24"/>
          <w:lang w:val="es-ES"/>
        </w:rPr>
        <w:t>Leimis</w:t>
      </w:r>
      <w:proofErr w:type="spellEnd"/>
      <w:r w:rsidR="00D57148">
        <w:rPr>
          <w:rFonts w:ascii="Century Gothic" w:hAnsi="Century Gothic" w:cs="Arial"/>
          <w:sz w:val="24"/>
          <w:szCs w:val="24"/>
          <w:lang w:val="es-ES"/>
        </w:rPr>
        <w:t xml:space="preserve"> Pontón Castillejo</w:t>
      </w:r>
      <w:r w:rsidR="0045332D">
        <w:rPr>
          <w:rFonts w:ascii="Century Gothic" w:hAnsi="Century Gothic" w:cs="Arial"/>
          <w:sz w:val="24"/>
          <w:szCs w:val="24"/>
          <w:lang w:val="es-ES"/>
        </w:rPr>
        <w:t xml:space="preserve">, pero que el traslado de municipio al que se refiere sí es posible, según consta en la </w:t>
      </w:r>
      <w:r w:rsidR="0045332D" w:rsidRPr="00A323FF">
        <w:rPr>
          <w:rFonts w:ascii="Century Gothic" w:hAnsi="Century Gothic" w:cs="Arial"/>
          <w:i/>
          <w:iCs/>
          <w:sz w:val="24"/>
          <w:szCs w:val="24"/>
          <w:lang w:val="es-ES"/>
        </w:rPr>
        <w:t>guía operativa de novedades versión 4</w:t>
      </w:r>
      <w:r w:rsidR="0045332D">
        <w:rPr>
          <w:rFonts w:ascii="Century Gothic" w:hAnsi="Century Gothic" w:cs="Arial"/>
          <w:sz w:val="24"/>
          <w:szCs w:val="24"/>
          <w:lang w:val="es-ES"/>
        </w:rPr>
        <w:t xml:space="preserve"> del programa Familias en Acción</w:t>
      </w:r>
      <w:r w:rsidR="00A323FF">
        <w:rPr>
          <w:rStyle w:val="Refdenotaalpie"/>
          <w:rFonts w:ascii="Century Gothic" w:hAnsi="Century Gothic" w:cs="Arial"/>
          <w:sz w:val="24"/>
          <w:szCs w:val="24"/>
          <w:lang w:val="es-ES"/>
        </w:rPr>
        <w:footnoteReference w:id="3"/>
      </w:r>
      <w:r w:rsidR="0045332D">
        <w:rPr>
          <w:rFonts w:ascii="Century Gothic" w:hAnsi="Century Gothic" w:cs="Arial"/>
          <w:sz w:val="24"/>
          <w:szCs w:val="24"/>
          <w:lang w:val="es-ES"/>
        </w:rPr>
        <w:t>.</w:t>
      </w:r>
    </w:p>
    <w:p w14:paraId="7FE58042" w14:textId="77777777" w:rsidR="003D18D5" w:rsidRDefault="003D18D5" w:rsidP="00795EAD">
      <w:pPr>
        <w:spacing w:line="360" w:lineRule="auto"/>
        <w:jc w:val="both"/>
        <w:rPr>
          <w:rFonts w:ascii="Century Gothic" w:hAnsi="Century Gothic" w:cs="Arial"/>
          <w:sz w:val="24"/>
          <w:szCs w:val="24"/>
          <w:lang w:val="es-ES"/>
        </w:rPr>
      </w:pPr>
    </w:p>
    <w:p w14:paraId="16F68957" w14:textId="2606AA9B" w:rsidR="00844E13" w:rsidRDefault="003D18D5" w:rsidP="00795EAD">
      <w:pPr>
        <w:spacing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9. </w:t>
      </w:r>
      <w:r w:rsidR="001E51B1">
        <w:rPr>
          <w:rFonts w:ascii="Century Gothic" w:hAnsi="Century Gothic" w:cs="Arial"/>
          <w:sz w:val="24"/>
          <w:szCs w:val="24"/>
          <w:lang w:val="es-ES"/>
        </w:rPr>
        <w:t xml:space="preserve"> </w:t>
      </w:r>
      <w:r w:rsidR="00DC4BC3">
        <w:rPr>
          <w:rFonts w:ascii="Century Gothic" w:hAnsi="Century Gothic" w:cs="Arial"/>
          <w:sz w:val="24"/>
          <w:szCs w:val="24"/>
          <w:lang w:val="es-ES"/>
        </w:rPr>
        <w:t xml:space="preserve">Señaló </w:t>
      </w:r>
      <w:proofErr w:type="gramStart"/>
      <w:r w:rsidR="001E51B1">
        <w:rPr>
          <w:rFonts w:ascii="Century Gothic" w:hAnsi="Century Gothic" w:cs="Arial"/>
          <w:sz w:val="24"/>
          <w:szCs w:val="24"/>
          <w:lang w:val="es-ES"/>
        </w:rPr>
        <w:t>que</w:t>
      </w:r>
      <w:proofErr w:type="gramEnd"/>
      <w:r w:rsidR="001E51B1">
        <w:rPr>
          <w:rFonts w:ascii="Century Gothic" w:hAnsi="Century Gothic" w:cs="Arial"/>
          <w:sz w:val="24"/>
          <w:szCs w:val="24"/>
          <w:lang w:val="es-ES"/>
        </w:rPr>
        <w:t xml:space="preserve"> pasado un año desd</w:t>
      </w:r>
      <w:r w:rsidR="00F660EE">
        <w:rPr>
          <w:rFonts w:ascii="Century Gothic" w:hAnsi="Century Gothic" w:cs="Arial"/>
          <w:sz w:val="24"/>
          <w:szCs w:val="24"/>
          <w:lang w:val="es-ES"/>
        </w:rPr>
        <w:t>e</w:t>
      </w:r>
      <w:r w:rsidR="00DC4BC3">
        <w:rPr>
          <w:rFonts w:ascii="Century Gothic" w:hAnsi="Century Gothic" w:cs="Arial"/>
          <w:sz w:val="24"/>
          <w:szCs w:val="24"/>
          <w:lang w:val="es-ES"/>
        </w:rPr>
        <w:t xml:space="preserve"> el</w:t>
      </w:r>
      <w:r w:rsidR="001E51B1">
        <w:rPr>
          <w:rFonts w:ascii="Century Gothic" w:hAnsi="Century Gothic" w:cs="Arial"/>
          <w:sz w:val="24"/>
          <w:szCs w:val="24"/>
          <w:lang w:val="es-ES"/>
        </w:rPr>
        <w:t xml:space="preserve"> cambi</w:t>
      </w:r>
      <w:r w:rsidR="00F660EE">
        <w:rPr>
          <w:rFonts w:ascii="Century Gothic" w:hAnsi="Century Gothic" w:cs="Arial"/>
          <w:sz w:val="24"/>
          <w:szCs w:val="24"/>
          <w:lang w:val="es-ES"/>
        </w:rPr>
        <w:t xml:space="preserve">o </w:t>
      </w:r>
      <w:r w:rsidR="001E51B1">
        <w:rPr>
          <w:rFonts w:ascii="Century Gothic" w:hAnsi="Century Gothic" w:cs="Arial"/>
          <w:sz w:val="24"/>
          <w:szCs w:val="24"/>
          <w:lang w:val="es-ES"/>
        </w:rPr>
        <w:t xml:space="preserve">de residencia, </w:t>
      </w:r>
      <w:r w:rsidR="00F319C4">
        <w:rPr>
          <w:rFonts w:ascii="Century Gothic" w:hAnsi="Century Gothic" w:cs="Arial"/>
          <w:sz w:val="24"/>
          <w:szCs w:val="24"/>
          <w:lang w:val="es-ES"/>
        </w:rPr>
        <w:t xml:space="preserve">la accionante </w:t>
      </w:r>
      <w:r w:rsidR="001E51B1">
        <w:rPr>
          <w:rFonts w:ascii="Century Gothic" w:hAnsi="Century Gothic" w:cs="Arial"/>
          <w:sz w:val="24"/>
          <w:szCs w:val="24"/>
          <w:lang w:val="es-ES"/>
        </w:rPr>
        <w:t xml:space="preserve">no puede </w:t>
      </w:r>
      <w:r w:rsidR="001762EA">
        <w:rPr>
          <w:rFonts w:ascii="Century Gothic" w:hAnsi="Century Gothic" w:cs="Arial"/>
          <w:sz w:val="24"/>
          <w:szCs w:val="24"/>
          <w:lang w:val="es-ES"/>
        </w:rPr>
        <w:t xml:space="preserve">pretender endilgar la responsabilidad a Familias en Acción, </w:t>
      </w:r>
      <w:r w:rsidR="00DC4BC3">
        <w:rPr>
          <w:rFonts w:ascii="Century Gothic" w:hAnsi="Century Gothic" w:cs="Arial"/>
          <w:sz w:val="24"/>
          <w:szCs w:val="24"/>
          <w:lang w:val="es-ES"/>
        </w:rPr>
        <w:t>pues</w:t>
      </w:r>
      <w:r w:rsidR="00844E13">
        <w:rPr>
          <w:rFonts w:ascii="Century Gothic" w:hAnsi="Century Gothic" w:cs="Arial"/>
          <w:sz w:val="24"/>
          <w:szCs w:val="24"/>
          <w:lang w:val="es-ES"/>
        </w:rPr>
        <w:t xml:space="preserve"> el procedimiento para realizar el traslado está establecido en una guía</w:t>
      </w:r>
      <w:r w:rsidR="00F20EE4">
        <w:rPr>
          <w:rFonts w:ascii="Century Gothic" w:hAnsi="Century Gothic" w:cs="Arial"/>
          <w:sz w:val="24"/>
          <w:szCs w:val="24"/>
          <w:lang w:val="es-ES"/>
        </w:rPr>
        <w:t xml:space="preserve"> que se encuentra disponible para el público</w:t>
      </w:r>
      <w:r w:rsidR="00844E13">
        <w:rPr>
          <w:rFonts w:ascii="Century Gothic" w:hAnsi="Century Gothic" w:cs="Arial"/>
          <w:sz w:val="24"/>
          <w:szCs w:val="24"/>
          <w:lang w:val="es-ES"/>
        </w:rPr>
        <w:t xml:space="preserve">. </w:t>
      </w:r>
    </w:p>
    <w:p w14:paraId="08CEFE8D" w14:textId="68CBD52C" w:rsidR="00844E13" w:rsidRDefault="00844E13" w:rsidP="00795EAD">
      <w:pPr>
        <w:spacing w:line="360" w:lineRule="auto"/>
        <w:jc w:val="both"/>
        <w:rPr>
          <w:rFonts w:ascii="Century Gothic" w:hAnsi="Century Gothic" w:cs="Arial"/>
          <w:sz w:val="24"/>
          <w:szCs w:val="24"/>
          <w:lang w:val="es-ES"/>
        </w:rPr>
      </w:pPr>
    </w:p>
    <w:p w14:paraId="21EEBBF9" w14:textId="1E373775" w:rsidR="00FA5FA0" w:rsidRDefault="00844E13" w:rsidP="00795EAD">
      <w:pPr>
        <w:spacing w:line="360" w:lineRule="auto"/>
        <w:jc w:val="both"/>
        <w:rPr>
          <w:rFonts w:ascii="Century Gothic" w:hAnsi="Century Gothic" w:cs="Arial"/>
          <w:sz w:val="24"/>
          <w:szCs w:val="24"/>
          <w:lang w:val="es-ES"/>
        </w:rPr>
      </w:pPr>
      <w:r>
        <w:rPr>
          <w:rFonts w:ascii="Century Gothic" w:hAnsi="Century Gothic" w:cs="Arial"/>
          <w:sz w:val="24"/>
          <w:szCs w:val="24"/>
          <w:lang w:val="es-ES"/>
        </w:rPr>
        <w:lastRenderedPageBreak/>
        <w:t xml:space="preserve">10. </w:t>
      </w:r>
      <w:r w:rsidR="00C53B6A">
        <w:rPr>
          <w:rFonts w:ascii="Century Gothic" w:hAnsi="Century Gothic" w:cs="Arial"/>
          <w:sz w:val="24"/>
          <w:szCs w:val="24"/>
          <w:lang w:val="es-ES"/>
        </w:rPr>
        <w:t xml:space="preserve">Resaltó que con motivo de la situación de orden público que generó el </w:t>
      </w:r>
      <w:proofErr w:type="spellStart"/>
      <w:r w:rsidR="00C53B6A">
        <w:rPr>
          <w:rFonts w:ascii="Century Gothic" w:hAnsi="Century Gothic" w:cs="Arial"/>
          <w:sz w:val="24"/>
          <w:szCs w:val="24"/>
          <w:lang w:val="es-ES"/>
        </w:rPr>
        <w:t>Covid</w:t>
      </w:r>
      <w:proofErr w:type="spellEnd"/>
      <w:r w:rsidR="00C53B6A">
        <w:rPr>
          <w:rFonts w:ascii="Century Gothic" w:hAnsi="Century Gothic" w:cs="Arial"/>
          <w:sz w:val="24"/>
          <w:szCs w:val="24"/>
          <w:lang w:val="es-ES"/>
        </w:rPr>
        <w:t>–19, y siguiendo lo dispuesto por la presidencia de la república</w:t>
      </w:r>
      <w:r w:rsidR="0031736D">
        <w:rPr>
          <w:rFonts w:ascii="Century Gothic" w:hAnsi="Century Gothic" w:cs="Arial"/>
          <w:sz w:val="24"/>
          <w:szCs w:val="24"/>
          <w:lang w:val="es-ES"/>
        </w:rPr>
        <w:t>,</w:t>
      </w:r>
      <w:r w:rsidR="00D55CC5">
        <w:rPr>
          <w:rFonts w:ascii="Century Gothic" w:hAnsi="Century Gothic" w:cs="Arial"/>
          <w:sz w:val="24"/>
          <w:szCs w:val="24"/>
          <w:lang w:val="es-ES"/>
        </w:rPr>
        <w:t xml:space="preserve"> la accionante</w:t>
      </w:r>
      <w:r w:rsidR="0031736D">
        <w:rPr>
          <w:rFonts w:ascii="Century Gothic" w:hAnsi="Century Gothic" w:cs="Arial"/>
          <w:sz w:val="24"/>
          <w:szCs w:val="24"/>
          <w:lang w:val="es-ES"/>
        </w:rPr>
        <w:t xml:space="preserve"> podía remitir la solicitud de traslado al </w:t>
      </w:r>
      <w:r w:rsidR="00B6560F">
        <w:rPr>
          <w:rFonts w:ascii="Century Gothic" w:hAnsi="Century Gothic" w:cs="Arial"/>
          <w:sz w:val="24"/>
          <w:szCs w:val="24"/>
          <w:lang w:val="es-ES"/>
        </w:rPr>
        <w:t xml:space="preserve">correo electrónico </w:t>
      </w:r>
      <w:hyperlink r:id="rId7" w:history="1">
        <w:r w:rsidR="00B6560F" w:rsidRPr="00E27721">
          <w:rPr>
            <w:rStyle w:val="Hipervnculo"/>
            <w:rFonts w:ascii="Century Gothic" w:hAnsi="Century Gothic" w:cs="Arial"/>
            <w:sz w:val="24"/>
            <w:szCs w:val="24"/>
            <w:lang w:val="es-ES"/>
          </w:rPr>
          <w:t>novedades.bogota.fa@prosperidadsocial.gov.co</w:t>
        </w:r>
      </w:hyperlink>
      <w:r w:rsidR="0031736D">
        <w:rPr>
          <w:rFonts w:ascii="Century Gothic" w:hAnsi="Century Gothic" w:cs="Arial"/>
          <w:sz w:val="24"/>
          <w:szCs w:val="24"/>
          <w:lang w:val="es-ES"/>
        </w:rPr>
        <w:t>.</w:t>
      </w:r>
      <w:r w:rsidR="00B6560F">
        <w:rPr>
          <w:rFonts w:ascii="Century Gothic" w:hAnsi="Century Gothic" w:cs="Arial"/>
          <w:sz w:val="24"/>
          <w:szCs w:val="24"/>
          <w:lang w:val="es-ES"/>
        </w:rPr>
        <w:t xml:space="preserve"> </w:t>
      </w:r>
      <w:r w:rsidR="0031736D">
        <w:rPr>
          <w:rFonts w:ascii="Century Gothic" w:hAnsi="Century Gothic" w:cs="Arial"/>
          <w:sz w:val="24"/>
          <w:szCs w:val="24"/>
          <w:lang w:val="es-ES"/>
        </w:rPr>
        <w:t xml:space="preserve">Así, una vez </w:t>
      </w:r>
      <w:r w:rsidR="008E0D3C">
        <w:rPr>
          <w:rFonts w:ascii="Century Gothic" w:hAnsi="Century Gothic" w:cs="Arial"/>
          <w:sz w:val="24"/>
          <w:szCs w:val="24"/>
          <w:lang w:val="es-ES"/>
        </w:rPr>
        <w:t xml:space="preserve">aplicada dicha solicitud en el Sistema de Información del Programa Familias en Acción – SIFA., serán liquidadas y entregadas </w:t>
      </w:r>
      <w:r w:rsidR="00FA5FA0">
        <w:rPr>
          <w:rFonts w:ascii="Century Gothic" w:hAnsi="Century Gothic" w:cs="Arial"/>
          <w:sz w:val="24"/>
          <w:szCs w:val="24"/>
          <w:lang w:val="es-ES"/>
        </w:rPr>
        <w:t xml:space="preserve">las transferencias en la ciudad de Bogotá. </w:t>
      </w:r>
    </w:p>
    <w:p w14:paraId="5247CCC1" w14:textId="77777777" w:rsidR="00FA5FA0" w:rsidRDefault="00FA5FA0" w:rsidP="00795EAD">
      <w:pPr>
        <w:spacing w:line="360" w:lineRule="auto"/>
        <w:jc w:val="both"/>
        <w:rPr>
          <w:rFonts w:ascii="Century Gothic" w:hAnsi="Century Gothic" w:cs="Arial"/>
          <w:sz w:val="24"/>
          <w:szCs w:val="24"/>
          <w:lang w:val="es-ES"/>
        </w:rPr>
      </w:pPr>
    </w:p>
    <w:p w14:paraId="72C7656D" w14:textId="16AF56F4" w:rsidR="00034545" w:rsidRDefault="00FA5FA0" w:rsidP="00795EAD">
      <w:pPr>
        <w:spacing w:line="360" w:lineRule="auto"/>
        <w:jc w:val="both"/>
        <w:rPr>
          <w:rFonts w:ascii="Century Gothic" w:hAnsi="Century Gothic" w:cs="Arial"/>
          <w:sz w:val="24"/>
          <w:szCs w:val="24"/>
          <w:lang w:val="es-ES"/>
        </w:rPr>
      </w:pPr>
      <w:r>
        <w:rPr>
          <w:rFonts w:ascii="Century Gothic" w:hAnsi="Century Gothic" w:cs="Arial"/>
          <w:sz w:val="24"/>
          <w:szCs w:val="24"/>
          <w:lang w:val="es-ES"/>
        </w:rPr>
        <w:t>11. Inform</w:t>
      </w:r>
      <w:r w:rsidR="0031736D">
        <w:rPr>
          <w:rFonts w:ascii="Century Gothic" w:hAnsi="Century Gothic" w:cs="Arial"/>
          <w:sz w:val="24"/>
          <w:szCs w:val="24"/>
          <w:lang w:val="es-ES"/>
        </w:rPr>
        <w:t>ó</w:t>
      </w:r>
      <w:r>
        <w:rPr>
          <w:rFonts w:ascii="Century Gothic" w:hAnsi="Century Gothic" w:cs="Arial"/>
          <w:sz w:val="24"/>
          <w:szCs w:val="24"/>
          <w:lang w:val="es-ES"/>
        </w:rPr>
        <w:t xml:space="preserve"> que el Oficio No. S-2020-4103-085826 del 13 de mayo de 2020</w:t>
      </w:r>
      <w:r w:rsidR="0031736D">
        <w:rPr>
          <w:rFonts w:ascii="Century Gothic" w:hAnsi="Century Gothic" w:cs="Arial"/>
          <w:sz w:val="24"/>
          <w:szCs w:val="24"/>
          <w:lang w:val="es-ES"/>
        </w:rPr>
        <w:t xml:space="preserve"> se</w:t>
      </w:r>
      <w:r>
        <w:rPr>
          <w:rFonts w:ascii="Century Gothic" w:hAnsi="Century Gothic" w:cs="Arial"/>
          <w:sz w:val="24"/>
          <w:szCs w:val="24"/>
          <w:lang w:val="es-ES"/>
        </w:rPr>
        <w:t xml:space="preserve"> remit</w:t>
      </w:r>
      <w:r w:rsidR="0031736D">
        <w:rPr>
          <w:rFonts w:ascii="Century Gothic" w:hAnsi="Century Gothic" w:cs="Arial"/>
          <w:sz w:val="24"/>
          <w:szCs w:val="24"/>
          <w:lang w:val="es-ES"/>
        </w:rPr>
        <w:t>ió</w:t>
      </w:r>
      <w:r>
        <w:rPr>
          <w:rFonts w:ascii="Century Gothic" w:hAnsi="Century Gothic" w:cs="Arial"/>
          <w:sz w:val="24"/>
          <w:szCs w:val="24"/>
          <w:lang w:val="es-ES"/>
        </w:rPr>
        <w:t xml:space="preserve"> a la accionante al correo electrónico </w:t>
      </w:r>
      <w:hyperlink r:id="rId8" w:history="1">
        <w:r w:rsidR="00A07BCA" w:rsidRPr="00E27721">
          <w:rPr>
            <w:rStyle w:val="Hipervnculo"/>
            <w:rFonts w:ascii="Century Gothic" w:hAnsi="Century Gothic" w:cs="Arial"/>
            <w:sz w:val="24"/>
            <w:szCs w:val="24"/>
            <w:lang w:val="es-ES"/>
          </w:rPr>
          <w:t>leimis07@gmail.com</w:t>
        </w:r>
      </w:hyperlink>
      <w:r w:rsidR="00A07BCA">
        <w:rPr>
          <w:rFonts w:ascii="Century Gothic" w:hAnsi="Century Gothic" w:cs="Arial"/>
          <w:sz w:val="24"/>
          <w:szCs w:val="24"/>
          <w:lang w:val="es-ES"/>
        </w:rPr>
        <w:t xml:space="preserve"> </w:t>
      </w:r>
      <w:r w:rsidR="00DC2348">
        <w:rPr>
          <w:rFonts w:ascii="Century Gothic" w:hAnsi="Century Gothic" w:cs="Arial"/>
          <w:sz w:val="24"/>
          <w:szCs w:val="24"/>
          <w:lang w:val="es-ES"/>
        </w:rPr>
        <w:t>Informándole</w:t>
      </w:r>
      <w:r w:rsidR="003B1BC2">
        <w:rPr>
          <w:rFonts w:ascii="Century Gothic" w:hAnsi="Century Gothic" w:cs="Arial"/>
          <w:sz w:val="24"/>
          <w:szCs w:val="24"/>
          <w:lang w:val="es-ES"/>
        </w:rPr>
        <w:t xml:space="preserve"> cuáles son </w:t>
      </w:r>
      <w:proofErr w:type="gramStart"/>
      <w:r w:rsidR="003B1BC2">
        <w:rPr>
          <w:rFonts w:ascii="Century Gothic" w:hAnsi="Century Gothic" w:cs="Arial"/>
          <w:sz w:val="24"/>
          <w:szCs w:val="24"/>
          <w:lang w:val="es-ES"/>
        </w:rPr>
        <w:t>los pasos a seguir</w:t>
      </w:r>
      <w:proofErr w:type="gramEnd"/>
      <w:r w:rsidR="003B1BC2">
        <w:rPr>
          <w:rFonts w:ascii="Century Gothic" w:hAnsi="Century Gothic" w:cs="Arial"/>
          <w:sz w:val="24"/>
          <w:szCs w:val="24"/>
          <w:lang w:val="es-ES"/>
        </w:rPr>
        <w:t xml:space="preserve"> para </w:t>
      </w:r>
      <w:r w:rsidR="00D9535F">
        <w:rPr>
          <w:rFonts w:ascii="Century Gothic" w:hAnsi="Century Gothic" w:cs="Arial"/>
          <w:sz w:val="24"/>
          <w:szCs w:val="24"/>
          <w:lang w:val="es-ES"/>
        </w:rPr>
        <w:t xml:space="preserve">hacer efectivo el traslado de municipio. </w:t>
      </w:r>
    </w:p>
    <w:p w14:paraId="08A76BD1" w14:textId="19DFF69D" w:rsidR="00A07BCA" w:rsidRDefault="00A07BCA" w:rsidP="00795EAD">
      <w:pPr>
        <w:spacing w:line="360" w:lineRule="auto"/>
        <w:jc w:val="both"/>
        <w:rPr>
          <w:rFonts w:ascii="Century Gothic" w:hAnsi="Century Gothic" w:cs="Arial"/>
          <w:sz w:val="24"/>
          <w:szCs w:val="24"/>
          <w:lang w:val="es-ES"/>
        </w:rPr>
      </w:pPr>
    </w:p>
    <w:p w14:paraId="400495AA" w14:textId="1E11CEA5" w:rsidR="00A07BCA" w:rsidRPr="00F13774" w:rsidRDefault="00A07BCA" w:rsidP="00795EAD">
      <w:pPr>
        <w:spacing w:line="360" w:lineRule="auto"/>
        <w:jc w:val="both"/>
        <w:rPr>
          <w:rFonts w:ascii="Century Gothic" w:hAnsi="Century Gothic" w:cs="Arial"/>
          <w:sz w:val="24"/>
          <w:szCs w:val="24"/>
          <w:lang w:val="es-ES"/>
        </w:rPr>
      </w:pPr>
      <w:r>
        <w:rPr>
          <w:rFonts w:ascii="Century Gothic" w:hAnsi="Century Gothic" w:cs="Arial"/>
          <w:sz w:val="24"/>
          <w:szCs w:val="24"/>
          <w:lang w:val="es-ES"/>
        </w:rPr>
        <w:t>12. Finalmente, reitera que no existen pruebas que demuestren la vulneración de los derechos invocados, por lo que solicita al Despacho denegar las pretensiones de la demanda.</w:t>
      </w:r>
    </w:p>
    <w:p w14:paraId="43EEA77E" w14:textId="77777777" w:rsidR="00F13774" w:rsidRPr="00F13774" w:rsidRDefault="00F13774" w:rsidP="00F13774">
      <w:pPr>
        <w:spacing w:line="360" w:lineRule="auto"/>
        <w:jc w:val="both"/>
        <w:rPr>
          <w:rFonts w:ascii="Century Gothic" w:eastAsia="Times New Roman" w:hAnsi="Century Gothic" w:cs="Arial"/>
          <w:bCs/>
          <w:i/>
          <w:sz w:val="24"/>
          <w:szCs w:val="24"/>
          <w:lang w:val="es-ES"/>
        </w:rPr>
      </w:pPr>
    </w:p>
    <w:p w14:paraId="359C6869" w14:textId="77777777" w:rsidR="00F13774" w:rsidRPr="00F13774" w:rsidRDefault="00F13774" w:rsidP="00F13774">
      <w:pPr>
        <w:spacing w:line="360" w:lineRule="auto"/>
        <w:jc w:val="both"/>
        <w:rPr>
          <w:rFonts w:ascii="Century Gothic" w:eastAsia="Times New Roman" w:hAnsi="Century Gothic" w:cs="Arial"/>
          <w:b/>
          <w:sz w:val="24"/>
          <w:szCs w:val="24"/>
          <w:lang w:val="es-ES"/>
        </w:rPr>
      </w:pPr>
      <w:r w:rsidRPr="00F13774">
        <w:rPr>
          <w:rFonts w:ascii="Century Gothic" w:eastAsia="Times New Roman" w:hAnsi="Century Gothic" w:cs="Arial"/>
          <w:b/>
          <w:sz w:val="24"/>
          <w:szCs w:val="24"/>
          <w:lang w:val="es-ES"/>
        </w:rPr>
        <w:t xml:space="preserve">4. Pruebas </w:t>
      </w:r>
    </w:p>
    <w:p w14:paraId="4C5E639A" w14:textId="77777777" w:rsidR="00F13774" w:rsidRPr="00F13774" w:rsidRDefault="00F13774" w:rsidP="00F13774">
      <w:pPr>
        <w:spacing w:line="360" w:lineRule="auto"/>
        <w:jc w:val="both"/>
        <w:rPr>
          <w:rFonts w:ascii="Century Gothic" w:eastAsia="Times New Roman" w:hAnsi="Century Gothic" w:cs="Arial"/>
          <w:b/>
          <w:sz w:val="24"/>
          <w:szCs w:val="24"/>
          <w:lang w:val="es-ES"/>
        </w:rPr>
      </w:pPr>
    </w:p>
    <w:p w14:paraId="6883D2BF" w14:textId="7BFDB421" w:rsidR="00F13774" w:rsidRDefault="000B7B94" w:rsidP="000B7B94">
      <w:pPr>
        <w:numPr>
          <w:ilvl w:val="0"/>
          <w:numId w:val="1"/>
        </w:numPr>
        <w:spacing w:line="360" w:lineRule="auto"/>
        <w:contextualSpacing/>
        <w:jc w:val="both"/>
        <w:rPr>
          <w:rFonts w:ascii="Century Gothic" w:eastAsia="Times New Roman" w:hAnsi="Century Gothic" w:cs="Arial"/>
          <w:sz w:val="24"/>
          <w:szCs w:val="20"/>
          <w:lang w:val="es-ES" w:eastAsia="es-ES_tradnl"/>
        </w:rPr>
      </w:pPr>
      <w:r>
        <w:rPr>
          <w:rFonts w:ascii="Century Gothic" w:eastAsia="Times New Roman" w:hAnsi="Century Gothic" w:cs="Arial"/>
          <w:sz w:val="24"/>
          <w:szCs w:val="20"/>
          <w:lang w:val="es-ES" w:eastAsia="es-ES_tradnl"/>
        </w:rPr>
        <w:t xml:space="preserve">Registro Civil de Nacimiento de la señora </w:t>
      </w:r>
      <w:proofErr w:type="spellStart"/>
      <w:r>
        <w:rPr>
          <w:rFonts w:ascii="Century Gothic" w:eastAsia="Times New Roman" w:hAnsi="Century Gothic" w:cs="Arial"/>
          <w:sz w:val="24"/>
          <w:szCs w:val="20"/>
          <w:lang w:val="es-ES" w:eastAsia="es-ES_tradnl"/>
        </w:rPr>
        <w:t>Leimis</w:t>
      </w:r>
      <w:proofErr w:type="spellEnd"/>
      <w:r>
        <w:rPr>
          <w:rFonts w:ascii="Century Gothic" w:eastAsia="Times New Roman" w:hAnsi="Century Gothic" w:cs="Arial"/>
          <w:sz w:val="24"/>
          <w:szCs w:val="20"/>
          <w:lang w:val="es-ES" w:eastAsia="es-ES_tradnl"/>
        </w:rPr>
        <w:t xml:space="preserve"> Pontón Castillejo. </w:t>
      </w:r>
    </w:p>
    <w:p w14:paraId="4EF453E8" w14:textId="1B6781C8" w:rsidR="000B7B94" w:rsidRDefault="000B7B94" w:rsidP="000B7B94">
      <w:pPr>
        <w:numPr>
          <w:ilvl w:val="0"/>
          <w:numId w:val="1"/>
        </w:numPr>
        <w:spacing w:line="360" w:lineRule="auto"/>
        <w:contextualSpacing/>
        <w:jc w:val="both"/>
        <w:rPr>
          <w:rFonts w:ascii="Century Gothic" w:eastAsia="Times New Roman" w:hAnsi="Century Gothic" w:cs="Arial"/>
          <w:sz w:val="24"/>
          <w:szCs w:val="20"/>
          <w:lang w:val="es-ES" w:eastAsia="es-ES_tradnl"/>
        </w:rPr>
      </w:pPr>
      <w:r>
        <w:rPr>
          <w:rFonts w:ascii="Century Gothic" w:eastAsia="Times New Roman" w:hAnsi="Century Gothic" w:cs="Arial"/>
          <w:sz w:val="24"/>
          <w:szCs w:val="20"/>
          <w:lang w:val="es-ES" w:eastAsia="es-ES_tradnl"/>
        </w:rPr>
        <w:t xml:space="preserve">Cédula de ciudadanía de la señora </w:t>
      </w:r>
      <w:proofErr w:type="spellStart"/>
      <w:r>
        <w:rPr>
          <w:rFonts w:ascii="Century Gothic" w:eastAsia="Times New Roman" w:hAnsi="Century Gothic" w:cs="Arial"/>
          <w:sz w:val="24"/>
          <w:szCs w:val="20"/>
          <w:lang w:val="es-ES" w:eastAsia="es-ES_tradnl"/>
        </w:rPr>
        <w:t>Leimis</w:t>
      </w:r>
      <w:proofErr w:type="spellEnd"/>
      <w:r>
        <w:rPr>
          <w:rFonts w:ascii="Century Gothic" w:eastAsia="Times New Roman" w:hAnsi="Century Gothic" w:cs="Arial"/>
          <w:sz w:val="24"/>
          <w:szCs w:val="20"/>
          <w:lang w:val="es-ES" w:eastAsia="es-ES_tradnl"/>
        </w:rPr>
        <w:t xml:space="preserve"> Pontón Castillejo.</w:t>
      </w:r>
    </w:p>
    <w:p w14:paraId="76DA74F5" w14:textId="77777777" w:rsidR="00E027FB" w:rsidRDefault="000B7B94" w:rsidP="00E027FB">
      <w:pPr>
        <w:numPr>
          <w:ilvl w:val="0"/>
          <w:numId w:val="1"/>
        </w:numPr>
        <w:spacing w:line="360" w:lineRule="auto"/>
        <w:contextualSpacing/>
        <w:jc w:val="both"/>
        <w:rPr>
          <w:rFonts w:ascii="Century Gothic" w:eastAsia="Times New Roman" w:hAnsi="Century Gothic" w:cs="Arial"/>
          <w:sz w:val="24"/>
          <w:szCs w:val="20"/>
          <w:lang w:val="es-ES" w:eastAsia="es-ES_tradnl"/>
        </w:rPr>
      </w:pPr>
      <w:r>
        <w:rPr>
          <w:rFonts w:ascii="Century Gothic" w:eastAsia="Times New Roman" w:hAnsi="Century Gothic" w:cs="Arial"/>
          <w:sz w:val="24"/>
          <w:szCs w:val="20"/>
          <w:lang w:val="es-ES" w:eastAsia="es-ES_tradnl"/>
        </w:rPr>
        <w:t>Oficio No. S-2020-4103</w:t>
      </w:r>
      <w:r w:rsidR="003B1BC2">
        <w:rPr>
          <w:rFonts w:ascii="Century Gothic" w:eastAsia="Times New Roman" w:hAnsi="Century Gothic" w:cs="Arial"/>
          <w:sz w:val="24"/>
          <w:szCs w:val="20"/>
          <w:lang w:val="es-ES" w:eastAsia="es-ES_tradnl"/>
        </w:rPr>
        <w:t xml:space="preserve">-085826 del 13 de mayo de 2020. </w:t>
      </w:r>
      <w:r w:rsidR="003B1BC2" w:rsidRPr="00E027FB">
        <w:rPr>
          <w:rFonts w:ascii="Century Gothic" w:eastAsia="Times New Roman" w:hAnsi="Century Gothic" w:cs="Arial"/>
          <w:sz w:val="24"/>
          <w:szCs w:val="20"/>
          <w:lang w:val="es-ES" w:eastAsia="es-ES_tradnl"/>
        </w:rPr>
        <w:t>Comprobante del envío del oficio al correo electrónico de la accionante.</w:t>
      </w:r>
    </w:p>
    <w:p w14:paraId="5AAB023B" w14:textId="2E61BE9E" w:rsidR="00C933D0" w:rsidRPr="00E027FB" w:rsidRDefault="003B1BC2" w:rsidP="00E027FB">
      <w:pPr>
        <w:spacing w:line="360" w:lineRule="auto"/>
        <w:contextualSpacing/>
        <w:jc w:val="both"/>
        <w:rPr>
          <w:rFonts w:ascii="Century Gothic" w:eastAsia="Times New Roman" w:hAnsi="Century Gothic" w:cs="Arial"/>
          <w:sz w:val="24"/>
          <w:szCs w:val="20"/>
          <w:lang w:val="es-ES" w:eastAsia="es-ES_tradnl"/>
        </w:rPr>
      </w:pPr>
      <w:r w:rsidRPr="00E027FB">
        <w:rPr>
          <w:rFonts w:ascii="Century Gothic" w:eastAsia="Times New Roman" w:hAnsi="Century Gothic" w:cs="Arial"/>
          <w:sz w:val="24"/>
          <w:szCs w:val="20"/>
          <w:lang w:val="es-ES" w:eastAsia="es-ES_tradnl"/>
        </w:rPr>
        <w:t xml:space="preserve"> </w:t>
      </w:r>
    </w:p>
    <w:p w14:paraId="7B432161" w14:textId="07B9C836" w:rsidR="00F13774" w:rsidRPr="00E027FB" w:rsidRDefault="00F13774" w:rsidP="00E027FB">
      <w:pPr>
        <w:spacing w:line="360" w:lineRule="auto"/>
        <w:jc w:val="center"/>
        <w:rPr>
          <w:rFonts w:ascii="Century Gothic" w:eastAsia="Times New Roman" w:hAnsi="Century Gothic" w:cs="Arial"/>
          <w:b/>
          <w:sz w:val="24"/>
          <w:szCs w:val="24"/>
          <w:lang w:val="es-ES"/>
        </w:rPr>
      </w:pPr>
      <w:r w:rsidRPr="00F13774">
        <w:rPr>
          <w:rFonts w:ascii="Century Gothic" w:eastAsia="Times New Roman" w:hAnsi="Century Gothic" w:cs="Arial"/>
          <w:b/>
          <w:sz w:val="24"/>
          <w:szCs w:val="24"/>
          <w:lang w:val="es-ES"/>
        </w:rPr>
        <w:t>II. CONSIDERACIONES</w:t>
      </w:r>
    </w:p>
    <w:p w14:paraId="59647415" w14:textId="77777777" w:rsidR="00F13774" w:rsidRPr="00F13774" w:rsidRDefault="00F13774" w:rsidP="00F13774">
      <w:pPr>
        <w:spacing w:line="360" w:lineRule="auto"/>
        <w:jc w:val="both"/>
        <w:rPr>
          <w:rFonts w:ascii="Century Gothic" w:eastAsia="Times New Roman" w:hAnsi="Century Gothic" w:cs="Arial"/>
          <w:b/>
          <w:sz w:val="24"/>
          <w:szCs w:val="24"/>
          <w:lang w:val="es-ES"/>
        </w:rPr>
      </w:pPr>
      <w:r w:rsidRPr="00F13774">
        <w:rPr>
          <w:rFonts w:ascii="Century Gothic" w:eastAsia="Times New Roman" w:hAnsi="Century Gothic" w:cs="Arial"/>
          <w:b/>
          <w:sz w:val="24"/>
          <w:szCs w:val="24"/>
          <w:lang w:val="es-ES"/>
        </w:rPr>
        <w:t xml:space="preserve">5. Competencia </w:t>
      </w:r>
    </w:p>
    <w:p w14:paraId="7DC62E8E" w14:textId="77777777" w:rsidR="00F13774" w:rsidRPr="00F13774" w:rsidRDefault="00F13774" w:rsidP="00F13774">
      <w:pPr>
        <w:spacing w:line="360" w:lineRule="auto"/>
        <w:jc w:val="both"/>
        <w:rPr>
          <w:rFonts w:ascii="Century Gothic" w:eastAsia="Times New Roman" w:hAnsi="Century Gothic" w:cs="Arial"/>
          <w:sz w:val="24"/>
          <w:szCs w:val="24"/>
          <w:lang w:val="es-ES"/>
        </w:rPr>
      </w:pPr>
    </w:p>
    <w:p w14:paraId="36F4F120" w14:textId="07BFDBBF" w:rsidR="00F13774" w:rsidRPr="00F13774" w:rsidRDefault="00AA083E" w:rsidP="00F13774">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13</w:t>
      </w:r>
      <w:r w:rsidR="00F13774" w:rsidRPr="00F13774">
        <w:rPr>
          <w:rFonts w:ascii="Century Gothic" w:eastAsia="Times New Roman" w:hAnsi="Century Gothic" w:cs="Arial"/>
          <w:sz w:val="24"/>
          <w:szCs w:val="24"/>
          <w:lang w:val="es-ES"/>
        </w:rPr>
        <w:t xml:space="preserve">. Este Despacho es competente para decidir frente a las acciones de tutela presentadas por los ciudadanos, de conformidad con lo establecido en el artículo </w:t>
      </w:r>
      <w:proofErr w:type="gramStart"/>
      <w:r w:rsidR="00F13774" w:rsidRPr="00F13774">
        <w:rPr>
          <w:rFonts w:ascii="Century Gothic" w:eastAsia="Times New Roman" w:hAnsi="Century Gothic" w:cs="Arial"/>
          <w:sz w:val="24"/>
          <w:szCs w:val="24"/>
          <w:lang w:val="es-ES"/>
        </w:rPr>
        <w:t>86  de</w:t>
      </w:r>
      <w:proofErr w:type="gramEnd"/>
      <w:r w:rsidR="00F13774" w:rsidRPr="00F13774">
        <w:rPr>
          <w:rFonts w:ascii="Century Gothic" w:eastAsia="Times New Roman" w:hAnsi="Century Gothic" w:cs="Arial"/>
          <w:sz w:val="24"/>
          <w:szCs w:val="24"/>
          <w:lang w:val="es-ES"/>
        </w:rPr>
        <w:t xml:space="preserve"> la Constitución Política y el artículo 15 del Decreto 2591 de 1991; así como las demás disposiciones pertinentes.</w:t>
      </w:r>
    </w:p>
    <w:p w14:paraId="40983D16" w14:textId="6DB94901" w:rsidR="00F13774" w:rsidRPr="00F13774" w:rsidRDefault="006D03CB" w:rsidP="00F13774">
      <w:pPr>
        <w:spacing w:line="360" w:lineRule="auto"/>
        <w:jc w:val="both"/>
        <w:rPr>
          <w:rFonts w:ascii="Century Gothic" w:eastAsia="Times New Roman" w:hAnsi="Century Gothic" w:cs="Arial"/>
          <w:b/>
          <w:sz w:val="24"/>
          <w:szCs w:val="24"/>
          <w:lang w:val="es-ES"/>
        </w:rPr>
      </w:pPr>
      <w:r>
        <w:rPr>
          <w:rFonts w:ascii="Century Gothic" w:eastAsia="Times New Roman" w:hAnsi="Century Gothic" w:cs="Arial"/>
          <w:b/>
          <w:sz w:val="24"/>
          <w:szCs w:val="24"/>
          <w:lang w:val="es-ES"/>
        </w:rPr>
        <w:lastRenderedPageBreak/>
        <w:t>6</w:t>
      </w:r>
      <w:r w:rsidR="00F13774" w:rsidRPr="00F13774">
        <w:rPr>
          <w:rFonts w:ascii="Century Gothic" w:eastAsia="Times New Roman" w:hAnsi="Century Gothic" w:cs="Arial"/>
          <w:b/>
          <w:sz w:val="24"/>
          <w:szCs w:val="24"/>
          <w:lang w:val="es-ES"/>
        </w:rPr>
        <w:t xml:space="preserve">. De la procedencia de la acción de tutela. </w:t>
      </w:r>
    </w:p>
    <w:p w14:paraId="2B6C5C05" w14:textId="77777777" w:rsidR="00F13774" w:rsidRPr="00F13774" w:rsidRDefault="00F13774" w:rsidP="00F13774">
      <w:pPr>
        <w:spacing w:line="360" w:lineRule="auto"/>
        <w:jc w:val="both"/>
        <w:rPr>
          <w:rFonts w:ascii="Century Gothic" w:eastAsia="Times New Roman" w:hAnsi="Century Gothic" w:cs="Arial"/>
          <w:b/>
          <w:sz w:val="24"/>
          <w:szCs w:val="24"/>
          <w:lang w:val="es-ES"/>
        </w:rPr>
      </w:pPr>
    </w:p>
    <w:p w14:paraId="7712FC49" w14:textId="14A3FE8B" w:rsidR="00F13774" w:rsidRPr="00F13774" w:rsidRDefault="00F13774" w:rsidP="00F13774">
      <w:pPr>
        <w:spacing w:line="360" w:lineRule="auto"/>
        <w:jc w:val="both"/>
        <w:rPr>
          <w:rFonts w:ascii="Century Gothic" w:eastAsia="Times New Roman" w:hAnsi="Century Gothic" w:cs="Arial"/>
          <w:sz w:val="24"/>
          <w:szCs w:val="24"/>
          <w:lang w:val="es-ES"/>
        </w:rPr>
      </w:pPr>
      <w:r w:rsidRPr="00F13774">
        <w:rPr>
          <w:rFonts w:ascii="Century Gothic" w:eastAsia="Times New Roman" w:hAnsi="Century Gothic" w:cs="Arial"/>
          <w:sz w:val="24"/>
          <w:szCs w:val="24"/>
          <w:lang w:val="es-ES"/>
        </w:rPr>
        <w:t>1</w:t>
      </w:r>
      <w:r w:rsidR="00A67585">
        <w:rPr>
          <w:rFonts w:ascii="Century Gothic" w:eastAsia="Times New Roman" w:hAnsi="Century Gothic" w:cs="Arial"/>
          <w:sz w:val="24"/>
          <w:szCs w:val="24"/>
          <w:lang w:val="es-ES"/>
        </w:rPr>
        <w:t>4</w:t>
      </w:r>
      <w:r w:rsidRPr="00F13774">
        <w:rPr>
          <w:rFonts w:ascii="Century Gothic" w:eastAsia="Times New Roman" w:hAnsi="Century Gothic" w:cs="Arial"/>
          <w:sz w:val="24"/>
          <w:szCs w:val="24"/>
          <w:lang w:val="es-ES"/>
        </w:rPr>
        <w:t>. De conformidad con lo dispuesto en el artículo 86 de la Constitución Política, en el articulado general y, en particular, en los Artículos 1°, 5° y 8° del Decreto – Ley 2591 de 1991 “</w:t>
      </w:r>
      <w:r w:rsidRPr="00F13774">
        <w:rPr>
          <w:rFonts w:ascii="Century Gothic" w:eastAsia="Times New Roman" w:hAnsi="Century Gothic" w:cs="Arial"/>
          <w:i/>
          <w:sz w:val="24"/>
          <w:szCs w:val="24"/>
          <w:lang w:val="es-ES"/>
        </w:rPr>
        <w:t>Por el cual se reglamenta la acción de tutela consagrada en el artículo 86 de la Constitución Política</w:t>
      </w:r>
      <w:r w:rsidRPr="00F13774">
        <w:rPr>
          <w:rFonts w:ascii="Century Gothic" w:eastAsia="Times New Roman" w:hAnsi="Century Gothic" w:cs="Arial"/>
          <w:sz w:val="24"/>
          <w:szCs w:val="24"/>
          <w:lang w:val="es-ES"/>
        </w:rPr>
        <w:t xml:space="preserve">”, la acción de tutela se dirige o encamina a la protección inmediata de los Derechos Constitucionales Fundamentales, cuando quiera que estos resulten vulnerados o amenazados por la acción u omisión de cualquier autoridad pública o de particulares; en este último evento, en los casos señalados de manera expresa y restrictiva por la ley. </w:t>
      </w:r>
    </w:p>
    <w:p w14:paraId="2E657FDF" w14:textId="77777777" w:rsidR="00F13774" w:rsidRPr="00F13774" w:rsidRDefault="00F13774" w:rsidP="00F13774">
      <w:pPr>
        <w:spacing w:line="360" w:lineRule="auto"/>
        <w:ind w:left="708"/>
        <w:jc w:val="both"/>
        <w:rPr>
          <w:rFonts w:ascii="Century Gothic" w:eastAsia="Times New Roman" w:hAnsi="Century Gothic" w:cs="Arial"/>
          <w:sz w:val="24"/>
          <w:szCs w:val="24"/>
          <w:lang w:val="es-ES"/>
        </w:rPr>
      </w:pPr>
    </w:p>
    <w:p w14:paraId="530DADE1" w14:textId="38458B8E" w:rsidR="005739AC" w:rsidRPr="00E435BE" w:rsidRDefault="00F13774" w:rsidP="00832216">
      <w:pPr>
        <w:spacing w:line="360" w:lineRule="auto"/>
        <w:jc w:val="both"/>
        <w:rPr>
          <w:rFonts w:ascii="Century Gothic" w:eastAsia="Times New Roman" w:hAnsi="Century Gothic" w:cs="Arial"/>
          <w:sz w:val="24"/>
          <w:szCs w:val="24"/>
          <w:lang w:val="es-ES"/>
        </w:rPr>
      </w:pPr>
      <w:r w:rsidRPr="00F13774">
        <w:rPr>
          <w:rFonts w:ascii="Century Gothic" w:eastAsia="Times New Roman" w:hAnsi="Century Gothic" w:cs="Arial"/>
          <w:sz w:val="24"/>
          <w:szCs w:val="24"/>
          <w:lang w:val="es-ES"/>
        </w:rPr>
        <w:t>1</w:t>
      </w:r>
      <w:r w:rsidR="00A67585">
        <w:rPr>
          <w:rFonts w:ascii="Century Gothic" w:eastAsia="Times New Roman" w:hAnsi="Century Gothic" w:cs="Arial"/>
          <w:sz w:val="24"/>
          <w:szCs w:val="24"/>
          <w:lang w:val="es-ES"/>
        </w:rPr>
        <w:t>5</w:t>
      </w:r>
      <w:r w:rsidRPr="00F13774">
        <w:rPr>
          <w:rFonts w:ascii="Century Gothic" w:eastAsia="Times New Roman" w:hAnsi="Century Gothic" w:cs="Arial"/>
          <w:sz w:val="24"/>
          <w:szCs w:val="24"/>
          <w:lang w:val="es-ES"/>
        </w:rPr>
        <w:t>.</w:t>
      </w:r>
      <w:r w:rsidR="005739AC" w:rsidRPr="00F54D96">
        <w:rPr>
          <w:rFonts w:ascii="Century Gothic" w:eastAsia="Times New Roman" w:hAnsi="Century Gothic" w:cs="Arial"/>
          <w:sz w:val="24"/>
          <w:szCs w:val="24"/>
          <w:lang w:val="es-ES"/>
        </w:rPr>
        <w:t xml:space="preserve"> </w:t>
      </w:r>
      <w:r w:rsidR="005739AC" w:rsidRPr="00E435BE">
        <w:rPr>
          <w:rFonts w:ascii="Century Gothic" w:eastAsia="Times New Roman" w:hAnsi="Century Gothic" w:cs="Arial"/>
          <w:sz w:val="24"/>
          <w:szCs w:val="24"/>
          <w:lang w:val="es-ES"/>
        </w:rPr>
        <w:t>La acción de tutela se caracteriza por ser subsidiaria, esto es, que su procedencia está supeditada a la inexistencia de otros medios de defensa judicial, salvo que se utilice como herramienta transitoria para evitar un perjuicio irremediable o cuando los mecanismos</w:t>
      </w:r>
      <w:r w:rsidR="005739AC">
        <w:rPr>
          <w:rFonts w:ascii="Century Gothic" w:eastAsia="Times New Roman" w:hAnsi="Century Gothic" w:cs="Arial"/>
          <w:sz w:val="24"/>
          <w:szCs w:val="24"/>
          <w:lang w:val="es-ES"/>
        </w:rPr>
        <w:t xml:space="preserve"> no</w:t>
      </w:r>
      <w:r w:rsidR="005739AC" w:rsidRPr="00E435BE">
        <w:rPr>
          <w:rFonts w:ascii="Century Gothic" w:eastAsia="Times New Roman" w:hAnsi="Century Gothic" w:cs="Arial"/>
          <w:sz w:val="24"/>
          <w:szCs w:val="24"/>
          <w:lang w:val="es-ES"/>
        </w:rPr>
        <w:t xml:space="preserve"> resultan </w:t>
      </w:r>
      <w:r w:rsidR="005739AC">
        <w:rPr>
          <w:rFonts w:ascii="Century Gothic" w:eastAsia="Times New Roman" w:hAnsi="Century Gothic" w:cs="Arial"/>
          <w:sz w:val="24"/>
          <w:szCs w:val="24"/>
          <w:lang w:val="es-ES"/>
        </w:rPr>
        <w:t>idóneos</w:t>
      </w:r>
      <w:r w:rsidR="005739AC" w:rsidRPr="00E435BE">
        <w:rPr>
          <w:rFonts w:ascii="Century Gothic" w:eastAsia="Times New Roman" w:hAnsi="Century Gothic" w:cs="Arial"/>
          <w:sz w:val="24"/>
          <w:szCs w:val="24"/>
          <w:lang w:val="es-ES"/>
        </w:rPr>
        <w:t xml:space="preserve"> para afrontar la vulneración o amenaza. Así se desprende del citado precepto constitucional</w:t>
      </w:r>
      <w:r w:rsidR="005739AC">
        <w:rPr>
          <w:rFonts w:ascii="Century Gothic" w:eastAsia="Times New Roman" w:hAnsi="Century Gothic" w:cs="Arial"/>
          <w:sz w:val="24"/>
          <w:szCs w:val="24"/>
          <w:lang w:val="es-ES"/>
        </w:rPr>
        <w:t xml:space="preserve">, </w:t>
      </w:r>
      <w:r w:rsidR="005739AC" w:rsidRPr="00E435BE">
        <w:rPr>
          <w:rFonts w:ascii="Century Gothic" w:eastAsia="Times New Roman" w:hAnsi="Century Gothic" w:cs="Arial"/>
          <w:sz w:val="24"/>
          <w:szCs w:val="24"/>
          <w:lang w:val="es-ES"/>
        </w:rPr>
        <w:t>y</w:t>
      </w:r>
      <w:r w:rsidR="005739AC">
        <w:rPr>
          <w:rFonts w:ascii="Century Gothic" w:eastAsia="Times New Roman" w:hAnsi="Century Gothic" w:cs="Arial"/>
          <w:sz w:val="24"/>
          <w:szCs w:val="24"/>
          <w:lang w:val="es-ES"/>
        </w:rPr>
        <w:t xml:space="preserve"> de</w:t>
      </w:r>
      <w:r w:rsidR="005739AC" w:rsidRPr="00E435BE">
        <w:rPr>
          <w:rFonts w:ascii="Century Gothic" w:eastAsia="Times New Roman" w:hAnsi="Century Gothic" w:cs="Arial"/>
          <w:sz w:val="24"/>
          <w:szCs w:val="24"/>
          <w:lang w:val="es-ES"/>
        </w:rPr>
        <w:t>l artículo 6, numeral 1º, del Decreto 2591 de 199</w:t>
      </w:r>
      <w:r w:rsidR="005739AC">
        <w:rPr>
          <w:rFonts w:ascii="Century Gothic" w:eastAsia="Times New Roman" w:hAnsi="Century Gothic" w:cs="Arial"/>
          <w:sz w:val="24"/>
          <w:szCs w:val="24"/>
          <w:lang w:val="es-ES"/>
        </w:rPr>
        <w:t>1</w:t>
      </w:r>
      <w:r w:rsidR="005739AC" w:rsidRPr="00E435BE">
        <w:rPr>
          <w:rFonts w:ascii="Century Gothic" w:eastAsia="Times New Roman" w:hAnsi="Century Gothic" w:cs="Arial"/>
          <w:sz w:val="24"/>
          <w:szCs w:val="24"/>
          <w:lang w:val="es-ES"/>
        </w:rPr>
        <w:t>.</w:t>
      </w:r>
    </w:p>
    <w:p w14:paraId="4ED461E3" w14:textId="77777777" w:rsidR="005739AC" w:rsidRPr="00E435BE" w:rsidRDefault="005739AC" w:rsidP="00832216">
      <w:pPr>
        <w:spacing w:line="360" w:lineRule="auto"/>
        <w:jc w:val="both"/>
        <w:rPr>
          <w:rFonts w:ascii="Century Gothic" w:eastAsia="Times New Roman" w:hAnsi="Century Gothic" w:cs="Arial"/>
          <w:sz w:val="24"/>
          <w:szCs w:val="24"/>
          <w:lang w:val="es-ES"/>
        </w:rPr>
      </w:pPr>
      <w:r w:rsidRPr="00E435BE">
        <w:rPr>
          <w:rFonts w:ascii="Century Gothic" w:eastAsia="Times New Roman" w:hAnsi="Century Gothic" w:cs="Arial"/>
          <w:sz w:val="24"/>
          <w:szCs w:val="24"/>
          <w:lang w:val="es-ES"/>
        </w:rPr>
        <w:t xml:space="preserve"> </w:t>
      </w:r>
    </w:p>
    <w:p w14:paraId="44BC1070" w14:textId="4085DF95" w:rsidR="005739AC" w:rsidRPr="00E435BE" w:rsidRDefault="005739AC" w:rsidP="00832216">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1</w:t>
      </w:r>
      <w:r w:rsidR="00A67585">
        <w:rPr>
          <w:rFonts w:ascii="Century Gothic" w:eastAsia="Times New Roman" w:hAnsi="Century Gothic" w:cs="Arial"/>
          <w:sz w:val="24"/>
          <w:szCs w:val="24"/>
          <w:lang w:val="es-ES"/>
        </w:rPr>
        <w:t>6</w:t>
      </w:r>
      <w:r>
        <w:rPr>
          <w:rFonts w:ascii="Century Gothic" w:eastAsia="Times New Roman" w:hAnsi="Century Gothic" w:cs="Arial"/>
          <w:sz w:val="24"/>
          <w:szCs w:val="24"/>
          <w:lang w:val="es-ES"/>
        </w:rPr>
        <w:t xml:space="preserve">. </w:t>
      </w:r>
      <w:r w:rsidRPr="00E435BE">
        <w:rPr>
          <w:rFonts w:ascii="Century Gothic" w:eastAsia="Times New Roman" w:hAnsi="Century Gothic" w:cs="Arial"/>
          <w:sz w:val="24"/>
          <w:szCs w:val="24"/>
          <w:lang w:val="es-ES"/>
        </w:rPr>
        <w:t>De acuerdo con lo anterior, la acción de tutela solo puede incoarse cuando se hayan agotados todos los instrumentos ordinarios instituidos para defender los derechos invocados, excepto cuando se emplea para evitar daños irreparables. De hecho</w:t>
      </w:r>
      <w:r>
        <w:rPr>
          <w:rFonts w:ascii="Century Gothic" w:eastAsia="Times New Roman" w:hAnsi="Century Gothic" w:cs="Arial"/>
          <w:sz w:val="24"/>
          <w:szCs w:val="24"/>
          <w:lang w:val="es-ES"/>
        </w:rPr>
        <w:t xml:space="preserve">, la Corte Constitucional </w:t>
      </w:r>
      <w:r w:rsidRPr="00E435BE">
        <w:rPr>
          <w:rFonts w:ascii="Century Gothic" w:eastAsia="Times New Roman" w:hAnsi="Century Gothic" w:cs="Arial"/>
          <w:sz w:val="24"/>
          <w:szCs w:val="24"/>
          <w:lang w:val="es-ES"/>
        </w:rPr>
        <w:t>ha indicado que:</w:t>
      </w:r>
    </w:p>
    <w:p w14:paraId="7DCF83C2" w14:textId="77777777" w:rsidR="005739AC" w:rsidRPr="00E435BE" w:rsidRDefault="005739AC" w:rsidP="00832216">
      <w:pPr>
        <w:spacing w:line="360" w:lineRule="auto"/>
        <w:jc w:val="both"/>
        <w:rPr>
          <w:rFonts w:ascii="Century Gothic" w:eastAsia="Times New Roman" w:hAnsi="Century Gothic" w:cs="Arial"/>
          <w:sz w:val="24"/>
          <w:szCs w:val="24"/>
          <w:lang w:val="es-ES"/>
        </w:rPr>
      </w:pPr>
      <w:r w:rsidRPr="00E435BE">
        <w:rPr>
          <w:rFonts w:ascii="Century Gothic" w:eastAsia="Times New Roman" w:hAnsi="Century Gothic" w:cs="Arial"/>
          <w:sz w:val="24"/>
          <w:szCs w:val="24"/>
          <w:lang w:val="es-ES"/>
        </w:rPr>
        <w:t xml:space="preserve"> </w:t>
      </w:r>
    </w:p>
    <w:p w14:paraId="1CFE98F9" w14:textId="77777777" w:rsidR="005739AC" w:rsidRPr="00354F8C" w:rsidRDefault="005739AC" w:rsidP="00832216">
      <w:pPr>
        <w:spacing w:line="276" w:lineRule="auto"/>
        <w:ind w:left="709" w:right="424"/>
        <w:jc w:val="both"/>
        <w:rPr>
          <w:rFonts w:ascii="Century Gothic" w:eastAsia="Times New Roman" w:hAnsi="Century Gothic" w:cs="Arial"/>
          <w:i/>
          <w:iCs/>
          <w:lang w:val="es-ES"/>
        </w:rPr>
      </w:pPr>
      <w:r w:rsidRPr="00354F8C">
        <w:rPr>
          <w:rFonts w:ascii="Century Gothic" w:eastAsia="Times New Roman" w:hAnsi="Century Gothic" w:cs="Arial"/>
          <w:i/>
          <w:iCs/>
          <w:lang w:val="es-ES"/>
        </w:rPr>
        <w:t xml:space="preserve">“(…) el carácter subsidiario de la acción de tutela impone al interesado la obligación de desplegar todo su actuar dirigido a poner en marcha los medios ordinarios de defensa ofrecidos dentro del ordenamiento jurídico para la protección de sus derechos fundamentales. Tal imperativo constitucional pone de relieve que para acudir a la acción de tutela el peticionario debe haber actuado con diligencia en los procesos y procedimientos ordinarios, pero </w:t>
      </w:r>
      <w:r w:rsidRPr="00354F8C">
        <w:rPr>
          <w:rFonts w:ascii="Century Gothic" w:eastAsia="Times New Roman" w:hAnsi="Century Gothic" w:cs="Arial"/>
          <w:i/>
          <w:iCs/>
          <w:lang w:val="es-ES"/>
        </w:rPr>
        <w:lastRenderedPageBreak/>
        <w:t>también que la falta injustificada de agotamiento de los recursos legales deviene en la improcedencia del mecanismo de amparo establecido en el artículo 86 superior.</w:t>
      </w:r>
    </w:p>
    <w:p w14:paraId="6E3F46B8" w14:textId="77777777" w:rsidR="005739AC" w:rsidRPr="00354F8C" w:rsidRDefault="005739AC" w:rsidP="00832216">
      <w:pPr>
        <w:spacing w:line="276" w:lineRule="auto"/>
        <w:ind w:left="709" w:right="424"/>
        <w:jc w:val="both"/>
        <w:rPr>
          <w:rFonts w:ascii="Century Gothic" w:eastAsia="Times New Roman" w:hAnsi="Century Gothic" w:cs="Arial"/>
          <w:i/>
          <w:iCs/>
          <w:lang w:val="es-ES"/>
        </w:rPr>
      </w:pPr>
      <w:r w:rsidRPr="00354F8C">
        <w:rPr>
          <w:rFonts w:ascii="Century Gothic" w:eastAsia="Times New Roman" w:hAnsi="Century Gothic" w:cs="Arial"/>
          <w:i/>
          <w:iCs/>
          <w:lang w:val="es-ES"/>
        </w:rPr>
        <w:t xml:space="preserve"> </w:t>
      </w:r>
    </w:p>
    <w:p w14:paraId="0C88FEE0" w14:textId="77777777" w:rsidR="005739AC" w:rsidRPr="00354F8C" w:rsidRDefault="005739AC" w:rsidP="00832216">
      <w:pPr>
        <w:spacing w:line="276" w:lineRule="auto"/>
        <w:ind w:left="709" w:right="424"/>
        <w:jc w:val="both"/>
        <w:rPr>
          <w:rFonts w:ascii="Century Gothic" w:eastAsia="Times New Roman" w:hAnsi="Century Gothic" w:cs="Arial"/>
          <w:i/>
          <w:iCs/>
          <w:lang w:val="es-ES"/>
        </w:rPr>
      </w:pPr>
      <w:r w:rsidRPr="00354F8C">
        <w:rPr>
          <w:rFonts w:ascii="Century Gothic" w:eastAsia="Times New Roman" w:hAnsi="Century Gothic" w:cs="Arial"/>
          <w:i/>
          <w:iCs/>
          <w:lang w:val="es-ES"/>
        </w:rPr>
        <w:t xml:space="preserve">Sobre este particular, ha precisado la jurisprudencia que si existiendo el medio judicial de defensa, el interesado deja de acudir a él y, además, pudiendo evitarlo, permite que éste caduque, no podrá posteriormente acudir a la acción de tutela en procura de obtener la protección de un derecho fundamental. En estas circunstancias, la acción de amparo constitucional no podría hacerse valer ni siquiera como mecanismo transitorio de protección, pues tal modalidad procesal se encuentra subordinada al ejercicio de un medio judicial ordinario en cuyo trámite se resuelva definitivamente acerca de la vulneración </w:t>
      </w:r>
      <w:proofErr w:type="spellStart"/>
      <w:r w:rsidRPr="00354F8C">
        <w:rPr>
          <w:rFonts w:ascii="Century Gothic" w:eastAsia="Times New Roman" w:hAnsi="Century Gothic" w:cs="Arial"/>
          <w:i/>
          <w:iCs/>
          <w:lang w:val="es-ES"/>
        </w:rPr>
        <w:t>iusfundamental</w:t>
      </w:r>
      <w:proofErr w:type="spellEnd"/>
      <w:r w:rsidRPr="00354F8C">
        <w:rPr>
          <w:rFonts w:ascii="Century Gothic" w:eastAsia="Times New Roman" w:hAnsi="Century Gothic" w:cs="Arial"/>
          <w:i/>
          <w:iCs/>
          <w:lang w:val="es-ES"/>
        </w:rPr>
        <w:t xml:space="preserve"> y a la diligencia del actor para hacer uso oportuno del mismo”</w:t>
      </w:r>
      <w:r>
        <w:rPr>
          <w:rStyle w:val="Refdenotaalpie"/>
          <w:rFonts w:ascii="Century Gothic" w:eastAsia="Times New Roman" w:hAnsi="Century Gothic" w:cs="Arial"/>
          <w:i/>
          <w:iCs/>
          <w:lang w:val="es-ES"/>
        </w:rPr>
        <w:footnoteReference w:id="4"/>
      </w:r>
      <w:r>
        <w:rPr>
          <w:rFonts w:ascii="Century Gothic" w:eastAsia="Times New Roman" w:hAnsi="Century Gothic" w:cs="Arial"/>
          <w:i/>
          <w:iCs/>
          <w:lang w:val="es-ES"/>
        </w:rPr>
        <w:t>.</w:t>
      </w:r>
    </w:p>
    <w:p w14:paraId="7EA69EEE" w14:textId="77777777" w:rsidR="005739AC" w:rsidRPr="00E435BE" w:rsidRDefault="005739AC" w:rsidP="00832216">
      <w:pPr>
        <w:spacing w:line="360" w:lineRule="auto"/>
        <w:jc w:val="both"/>
        <w:rPr>
          <w:rFonts w:ascii="Century Gothic" w:eastAsia="Times New Roman" w:hAnsi="Century Gothic" w:cs="Arial"/>
          <w:sz w:val="24"/>
          <w:szCs w:val="24"/>
          <w:lang w:val="es-ES"/>
        </w:rPr>
      </w:pPr>
      <w:r w:rsidRPr="00E435BE">
        <w:rPr>
          <w:rFonts w:ascii="Century Gothic" w:eastAsia="Times New Roman" w:hAnsi="Century Gothic" w:cs="Arial"/>
          <w:sz w:val="24"/>
          <w:szCs w:val="24"/>
          <w:lang w:val="es-ES"/>
        </w:rPr>
        <w:t xml:space="preserve"> </w:t>
      </w:r>
    </w:p>
    <w:p w14:paraId="592BFC35" w14:textId="10749F9D" w:rsidR="005739AC" w:rsidRPr="00E435BE" w:rsidRDefault="005739AC" w:rsidP="00832216">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1</w:t>
      </w:r>
      <w:r w:rsidR="00A67585">
        <w:rPr>
          <w:rFonts w:ascii="Century Gothic" w:eastAsia="Times New Roman" w:hAnsi="Century Gothic" w:cs="Arial"/>
          <w:sz w:val="24"/>
          <w:szCs w:val="24"/>
          <w:lang w:val="es-ES"/>
        </w:rPr>
        <w:t>7</w:t>
      </w:r>
      <w:r w:rsidR="002F7B2A">
        <w:rPr>
          <w:rFonts w:ascii="Century Gothic" w:eastAsia="Times New Roman" w:hAnsi="Century Gothic" w:cs="Arial"/>
          <w:sz w:val="24"/>
          <w:szCs w:val="24"/>
          <w:lang w:val="es-ES"/>
        </w:rPr>
        <w:t>.</w:t>
      </w:r>
      <w:r>
        <w:rPr>
          <w:rFonts w:ascii="Century Gothic" w:eastAsia="Times New Roman" w:hAnsi="Century Gothic" w:cs="Arial"/>
          <w:sz w:val="24"/>
          <w:szCs w:val="24"/>
          <w:lang w:val="es-ES"/>
        </w:rPr>
        <w:t xml:space="preserve"> </w:t>
      </w:r>
      <w:r w:rsidRPr="00E435BE">
        <w:rPr>
          <w:rFonts w:ascii="Century Gothic" w:eastAsia="Times New Roman" w:hAnsi="Century Gothic" w:cs="Arial"/>
          <w:sz w:val="24"/>
          <w:szCs w:val="24"/>
          <w:lang w:val="es-ES"/>
        </w:rPr>
        <w:t>Aunado a lo expuesto, también se ha señalado que no por existir otro medio de defensa judicial la tutela resulta improcedente,</w:t>
      </w:r>
      <w:r>
        <w:rPr>
          <w:rFonts w:ascii="Century Gothic" w:eastAsia="Times New Roman" w:hAnsi="Century Gothic" w:cs="Arial"/>
          <w:sz w:val="24"/>
          <w:szCs w:val="24"/>
          <w:lang w:val="es-ES"/>
        </w:rPr>
        <w:t xml:space="preserve"> pues</w:t>
      </w:r>
      <w:r w:rsidRPr="00E435BE">
        <w:rPr>
          <w:rFonts w:ascii="Century Gothic" w:eastAsia="Times New Roman" w:hAnsi="Century Gothic" w:cs="Arial"/>
          <w:sz w:val="24"/>
          <w:szCs w:val="24"/>
          <w:lang w:val="es-ES"/>
        </w:rPr>
        <w:t xml:space="preserve"> el mecanismo debe ser idóneo y eficaz para garantizar la protección del derecho:</w:t>
      </w:r>
    </w:p>
    <w:p w14:paraId="07775EE4" w14:textId="77777777" w:rsidR="005739AC" w:rsidRPr="00E435BE" w:rsidRDefault="005739AC" w:rsidP="00832216">
      <w:pPr>
        <w:spacing w:line="360" w:lineRule="auto"/>
        <w:jc w:val="both"/>
        <w:rPr>
          <w:rFonts w:ascii="Century Gothic" w:eastAsia="Times New Roman" w:hAnsi="Century Gothic" w:cs="Arial"/>
          <w:sz w:val="24"/>
          <w:szCs w:val="24"/>
          <w:lang w:val="es-ES"/>
        </w:rPr>
      </w:pPr>
      <w:r w:rsidRPr="00E435BE">
        <w:rPr>
          <w:rFonts w:ascii="Century Gothic" w:eastAsia="Times New Roman" w:hAnsi="Century Gothic" w:cs="Arial"/>
          <w:sz w:val="24"/>
          <w:szCs w:val="24"/>
          <w:lang w:val="es-ES"/>
        </w:rPr>
        <w:t xml:space="preserve"> </w:t>
      </w:r>
    </w:p>
    <w:p w14:paraId="097FF7F2" w14:textId="77777777" w:rsidR="005739AC" w:rsidRPr="00242CEC" w:rsidRDefault="005739AC" w:rsidP="00832216">
      <w:pPr>
        <w:spacing w:line="276" w:lineRule="auto"/>
        <w:ind w:left="709" w:right="566"/>
        <w:jc w:val="both"/>
        <w:rPr>
          <w:rFonts w:ascii="Century Gothic" w:eastAsia="Times New Roman" w:hAnsi="Century Gothic" w:cs="Arial"/>
          <w:i/>
          <w:iCs/>
          <w:lang w:val="es-ES"/>
        </w:rPr>
      </w:pPr>
      <w:r w:rsidRPr="00242CEC">
        <w:rPr>
          <w:rFonts w:ascii="Century Gothic" w:eastAsia="Times New Roman" w:hAnsi="Century Gothic" w:cs="Arial"/>
          <w:i/>
          <w:iCs/>
          <w:lang w:val="es-ES"/>
        </w:rPr>
        <w:t>“la sola existencia de otro mecanismo judicial no constituye una razón suficiente para declarar la improcedencia de la acción</w:t>
      </w:r>
      <w:r>
        <w:rPr>
          <w:rStyle w:val="Refdenotaalpie"/>
          <w:rFonts w:ascii="Century Gothic" w:eastAsia="Times New Roman" w:hAnsi="Century Gothic" w:cs="Arial"/>
          <w:i/>
          <w:iCs/>
          <w:lang w:val="es-ES"/>
        </w:rPr>
        <w:footnoteReference w:id="5"/>
      </w:r>
      <w:r w:rsidRPr="00242CEC">
        <w:rPr>
          <w:rFonts w:ascii="Century Gothic" w:eastAsia="Times New Roman" w:hAnsi="Century Gothic" w:cs="Arial"/>
          <w:i/>
          <w:iCs/>
          <w:lang w:val="es-ES"/>
        </w:rPr>
        <w:t>. El medio debe ser idóneo, lo que significa que debe ser materialmente apto para producir el efecto protector de los derechos fundamentales. Además, debe ser un medio eficaz, esto es, que debe estar diseñado de forma tal que brinde oportunamente una protección al derecho”</w:t>
      </w:r>
      <w:r>
        <w:rPr>
          <w:rStyle w:val="Refdenotaalpie"/>
          <w:rFonts w:ascii="Century Gothic" w:eastAsia="Times New Roman" w:hAnsi="Century Gothic" w:cs="Arial"/>
          <w:i/>
          <w:iCs/>
          <w:lang w:val="es-ES"/>
        </w:rPr>
        <w:footnoteReference w:id="6"/>
      </w:r>
      <w:r w:rsidRPr="00242CEC">
        <w:rPr>
          <w:rFonts w:ascii="Century Gothic" w:eastAsia="Times New Roman" w:hAnsi="Century Gothic" w:cs="Arial"/>
          <w:i/>
          <w:iCs/>
          <w:lang w:val="es-ES"/>
        </w:rPr>
        <w:t>.</w:t>
      </w:r>
    </w:p>
    <w:p w14:paraId="0D57AB5A" w14:textId="77777777" w:rsidR="005739AC" w:rsidRPr="00E435BE" w:rsidRDefault="005739AC" w:rsidP="00832216">
      <w:pPr>
        <w:spacing w:line="360" w:lineRule="auto"/>
        <w:jc w:val="both"/>
        <w:rPr>
          <w:rFonts w:ascii="Century Gothic" w:eastAsia="Times New Roman" w:hAnsi="Century Gothic" w:cs="Arial"/>
          <w:sz w:val="24"/>
          <w:szCs w:val="24"/>
          <w:lang w:val="es-ES"/>
        </w:rPr>
      </w:pPr>
      <w:r w:rsidRPr="00E435BE">
        <w:rPr>
          <w:rFonts w:ascii="Century Gothic" w:eastAsia="Times New Roman" w:hAnsi="Century Gothic" w:cs="Arial"/>
          <w:sz w:val="24"/>
          <w:szCs w:val="24"/>
          <w:lang w:val="es-ES"/>
        </w:rPr>
        <w:t xml:space="preserve"> </w:t>
      </w:r>
    </w:p>
    <w:p w14:paraId="77554427" w14:textId="7D386380" w:rsidR="005739AC" w:rsidRDefault="005739AC" w:rsidP="00832216">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1</w:t>
      </w:r>
      <w:r w:rsidR="00A67585">
        <w:rPr>
          <w:rFonts w:ascii="Century Gothic" w:eastAsia="Times New Roman" w:hAnsi="Century Gothic" w:cs="Arial"/>
          <w:sz w:val="24"/>
          <w:szCs w:val="24"/>
          <w:lang w:val="es-ES"/>
        </w:rPr>
        <w:t>8</w:t>
      </w:r>
      <w:r w:rsidRPr="00E435BE">
        <w:rPr>
          <w:rFonts w:ascii="Century Gothic" w:eastAsia="Times New Roman" w:hAnsi="Century Gothic" w:cs="Arial"/>
          <w:sz w:val="24"/>
          <w:szCs w:val="24"/>
          <w:lang w:val="es-ES"/>
        </w:rPr>
        <w:t xml:space="preserve">. En ese orden de ideas, es obligación del juez de tutela verificar si el </w:t>
      </w:r>
      <w:r>
        <w:rPr>
          <w:rFonts w:ascii="Century Gothic" w:eastAsia="Times New Roman" w:hAnsi="Century Gothic" w:cs="Arial"/>
          <w:sz w:val="24"/>
          <w:szCs w:val="24"/>
          <w:lang w:val="es-ES"/>
        </w:rPr>
        <w:t>mecanismo</w:t>
      </w:r>
      <w:r w:rsidRPr="00E435BE">
        <w:rPr>
          <w:rFonts w:ascii="Century Gothic" w:eastAsia="Times New Roman" w:hAnsi="Century Gothic" w:cs="Arial"/>
          <w:sz w:val="24"/>
          <w:szCs w:val="24"/>
          <w:lang w:val="es-ES"/>
        </w:rPr>
        <w:t xml:space="preserve"> es idóneo y seguro para contrarrestar la situación, respecto de la cual debe existir más </w:t>
      </w:r>
      <w:r>
        <w:rPr>
          <w:rFonts w:ascii="Century Gothic" w:eastAsia="Times New Roman" w:hAnsi="Century Gothic" w:cs="Arial"/>
          <w:sz w:val="24"/>
          <w:szCs w:val="24"/>
          <w:lang w:val="es-ES"/>
        </w:rPr>
        <w:t>flexibilidad</w:t>
      </w:r>
      <w:r w:rsidRPr="00E435BE">
        <w:rPr>
          <w:rFonts w:ascii="Century Gothic" w:eastAsia="Times New Roman" w:hAnsi="Century Gothic" w:cs="Arial"/>
          <w:sz w:val="24"/>
          <w:szCs w:val="24"/>
          <w:lang w:val="es-ES"/>
        </w:rPr>
        <w:t xml:space="preserve"> cuando se trata de personas en edad avanzada, dado que por esa condición le es más difícil conseguir </w:t>
      </w:r>
      <w:r w:rsidRPr="00E435BE">
        <w:rPr>
          <w:rFonts w:ascii="Century Gothic" w:eastAsia="Times New Roman" w:hAnsi="Century Gothic" w:cs="Arial"/>
          <w:sz w:val="24"/>
          <w:szCs w:val="24"/>
          <w:lang w:val="es-ES"/>
        </w:rPr>
        <w:lastRenderedPageBreak/>
        <w:t xml:space="preserve">un empleo y, por lo </w:t>
      </w:r>
      <w:proofErr w:type="gramStart"/>
      <w:r w:rsidRPr="00E435BE">
        <w:rPr>
          <w:rFonts w:ascii="Century Gothic" w:eastAsia="Times New Roman" w:hAnsi="Century Gothic" w:cs="Arial"/>
          <w:sz w:val="24"/>
          <w:szCs w:val="24"/>
          <w:lang w:val="es-ES"/>
        </w:rPr>
        <w:t>mismo,  se</w:t>
      </w:r>
      <w:proofErr w:type="gramEnd"/>
      <w:r w:rsidRPr="00E435BE">
        <w:rPr>
          <w:rFonts w:ascii="Century Gothic" w:eastAsia="Times New Roman" w:hAnsi="Century Gothic" w:cs="Arial"/>
          <w:sz w:val="24"/>
          <w:szCs w:val="24"/>
          <w:lang w:val="es-ES"/>
        </w:rPr>
        <w:t xml:space="preserve"> constituyen en sujetos de especial protección constituci</w:t>
      </w:r>
      <w:r>
        <w:rPr>
          <w:rFonts w:ascii="Century Gothic" w:eastAsia="Times New Roman" w:hAnsi="Century Gothic" w:cs="Arial"/>
          <w:sz w:val="24"/>
          <w:szCs w:val="24"/>
          <w:lang w:val="es-ES"/>
        </w:rPr>
        <w:t>ón</w:t>
      </w:r>
      <w:r>
        <w:rPr>
          <w:rStyle w:val="Refdenotaalpie"/>
          <w:rFonts w:ascii="Century Gothic" w:eastAsia="Times New Roman" w:hAnsi="Century Gothic" w:cs="Arial"/>
          <w:sz w:val="24"/>
          <w:szCs w:val="24"/>
          <w:lang w:val="es-ES"/>
        </w:rPr>
        <w:footnoteReference w:id="7"/>
      </w:r>
      <w:r w:rsidRPr="00E435BE">
        <w:rPr>
          <w:rFonts w:ascii="Century Gothic" w:eastAsia="Times New Roman" w:hAnsi="Century Gothic" w:cs="Arial"/>
          <w:sz w:val="24"/>
          <w:szCs w:val="24"/>
          <w:lang w:val="es-ES"/>
        </w:rPr>
        <w:t xml:space="preserve">. </w:t>
      </w:r>
      <w:r>
        <w:rPr>
          <w:rFonts w:ascii="Century Gothic" w:eastAsia="Times New Roman" w:hAnsi="Century Gothic" w:cs="Arial"/>
          <w:sz w:val="24"/>
          <w:szCs w:val="24"/>
          <w:lang w:val="es-ES"/>
        </w:rPr>
        <w:t>“En ese tipo de</w:t>
      </w:r>
      <w:r w:rsidRPr="00E435BE">
        <w:rPr>
          <w:rFonts w:ascii="Century Gothic" w:eastAsia="Times New Roman" w:hAnsi="Century Gothic" w:cs="Arial"/>
          <w:sz w:val="24"/>
          <w:szCs w:val="24"/>
          <w:lang w:val="es-ES"/>
        </w:rPr>
        <w:t xml:space="preserve"> evento</w:t>
      </w:r>
      <w:r>
        <w:rPr>
          <w:rFonts w:ascii="Century Gothic" w:eastAsia="Times New Roman" w:hAnsi="Century Gothic" w:cs="Arial"/>
          <w:sz w:val="24"/>
          <w:szCs w:val="24"/>
          <w:lang w:val="es-ES"/>
        </w:rPr>
        <w:t>s</w:t>
      </w:r>
      <w:r w:rsidRPr="00E435BE">
        <w:rPr>
          <w:rFonts w:ascii="Century Gothic" w:eastAsia="Times New Roman" w:hAnsi="Century Gothic" w:cs="Arial"/>
          <w:sz w:val="24"/>
          <w:szCs w:val="24"/>
          <w:lang w:val="es-ES"/>
        </w:rPr>
        <w:t>, “la acción constitucional aventaja al mecanismo ordinario de defensa judicial, por resultar eficaz en medida y oportunidad”</w:t>
      </w:r>
      <w:r>
        <w:rPr>
          <w:rStyle w:val="Refdenotaalpie"/>
          <w:rFonts w:ascii="Century Gothic" w:eastAsia="Times New Roman" w:hAnsi="Century Gothic" w:cs="Arial"/>
          <w:sz w:val="24"/>
          <w:szCs w:val="24"/>
          <w:lang w:val="es-ES"/>
        </w:rPr>
        <w:footnoteReference w:id="8"/>
      </w:r>
      <w:r>
        <w:rPr>
          <w:rFonts w:ascii="Century Gothic" w:eastAsia="Times New Roman" w:hAnsi="Century Gothic" w:cs="Arial"/>
          <w:sz w:val="24"/>
          <w:szCs w:val="24"/>
          <w:lang w:val="es-ES"/>
        </w:rPr>
        <w:t>.</w:t>
      </w:r>
      <w:r w:rsidRPr="00F54D96">
        <w:rPr>
          <w:rFonts w:ascii="Century Gothic" w:eastAsia="Times New Roman" w:hAnsi="Century Gothic" w:cs="Arial"/>
          <w:sz w:val="24"/>
          <w:szCs w:val="24"/>
          <w:lang w:val="es-ES"/>
        </w:rPr>
        <w:t xml:space="preserve"> </w:t>
      </w:r>
    </w:p>
    <w:p w14:paraId="1D248FAB" w14:textId="77777777" w:rsidR="005739AC" w:rsidRDefault="005739AC" w:rsidP="00832216">
      <w:pPr>
        <w:spacing w:line="360" w:lineRule="auto"/>
        <w:jc w:val="both"/>
        <w:rPr>
          <w:rFonts w:ascii="Century Gothic" w:eastAsia="Times New Roman" w:hAnsi="Century Gothic" w:cs="Arial"/>
          <w:sz w:val="24"/>
          <w:szCs w:val="24"/>
          <w:lang w:val="es-ES"/>
        </w:rPr>
      </w:pPr>
    </w:p>
    <w:p w14:paraId="3D26F986" w14:textId="30668249" w:rsidR="005739AC" w:rsidRDefault="00A67585" w:rsidP="00832216">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19</w:t>
      </w:r>
      <w:r w:rsidR="005739AC">
        <w:rPr>
          <w:rFonts w:ascii="Century Gothic" w:eastAsia="Times New Roman" w:hAnsi="Century Gothic" w:cs="Arial"/>
          <w:sz w:val="24"/>
          <w:szCs w:val="24"/>
          <w:lang w:val="es-ES"/>
        </w:rPr>
        <w:t xml:space="preserve">. </w:t>
      </w:r>
      <w:r w:rsidR="005739AC" w:rsidRPr="007945AB">
        <w:rPr>
          <w:rFonts w:ascii="Century Gothic" w:eastAsia="Times New Roman" w:hAnsi="Century Gothic" w:cs="Arial"/>
          <w:sz w:val="24"/>
          <w:szCs w:val="24"/>
          <w:lang w:val="es-ES"/>
        </w:rPr>
        <w:t xml:space="preserve">En síntesis, dada la subsidiariedad de la acción de </w:t>
      </w:r>
      <w:proofErr w:type="gramStart"/>
      <w:r w:rsidR="005739AC" w:rsidRPr="007945AB">
        <w:rPr>
          <w:rFonts w:ascii="Century Gothic" w:eastAsia="Times New Roman" w:hAnsi="Century Gothic" w:cs="Arial"/>
          <w:sz w:val="24"/>
          <w:szCs w:val="24"/>
          <w:lang w:val="es-ES"/>
        </w:rPr>
        <w:t>tutela</w:t>
      </w:r>
      <w:r w:rsidR="005739AC">
        <w:rPr>
          <w:rFonts w:ascii="Century Gothic" w:eastAsia="Times New Roman" w:hAnsi="Century Gothic" w:cs="Arial"/>
          <w:sz w:val="24"/>
          <w:szCs w:val="24"/>
          <w:lang w:val="es-ES"/>
        </w:rPr>
        <w:t xml:space="preserve">, </w:t>
      </w:r>
      <w:r w:rsidR="005739AC" w:rsidRPr="007945AB">
        <w:rPr>
          <w:rFonts w:ascii="Century Gothic" w:eastAsia="Times New Roman" w:hAnsi="Century Gothic" w:cs="Arial"/>
          <w:sz w:val="24"/>
          <w:szCs w:val="24"/>
          <w:lang w:val="es-ES"/>
        </w:rPr>
        <w:t xml:space="preserve"> su</w:t>
      </w:r>
      <w:proofErr w:type="gramEnd"/>
      <w:r w:rsidR="005739AC" w:rsidRPr="007945AB">
        <w:rPr>
          <w:rFonts w:ascii="Century Gothic" w:eastAsia="Times New Roman" w:hAnsi="Century Gothic" w:cs="Arial"/>
          <w:sz w:val="24"/>
          <w:szCs w:val="24"/>
          <w:lang w:val="es-ES"/>
        </w:rPr>
        <w:t xml:space="preserve"> procedencia </w:t>
      </w:r>
      <w:r w:rsidR="005739AC">
        <w:rPr>
          <w:rFonts w:ascii="Century Gothic" w:eastAsia="Times New Roman" w:hAnsi="Century Gothic" w:cs="Arial"/>
          <w:sz w:val="24"/>
          <w:szCs w:val="24"/>
          <w:lang w:val="es-ES"/>
        </w:rPr>
        <w:t xml:space="preserve">está </w:t>
      </w:r>
      <w:r w:rsidR="005739AC" w:rsidRPr="007945AB">
        <w:rPr>
          <w:rFonts w:ascii="Century Gothic" w:eastAsia="Times New Roman" w:hAnsi="Century Gothic" w:cs="Arial"/>
          <w:sz w:val="24"/>
          <w:szCs w:val="24"/>
          <w:lang w:val="es-ES"/>
        </w:rPr>
        <w:t>sujeta a la inexistencia de otros medios de defensa judicial, excepto que se utilice como mecanismo transitorio para evitar un perjuicio irremediable, o cuando esas medidas no son idóneas para enfrentar la vulneración o la amenaza. Y de conformidad con el principio de inmediatez, la acción de tutela debe interponerse dentro de un término razonable respecto del momento en que presentó la vulneración de los derechos fundamentales.</w:t>
      </w:r>
    </w:p>
    <w:p w14:paraId="48FCEA48" w14:textId="77777777" w:rsidR="00A67585" w:rsidRDefault="00A67585" w:rsidP="00832216">
      <w:pPr>
        <w:spacing w:line="360" w:lineRule="auto"/>
        <w:jc w:val="both"/>
        <w:rPr>
          <w:rFonts w:ascii="Century Gothic" w:eastAsia="Times New Roman" w:hAnsi="Century Gothic" w:cs="Arial"/>
          <w:sz w:val="24"/>
          <w:szCs w:val="24"/>
          <w:lang w:val="es-ES"/>
        </w:rPr>
      </w:pPr>
    </w:p>
    <w:p w14:paraId="1C29AA8F" w14:textId="0C9A1D2D" w:rsidR="00A67585" w:rsidRDefault="002F7B2A" w:rsidP="005739AC">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2</w:t>
      </w:r>
      <w:r w:rsidR="00A67585">
        <w:rPr>
          <w:rFonts w:ascii="Century Gothic" w:eastAsia="Times New Roman" w:hAnsi="Century Gothic" w:cs="Arial"/>
          <w:sz w:val="24"/>
          <w:szCs w:val="24"/>
          <w:lang w:val="es-ES"/>
        </w:rPr>
        <w:t>0</w:t>
      </w:r>
      <w:r w:rsidR="005739AC" w:rsidRPr="00F54D96">
        <w:rPr>
          <w:rFonts w:ascii="Century Gothic" w:eastAsia="Times New Roman" w:hAnsi="Century Gothic" w:cs="Arial"/>
          <w:sz w:val="24"/>
          <w:szCs w:val="24"/>
          <w:lang w:val="es-ES"/>
        </w:rPr>
        <w:t>. Por lo demás, el despacho encuentra que tanto la parte accionante como la accionada, se encuentran legitimados para actuar dentro de este proceso</w:t>
      </w:r>
      <w:r w:rsidR="006A2732">
        <w:rPr>
          <w:rFonts w:ascii="Century Gothic" w:eastAsia="Times New Roman" w:hAnsi="Century Gothic" w:cs="Arial"/>
          <w:sz w:val="24"/>
          <w:szCs w:val="24"/>
          <w:lang w:val="es-ES"/>
        </w:rPr>
        <w:t>, por lo que el mecanismo de tutela resulta procedente para resolver el presente asunto</w:t>
      </w:r>
      <w:r w:rsidR="005739AC" w:rsidRPr="00F54D96">
        <w:rPr>
          <w:rFonts w:ascii="Century Gothic" w:eastAsia="Times New Roman" w:hAnsi="Century Gothic" w:cs="Arial"/>
          <w:sz w:val="24"/>
          <w:szCs w:val="24"/>
          <w:lang w:val="es-ES"/>
        </w:rPr>
        <w:t>.</w:t>
      </w:r>
    </w:p>
    <w:p w14:paraId="7727FDAC" w14:textId="77777777" w:rsidR="0031736D" w:rsidRDefault="0031736D" w:rsidP="005739AC">
      <w:pPr>
        <w:spacing w:line="360" w:lineRule="auto"/>
        <w:jc w:val="both"/>
        <w:rPr>
          <w:rFonts w:ascii="Century Gothic" w:eastAsia="Times New Roman" w:hAnsi="Century Gothic" w:cs="Arial"/>
          <w:sz w:val="24"/>
          <w:szCs w:val="24"/>
          <w:lang w:val="es-ES"/>
        </w:rPr>
      </w:pPr>
    </w:p>
    <w:p w14:paraId="78329E4D" w14:textId="408151A7" w:rsidR="006D03CB" w:rsidRPr="00F13774" w:rsidRDefault="00A67585" w:rsidP="002C1A74">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b/>
          <w:sz w:val="24"/>
          <w:szCs w:val="24"/>
          <w:lang w:val="es-ES"/>
        </w:rPr>
        <w:t>7</w:t>
      </w:r>
      <w:r w:rsidR="006D03CB" w:rsidRPr="00F13774">
        <w:rPr>
          <w:rFonts w:ascii="Century Gothic" w:eastAsia="Times New Roman" w:hAnsi="Century Gothic" w:cs="Arial"/>
          <w:b/>
          <w:sz w:val="24"/>
          <w:szCs w:val="24"/>
          <w:lang w:val="es-ES"/>
        </w:rPr>
        <w:t>. Asunto a resolver</w:t>
      </w:r>
    </w:p>
    <w:p w14:paraId="48EFE263" w14:textId="77777777" w:rsidR="006D03CB" w:rsidRPr="00F13774" w:rsidRDefault="006D03CB" w:rsidP="002C1A74">
      <w:pPr>
        <w:spacing w:line="360" w:lineRule="auto"/>
        <w:jc w:val="both"/>
        <w:rPr>
          <w:rFonts w:ascii="Century Gothic" w:eastAsia="Times New Roman" w:hAnsi="Century Gothic" w:cs="Arial"/>
          <w:sz w:val="24"/>
          <w:szCs w:val="24"/>
          <w:lang w:val="es-ES"/>
        </w:rPr>
      </w:pPr>
    </w:p>
    <w:p w14:paraId="35CCD7E4" w14:textId="12B2231A" w:rsidR="006D03CB" w:rsidRPr="0012415E" w:rsidRDefault="00A67585" w:rsidP="002C1A74">
      <w:pPr>
        <w:spacing w:line="360" w:lineRule="auto"/>
        <w:jc w:val="both"/>
        <w:rPr>
          <w:rFonts w:ascii="Century Gothic" w:eastAsia="Times New Roman" w:hAnsi="Century Gothic" w:cs="Arial"/>
          <w:color w:val="000000" w:themeColor="text1"/>
          <w:sz w:val="24"/>
          <w:szCs w:val="24"/>
          <w:lang w:val="es-ES"/>
        </w:rPr>
      </w:pPr>
      <w:r>
        <w:rPr>
          <w:rFonts w:ascii="Century Gothic" w:eastAsia="Times New Roman" w:hAnsi="Century Gothic" w:cs="Arial"/>
          <w:color w:val="000000" w:themeColor="text1"/>
          <w:sz w:val="24"/>
          <w:szCs w:val="24"/>
          <w:lang w:val="es-ES"/>
        </w:rPr>
        <w:t>21</w:t>
      </w:r>
      <w:r w:rsidR="006D03CB" w:rsidRPr="00F13774">
        <w:rPr>
          <w:rFonts w:ascii="Century Gothic" w:eastAsia="Times New Roman" w:hAnsi="Century Gothic" w:cs="Arial"/>
          <w:color w:val="000000" w:themeColor="text1"/>
          <w:sz w:val="24"/>
          <w:szCs w:val="24"/>
          <w:lang w:val="es-ES"/>
        </w:rPr>
        <w:t xml:space="preserve">. </w:t>
      </w:r>
      <w:r w:rsidR="006D03CB" w:rsidRPr="0012415E">
        <w:rPr>
          <w:rFonts w:ascii="Century Gothic" w:eastAsia="Times New Roman" w:hAnsi="Century Gothic" w:cs="Arial"/>
          <w:color w:val="000000" w:themeColor="text1"/>
          <w:sz w:val="24"/>
          <w:szCs w:val="24"/>
          <w:lang w:val="es-ES"/>
        </w:rPr>
        <w:t xml:space="preserve">Corresponde establecer si </w:t>
      </w:r>
      <w:r w:rsidR="006D03CB">
        <w:rPr>
          <w:rFonts w:ascii="Century Gothic" w:eastAsia="Times New Roman" w:hAnsi="Century Gothic" w:cs="Arial"/>
          <w:color w:val="000000" w:themeColor="text1"/>
          <w:sz w:val="24"/>
          <w:szCs w:val="24"/>
          <w:lang w:val="es-ES"/>
        </w:rPr>
        <w:t>el Departamento Administrativo para la Prosperidad Social - Programa Familias en Acción</w:t>
      </w:r>
      <w:r w:rsidR="006D03CB" w:rsidRPr="0012415E">
        <w:rPr>
          <w:rFonts w:ascii="Century Gothic" w:eastAsia="Times New Roman" w:hAnsi="Century Gothic" w:cs="Arial"/>
          <w:color w:val="000000" w:themeColor="text1"/>
          <w:sz w:val="24"/>
          <w:szCs w:val="20"/>
          <w:lang w:val="es-ES"/>
        </w:rPr>
        <w:t xml:space="preserve">, </w:t>
      </w:r>
      <w:r w:rsidR="004957C3">
        <w:rPr>
          <w:rFonts w:ascii="Century Gothic" w:eastAsia="Times New Roman" w:hAnsi="Century Gothic" w:cs="Arial"/>
          <w:color w:val="000000" w:themeColor="text1"/>
          <w:sz w:val="24"/>
          <w:szCs w:val="20"/>
          <w:lang w:val="es-ES"/>
        </w:rPr>
        <w:t>vulneró</w:t>
      </w:r>
      <w:r w:rsidR="006D03CB" w:rsidRPr="0012415E">
        <w:rPr>
          <w:rFonts w:ascii="Century Gothic" w:eastAsia="Times New Roman" w:hAnsi="Century Gothic" w:cs="Arial"/>
          <w:color w:val="000000" w:themeColor="text1"/>
          <w:sz w:val="24"/>
          <w:szCs w:val="20"/>
          <w:lang w:val="es-ES"/>
        </w:rPr>
        <w:t xml:space="preserve"> los derechos a los que alude </w:t>
      </w:r>
      <w:r w:rsidR="006D03CB">
        <w:rPr>
          <w:rFonts w:ascii="Century Gothic" w:eastAsia="Times New Roman" w:hAnsi="Century Gothic" w:cs="Arial"/>
          <w:color w:val="000000" w:themeColor="text1"/>
          <w:sz w:val="24"/>
          <w:szCs w:val="20"/>
          <w:lang w:val="es-ES"/>
        </w:rPr>
        <w:t xml:space="preserve">la señora </w:t>
      </w:r>
      <w:proofErr w:type="spellStart"/>
      <w:r w:rsidR="006D03CB">
        <w:rPr>
          <w:rFonts w:ascii="Century Gothic" w:eastAsia="Times New Roman" w:hAnsi="Century Gothic" w:cs="Arial"/>
          <w:color w:val="000000" w:themeColor="text1"/>
          <w:sz w:val="24"/>
          <w:szCs w:val="20"/>
          <w:lang w:val="es-ES"/>
        </w:rPr>
        <w:t>Leimis</w:t>
      </w:r>
      <w:proofErr w:type="spellEnd"/>
      <w:r w:rsidR="006D03CB">
        <w:rPr>
          <w:rFonts w:ascii="Century Gothic" w:eastAsia="Times New Roman" w:hAnsi="Century Gothic" w:cs="Arial"/>
          <w:color w:val="000000" w:themeColor="text1"/>
          <w:sz w:val="24"/>
          <w:szCs w:val="20"/>
          <w:lang w:val="es-ES"/>
        </w:rPr>
        <w:t xml:space="preserve"> Pontón Castillejo al no proceder con el trámite del traslado de subsidios de</w:t>
      </w:r>
      <w:r w:rsidR="0031736D">
        <w:rPr>
          <w:rFonts w:ascii="Century Gothic" w:eastAsia="Times New Roman" w:hAnsi="Century Gothic" w:cs="Arial"/>
          <w:color w:val="000000" w:themeColor="text1"/>
          <w:sz w:val="24"/>
          <w:szCs w:val="20"/>
          <w:lang w:val="es-ES"/>
        </w:rPr>
        <w:t xml:space="preserve"> </w:t>
      </w:r>
      <w:r w:rsidR="006D03CB">
        <w:rPr>
          <w:rFonts w:ascii="Century Gothic" w:eastAsia="Times New Roman" w:hAnsi="Century Gothic" w:cs="Arial"/>
          <w:color w:val="000000" w:themeColor="text1"/>
          <w:sz w:val="24"/>
          <w:szCs w:val="20"/>
          <w:lang w:val="es-ES"/>
        </w:rPr>
        <w:t>Palmira</w:t>
      </w:r>
      <w:r w:rsidR="0031736D">
        <w:rPr>
          <w:rFonts w:ascii="Century Gothic" w:eastAsia="Times New Roman" w:hAnsi="Century Gothic" w:cs="Arial"/>
          <w:color w:val="000000" w:themeColor="text1"/>
          <w:sz w:val="24"/>
          <w:szCs w:val="20"/>
          <w:lang w:val="es-ES"/>
        </w:rPr>
        <w:t xml:space="preserve">, </w:t>
      </w:r>
      <w:r w:rsidR="006D03CB">
        <w:rPr>
          <w:rFonts w:ascii="Century Gothic" w:eastAsia="Times New Roman" w:hAnsi="Century Gothic" w:cs="Arial"/>
          <w:color w:val="000000" w:themeColor="text1"/>
          <w:sz w:val="24"/>
          <w:szCs w:val="20"/>
          <w:lang w:val="es-ES"/>
        </w:rPr>
        <w:t>Valle del Cauca</w:t>
      </w:r>
      <w:r w:rsidR="0031736D">
        <w:rPr>
          <w:rFonts w:ascii="Century Gothic" w:eastAsia="Times New Roman" w:hAnsi="Century Gothic" w:cs="Arial"/>
          <w:color w:val="000000" w:themeColor="text1"/>
          <w:sz w:val="24"/>
          <w:szCs w:val="20"/>
          <w:lang w:val="es-ES"/>
        </w:rPr>
        <w:t>,</w:t>
      </w:r>
      <w:r w:rsidR="006D03CB">
        <w:rPr>
          <w:rFonts w:ascii="Century Gothic" w:eastAsia="Times New Roman" w:hAnsi="Century Gothic" w:cs="Arial"/>
          <w:color w:val="000000" w:themeColor="text1"/>
          <w:sz w:val="24"/>
          <w:szCs w:val="20"/>
          <w:lang w:val="es-ES"/>
        </w:rPr>
        <w:t xml:space="preserve"> a la ciudad de Bogotá</w:t>
      </w:r>
      <w:r w:rsidR="0031736D">
        <w:rPr>
          <w:rFonts w:ascii="Century Gothic" w:eastAsia="Times New Roman" w:hAnsi="Century Gothic" w:cs="Arial"/>
          <w:color w:val="000000" w:themeColor="text1"/>
          <w:sz w:val="24"/>
          <w:szCs w:val="20"/>
          <w:lang w:val="es-ES"/>
        </w:rPr>
        <w:t xml:space="preserve"> D.C.</w:t>
      </w:r>
    </w:p>
    <w:p w14:paraId="0CE9BAE1" w14:textId="77777777" w:rsidR="004957C3" w:rsidRPr="00F13774" w:rsidRDefault="004957C3" w:rsidP="005739AC">
      <w:pPr>
        <w:spacing w:line="360" w:lineRule="auto"/>
        <w:jc w:val="both"/>
        <w:rPr>
          <w:rFonts w:ascii="Century Gothic" w:eastAsia="Times New Roman" w:hAnsi="Century Gothic" w:cs="Arial"/>
          <w:sz w:val="24"/>
          <w:szCs w:val="24"/>
          <w:lang w:val="es-ES"/>
        </w:rPr>
      </w:pPr>
    </w:p>
    <w:p w14:paraId="02187659" w14:textId="77777777" w:rsidR="00E027FB" w:rsidRDefault="00E027FB" w:rsidP="00F13774">
      <w:pPr>
        <w:spacing w:line="360" w:lineRule="auto"/>
        <w:jc w:val="both"/>
        <w:rPr>
          <w:rFonts w:ascii="Century Gothic" w:eastAsia="Times New Roman" w:hAnsi="Century Gothic" w:cs="Arial"/>
          <w:b/>
          <w:bCs/>
          <w:sz w:val="24"/>
          <w:szCs w:val="24"/>
          <w:lang w:val="es-ES"/>
        </w:rPr>
      </w:pPr>
    </w:p>
    <w:p w14:paraId="0EB168BB" w14:textId="77777777" w:rsidR="00E027FB" w:rsidRDefault="00E027FB" w:rsidP="00F13774">
      <w:pPr>
        <w:spacing w:line="360" w:lineRule="auto"/>
        <w:jc w:val="both"/>
        <w:rPr>
          <w:rFonts w:ascii="Century Gothic" w:eastAsia="Times New Roman" w:hAnsi="Century Gothic" w:cs="Arial"/>
          <w:b/>
          <w:bCs/>
          <w:sz w:val="24"/>
          <w:szCs w:val="24"/>
          <w:lang w:val="es-ES"/>
        </w:rPr>
      </w:pPr>
    </w:p>
    <w:p w14:paraId="210E5832" w14:textId="77777777" w:rsidR="00E027FB" w:rsidRDefault="00E027FB" w:rsidP="00F13774">
      <w:pPr>
        <w:spacing w:line="360" w:lineRule="auto"/>
        <w:jc w:val="both"/>
        <w:rPr>
          <w:rFonts w:ascii="Century Gothic" w:eastAsia="Times New Roman" w:hAnsi="Century Gothic" w:cs="Arial"/>
          <w:b/>
          <w:bCs/>
          <w:sz w:val="24"/>
          <w:szCs w:val="24"/>
          <w:lang w:val="es-ES"/>
        </w:rPr>
      </w:pPr>
    </w:p>
    <w:p w14:paraId="7F10F9A8" w14:textId="470B8C33" w:rsidR="00F13774" w:rsidRPr="00F13774" w:rsidRDefault="00F13774" w:rsidP="00F13774">
      <w:pPr>
        <w:spacing w:line="360" w:lineRule="auto"/>
        <w:jc w:val="both"/>
        <w:rPr>
          <w:rFonts w:ascii="Century Gothic" w:eastAsia="Times New Roman" w:hAnsi="Century Gothic" w:cs="Arial"/>
          <w:b/>
          <w:bCs/>
          <w:sz w:val="24"/>
          <w:szCs w:val="24"/>
          <w:lang w:val="es-ES"/>
        </w:rPr>
      </w:pPr>
      <w:r w:rsidRPr="00F13774">
        <w:rPr>
          <w:rFonts w:ascii="Century Gothic" w:eastAsia="Times New Roman" w:hAnsi="Century Gothic" w:cs="Arial"/>
          <w:b/>
          <w:bCs/>
          <w:sz w:val="24"/>
          <w:szCs w:val="24"/>
          <w:lang w:val="es-ES"/>
        </w:rPr>
        <w:t>8. De</w:t>
      </w:r>
      <w:r w:rsidR="00C22193">
        <w:rPr>
          <w:rFonts w:ascii="Century Gothic" w:eastAsia="Times New Roman" w:hAnsi="Century Gothic" w:cs="Arial"/>
          <w:b/>
          <w:bCs/>
          <w:sz w:val="24"/>
          <w:szCs w:val="24"/>
          <w:lang w:val="es-ES"/>
        </w:rPr>
        <w:t>l</w:t>
      </w:r>
      <w:r w:rsidR="00B83B8D">
        <w:rPr>
          <w:rFonts w:ascii="Century Gothic" w:eastAsia="Times New Roman" w:hAnsi="Century Gothic" w:cs="Arial"/>
          <w:b/>
          <w:bCs/>
          <w:sz w:val="24"/>
          <w:szCs w:val="24"/>
          <w:lang w:val="es-ES"/>
        </w:rPr>
        <w:t xml:space="preserve"> </w:t>
      </w:r>
      <w:r w:rsidRPr="00F13774">
        <w:rPr>
          <w:rFonts w:ascii="Century Gothic" w:eastAsia="Times New Roman" w:hAnsi="Century Gothic" w:cs="Arial"/>
          <w:b/>
          <w:bCs/>
          <w:sz w:val="24"/>
          <w:szCs w:val="24"/>
          <w:lang w:val="es-ES"/>
        </w:rPr>
        <w:t>caso en concreto</w:t>
      </w:r>
    </w:p>
    <w:p w14:paraId="57D22DD5" w14:textId="1B1A7F61" w:rsidR="00F13774" w:rsidRDefault="00F13774" w:rsidP="00F13774">
      <w:pPr>
        <w:spacing w:line="360" w:lineRule="auto"/>
        <w:jc w:val="both"/>
        <w:rPr>
          <w:rFonts w:ascii="Century Gothic" w:eastAsia="Times New Roman" w:hAnsi="Century Gothic" w:cs="Arial"/>
          <w:bCs/>
          <w:sz w:val="24"/>
          <w:szCs w:val="24"/>
          <w:lang w:val="es-ES"/>
        </w:rPr>
      </w:pPr>
      <w:r w:rsidRPr="00F13774">
        <w:rPr>
          <w:rFonts w:ascii="Century Gothic" w:eastAsia="Times New Roman" w:hAnsi="Century Gothic" w:cs="Arial"/>
          <w:bCs/>
          <w:sz w:val="24"/>
          <w:szCs w:val="24"/>
          <w:lang w:val="es-ES"/>
        </w:rPr>
        <w:t xml:space="preserve"> </w:t>
      </w:r>
    </w:p>
    <w:p w14:paraId="06DE0F20" w14:textId="2D814C40" w:rsidR="00CD2E03" w:rsidRDefault="00992CE8" w:rsidP="00F13774">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22</w:t>
      </w:r>
      <w:r w:rsidR="007942E8">
        <w:rPr>
          <w:rFonts w:ascii="Century Gothic" w:eastAsia="Times New Roman" w:hAnsi="Century Gothic" w:cs="Arial"/>
          <w:bCs/>
          <w:sz w:val="24"/>
          <w:szCs w:val="24"/>
          <w:lang w:val="es-ES"/>
        </w:rPr>
        <w:t>.</w:t>
      </w:r>
      <w:r w:rsidR="002F64FD">
        <w:rPr>
          <w:rFonts w:ascii="Century Gothic" w:eastAsia="Times New Roman" w:hAnsi="Century Gothic" w:cs="Arial"/>
          <w:bCs/>
          <w:sz w:val="24"/>
          <w:szCs w:val="24"/>
          <w:lang w:val="es-ES"/>
        </w:rPr>
        <w:t xml:space="preserve"> </w:t>
      </w:r>
      <w:r w:rsidR="0031736D">
        <w:rPr>
          <w:rFonts w:ascii="Century Gothic" w:eastAsia="Times New Roman" w:hAnsi="Century Gothic" w:cs="Arial"/>
          <w:bCs/>
          <w:sz w:val="24"/>
          <w:szCs w:val="24"/>
          <w:lang w:val="es-ES"/>
        </w:rPr>
        <w:t>L</w:t>
      </w:r>
      <w:r w:rsidR="002F64FD">
        <w:rPr>
          <w:rFonts w:ascii="Century Gothic" w:eastAsia="Times New Roman" w:hAnsi="Century Gothic" w:cs="Arial"/>
          <w:bCs/>
          <w:sz w:val="24"/>
          <w:szCs w:val="24"/>
          <w:lang w:val="es-ES"/>
        </w:rPr>
        <w:t xml:space="preserve">a señora </w:t>
      </w:r>
      <w:proofErr w:type="spellStart"/>
      <w:r w:rsidR="002F64FD">
        <w:rPr>
          <w:rFonts w:ascii="Century Gothic" w:eastAsia="Times New Roman" w:hAnsi="Century Gothic" w:cs="Arial"/>
          <w:bCs/>
          <w:sz w:val="24"/>
          <w:szCs w:val="24"/>
          <w:lang w:val="es-ES"/>
        </w:rPr>
        <w:t>Leimis</w:t>
      </w:r>
      <w:proofErr w:type="spellEnd"/>
      <w:r w:rsidR="002F64FD">
        <w:rPr>
          <w:rFonts w:ascii="Century Gothic" w:eastAsia="Times New Roman" w:hAnsi="Century Gothic" w:cs="Arial"/>
          <w:bCs/>
          <w:sz w:val="24"/>
          <w:szCs w:val="24"/>
          <w:lang w:val="es-ES"/>
        </w:rPr>
        <w:t xml:space="preserve"> Pontón Castillejo </w:t>
      </w:r>
      <w:r w:rsidR="006B3AD2">
        <w:rPr>
          <w:rFonts w:ascii="Century Gothic" w:eastAsia="Times New Roman" w:hAnsi="Century Gothic" w:cs="Arial"/>
          <w:bCs/>
          <w:sz w:val="24"/>
          <w:szCs w:val="24"/>
          <w:lang w:val="es-ES"/>
        </w:rPr>
        <w:t xml:space="preserve">sustenta el presente medio de control, en la presunta </w:t>
      </w:r>
      <w:r w:rsidR="00661423">
        <w:rPr>
          <w:rFonts w:ascii="Century Gothic" w:eastAsia="Times New Roman" w:hAnsi="Century Gothic" w:cs="Arial"/>
          <w:bCs/>
          <w:sz w:val="24"/>
          <w:szCs w:val="24"/>
          <w:lang w:val="es-ES"/>
        </w:rPr>
        <w:t>omisión</w:t>
      </w:r>
      <w:r w:rsidR="006B3AD2">
        <w:rPr>
          <w:rFonts w:ascii="Century Gothic" w:eastAsia="Times New Roman" w:hAnsi="Century Gothic" w:cs="Arial"/>
          <w:bCs/>
          <w:sz w:val="24"/>
          <w:szCs w:val="24"/>
          <w:lang w:val="es-ES"/>
        </w:rPr>
        <w:t>, por parte de la entidad</w:t>
      </w:r>
      <w:r w:rsidR="00661423">
        <w:rPr>
          <w:rFonts w:ascii="Century Gothic" w:eastAsia="Times New Roman" w:hAnsi="Century Gothic" w:cs="Arial"/>
          <w:bCs/>
          <w:sz w:val="24"/>
          <w:szCs w:val="24"/>
          <w:lang w:val="es-ES"/>
        </w:rPr>
        <w:t xml:space="preserve"> accionada</w:t>
      </w:r>
      <w:r w:rsidR="006B3AD2">
        <w:rPr>
          <w:rFonts w:ascii="Century Gothic" w:eastAsia="Times New Roman" w:hAnsi="Century Gothic" w:cs="Arial"/>
          <w:bCs/>
          <w:sz w:val="24"/>
          <w:szCs w:val="24"/>
          <w:lang w:val="es-ES"/>
        </w:rPr>
        <w:t xml:space="preserve">, </w:t>
      </w:r>
      <w:r w:rsidR="0008623F">
        <w:rPr>
          <w:rFonts w:ascii="Century Gothic" w:eastAsia="Times New Roman" w:hAnsi="Century Gothic" w:cs="Arial"/>
          <w:bCs/>
          <w:sz w:val="24"/>
          <w:szCs w:val="24"/>
          <w:lang w:val="es-ES"/>
        </w:rPr>
        <w:t>de</w:t>
      </w:r>
      <w:r w:rsidR="00586714">
        <w:rPr>
          <w:rFonts w:ascii="Century Gothic" w:eastAsia="Times New Roman" w:hAnsi="Century Gothic" w:cs="Arial"/>
          <w:bCs/>
          <w:sz w:val="24"/>
          <w:szCs w:val="24"/>
          <w:lang w:val="es-ES"/>
        </w:rPr>
        <w:t xml:space="preserve"> trasladar el dinero del que es beneficiaria, de Palmira</w:t>
      </w:r>
      <w:r w:rsidR="00661423">
        <w:rPr>
          <w:rFonts w:ascii="Century Gothic" w:eastAsia="Times New Roman" w:hAnsi="Century Gothic" w:cs="Arial"/>
          <w:bCs/>
          <w:sz w:val="24"/>
          <w:szCs w:val="24"/>
          <w:lang w:val="es-ES"/>
        </w:rPr>
        <w:t xml:space="preserve">, </w:t>
      </w:r>
      <w:r w:rsidR="00586714">
        <w:rPr>
          <w:rFonts w:ascii="Century Gothic" w:eastAsia="Times New Roman" w:hAnsi="Century Gothic" w:cs="Arial"/>
          <w:bCs/>
          <w:sz w:val="24"/>
          <w:szCs w:val="24"/>
          <w:lang w:val="es-ES"/>
        </w:rPr>
        <w:t>Valle del Cauca, a</w:t>
      </w:r>
      <w:r w:rsidR="00661423">
        <w:rPr>
          <w:rFonts w:ascii="Century Gothic" w:eastAsia="Times New Roman" w:hAnsi="Century Gothic" w:cs="Arial"/>
          <w:bCs/>
          <w:sz w:val="24"/>
          <w:szCs w:val="24"/>
          <w:lang w:val="es-ES"/>
        </w:rPr>
        <w:t xml:space="preserve"> </w:t>
      </w:r>
      <w:r w:rsidR="00586714">
        <w:rPr>
          <w:rFonts w:ascii="Century Gothic" w:eastAsia="Times New Roman" w:hAnsi="Century Gothic" w:cs="Arial"/>
          <w:bCs/>
          <w:sz w:val="24"/>
          <w:szCs w:val="24"/>
          <w:lang w:val="es-ES"/>
        </w:rPr>
        <w:t>Bogotá</w:t>
      </w:r>
      <w:r w:rsidR="00661423">
        <w:rPr>
          <w:rFonts w:ascii="Century Gothic" w:eastAsia="Times New Roman" w:hAnsi="Century Gothic" w:cs="Arial"/>
          <w:bCs/>
          <w:sz w:val="24"/>
          <w:szCs w:val="24"/>
          <w:lang w:val="es-ES"/>
        </w:rPr>
        <w:t xml:space="preserve"> D.C.</w:t>
      </w:r>
      <w:r w:rsidR="00586714">
        <w:rPr>
          <w:rFonts w:ascii="Century Gothic" w:eastAsia="Times New Roman" w:hAnsi="Century Gothic" w:cs="Arial"/>
          <w:bCs/>
          <w:sz w:val="24"/>
          <w:szCs w:val="24"/>
          <w:lang w:val="es-ES"/>
        </w:rPr>
        <w:t xml:space="preserve"> </w:t>
      </w:r>
    </w:p>
    <w:p w14:paraId="50B5FA41" w14:textId="704E6BFF" w:rsidR="005F69BA" w:rsidRDefault="005F69BA" w:rsidP="00F13774">
      <w:pPr>
        <w:spacing w:line="360" w:lineRule="auto"/>
        <w:jc w:val="both"/>
        <w:rPr>
          <w:rFonts w:ascii="Century Gothic" w:eastAsia="Times New Roman" w:hAnsi="Century Gothic" w:cs="Arial"/>
          <w:bCs/>
          <w:sz w:val="24"/>
          <w:szCs w:val="24"/>
          <w:lang w:val="es-ES"/>
        </w:rPr>
      </w:pPr>
    </w:p>
    <w:p w14:paraId="7FC18055" w14:textId="2C065140" w:rsidR="004B3C04" w:rsidRDefault="005F69BA" w:rsidP="00F13774">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 xml:space="preserve">23. En ese entendido, con el fin de </w:t>
      </w:r>
      <w:r w:rsidR="003054B4">
        <w:rPr>
          <w:rFonts w:ascii="Century Gothic" w:eastAsia="Times New Roman" w:hAnsi="Century Gothic" w:cs="Arial"/>
          <w:bCs/>
          <w:sz w:val="24"/>
          <w:szCs w:val="24"/>
          <w:lang w:val="es-ES"/>
        </w:rPr>
        <w:t>evidenciar</w:t>
      </w:r>
      <w:r w:rsidR="00661423">
        <w:rPr>
          <w:rFonts w:ascii="Century Gothic" w:eastAsia="Times New Roman" w:hAnsi="Century Gothic" w:cs="Arial"/>
          <w:bCs/>
          <w:sz w:val="24"/>
          <w:szCs w:val="24"/>
          <w:lang w:val="es-ES"/>
        </w:rPr>
        <w:t xml:space="preserve"> un posible incumplimiento del accionado resulta necesario acreditar la existencia de una solicitud</w:t>
      </w:r>
      <w:r w:rsidR="00B66C05">
        <w:rPr>
          <w:rFonts w:ascii="Century Gothic" w:eastAsia="Times New Roman" w:hAnsi="Century Gothic" w:cs="Arial"/>
          <w:bCs/>
          <w:sz w:val="24"/>
          <w:szCs w:val="24"/>
          <w:lang w:val="es-ES"/>
        </w:rPr>
        <w:t xml:space="preserve">. </w:t>
      </w:r>
      <w:r w:rsidR="002E0888">
        <w:rPr>
          <w:rFonts w:ascii="Century Gothic" w:eastAsia="Times New Roman" w:hAnsi="Century Gothic" w:cs="Arial"/>
          <w:bCs/>
          <w:sz w:val="24"/>
          <w:szCs w:val="24"/>
          <w:lang w:val="es-ES"/>
        </w:rPr>
        <w:t>En este sentido,</w:t>
      </w:r>
      <w:r w:rsidR="00531C7D" w:rsidRPr="00531C7D">
        <w:rPr>
          <w:rFonts w:ascii="Century Gothic" w:eastAsia="Times New Roman" w:hAnsi="Century Gothic" w:cs="Arial"/>
          <w:bCs/>
          <w:sz w:val="24"/>
          <w:szCs w:val="24"/>
          <w:lang w:val="es-ES"/>
        </w:rPr>
        <w:t xml:space="preserve"> la Corte Constitucional</w:t>
      </w:r>
      <w:r w:rsidR="002E0888">
        <w:rPr>
          <w:rFonts w:ascii="Century Gothic" w:eastAsia="Times New Roman" w:hAnsi="Century Gothic" w:cs="Arial"/>
          <w:bCs/>
          <w:sz w:val="24"/>
          <w:szCs w:val="24"/>
          <w:lang w:val="es-ES"/>
        </w:rPr>
        <w:t xml:space="preserve"> </w:t>
      </w:r>
      <w:r w:rsidR="00990D26">
        <w:rPr>
          <w:rFonts w:ascii="Century Gothic" w:eastAsia="Times New Roman" w:hAnsi="Century Gothic" w:cs="Arial"/>
          <w:bCs/>
          <w:sz w:val="24"/>
          <w:szCs w:val="24"/>
          <w:lang w:val="es-ES"/>
        </w:rPr>
        <w:t>se refiere a</w:t>
      </w:r>
      <w:r w:rsidR="00531C7D" w:rsidRPr="00531C7D">
        <w:rPr>
          <w:rFonts w:ascii="Century Gothic" w:eastAsia="Times New Roman" w:hAnsi="Century Gothic" w:cs="Arial"/>
          <w:bCs/>
          <w:sz w:val="24"/>
          <w:szCs w:val="24"/>
          <w:lang w:val="es-ES"/>
        </w:rPr>
        <w:t>l principio de la carga de la prueba</w:t>
      </w:r>
      <w:r w:rsidR="008320A0">
        <w:rPr>
          <w:rFonts w:ascii="Century Gothic" w:eastAsia="Times New Roman" w:hAnsi="Century Gothic" w:cs="Arial"/>
          <w:bCs/>
          <w:sz w:val="24"/>
          <w:szCs w:val="24"/>
          <w:lang w:val="es-ES"/>
        </w:rPr>
        <w:t>, que</w:t>
      </w:r>
      <w:r w:rsidR="00531C7D" w:rsidRPr="00531C7D">
        <w:rPr>
          <w:rFonts w:ascii="Century Gothic" w:eastAsia="Times New Roman" w:hAnsi="Century Gothic" w:cs="Arial"/>
          <w:bCs/>
          <w:sz w:val="24"/>
          <w:szCs w:val="24"/>
          <w:lang w:val="es-ES"/>
        </w:rPr>
        <w:t xml:space="preserve"> en materia de acción de tutela implica que </w:t>
      </w:r>
      <w:r w:rsidR="008320A0">
        <w:rPr>
          <w:rFonts w:ascii="Century Gothic" w:eastAsia="Times New Roman" w:hAnsi="Century Gothic" w:cs="Arial"/>
          <w:bCs/>
          <w:sz w:val="24"/>
          <w:szCs w:val="24"/>
          <w:lang w:val="es-ES"/>
        </w:rPr>
        <w:t xml:space="preserve">quien instaure </w:t>
      </w:r>
      <w:r w:rsidR="00531C7D" w:rsidRPr="00531C7D">
        <w:rPr>
          <w:rFonts w:ascii="Century Gothic" w:eastAsia="Times New Roman" w:hAnsi="Century Gothic" w:cs="Arial"/>
          <w:bCs/>
          <w:sz w:val="24"/>
          <w:szCs w:val="24"/>
          <w:lang w:val="es-ES"/>
        </w:rPr>
        <w:t>este mecanismo de defensa judicial</w:t>
      </w:r>
      <w:r w:rsidR="008320A0">
        <w:rPr>
          <w:rFonts w:ascii="Century Gothic" w:eastAsia="Times New Roman" w:hAnsi="Century Gothic" w:cs="Arial"/>
          <w:bCs/>
          <w:sz w:val="24"/>
          <w:szCs w:val="24"/>
          <w:lang w:val="es-ES"/>
        </w:rPr>
        <w:t xml:space="preserve"> al </w:t>
      </w:r>
      <w:r w:rsidR="00531C7D" w:rsidRPr="00531C7D">
        <w:rPr>
          <w:rFonts w:ascii="Century Gothic" w:eastAsia="Times New Roman" w:hAnsi="Century Gothic" w:cs="Arial"/>
          <w:bCs/>
          <w:sz w:val="24"/>
          <w:szCs w:val="24"/>
          <w:lang w:val="es-ES"/>
        </w:rPr>
        <w:t>estimar vulnerados o amenazados sus derechos fundamentales, tiene la carga procesal de probar sus afirmaciones</w:t>
      </w:r>
      <w:r w:rsidR="003A07BB">
        <w:rPr>
          <w:rStyle w:val="Refdenotaalpie"/>
          <w:rFonts w:ascii="Century Gothic" w:eastAsia="Times New Roman" w:hAnsi="Century Gothic" w:cs="Arial"/>
          <w:bCs/>
          <w:sz w:val="24"/>
          <w:szCs w:val="24"/>
          <w:lang w:val="es-ES"/>
        </w:rPr>
        <w:footnoteReference w:id="9"/>
      </w:r>
      <w:r w:rsidR="00531C7D" w:rsidRPr="00531C7D">
        <w:rPr>
          <w:rFonts w:ascii="Century Gothic" w:eastAsia="Times New Roman" w:hAnsi="Century Gothic" w:cs="Arial"/>
          <w:bCs/>
          <w:sz w:val="24"/>
          <w:szCs w:val="24"/>
          <w:lang w:val="es-ES"/>
        </w:rPr>
        <w:t>.</w:t>
      </w:r>
      <w:r w:rsidR="009B5BB8">
        <w:rPr>
          <w:rFonts w:ascii="Century Gothic" w:eastAsia="Times New Roman" w:hAnsi="Century Gothic" w:cs="Arial"/>
          <w:bCs/>
          <w:sz w:val="24"/>
          <w:szCs w:val="24"/>
          <w:lang w:val="es-ES"/>
        </w:rPr>
        <w:t xml:space="preserve"> </w:t>
      </w:r>
    </w:p>
    <w:p w14:paraId="2ED6790C" w14:textId="74EE9A39" w:rsidR="00B13A4B" w:rsidRDefault="00B13A4B" w:rsidP="00F13774">
      <w:pPr>
        <w:spacing w:line="360" w:lineRule="auto"/>
        <w:jc w:val="both"/>
        <w:rPr>
          <w:rFonts w:ascii="Century Gothic" w:eastAsia="Times New Roman" w:hAnsi="Century Gothic" w:cs="Arial"/>
          <w:bCs/>
          <w:sz w:val="24"/>
          <w:szCs w:val="24"/>
          <w:lang w:val="es-ES"/>
        </w:rPr>
      </w:pPr>
    </w:p>
    <w:p w14:paraId="137F81FB" w14:textId="1EF347C2" w:rsidR="00B10D76" w:rsidRDefault="00B13A4B" w:rsidP="00F13774">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2</w:t>
      </w:r>
      <w:r w:rsidR="002B0A97">
        <w:rPr>
          <w:rFonts w:ascii="Century Gothic" w:eastAsia="Times New Roman" w:hAnsi="Century Gothic" w:cs="Arial"/>
          <w:bCs/>
          <w:sz w:val="24"/>
          <w:szCs w:val="24"/>
          <w:lang w:val="es-ES"/>
        </w:rPr>
        <w:t>4</w:t>
      </w:r>
      <w:r>
        <w:rPr>
          <w:rFonts w:ascii="Century Gothic" w:eastAsia="Times New Roman" w:hAnsi="Century Gothic" w:cs="Arial"/>
          <w:bCs/>
          <w:sz w:val="24"/>
          <w:szCs w:val="24"/>
          <w:lang w:val="es-ES"/>
        </w:rPr>
        <w:t>. E</w:t>
      </w:r>
      <w:r w:rsidR="00B66C05">
        <w:rPr>
          <w:rFonts w:ascii="Century Gothic" w:eastAsia="Times New Roman" w:hAnsi="Century Gothic" w:cs="Arial"/>
          <w:bCs/>
          <w:sz w:val="24"/>
          <w:szCs w:val="24"/>
          <w:lang w:val="es-ES"/>
        </w:rPr>
        <w:t xml:space="preserve">n el caso en concreto, el despacho no advierte elementos de prueba que permitan soportar las afirmaciones que expuso la accionante en el sentido de que le solicitó a la accionada </w:t>
      </w:r>
      <w:r w:rsidR="00371044">
        <w:rPr>
          <w:rFonts w:ascii="Century Gothic" w:eastAsia="Times New Roman" w:hAnsi="Century Gothic" w:cs="Arial"/>
          <w:bCs/>
          <w:sz w:val="24"/>
          <w:szCs w:val="24"/>
          <w:lang w:val="es-ES"/>
        </w:rPr>
        <w:t xml:space="preserve">lo que pretende por vía de tutela. Además, la accionada indicó que una vez </w:t>
      </w:r>
      <w:r w:rsidR="00E64F82">
        <w:rPr>
          <w:rFonts w:ascii="Century Gothic" w:eastAsia="Times New Roman" w:hAnsi="Century Gothic" w:cs="Arial"/>
          <w:bCs/>
          <w:sz w:val="24"/>
          <w:szCs w:val="24"/>
          <w:lang w:val="es-ES"/>
        </w:rPr>
        <w:t>verifi</w:t>
      </w:r>
      <w:r w:rsidR="00371044">
        <w:rPr>
          <w:rFonts w:ascii="Century Gothic" w:eastAsia="Times New Roman" w:hAnsi="Century Gothic" w:cs="Arial"/>
          <w:bCs/>
          <w:sz w:val="24"/>
          <w:szCs w:val="24"/>
          <w:lang w:val="es-ES"/>
        </w:rPr>
        <w:t>có</w:t>
      </w:r>
      <w:r w:rsidR="00E64F82">
        <w:rPr>
          <w:rFonts w:ascii="Century Gothic" w:eastAsia="Times New Roman" w:hAnsi="Century Gothic" w:cs="Arial"/>
          <w:bCs/>
          <w:sz w:val="24"/>
          <w:szCs w:val="24"/>
          <w:lang w:val="es-ES"/>
        </w:rPr>
        <w:t xml:space="preserve"> el</w:t>
      </w:r>
      <w:r w:rsidR="00E64F82" w:rsidRPr="00E64F82">
        <w:rPr>
          <w:rFonts w:ascii="Century Gothic" w:eastAsia="Times New Roman" w:hAnsi="Century Gothic" w:cs="Arial"/>
          <w:bCs/>
          <w:sz w:val="24"/>
          <w:szCs w:val="24"/>
          <w:lang w:val="es-ES"/>
        </w:rPr>
        <w:t xml:space="preserve"> aplicativo de gestión documental de la entidad </w:t>
      </w:r>
      <w:r w:rsidR="00025C23" w:rsidRPr="00965DE6">
        <w:rPr>
          <w:rFonts w:ascii="Century Gothic" w:eastAsia="Times New Roman" w:hAnsi="Century Gothic" w:cs="Arial"/>
          <w:bCs/>
          <w:i/>
          <w:sz w:val="24"/>
          <w:szCs w:val="24"/>
          <w:lang w:val="es-ES"/>
        </w:rPr>
        <w:t>“</w:t>
      </w:r>
      <w:r w:rsidR="00E64F82" w:rsidRPr="00965DE6">
        <w:rPr>
          <w:rFonts w:ascii="Century Gothic" w:eastAsia="Times New Roman" w:hAnsi="Century Gothic" w:cs="Arial"/>
          <w:bCs/>
          <w:i/>
          <w:sz w:val="24"/>
          <w:szCs w:val="24"/>
          <w:lang w:val="es-ES"/>
        </w:rPr>
        <w:t>DELTA</w:t>
      </w:r>
      <w:r w:rsidR="00025C23" w:rsidRPr="00965DE6">
        <w:rPr>
          <w:rFonts w:ascii="Century Gothic" w:eastAsia="Times New Roman" w:hAnsi="Century Gothic" w:cs="Arial"/>
          <w:bCs/>
          <w:i/>
          <w:sz w:val="24"/>
          <w:szCs w:val="24"/>
          <w:lang w:val="es-ES"/>
        </w:rPr>
        <w:t>”</w:t>
      </w:r>
      <w:r w:rsidR="00E64F82" w:rsidRPr="00E64F82">
        <w:rPr>
          <w:rFonts w:ascii="Century Gothic" w:eastAsia="Times New Roman" w:hAnsi="Century Gothic" w:cs="Arial"/>
          <w:bCs/>
          <w:sz w:val="24"/>
          <w:szCs w:val="24"/>
          <w:lang w:val="es-ES"/>
        </w:rPr>
        <w:t xml:space="preserve">, el cual registra las peticiones ciudadanas, no se encontró solicitud alguna </w:t>
      </w:r>
      <w:r w:rsidR="00C6271C">
        <w:rPr>
          <w:rFonts w:ascii="Century Gothic" w:eastAsia="Times New Roman" w:hAnsi="Century Gothic" w:cs="Arial"/>
          <w:bCs/>
          <w:sz w:val="24"/>
          <w:szCs w:val="24"/>
          <w:lang w:val="es-ES"/>
        </w:rPr>
        <w:t xml:space="preserve">por </w:t>
      </w:r>
      <w:r w:rsidR="00E64F82" w:rsidRPr="00E64F82">
        <w:rPr>
          <w:rFonts w:ascii="Century Gothic" w:eastAsia="Times New Roman" w:hAnsi="Century Gothic" w:cs="Arial"/>
          <w:bCs/>
          <w:sz w:val="24"/>
          <w:szCs w:val="24"/>
          <w:lang w:val="es-ES"/>
        </w:rPr>
        <w:t xml:space="preserve">parte de la señora </w:t>
      </w:r>
      <w:proofErr w:type="spellStart"/>
      <w:r w:rsidR="00E64F82" w:rsidRPr="00E64F82">
        <w:rPr>
          <w:rFonts w:ascii="Century Gothic" w:eastAsia="Times New Roman" w:hAnsi="Century Gothic" w:cs="Arial"/>
          <w:bCs/>
          <w:sz w:val="24"/>
          <w:szCs w:val="24"/>
          <w:lang w:val="es-ES"/>
        </w:rPr>
        <w:t>Leimis</w:t>
      </w:r>
      <w:proofErr w:type="spellEnd"/>
      <w:r w:rsidR="00E64F82" w:rsidRPr="00E64F82">
        <w:rPr>
          <w:rFonts w:ascii="Century Gothic" w:eastAsia="Times New Roman" w:hAnsi="Century Gothic" w:cs="Arial"/>
          <w:bCs/>
          <w:sz w:val="24"/>
          <w:szCs w:val="24"/>
          <w:lang w:val="es-ES"/>
        </w:rPr>
        <w:t xml:space="preserve"> </w:t>
      </w:r>
      <w:proofErr w:type="spellStart"/>
      <w:r w:rsidR="00E64F82" w:rsidRPr="00E64F82">
        <w:rPr>
          <w:rFonts w:ascii="Century Gothic" w:eastAsia="Times New Roman" w:hAnsi="Century Gothic" w:cs="Arial"/>
          <w:bCs/>
          <w:sz w:val="24"/>
          <w:szCs w:val="24"/>
          <w:lang w:val="es-ES"/>
        </w:rPr>
        <w:t>Ponton</w:t>
      </w:r>
      <w:proofErr w:type="spellEnd"/>
      <w:r w:rsidR="00E64F82" w:rsidRPr="00E64F82">
        <w:rPr>
          <w:rFonts w:ascii="Century Gothic" w:eastAsia="Times New Roman" w:hAnsi="Century Gothic" w:cs="Arial"/>
          <w:bCs/>
          <w:sz w:val="24"/>
          <w:szCs w:val="24"/>
          <w:lang w:val="es-ES"/>
        </w:rPr>
        <w:t xml:space="preserve"> Castillejo</w:t>
      </w:r>
      <w:r w:rsidR="00065290">
        <w:rPr>
          <w:rFonts w:ascii="Century Gothic" w:eastAsia="Times New Roman" w:hAnsi="Century Gothic" w:cs="Arial"/>
          <w:bCs/>
          <w:sz w:val="24"/>
          <w:szCs w:val="24"/>
          <w:lang w:val="es-ES"/>
        </w:rPr>
        <w:t>.</w:t>
      </w:r>
    </w:p>
    <w:p w14:paraId="442FAB9C" w14:textId="77777777" w:rsidR="002B0A97" w:rsidRDefault="002B0A97" w:rsidP="00F13774">
      <w:pPr>
        <w:spacing w:line="360" w:lineRule="auto"/>
        <w:jc w:val="both"/>
        <w:rPr>
          <w:rFonts w:ascii="Century Gothic" w:eastAsia="Times New Roman" w:hAnsi="Century Gothic" w:cs="Arial"/>
          <w:bCs/>
          <w:sz w:val="24"/>
          <w:szCs w:val="24"/>
          <w:lang w:val="es-ES"/>
        </w:rPr>
      </w:pPr>
    </w:p>
    <w:p w14:paraId="587CDC33" w14:textId="5ED629DB" w:rsidR="002963FB" w:rsidRDefault="00A27D3D" w:rsidP="00F13774">
      <w:pPr>
        <w:spacing w:line="360" w:lineRule="auto"/>
        <w:jc w:val="both"/>
        <w:rPr>
          <w:rFonts w:ascii="Century Gothic" w:hAnsi="Century Gothic" w:cs="Arial"/>
          <w:sz w:val="24"/>
          <w:szCs w:val="24"/>
          <w:lang w:val="es-ES"/>
        </w:rPr>
      </w:pPr>
      <w:r>
        <w:rPr>
          <w:rFonts w:ascii="Century Gothic" w:eastAsia="Times New Roman" w:hAnsi="Century Gothic" w:cs="Arial"/>
          <w:bCs/>
          <w:sz w:val="24"/>
          <w:szCs w:val="24"/>
          <w:lang w:val="es-ES"/>
        </w:rPr>
        <w:t>2</w:t>
      </w:r>
      <w:r w:rsidR="002B0A97">
        <w:rPr>
          <w:rFonts w:ascii="Century Gothic" w:eastAsia="Times New Roman" w:hAnsi="Century Gothic" w:cs="Arial"/>
          <w:bCs/>
          <w:sz w:val="24"/>
          <w:szCs w:val="24"/>
          <w:lang w:val="es-ES"/>
        </w:rPr>
        <w:t>5</w:t>
      </w:r>
      <w:r>
        <w:rPr>
          <w:rFonts w:ascii="Century Gothic" w:eastAsia="Times New Roman" w:hAnsi="Century Gothic" w:cs="Arial"/>
          <w:bCs/>
          <w:sz w:val="24"/>
          <w:szCs w:val="24"/>
          <w:lang w:val="es-ES"/>
        </w:rPr>
        <w:t xml:space="preserve">. </w:t>
      </w:r>
      <w:r w:rsidR="00C83415">
        <w:rPr>
          <w:rFonts w:ascii="Century Gothic" w:eastAsia="Times New Roman" w:hAnsi="Century Gothic" w:cs="Arial"/>
          <w:bCs/>
          <w:sz w:val="24"/>
          <w:szCs w:val="24"/>
          <w:lang w:val="es-ES"/>
        </w:rPr>
        <w:t>Por otro lado</w:t>
      </w:r>
      <w:r w:rsidR="00C1258F">
        <w:rPr>
          <w:rFonts w:ascii="Century Gothic" w:eastAsia="Times New Roman" w:hAnsi="Century Gothic" w:cs="Arial"/>
          <w:bCs/>
          <w:sz w:val="24"/>
          <w:szCs w:val="24"/>
          <w:lang w:val="es-ES"/>
        </w:rPr>
        <w:t>,</w:t>
      </w:r>
      <w:r w:rsidR="00C83415">
        <w:rPr>
          <w:rFonts w:ascii="Century Gothic" w:eastAsia="Times New Roman" w:hAnsi="Century Gothic" w:cs="Arial"/>
          <w:bCs/>
          <w:sz w:val="24"/>
          <w:szCs w:val="24"/>
          <w:lang w:val="es-ES"/>
        </w:rPr>
        <w:t xml:space="preserve"> la entidad demandada</w:t>
      </w:r>
      <w:r w:rsidR="00C1258F">
        <w:rPr>
          <w:rFonts w:ascii="Century Gothic" w:eastAsia="Times New Roman" w:hAnsi="Century Gothic" w:cs="Arial"/>
          <w:bCs/>
          <w:sz w:val="24"/>
          <w:szCs w:val="24"/>
          <w:lang w:val="es-ES"/>
        </w:rPr>
        <w:t xml:space="preserve"> </w:t>
      </w:r>
      <w:proofErr w:type="spellStart"/>
      <w:r w:rsidR="00C1258F">
        <w:rPr>
          <w:rFonts w:ascii="Century Gothic" w:eastAsia="Times New Roman" w:hAnsi="Century Gothic" w:cs="Arial"/>
          <w:bCs/>
          <w:sz w:val="24"/>
          <w:szCs w:val="24"/>
          <w:lang w:val="es-ES"/>
        </w:rPr>
        <w:t>manifiest</w:t>
      </w:r>
      <w:r w:rsidR="00C6271C">
        <w:rPr>
          <w:rFonts w:ascii="Century Gothic" w:eastAsia="Times New Roman" w:hAnsi="Century Gothic" w:cs="Arial"/>
          <w:bCs/>
          <w:sz w:val="24"/>
          <w:szCs w:val="24"/>
          <w:lang w:val="es-ES"/>
        </w:rPr>
        <w:t>ó</w:t>
      </w:r>
      <w:proofErr w:type="spellEnd"/>
      <w:r w:rsidR="00C83415">
        <w:rPr>
          <w:rFonts w:ascii="Century Gothic" w:eastAsia="Times New Roman" w:hAnsi="Century Gothic" w:cs="Arial"/>
          <w:bCs/>
          <w:sz w:val="24"/>
          <w:szCs w:val="24"/>
          <w:lang w:val="es-ES"/>
        </w:rPr>
        <w:t xml:space="preserve"> que e</w:t>
      </w:r>
      <w:r w:rsidR="00C1258F">
        <w:rPr>
          <w:rFonts w:ascii="Century Gothic" w:eastAsia="Times New Roman" w:hAnsi="Century Gothic" w:cs="Arial"/>
          <w:bCs/>
          <w:sz w:val="24"/>
          <w:szCs w:val="24"/>
          <w:lang w:val="es-ES"/>
        </w:rPr>
        <w:t xml:space="preserve">l programa Familias en Acción prevé para efectos de registrar </w:t>
      </w:r>
      <w:r w:rsidR="00544B54">
        <w:rPr>
          <w:rFonts w:ascii="Century Gothic" w:eastAsia="Times New Roman" w:hAnsi="Century Gothic" w:cs="Arial"/>
          <w:bCs/>
          <w:sz w:val="24"/>
          <w:szCs w:val="24"/>
          <w:lang w:val="es-ES"/>
        </w:rPr>
        <w:t xml:space="preserve">las </w:t>
      </w:r>
      <w:r w:rsidR="00C1258F">
        <w:rPr>
          <w:rFonts w:ascii="Century Gothic" w:eastAsia="Times New Roman" w:hAnsi="Century Gothic" w:cs="Arial"/>
          <w:bCs/>
          <w:sz w:val="24"/>
          <w:szCs w:val="24"/>
          <w:lang w:val="es-ES"/>
        </w:rPr>
        <w:t xml:space="preserve">novedades, </w:t>
      </w:r>
      <w:r w:rsidR="00C8166E">
        <w:rPr>
          <w:rFonts w:ascii="Century Gothic" w:eastAsia="Times New Roman" w:hAnsi="Century Gothic" w:cs="Arial"/>
          <w:bCs/>
          <w:sz w:val="24"/>
          <w:szCs w:val="24"/>
          <w:lang w:val="es-ES"/>
        </w:rPr>
        <w:t>entre</w:t>
      </w:r>
      <w:r w:rsidR="00965DE6">
        <w:rPr>
          <w:rFonts w:ascii="Century Gothic" w:eastAsia="Times New Roman" w:hAnsi="Century Gothic" w:cs="Arial"/>
          <w:bCs/>
          <w:sz w:val="24"/>
          <w:szCs w:val="24"/>
          <w:lang w:val="es-ES"/>
        </w:rPr>
        <w:t xml:space="preserve"> ellas, </w:t>
      </w:r>
      <w:r w:rsidR="00C8166E">
        <w:rPr>
          <w:rFonts w:ascii="Century Gothic" w:eastAsia="Times New Roman" w:hAnsi="Century Gothic" w:cs="Arial"/>
          <w:bCs/>
          <w:sz w:val="24"/>
          <w:szCs w:val="24"/>
          <w:lang w:val="es-ES"/>
        </w:rPr>
        <w:t xml:space="preserve">el traslado de municipio, </w:t>
      </w:r>
      <w:proofErr w:type="gramStart"/>
      <w:r w:rsidR="00314ED7">
        <w:rPr>
          <w:rFonts w:ascii="Century Gothic" w:eastAsia="Times New Roman" w:hAnsi="Century Gothic" w:cs="Arial"/>
          <w:bCs/>
          <w:sz w:val="24"/>
          <w:szCs w:val="24"/>
          <w:lang w:val="es-ES"/>
        </w:rPr>
        <w:t>la</w:t>
      </w:r>
      <w:r w:rsidR="00705B1E">
        <w:rPr>
          <w:rFonts w:ascii="Century Gothic" w:eastAsia="Times New Roman" w:hAnsi="Century Gothic" w:cs="Arial"/>
          <w:bCs/>
          <w:sz w:val="24"/>
          <w:szCs w:val="24"/>
          <w:lang w:val="es-ES"/>
        </w:rPr>
        <w:t xml:space="preserve">  </w:t>
      </w:r>
      <w:r w:rsidR="00705B1E" w:rsidRPr="00A323FF">
        <w:rPr>
          <w:rFonts w:ascii="Century Gothic" w:hAnsi="Century Gothic" w:cs="Arial"/>
          <w:i/>
          <w:iCs/>
          <w:sz w:val="24"/>
          <w:szCs w:val="24"/>
          <w:lang w:val="es-ES"/>
        </w:rPr>
        <w:t>guía</w:t>
      </w:r>
      <w:proofErr w:type="gramEnd"/>
      <w:r w:rsidR="00705B1E" w:rsidRPr="00A323FF">
        <w:rPr>
          <w:rFonts w:ascii="Century Gothic" w:hAnsi="Century Gothic" w:cs="Arial"/>
          <w:i/>
          <w:iCs/>
          <w:sz w:val="24"/>
          <w:szCs w:val="24"/>
          <w:lang w:val="es-ES"/>
        </w:rPr>
        <w:t xml:space="preserve"> operativa de novedades versión 4</w:t>
      </w:r>
      <w:r w:rsidR="00705B1E">
        <w:rPr>
          <w:rFonts w:ascii="Century Gothic" w:hAnsi="Century Gothic" w:cs="Arial"/>
          <w:sz w:val="24"/>
          <w:szCs w:val="24"/>
          <w:lang w:val="es-ES"/>
        </w:rPr>
        <w:t xml:space="preserve"> </w:t>
      </w:r>
      <w:r w:rsidR="00314ED7">
        <w:rPr>
          <w:rFonts w:ascii="Century Gothic" w:hAnsi="Century Gothic" w:cs="Arial"/>
          <w:sz w:val="24"/>
          <w:szCs w:val="24"/>
          <w:lang w:val="es-ES"/>
        </w:rPr>
        <w:lastRenderedPageBreak/>
        <w:t>que se encuentra disponible para el público</w:t>
      </w:r>
      <w:r w:rsidR="0061343B" w:rsidRPr="00965DE6">
        <w:rPr>
          <w:rStyle w:val="Refdenotaalpie"/>
          <w:rFonts w:ascii="Century Gothic" w:hAnsi="Century Gothic" w:cs="Arial"/>
          <w:sz w:val="24"/>
          <w:szCs w:val="24"/>
          <w:lang w:val="es-ES"/>
        </w:rPr>
        <w:footnoteReference w:id="10"/>
      </w:r>
      <w:r w:rsidR="00A0106E">
        <w:rPr>
          <w:rFonts w:ascii="Century Gothic" w:hAnsi="Century Gothic" w:cs="Arial"/>
          <w:sz w:val="24"/>
          <w:szCs w:val="24"/>
          <w:lang w:val="es-ES"/>
        </w:rPr>
        <w:t>, por lo que es la accionante la que debe efectuar la solicitud de traslado.</w:t>
      </w:r>
    </w:p>
    <w:p w14:paraId="2ECF16AA" w14:textId="24ACCD46" w:rsidR="00A3789A" w:rsidRDefault="00A3789A" w:rsidP="00F13774">
      <w:pPr>
        <w:spacing w:line="360" w:lineRule="auto"/>
        <w:jc w:val="both"/>
        <w:rPr>
          <w:rFonts w:ascii="Century Gothic" w:eastAsia="Times New Roman" w:hAnsi="Century Gothic" w:cs="Arial"/>
          <w:bCs/>
          <w:sz w:val="24"/>
          <w:szCs w:val="24"/>
          <w:lang w:val="es-ES"/>
        </w:rPr>
      </w:pPr>
    </w:p>
    <w:p w14:paraId="226970F1" w14:textId="59A5587C" w:rsidR="00283767" w:rsidRPr="00702DC4" w:rsidRDefault="004C1F89" w:rsidP="00DA62B9">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26. Ahora</w:t>
      </w:r>
      <w:r w:rsidR="00702DC4">
        <w:rPr>
          <w:rFonts w:ascii="Century Gothic" w:eastAsia="Times New Roman" w:hAnsi="Century Gothic" w:cs="Arial"/>
          <w:bCs/>
          <w:sz w:val="24"/>
          <w:szCs w:val="24"/>
          <w:lang w:val="es-ES"/>
        </w:rPr>
        <w:t xml:space="preserve">, </w:t>
      </w:r>
      <w:r w:rsidR="00AB115B">
        <w:rPr>
          <w:rFonts w:ascii="Century Gothic" w:eastAsia="Times New Roman" w:hAnsi="Century Gothic" w:cs="Arial"/>
          <w:bCs/>
          <w:sz w:val="24"/>
          <w:szCs w:val="24"/>
          <w:lang w:val="es-ES"/>
        </w:rPr>
        <w:t>e</w:t>
      </w:r>
      <w:r>
        <w:rPr>
          <w:rFonts w:ascii="Century Gothic" w:eastAsia="Times New Roman" w:hAnsi="Century Gothic" w:cs="Arial"/>
          <w:bCs/>
          <w:sz w:val="24"/>
          <w:szCs w:val="24"/>
          <w:lang w:val="es-ES"/>
        </w:rPr>
        <w:t xml:space="preserve">l despacho observa </w:t>
      </w:r>
      <w:r w:rsidR="00702DC4">
        <w:rPr>
          <w:rFonts w:ascii="Century Gothic" w:eastAsia="Times New Roman" w:hAnsi="Century Gothic" w:cs="Arial"/>
          <w:bCs/>
          <w:sz w:val="24"/>
          <w:szCs w:val="24"/>
          <w:lang w:val="es-ES"/>
        </w:rPr>
        <w:t>que la accionada le informó a la accionante los pasos que debe adelantar para hacer efectivo el traslado</w:t>
      </w:r>
      <w:r w:rsidR="00A85709">
        <w:rPr>
          <w:rFonts w:ascii="Century Gothic" w:eastAsia="Times New Roman" w:hAnsi="Century Gothic" w:cs="Arial"/>
          <w:sz w:val="24"/>
          <w:szCs w:val="24"/>
          <w:lang w:val="es-ES"/>
        </w:rPr>
        <w:t xml:space="preserve">. </w:t>
      </w:r>
      <w:r w:rsidR="00504216">
        <w:rPr>
          <w:rFonts w:ascii="Century Gothic" w:eastAsia="Times New Roman" w:hAnsi="Century Gothic" w:cs="Arial"/>
          <w:sz w:val="24"/>
          <w:szCs w:val="24"/>
          <w:lang w:val="es-ES"/>
        </w:rPr>
        <w:t xml:space="preserve">Relacionó por un lado la </w:t>
      </w:r>
      <w:r w:rsidR="00504216" w:rsidRPr="00A323FF">
        <w:rPr>
          <w:rFonts w:ascii="Century Gothic" w:hAnsi="Century Gothic" w:cs="Arial"/>
          <w:i/>
          <w:iCs/>
          <w:sz w:val="24"/>
          <w:szCs w:val="24"/>
          <w:lang w:val="es-ES"/>
        </w:rPr>
        <w:t>guía operativa de novedades versión 4</w:t>
      </w:r>
      <w:r w:rsidR="00412996">
        <w:rPr>
          <w:rFonts w:ascii="Century Gothic" w:hAnsi="Century Gothic" w:cs="Arial"/>
          <w:i/>
          <w:iCs/>
          <w:sz w:val="24"/>
          <w:szCs w:val="24"/>
          <w:lang w:val="es-ES"/>
        </w:rPr>
        <w:t xml:space="preserve">, </w:t>
      </w:r>
      <w:r w:rsidR="00412996">
        <w:rPr>
          <w:rFonts w:ascii="Century Gothic" w:hAnsi="Century Gothic" w:cs="Arial"/>
          <w:sz w:val="24"/>
          <w:szCs w:val="24"/>
          <w:lang w:val="es-ES"/>
        </w:rPr>
        <w:t>y por otro</w:t>
      </w:r>
      <w:r w:rsidR="00C6271C">
        <w:rPr>
          <w:rFonts w:ascii="Century Gothic" w:hAnsi="Century Gothic" w:cs="Arial"/>
          <w:sz w:val="24"/>
          <w:szCs w:val="24"/>
          <w:lang w:val="es-ES"/>
        </w:rPr>
        <w:t>,</w:t>
      </w:r>
      <w:r w:rsidR="00412996">
        <w:rPr>
          <w:rFonts w:ascii="Century Gothic" w:hAnsi="Century Gothic" w:cs="Arial"/>
          <w:sz w:val="24"/>
          <w:szCs w:val="24"/>
          <w:lang w:val="es-ES"/>
        </w:rPr>
        <w:t xml:space="preserve"> le manifestó que</w:t>
      </w:r>
      <w:r w:rsidR="00504216">
        <w:rPr>
          <w:rFonts w:ascii="Century Gothic" w:eastAsia="Times New Roman" w:hAnsi="Century Gothic" w:cs="Arial"/>
          <w:sz w:val="24"/>
          <w:szCs w:val="24"/>
          <w:lang w:val="es-ES"/>
        </w:rPr>
        <w:t xml:space="preserve"> </w:t>
      </w:r>
      <w:r w:rsidR="00601BBC">
        <w:rPr>
          <w:rFonts w:ascii="Century Gothic" w:eastAsia="Times New Roman" w:hAnsi="Century Gothic" w:cs="Arial"/>
          <w:sz w:val="24"/>
          <w:szCs w:val="24"/>
          <w:lang w:val="es-ES"/>
        </w:rPr>
        <w:t>teniendo en cuenta la actual situación generada por la pandemia C</w:t>
      </w:r>
      <w:r w:rsidR="00C6271C">
        <w:rPr>
          <w:rFonts w:ascii="Century Gothic" w:eastAsia="Times New Roman" w:hAnsi="Century Gothic" w:cs="Arial"/>
          <w:sz w:val="24"/>
          <w:szCs w:val="24"/>
          <w:lang w:val="es-ES"/>
        </w:rPr>
        <w:t>ovid</w:t>
      </w:r>
      <w:r w:rsidR="00601BBC">
        <w:rPr>
          <w:rFonts w:ascii="Century Gothic" w:eastAsia="Times New Roman" w:hAnsi="Century Gothic" w:cs="Arial"/>
          <w:sz w:val="24"/>
          <w:szCs w:val="24"/>
          <w:lang w:val="es-ES"/>
        </w:rPr>
        <w:t>-19,</w:t>
      </w:r>
      <w:r w:rsidR="007B3E40">
        <w:rPr>
          <w:rFonts w:ascii="Century Gothic" w:eastAsia="Times New Roman" w:hAnsi="Century Gothic" w:cs="Arial"/>
          <w:sz w:val="24"/>
          <w:szCs w:val="24"/>
          <w:lang w:val="es-ES"/>
        </w:rPr>
        <w:t xml:space="preserve"> para hacer efectivo el traslado de municipio</w:t>
      </w:r>
      <w:r w:rsidR="00412996">
        <w:rPr>
          <w:rFonts w:ascii="Century Gothic" w:eastAsia="Times New Roman" w:hAnsi="Century Gothic" w:cs="Arial"/>
          <w:sz w:val="24"/>
          <w:szCs w:val="24"/>
          <w:lang w:val="es-ES"/>
        </w:rPr>
        <w:t xml:space="preserve"> y reclamar </w:t>
      </w:r>
      <w:r w:rsidR="007B3E40">
        <w:rPr>
          <w:rFonts w:ascii="Century Gothic" w:eastAsia="Times New Roman" w:hAnsi="Century Gothic" w:cs="Arial"/>
          <w:sz w:val="24"/>
          <w:szCs w:val="24"/>
          <w:lang w:val="es-ES"/>
        </w:rPr>
        <w:t>incentivo al que tiene derecho en la ciudad de Bogotá</w:t>
      </w:r>
      <w:r w:rsidR="00702DC4">
        <w:rPr>
          <w:rFonts w:ascii="Century Gothic" w:eastAsia="Times New Roman" w:hAnsi="Century Gothic" w:cs="Arial"/>
          <w:sz w:val="24"/>
          <w:szCs w:val="24"/>
          <w:lang w:val="es-ES"/>
        </w:rPr>
        <w:t xml:space="preserve"> D.C.</w:t>
      </w:r>
      <w:r w:rsidR="00412996">
        <w:rPr>
          <w:rFonts w:ascii="Century Gothic" w:eastAsia="Times New Roman" w:hAnsi="Century Gothic" w:cs="Arial"/>
          <w:sz w:val="24"/>
          <w:szCs w:val="24"/>
          <w:lang w:val="es-ES"/>
        </w:rPr>
        <w:t xml:space="preserve">, </w:t>
      </w:r>
      <w:r w:rsidR="00F53958">
        <w:rPr>
          <w:rFonts w:ascii="Century Gothic" w:eastAsia="Times New Roman" w:hAnsi="Century Gothic" w:cs="Arial"/>
          <w:sz w:val="24"/>
          <w:szCs w:val="24"/>
          <w:lang w:val="es-ES"/>
        </w:rPr>
        <w:t>debía enviar la solicitud</w:t>
      </w:r>
      <w:r w:rsidR="00490094">
        <w:rPr>
          <w:rFonts w:ascii="Century Gothic" w:eastAsia="Times New Roman" w:hAnsi="Century Gothic" w:cs="Arial"/>
          <w:sz w:val="24"/>
          <w:szCs w:val="24"/>
          <w:lang w:val="es-ES"/>
        </w:rPr>
        <w:t xml:space="preserve"> por medios electrónicos</w:t>
      </w:r>
      <w:r w:rsidR="00F53958">
        <w:rPr>
          <w:rFonts w:ascii="Century Gothic" w:eastAsia="Times New Roman" w:hAnsi="Century Gothic" w:cs="Arial"/>
          <w:sz w:val="24"/>
          <w:szCs w:val="24"/>
          <w:lang w:val="es-ES"/>
        </w:rPr>
        <w:t xml:space="preserve">. </w:t>
      </w:r>
      <w:r w:rsidR="007B3E40">
        <w:rPr>
          <w:rFonts w:ascii="Century Gothic" w:eastAsia="Times New Roman" w:hAnsi="Century Gothic" w:cs="Arial"/>
          <w:sz w:val="24"/>
          <w:szCs w:val="24"/>
          <w:lang w:val="es-ES"/>
        </w:rPr>
        <w:t xml:space="preserve">Dicha información fue enviada </w:t>
      </w:r>
      <w:proofErr w:type="gramStart"/>
      <w:r w:rsidR="00B77DF0">
        <w:rPr>
          <w:rFonts w:ascii="Century Gothic" w:eastAsia="Times New Roman" w:hAnsi="Century Gothic" w:cs="Arial"/>
          <w:sz w:val="24"/>
          <w:szCs w:val="24"/>
          <w:lang w:val="es-ES"/>
        </w:rPr>
        <w:t>al</w:t>
      </w:r>
      <w:r w:rsidR="007B3E40">
        <w:rPr>
          <w:rFonts w:ascii="Century Gothic" w:eastAsia="Times New Roman" w:hAnsi="Century Gothic" w:cs="Arial"/>
          <w:sz w:val="24"/>
          <w:szCs w:val="24"/>
          <w:lang w:val="es-ES"/>
        </w:rPr>
        <w:t xml:space="preserve"> </w:t>
      </w:r>
      <w:r w:rsidR="00601BBC">
        <w:rPr>
          <w:rFonts w:ascii="Century Gothic" w:eastAsia="Times New Roman" w:hAnsi="Century Gothic" w:cs="Arial"/>
          <w:sz w:val="24"/>
          <w:szCs w:val="24"/>
          <w:lang w:val="es-ES"/>
        </w:rPr>
        <w:t xml:space="preserve"> </w:t>
      </w:r>
      <w:r w:rsidR="006757BE">
        <w:rPr>
          <w:rFonts w:ascii="Century Gothic" w:eastAsia="Times New Roman" w:hAnsi="Century Gothic" w:cs="Arial"/>
          <w:sz w:val="24"/>
          <w:szCs w:val="24"/>
          <w:lang w:val="es-ES"/>
        </w:rPr>
        <w:t>correo</w:t>
      </w:r>
      <w:proofErr w:type="gramEnd"/>
      <w:r w:rsidR="00B77DF0">
        <w:rPr>
          <w:rFonts w:ascii="Century Gothic" w:eastAsia="Times New Roman" w:hAnsi="Century Gothic" w:cs="Arial"/>
          <w:sz w:val="24"/>
          <w:szCs w:val="24"/>
          <w:lang w:val="es-ES"/>
        </w:rPr>
        <w:t xml:space="preserve"> </w:t>
      </w:r>
      <w:hyperlink r:id="rId9" w:history="1">
        <w:r w:rsidR="00B77DF0" w:rsidRPr="00E27721">
          <w:rPr>
            <w:rStyle w:val="Hipervnculo"/>
            <w:rFonts w:ascii="Century Gothic" w:hAnsi="Century Gothic" w:cs="Arial"/>
            <w:sz w:val="24"/>
            <w:szCs w:val="24"/>
            <w:lang w:val="es-ES"/>
          </w:rPr>
          <w:t>leimis07@gmail.com</w:t>
        </w:r>
      </w:hyperlink>
      <w:r w:rsidR="006757BE">
        <w:rPr>
          <w:rFonts w:ascii="Century Gothic" w:eastAsia="Times New Roman" w:hAnsi="Century Gothic" w:cs="Arial"/>
          <w:sz w:val="24"/>
          <w:szCs w:val="24"/>
          <w:lang w:val="es-ES"/>
        </w:rPr>
        <w:t xml:space="preserve"> </w:t>
      </w:r>
      <w:r w:rsidR="00504683">
        <w:rPr>
          <w:rFonts w:ascii="Century Gothic" w:eastAsia="Times New Roman" w:hAnsi="Century Gothic" w:cs="Arial"/>
          <w:sz w:val="24"/>
          <w:szCs w:val="24"/>
          <w:lang w:val="es-ES"/>
        </w:rPr>
        <w:t xml:space="preserve"> el</w:t>
      </w:r>
      <w:r w:rsidR="006757BE">
        <w:rPr>
          <w:rFonts w:ascii="Century Gothic" w:eastAsia="Times New Roman" w:hAnsi="Century Gothic" w:cs="Arial"/>
          <w:sz w:val="24"/>
          <w:szCs w:val="20"/>
          <w:lang w:val="es-ES" w:eastAsia="es-ES_tradnl"/>
        </w:rPr>
        <w:t xml:space="preserve"> 13 de mayo de 2020</w:t>
      </w:r>
      <w:r w:rsidR="00504683">
        <w:rPr>
          <w:rFonts w:ascii="Century Gothic" w:eastAsia="Times New Roman" w:hAnsi="Century Gothic" w:cs="Arial"/>
          <w:sz w:val="24"/>
          <w:szCs w:val="24"/>
          <w:lang w:val="es-ES"/>
        </w:rPr>
        <w:t>, según oficio No.</w:t>
      </w:r>
      <w:r w:rsidR="00504683">
        <w:rPr>
          <w:rFonts w:ascii="Century Gothic" w:eastAsia="Times New Roman" w:hAnsi="Century Gothic" w:cs="Arial"/>
          <w:sz w:val="24"/>
          <w:szCs w:val="20"/>
          <w:lang w:val="es-ES" w:eastAsia="es-ES_tradnl"/>
        </w:rPr>
        <w:t xml:space="preserve"> S-2020-4103-085826</w:t>
      </w:r>
      <w:r w:rsidR="00504683">
        <w:rPr>
          <w:rStyle w:val="Refdenotaalpie"/>
          <w:rFonts w:ascii="Century Gothic" w:eastAsia="Times New Roman" w:hAnsi="Century Gothic" w:cs="Arial"/>
          <w:sz w:val="24"/>
          <w:szCs w:val="20"/>
          <w:lang w:val="es-ES" w:eastAsia="es-ES_tradnl"/>
        </w:rPr>
        <w:footnoteReference w:id="11"/>
      </w:r>
      <w:r w:rsidR="00504683">
        <w:rPr>
          <w:rFonts w:ascii="Century Gothic" w:eastAsia="Times New Roman" w:hAnsi="Century Gothic" w:cs="Arial"/>
          <w:sz w:val="24"/>
          <w:szCs w:val="20"/>
          <w:lang w:val="es-ES" w:eastAsia="es-ES_tradnl"/>
        </w:rPr>
        <w:t>.</w:t>
      </w:r>
    </w:p>
    <w:p w14:paraId="2C0B8462" w14:textId="77777777" w:rsidR="00283767" w:rsidRDefault="00283767" w:rsidP="00DA62B9">
      <w:pPr>
        <w:spacing w:line="360" w:lineRule="auto"/>
        <w:jc w:val="both"/>
        <w:rPr>
          <w:rFonts w:ascii="Century Gothic" w:eastAsia="Times New Roman" w:hAnsi="Century Gothic" w:cs="Arial"/>
          <w:sz w:val="24"/>
          <w:szCs w:val="20"/>
          <w:lang w:val="es-ES" w:eastAsia="es-ES_tradnl"/>
        </w:rPr>
      </w:pPr>
    </w:p>
    <w:p w14:paraId="1A348E42" w14:textId="2ADBE17D" w:rsidR="00702DC4" w:rsidRDefault="002B0A97" w:rsidP="00F13774">
      <w:pPr>
        <w:spacing w:line="360" w:lineRule="auto"/>
        <w:jc w:val="both"/>
        <w:rPr>
          <w:rFonts w:ascii="Century Gothic" w:eastAsia="Times New Roman" w:hAnsi="Century Gothic" w:cs="Arial"/>
          <w:sz w:val="24"/>
          <w:szCs w:val="20"/>
          <w:lang w:val="es-ES"/>
        </w:rPr>
      </w:pPr>
      <w:r>
        <w:rPr>
          <w:rFonts w:ascii="Century Gothic" w:eastAsia="Times New Roman" w:hAnsi="Century Gothic" w:cs="Arial"/>
          <w:sz w:val="24"/>
          <w:szCs w:val="20"/>
          <w:lang w:val="es-ES" w:eastAsia="es-ES_tradnl"/>
        </w:rPr>
        <w:t>27</w:t>
      </w:r>
      <w:r w:rsidR="00283767">
        <w:rPr>
          <w:rFonts w:ascii="Century Gothic" w:eastAsia="Times New Roman" w:hAnsi="Century Gothic" w:cs="Arial"/>
          <w:sz w:val="24"/>
          <w:szCs w:val="20"/>
          <w:lang w:val="es-ES" w:eastAsia="es-ES_tradnl"/>
        </w:rPr>
        <w:t xml:space="preserve">. </w:t>
      </w:r>
      <w:r w:rsidR="00F13774" w:rsidRPr="00F13774">
        <w:rPr>
          <w:rFonts w:ascii="Century Gothic" w:eastAsia="Times New Roman" w:hAnsi="Century Gothic" w:cs="Arial"/>
          <w:b/>
          <w:sz w:val="24"/>
          <w:szCs w:val="20"/>
          <w:lang w:val="es-ES"/>
        </w:rPr>
        <w:t>En conclusión</w:t>
      </w:r>
      <w:r w:rsidR="00F13774" w:rsidRPr="00F13774">
        <w:rPr>
          <w:rFonts w:ascii="Century Gothic" w:eastAsia="Times New Roman" w:hAnsi="Century Gothic" w:cs="Arial"/>
          <w:sz w:val="24"/>
          <w:szCs w:val="20"/>
          <w:lang w:val="es-ES"/>
        </w:rPr>
        <w:t xml:space="preserve">, el despacho </w:t>
      </w:r>
      <w:r w:rsidR="00606E4D">
        <w:rPr>
          <w:rFonts w:ascii="Century Gothic" w:eastAsia="Times New Roman" w:hAnsi="Century Gothic" w:cs="Arial"/>
          <w:sz w:val="24"/>
          <w:szCs w:val="20"/>
          <w:lang w:val="es-ES"/>
        </w:rPr>
        <w:t xml:space="preserve">procederá a negar las pretensiones de </w:t>
      </w:r>
      <w:r w:rsidR="00F13774" w:rsidRPr="00F13774">
        <w:rPr>
          <w:rFonts w:ascii="Century Gothic" w:eastAsia="Times New Roman" w:hAnsi="Century Gothic" w:cs="Arial"/>
          <w:sz w:val="24"/>
          <w:szCs w:val="20"/>
          <w:lang w:val="es-ES"/>
        </w:rPr>
        <w:t>la acción de tutela de referencia, pues</w:t>
      </w:r>
      <w:r w:rsidR="00702DC4">
        <w:rPr>
          <w:rFonts w:ascii="Century Gothic" w:eastAsia="Times New Roman" w:hAnsi="Century Gothic" w:cs="Arial"/>
          <w:sz w:val="24"/>
          <w:szCs w:val="20"/>
          <w:lang w:val="es-ES"/>
        </w:rPr>
        <w:t xml:space="preserve"> no se acreditó que la accionada vulneró los derechos fundamentales que señaló la accionante. Se resalta que a la accionante se le informó el trámite para su traslado y los medios </w:t>
      </w:r>
      <w:r w:rsidR="00702DC4">
        <w:rPr>
          <w:rFonts w:ascii="Century Gothic" w:eastAsia="Times New Roman" w:hAnsi="Century Gothic" w:cs="Arial"/>
          <w:sz w:val="24"/>
          <w:szCs w:val="20"/>
          <w:lang w:val="es-ES"/>
        </w:rPr>
        <w:lastRenderedPageBreak/>
        <w:t>a través de los cuales puede hacer efectiv</w:t>
      </w:r>
      <w:r w:rsidR="00B64486">
        <w:rPr>
          <w:rFonts w:ascii="Century Gothic" w:eastAsia="Times New Roman" w:hAnsi="Century Gothic" w:cs="Arial"/>
          <w:sz w:val="24"/>
          <w:szCs w:val="20"/>
          <w:lang w:val="es-ES"/>
        </w:rPr>
        <w:t>o</w:t>
      </w:r>
      <w:r w:rsidR="00C6271C">
        <w:rPr>
          <w:rFonts w:ascii="Century Gothic" w:eastAsia="Times New Roman" w:hAnsi="Century Gothic" w:cs="Arial"/>
          <w:sz w:val="24"/>
          <w:szCs w:val="20"/>
          <w:lang w:val="es-ES"/>
        </w:rPr>
        <w:t xml:space="preserve"> lo que pretende</w:t>
      </w:r>
      <w:r w:rsidR="00702DC4">
        <w:rPr>
          <w:rFonts w:ascii="Century Gothic" w:eastAsia="Times New Roman" w:hAnsi="Century Gothic" w:cs="Arial"/>
          <w:sz w:val="24"/>
          <w:szCs w:val="20"/>
          <w:lang w:val="es-ES"/>
        </w:rPr>
        <w:t xml:space="preserve"> en el marco de la emergencia que vive </w:t>
      </w:r>
      <w:r>
        <w:rPr>
          <w:rFonts w:ascii="Century Gothic" w:eastAsia="Times New Roman" w:hAnsi="Century Gothic" w:cs="Arial"/>
          <w:sz w:val="24"/>
          <w:szCs w:val="20"/>
          <w:lang w:val="es-ES"/>
        </w:rPr>
        <w:t xml:space="preserve">actualmente </w:t>
      </w:r>
      <w:r w:rsidR="00702DC4">
        <w:rPr>
          <w:rFonts w:ascii="Century Gothic" w:eastAsia="Times New Roman" w:hAnsi="Century Gothic" w:cs="Arial"/>
          <w:sz w:val="24"/>
          <w:szCs w:val="20"/>
          <w:lang w:val="es-ES"/>
        </w:rPr>
        <w:t>el país</w:t>
      </w:r>
      <w:r>
        <w:rPr>
          <w:rFonts w:ascii="Century Gothic" w:eastAsia="Times New Roman" w:hAnsi="Century Gothic" w:cs="Arial"/>
          <w:sz w:val="24"/>
          <w:szCs w:val="20"/>
          <w:lang w:val="es-ES"/>
        </w:rPr>
        <w:t>.</w:t>
      </w:r>
    </w:p>
    <w:p w14:paraId="5613AB21" w14:textId="77777777" w:rsidR="00F13774" w:rsidRPr="00F13774" w:rsidRDefault="00F13774" w:rsidP="00F13774">
      <w:pPr>
        <w:spacing w:line="360" w:lineRule="auto"/>
        <w:contextualSpacing/>
        <w:jc w:val="both"/>
        <w:rPr>
          <w:rFonts w:ascii="Century Gothic" w:eastAsia="Times New Roman" w:hAnsi="Century Gothic" w:cs="Arial"/>
          <w:sz w:val="24"/>
          <w:szCs w:val="20"/>
          <w:lang w:val="es-ES"/>
        </w:rPr>
      </w:pPr>
    </w:p>
    <w:p w14:paraId="4B98F983" w14:textId="77777777" w:rsidR="00F13774" w:rsidRPr="00F13774" w:rsidRDefault="00F13774" w:rsidP="00F13774">
      <w:pPr>
        <w:spacing w:line="360" w:lineRule="auto"/>
        <w:jc w:val="both"/>
        <w:rPr>
          <w:rFonts w:ascii="Century Gothic" w:eastAsia="Times New Roman" w:hAnsi="Century Gothic" w:cs="Arial"/>
          <w:sz w:val="24"/>
          <w:szCs w:val="24"/>
          <w:lang w:val="es-ES"/>
        </w:rPr>
      </w:pPr>
      <w:r w:rsidRPr="00F13774">
        <w:rPr>
          <w:rFonts w:ascii="Century Gothic" w:eastAsia="Times New Roman" w:hAnsi="Century Gothic" w:cs="Arial"/>
          <w:sz w:val="24"/>
          <w:szCs w:val="24"/>
          <w:lang w:val="es-ES"/>
        </w:rPr>
        <w:t xml:space="preserve">En mérito de lo expuesto, el JUZGADO TREINTA Y CUATRO (34) ADMINISTRATIVO DEL CIRCUITO DE BOGOTÁ, administrando justicia en nombre de la República de Colombia y por autoridad de la Ley, </w:t>
      </w:r>
    </w:p>
    <w:p w14:paraId="46A8FF57" w14:textId="77777777" w:rsidR="00F13774" w:rsidRPr="00F13774" w:rsidRDefault="00F13774" w:rsidP="00F13774">
      <w:pPr>
        <w:spacing w:line="360" w:lineRule="auto"/>
        <w:jc w:val="both"/>
        <w:rPr>
          <w:rFonts w:ascii="Century Gothic" w:eastAsia="Times New Roman" w:hAnsi="Century Gothic" w:cs="Arial"/>
          <w:sz w:val="24"/>
          <w:szCs w:val="24"/>
          <w:lang w:val="es-ES"/>
        </w:rPr>
      </w:pPr>
    </w:p>
    <w:p w14:paraId="5C5883E5" w14:textId="77777777" w:rsidR="00F13774" w:rsidRPr="00F13774" w:rsidRDefault="00F13774" w:rsidP="00F13774">
      <w:pPr>
        <w:spacing w:line="360" w:lineRule="auto"/>
        <w:jc w:val="center"/>
        <w:rPr>
          <w:rFonts w:ascii="Century Gothic" w:eastAsia="Times New Roman" w:hAnsi="Century Gothic" w:cs="Arial"/>
          <w:sz w:val="24"/>
          <w:szCs w:val="24"/>
          <w:lang w:val="es-ES"/>
        </w:rPr>
      </w:pPr>
      <w:r w:rsidRPr="00F13774">
        <w:rPr>
          <w:rFonts w:ascii="Century Gothic" w:eastAsia="Times New Roman" w:hAnsi="Century Gothic" w:cs="Arial"/>
          <w:b/>
          <w:sz w:val="24"/>
          <w:szCs w:val="24"/>
          <w:lang w:val="es-ES"/>
        </w:rPr>
        <w:t>FALLA</w:t>
      </w:r>
    </w:p>
    <w:p w14:paraId="4AC8D97C" w14:textId="77777777" w:rsidR="00F13774" w:rsidRPr="00F13774" w:rsidRDefault="00F13774" w:rsidP="00F13774">
      <w:pPr>
        <w:spacing w:line="360" w:lineRule="auto"/>
        <w:ind w:left="708"/>
        <w:jc w:val="both"/>
        <w:rPr>
          <w:rFonts w:ascii="Century Gothic" w:eastAsia="Times New Roman" w:hAnsi="Century Gothic" w:cs="Arial"/>
          <w:sz w:val="24"/>
          <w:szCs w:val="24"/>
          <w:lang w:val="es-ES"/>
        </w:rPr>
      </w:pPr>
    </w:p>
    <w:p w14:paraId="164C361A" w14:textId="0838AE3C" w:rsidR="00F13774" w:rsidRPr="00F13774" w:rsidRDefault="00F13774" w:rsidP="00F13774">
      <w:pPr>
        <w:tabs>
          <w:tab w:val="left" w:pos="426"/>
        </w:tabs>
        <w:spacing w:line="360" w:lineRule="auto"/>
        <w:jc w:val="both"/>
        <w:rPr>
          <w:rFonts w:ascii="Century Gothic" w:eastAsia="Times New Roman" w:hAnsi="Century Gothic" w:cs="Arial"/>
          <w:sz w:val="24"/>
          <w:szCs w:val="24"/>
          <w:lang w:val="es-ES"/>
        </w:rPr>
      </w:pPr>
      <w:r w:rsidRPr="00F13774">
        <w:rPr>
          <w:rFonts w:ascii="Century Gothic" w:eastAsia="Times New Roman" w:hAnsi="Century Gothic" w:cs="Arial"/>
          <w:b/>
          <w:sz w:val="24"/>
          <w:szCs w:val="24"/>
          <w:lang w:val="es-ES"/>
        </w:rPr>
        <w:t>PRIMERO:</w:t>
      </w:r>
      <w:r w:rsidRPr="00F13774">
        <w:rPr>
          <w:rFonts w:ascii="Century Gothic" w:eastAsia="Times New Roman" w:hAnsi="Century Gothic" w:cs="Arial"/>
          <w:sz w:val="24"/>
          <w:szCs w:val="24"/>
          <w:lang w:val="es-ES"/>
        </w:rPr>
        <w:t xml:space="preserve"> </w:t>
      </w:r>
      <w:r w:rsidRPr="00F13774">
        <w:rPr>
          <w:rFonts w:ascii="Century Gothic" w:eastAsia="Times New Roman" w:hAnsi="Century Gothic" w:cs="Arial"/>
          <w:b/>
          <w:bCs/>
          <w:sz w:val="24"/>
          <w:szCs w:val="24"/>
          <w:lang w:val="es-ES"/>
        </w:rPr>
        <w:t>NEGAR</w:t>
      </w:r>
      <w:r w:rsidR="00793398">
        <w:rPr>
          <w:rFonts w:ascii="Century Gothic" w:eastAsia="Times New Roman" w:hAnsi="Century Gothic" w:cs="Arial"/>
          <w:sz w:val="24"/>
          <w:szCs w:val="24"/>
          <w:lang w:val="es-ES"/>
        </w:rPr>
        <w:t xml:space="preserve"> las pretensiones de</w:t>
      </w:r>
      <w:r w:rsidRPr="00F13774">
        <w:rPr>
          <w:rFonts w:ascii="Century Gothic" w:eastAsia="Times New Roman" w:hAnsi="Century Gothic" w:cs="Arial"/>
          <w:sz w:val="24"/>
          <w:szCs w:val="24"/>
          <w:lang w:val="es-ES"/>
        </w:rPr>
        <w:t xml:space="preserve"> la acción de tutela impetrada por la señora </w:t>
      </w:r>
      <w:proofErr w:type="spellStart"/>
      <w:r w:rsidR="00D00041">
        <w:rPr>
          <w:rFonts w:ascii="Century Gothic" w:eastAsia="Times New Roman" w:hAnsi="Century Gothic" w:cs="Arial"/>
          <w:sz w:val="24"/>
          <w:szCs w:val="24"/>
          <w:lang w:val="es-ES"/>
        </w:rPr>
        <w:t>Leimis</w:t>
      </w:r>
      <w:proofErr w:type="spellEnd"/>
      <w:r w:rsidR="00D00041">
        <w:rPr>
          <w:rFonts w:ascii="Century Gothic" w:eastAsia="Times New Roman" w:hAnsi="Century Gothic" w:cs="Arial"/>
          <w:sz w:val="24"/>
          <w:szCs w:val="24"/>
          <w:lang w:val="es-ES"/>
        </w:rPr>
        <w:t xml:space="preserve"> Pontón Castillejo</w:t>
      </w:r>
      <w:r w:rsidRPr="00F13774">
        <w:rPr>
          <w:rFonts w:ascii="Century Gothic" w:eastAsia="Times New Roman" w:hAnsi="Century Gothic" w:cs="Arial"/>
          <w:sz w:val="24"/>
          <w:szCs w:val="24"/>
          <w:lang w:val="es-ES"/>
        </w:rPr>
        <w:t xml:space="preserve">, por las razones expuestas en la parte motiva de esta providencia. </w:t>
      </w:r>
    </w:p>
    <w:p w14:paraId="04C444F0" w14:textId="77777777" w:rsidR="00F13774" w:rsidRPr="00F13774" w:rsidRDefault="00F13774" w:rsidP="00F13774">
      <w:pPr>
        <w:tabs>
          <w:tab w:val="left" w:pos="426"/>
        </w:tabs>
        <w:spacing w:line="360" w:lineRule="auto"/>
        <w:jc w:val="both"/>
        <w:rPr>
          <w:rFonts w:ascii="Century Gothic" w:eastAsia="Times New Roman" w:hAnsi="Century Gothic" w:cs="Arial"/>
          <w:sz w:val="24"/>
          <w:szCs w:val="24"/>
          <w:lang w:val="es-ES"/>
        </w:rPr>
      </w:pPr>
    </w:p>
    <w:p w14:paraId="78955538" w14:textId="59AFE66E" w:rsidR="00F13774" w:rsidRPr="00F13774" w:rsidRDefault="00F13774" w:rsidP="00F13774">
      <w:pPr>
        <w:tabs>
          <w:tab w:val="left" w:pos="426"/>
        </w:tabs>
        <w:spacing w:line="360" w:lineRule="auto"/>
        <w:jc w:val="both"/>
        <w:rPr>
          <w:rFonts w:ascii="Century Gothic" w:eastAsia="Times New Roman" w:hAnsi="Century Gothic" w:cs="Arial"/>
          <w:color w:val="000000" w:themeColor="text1"/>
          <w:sz w:val="24"/>
          <w:szCs w:val="24"/>
          <w:lang w:val="es-ES"/>
        </w:rPr>
      </w:pPr>
      <w:r w:rsidRPr="00F13774">
        <w:rPr>
          <w:rFonts w:ascii="Century Gothic" w:eastAsia="Times New Roman" w:hAnsi="Century Gothic" w:cs="Arial"/>
          <w:b/>
          <w:color w:val="000000" w:themeColor="text1"/>
          <w:sz w:val="24"/>
          <w:szCs w:val="24"/>
          <w:lang w:val="es-ES"/>
        </w:rPr>
        <w:t>SEGUNDO</w:t>
      </w:r>
      <w:r w:rsidRPr="00F13774">
        <w:rPr>
          <w:rFonts w:ascii="Century Gothic" w:eastAsia="Times New Roman" w:hAnsi="Century Gothic" w:cs="Arial"/>
          <w:b/>
          <w:sz w:val="24"/>
          <w:szCs w:val="24"/>
          <w:lang w:val="es-ES"/>
        </w:rPr>
        <w:t>:</w:t>
      </w:r>
      <w:r w:rsidRPr="00F13774">
        <w:rPr>
          <w:rFonts w:ascii="Century Gothic" w:eastAsia="Times New Roman" w:hAnsi="Century Gothic" w:cs="Arial"/>
          <w:sz w:val="24"/>
          <w:szCs w:val="24"/>
          <w:lang w:val="es-ES"/>
        </w:rPr>
        <w:t xml:space="preserve"> </w:t>
      </w:r>
      <w:r w:rsidRPr="00F13774">
        <w:rPr>
          <w:rFonts w:ascii="Century Gothic" w:eastAsia="Times New Roman" w:hAnsi="Century Gothic" w:cs="Arial"/>
          <w:b/>
          <w:sz w:val="24"/>
          <w:szCs w:val="24"/>
          <w:lang w:val="es-ES"/>
        </w:rPr>
        <w:t>COMUNICAR</w:t>
      </w:r>
      <w:r w:rsidRPr="00F13774">
        <w:rPr>
          <w:rFonts w:ascii="Century Gothic" w:eastAsia="Times New Roman" w:hAnsi="Century Gothic" w:cs="Arial"/>
          <w:sz w:val="24"/>
          <w:szCs w:val="24"/>
          <w:lang w:val="es-ES"/>
        </w:rPr>
        <w:t xml:space="preserve"> por el medio más expedito la presente providencia a la accionante </w:t>
      </w:r>
      <w:proofErr w:type="spellStart"/>
      <w:r w:rsidR="00D00041">
        <w:rPr>
          <w:rFonts w:ascii="Century Gothic" w:eastAsia="Times New Roman" w:hAnsi="Century Gothic" w:cs="Arial"/>
          <w:sz w:val="24"/>
          <w:szCs w:val="24"/>
          <w:lang w:val="es-ES"/>
        </w:rPr>
        <w:t>Leimis</w:t>
      </w:r>
      <w:proofErr w:type="spellEnd"/>
      <w:r w:rsidR="00D00041">
        <w:rPr>
          <w:rFonts w:ascii="Century Gothic" w:eastAsia="Times New Roman" w:hAnsi="Century Gothic" w:cs="Arial"/>
          <w:sz w:val="24"/>
          <w:szCs w:val="24"/>
          <w:lang w:val="es-ES"/>
        </w:rPr>
        <w:t xml:space="preserve"> Pontón Castillejo</w:t>
      </w:r>
      <w:r w:rsidRPr="00F13774">
        <w:rPr>
          <w:rFonts w:ascii="Century Gothic" w:eastAsia="Times New Roman" w:hAnsi="Century Gothic" w:cs="Arial"/>
          <w:sz w:val="24"/>
          <w:szCs w:val="24"/>
          <w:lang w:val="es-ES"/>
        </w:rPr>
        <w:t xml:space="preserve">, al </w:t>
      </w:r>
      <w:r w:rsidR="009B201A">
        <w:rPr>
          <w:rFonts w:ascii="Century Gothic" w:eastAsia="Times New Roman" w:hAnsi="Century Gothic" w:cs="Arial"/>
          <w:sz w:val="24"/>
          <w:szCs w:val="24"/>
          <w:lang w:val="es-ES"/>
        </w:rPr>
        <w:t>Director Técnico de Gestión y Articulación de Oferta Social y Acompañamiento Familiar y</w:t>
      </w:r>
      <w:r w:rsidR="00A8438F">
        <w:rPr>
          <w:rFonts w:ascii="Century Gothic" w:eastAsia="Times New Roman" w:hAnsi="Century Gothic" w:cs="Arial"/>
          <w:sz w:val="24"/>
          <w:szCs w:val="24"/>
          <w:lang w:val="es-ES"/>
        </w:rPr>
        <w:t xml:space="preserve"> Comunitario del Departamento Administrativo para la </w:t>
      </w:r>
      <w:r w:rsidR="006C0BF9">
        <w:rPr>
          <w:rFonts w:ascii="Century Gothic" w:eastAsia="Times New Roman" w:hAnsi="Century Gothic" w:cs="Arial"/>
          <w:sz w:val="24"/>
          <w:szCs w:val="24"/>
          <w:lang w:val="es-ES"/>
        </w:rPr>
        <w:t>Prosperidad Social</w:t>
      </w:r>
      <w:r w:rsidR="006C0BF9">
        <w:rPr>
          <w:rStyle w:val="Refdenotaalpie"/>
          <w:rFonts w:ascii="Century Gothic" w:eastAsia="Times New Roman" w:hAnsi="Century Gothic" w:cs="Arial"/>
          <w:sz w:val="24"/>
          <w:szCs w:val="24"/>
          <w:lang w:val="es-ES"/>
        </w:rPr>
        <w:footnoteReference w:id="12"/>
      </w:r>
      <w:r w:rsidRPr="00F13774">
        <w:rPr>
          <w:rFonts w:ascii="Century Gothic" w:eastAsia="Times New Roman" w:hAnsi="Century Gothic" w:cs="Arial"/>
          <w:sz w:val="24"/>
          <w:szCs w:val="24"/>
          <w:lang w:val="es-ES"/>
        </w:rPr>
        <w:t xml:space="preserve">, o quienes hagan sus veces. </w:t>
      </w:r>
    </w:p>
    <w:p w14:paraId="13F341BA" w14:textId="77777777" w:rsidR="00F13774" w:rsidRPr="00F13774" w:rsidRDefault="00F13774" w:rsidP="00F13774">
      <w:pPr>
        <w:tabs>
          <w:tab w:val="left" w:pos="6744"/>
        </w:tabs>
        <w:spacing w:line="360" w:lineRule="auto"/>
        <w:jc w:val="both"/>
        <w:rPr>
          <w:rFonts w:ascii="Century Gothic" w:eastAsia="Times New Roman" w:hAnsi="Century Gothic" w:cs="Arial"/>
          <w:sz w:val="24"/>
          <w:szCs w:val="24"/>
          <w:lang w:val="es-ES"/>
        </w:rPr>
      </w:pPr>
      <w:r w:rsidRPr="00F13774">
        <w:rPr>
          <w:rFonts w:ascii="Century Gothic" w:eastAsia="Times New Roman" w:hAnsi="Century Gothic" w:cs="Arial"/>
          <w:sz w:val="24"/>
          <w:szCs w:val="24"/>
          <w:lang w:val="es-ES"/>
        </w:rPr>
        <w:tab/>
      </w:r>
    </w:p>
    <w:p w14:paraId="762D4420" w14:textId="77777777" w:rsidR="00F13774" w:rsidRPr="00F13774" w:rsidRDefault="00F13774" w:rsidP="00F13774">
      <w:pPr>
        <w:spacing w:line="360" w:lineRule="auto"/>
        <w:jc w:val="both"/>
        <w:rPr>
          <w:rFonts w:ascii="Century Gothic" w:eastAsia="Times New Roman" w:hAnsi="Century Gothic" w:cs="Arial"/>
          <w:sz w:val="24"/>
          <w:szCs w:val="24"/>
          <w:lang w:val="es-ES"/>
        </w:rPr>
      </w:pPr>
      <w:r w:rsidRPr="00F13774">
        <w:rPr>
          <w:rFonts w:ascii="Century Gothic" w:eastAsia="Times New Roman" w:hAnsi="Century Gothic" w:cs="Arial"/>
          <w:b/>
          <w:sz w:val="24"/>
          <w:szCs w:val="24"/>
          <w:lang w:val="es-ES"/>
        </w:rPr>
        <w:t>TERCERO:</w:t>
      </w:r>
      <w:r w:rsidRPr="00F13774">
        <w:rPr>
          <w:rFonts w:ascii="Century Gothic" w:eastAsia="Times New Roman" w:hAnsi="Century Gothic" w:cs="Arial"/>
          <w:sz w:val="24"/>
          <w:szCs w:val="24"/>
          <w:lang w:val="es-ES"/>
        </w:rPr>
        <w:t xml:space="preserve"> En caso de que la presente providencia no fuere impugnada, remítase, para efectos de su Revisión, a la Honorable Corte Constitucional, en los términos del Artículo 31 del Decreto – Ley 2591 de 1991.  </w:t>
      </w:r>
    </w:p>
    <w:p w14:paraId="419B6B5F" w14:textId="77777777" w:rsidR="00F13774" w:rsidRPr="00F13774" w:rsidRDefault="00F13774" w:rsidP="00F13774">
      <w:pPr>
        <w:spacing w:line="360" w:lineRule="auto"/>
        <w:jc w:val="both"/>
        <w:rPr>
          <w:rFonts w:ascii="Century Gothic" w:eastAsia="Times New Roman" w:hAnsi="Century Gothic" w:cs="Arial"/>
          <w:b/>
          <w:sz w:val="24"/>
          <w:szCs w:val="24"/>
          <w:lang w:val="es-ES"/>
        </w:rPr>
      </w:pPr>
    </w:p>
    <w:p w14:paraId="0272FD26" w14:textId="77777777" w:rsidR="00F13774" w:rsidRPr="00F13774" w:rsidRDefault="00F13774" w:rsidP="00F13774">
      <w:pPr>
        <w:spacing w:line="360" w:lineRule="auto"/>
        <w:jc w:val="both"/>
        <w:rPr>
          <w:rFonts w:ascii="Century Gothic" w:eastAsia="Times New Roman" w:hAnsi="Century Gothic" w:cs="Arial"/>
          <w:b/>
          <w:sz w:val="24"/>
          <w:szCs w:val="24"/>
          <w:lang w:val="es-ES"/>
        </w:rPr>
      </w:pPr>
      <w:r w:rsidRPr="00F13774">
        <w:rPr>
          <w:rFonts w:ascii="Century Gothic" w:eastAsia="Times New Roman" w:hAnsi="Century Gothic" w:cs="Arial"/>
          <w:b/>
          <w:sz w:val="24"/>
          <w:szCs w:val="24"/>
          <w:lang w:val="es-ES"/>
        </w:rPr>
        <w:t>CÓPIESE, NOTIFÍQUESE y CÚMPLASE,</w:t>
      </w:r>
    </w:p>
    <w:p w14:paraId="106641EC" w14:textId="77777777" w:rsidR="00F13774" w:rsidRPr="00F13774" w:rsidRDefault="00F13774" w:rsidP="00F13774">
      <w:pPr>
        <w:spacing w:line="360" w:lineRule="auto"/>
        <w:jc w:val="both"/>
        <w:rPr>
          <w:rFonts w:ascii="Century Gothic" w:eastAsia="Times New Roman" w:hAnsi="Century Gothic" w:cs="Arial"/>
          <w:sz w:val="24"/>
          <w:szCs w:val="24"/>
          <w:lang w:val="es-ES"/>
        </w:rPr>
      </w:pPr>
    </w:p>
    <w:p w14:paraId="3DFBA72B" w14:textId="77777777" w:rsidR="00F13774" w:rsidRPr="00F13774" w:rsidRDefault="00F13774" w:rsidP="00F13774">
      <w:pPr>
        <w:spacing w:line="360" w:lineRule="auto"/>
        <w:jc w:val="center"/>
        <w:rPr>
          <w:rFonts w:ascii="Century Gothic" w:eastAsia="Times New Roman" w:hAnsi="Century Gothic" w:cs="Arial"/>
          <w:b/>
          <w:sz w:val="24"/>
          <w:szCs w:val="24"/>
          <w:lang w:val="es-ES"/>
        </w:rPr>
      </w:pPr>
      <w:r w:rsidRPr="00F13774">
        <w:rPr>
          <w:rFonts w:ascii="Century Gothic" w:eastAsia="Times New Roman" w:hAnsi="Century Gothic" w:cs="Arial"/>
          <w:b/>
          <w:sz w:val="24"/>
          <w:szCs w:val="24"/>
          <w:lang w:val="es-ES"/>
        </w:rPr>
        <w:t>LUIS GABRIEL AHUMADA PERDOMO</w:t>
      </w:r>
    </w:p>
    <w:p w14:paraId="7A490272" w14:textId="77777777" w:rsidR="00F13774" w:rsidRPr="00F13774" w:rsidRDefault="00F13774" w:rsidP="00F13774">
      <w:pPr>
        <w:spacing w:line="360" w:lineRule="auto"/>
        <w:jc w:val="center"/>
        <w:rPr>
          <w:rFonts w:ascii="Century Gothic" w:eastAsia="Times New Roman" w:hAnsi="Century Gothic" w:cs="Arial"/>
          <w:sz w:val="24"/>
          <w:szCs w:val="24"/>
          <w:lang w:val="es-ES"/>
        </w:rPr>
      </w:pPr>
      <w:r w:rsidRPr="00F13774">
        <w:rPr>
          <w:rFonts w:ascii="Century Gothic" w:eastAsia="Times New Roman" w:hAnsi="Century Gothic" w:cs="Arial"/>
          <w:sz w:val="24"/>
          <w:szCs w:val="24"/>
          <w:lang w:val="es-ES"/>
        </w:rPr>
        <w:t>Juez</w:t>
      </w:r>
    </w:p>
    <w:p w14:paraId="75201C16" w14:textId="08C44DF2" w:rsidR="00F13774" w:rsidRPr="000C3925" w:rsidRDefault="00F13774" w:rsidP="000C3925">
      <w:pPr>
        <w:spacing w:line="360" w:lineRule="auto"/>
        <w:rPr>
          <w:rFonts w:ascii="Century Gothic" w:eastAsia="Times New Roman" w:hAnsi="Century Gothic" w:cs="Arial"/>
          <w:sz w:val="14"/>
          <w:szCs w:val="14"/>
          <w:lang w:val="es-ES"/>
        </w:rPr>
      </w:pPr>
      <w:r w:rsidRPr="00F13774">
        <w:rPr>
          <w:rFonts w:ascii="Century Gothic" w:eastAsia="Times New Roman" w:hAnsi="Century Gothic" w:cs="Arial"/>
          <w:sz w:val="14"/>
          <w:szCs w:val="14"/>
          <w:lang w:val="es-ES"/>
        </w:rPr>
        <w:lastRenderedPageBreak/>
        <w:t>AMR</w:t>
      </w:r>
      <w:r w:rsidR="00EA3564">
        <w:rPr>
          <w:rFonts w:ascii="Century Gothic" w:eastAsia="Times New Roman" w:hAnsi="Century Gothic" w:cs="Arial"/>
          <w:sz w:val="14"/>
          <w:szCs w:val="14"/>
          <w:lang w:val="es-ES"/>
        </w:rPr>
        <w:t>A</w:t>
      </w:r>
    </w:p>
    <w:sectPr w:rsidR="00F13774" w:rsidRPr="000C3925" w:rsidSect="00BB329C">
      <w:headerReference w:type="default" r:id="rId10"/>
      <w:headerReference w:type="first" r:id="rId1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D8411" w14:textId="77777777" w:rsidR="00A8056B" w:rsidRDefault="00A8056B" w:rsidP="00F13774">
      <w:r>
        <w:separator/>
      </w:r>
    </w:p>
  </w:endnote>
  <w:endnote w:type="continuationSeparator" w:id="0">
    <w:p w14:paraId="058A7266" w14:textId="77777777" w:rsidR="00A8056B" w:rsidRDefault="00A8056B" w:rsidP="00F13774">
      <w:r>
        <w:continuationSeparator/>
      </w:r>
    </w:p>
  </w:endnote>
  <w:endnote w:type="continuationNotice" w:id="1">
    <w:p w14:paraId="3A7456DD" w14:textId="77777777" w:rsidR="00A8056B" w:rsidRDefault="00A80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931B0" w14:textId="77777777" w:rsidR="00A8056B" w:rsidRDefault="00A8056B" w:rsidP="00F13774">
      <w:r>
        <w:separator/>
      </w:r>
    </w:p>
  </w:footnote>
  <w:footnote w:type="continuationSeparator" w:id="0">
    <w:p w14:paraId="6B78F735" w14:textId="77777777" w:rsidR="00A8056B" w:rsidRDefault="00A8056B" w:rsidP="00F13774">
      <w:r>
        <w:continuationSeparator/>
      </w:r>
    </w:p>
  </w:footnote>
  <w:footnote w:type="continuationNotice" w:id="1">
    <w:p w14:paraId="06679B2B" w14:textId="77777777" w:rsidR="00A8056B" w:rsidRDefault="00A8056B"/>
  </w:footnote>
  <w:footnote w:id="2">
    <w:p w14:paraId="658969AA" w14:textId="77777777" w:rsidR="00F13774" w:rsidRPr="00E64184" w:rsidRDefault="00F13774" w:rsidP="00BB329C">
      <w:pPr>
        <w:pStyle w:val="Textoindependiente"/>
        <w:spacing w:after="0" w:line="276" w:lineRule="auto"/>
        <w:ind w:right="51"/>
        <w:jc w:val="both"/>
        <w:rPr>
          <w:rFonts w:ascii="Century Gothic" w:hAnsi="Century Gothic"/>
          <w:sz w:val="20"/>
          <w:lang w:val="es-ES"/>
        </w:rPr>
      </w:pPr>
      <w:r w:rsidRPr="00E64184">
        <w:rPr>
          <w:rStyle w:val="Refdenotaalpie"/>
          <w:rFonts w:ascii="Century Gothic" w:hAnsi="Century Gothic"/>
          <w:sz w:val="20"/>
        </w:rPr>
        <w:footnoteRef/>
      </w:r>
      <w:r w:rsidRPr="00E64184">
        <w:rPr>
          <w:rFonts w:ascii="Century Gothic" w:hAnsi="Century Gothic"/>
          <w:sz w:val="20"/>
        </w:rPr>
        <w:t xml:space="preserve"> </w:t>
      </w:r>
      <w:r w:rsidRPr="00E64184">
        <w:rPr>
          <w:rFonts w:ascii="Century Gothic" w:hAnsi="Century Gothic"/>
          <w:sz w:val="20"/>
          <w:lang w:val="es-ES"/>
        </w:rPr>
        <w:t>En la solicitud de tutela se formularon las siguientes pretensiones:</w:t>
      </w:r>
    </w:p>
    <w:p w14:paraId="63A78CE7" w14:textId="77777777" w:rsidR="00F13774" w:rsidRPr="00E64184" w:rsidRDefault="00F13774" w:rsidP="00BB329C">
      <w:pPr>
        <w:pStyle w:val="Textoindependiente"/>
        <w:spacing w:after="0" w:line="276" w:lineRule="auto"/>
        <w:ind w:right="51"/>
        <w:jc w:val="both"/>
        <w:rPr>
          <w:rFonts w:ascii="Century Gothic" w:hAnsi="Century Gothic" w:cs="Arial"/>
          <w:i/>
          <w:sz w:val="20"/>
          <w:lang w:val="es-CO"/>
        </w:rPr>
      </w:pPr>
    </w:p>
    <w:p w14:paraId="2DD55435" w14:textId="4C071595" w:rsidR="00BC49BB" w:rsidRPr="00E64184" w:rsidRDefault="00F13774" w:rsidP="00BC49BB">
      <w:pPr>
        <w:pStyle w:val="Textoindependiente"/>
        <w:spacing w:line="276" w:lineRule="auto"/>
        <w:ind w:right="51"/>
        <w:jc w:val="both"/>
        <w:rPr>
          <w:rFonts w:ascii="Century Gothic" w:hAnsi="Century Gothic" w:cs="Arial"/>
          <w:i/>
          <w:sz w:val="20"/>
          <w:lang w:val="es-CO"/>
        </w:rPr>
      </w:pPr>
      <w:r w:rsidRPr="00E64184">
        <w:rPr>
          <w:rFonts w:ascii="Century Gothic" w:hAnsi="Century Gothic" w:cs="Arial"/>
          <w:i/>
          <w:sz w:val="20"/>
          <w:lang w:val="es-CO"/>
        </w:rPr>
        <w:t>“1.</w:t>
      </w:r>
      <w:r w:rsidR="00CB6D3F" w:rsidRPr="00E64184">
        <w:rPr>
          <w:rFonts w:ascii="Century Gothic" w:hAnsi="Century Gothic" w:cs="Arial"/>
          <w:i/>
          <w:sz w:val="20"/>
          <w:lang w:val="es-CO"/>
        </w:rPr>
        <w:t xml:space="preserve">Que se tutelen mis derechos constitucionales fundamentales y el de mis menores hijos al mínimo vital y móvil, debido proceso, dignidad humana y los demás derechos que puedan verse desprotegidos con las actuaciones de los funcionarios del Departamento Administrativo para la Prosperidad Social del Programa Familias en Acción de Bogotá y de Palmira Valle del Cauca. </w:t>
      </w:r>
    </w:p>
    <w:p w14:paraId="46D3CB39" w14:textId="02034774" w:rsidR="00201BB6" w:rsidRPr="00E64184" w:rsidRDefault="00201BB6" w:rsidP="00BC49BB">
      <w:pPr>
        <w:pStyle w:val="Textoindependiente"/>
        <w:spacing w:line="276" w:lineRule="auto"/>
        <w:ind w:right="51"/>
        <w:jc w:val="both"/>
        <w:rPr>
          <w:rFonts w:ascii="Century Gothic" w:hAnsi="Century Gothic" w:cs="Arial"/>
          <w:i/>
          <w:sz w:val="20"/>
          <w:lang w:val="es-CO"/>
        </w:rPr>
      </w:pPr>
      <w:r w:rsidRPr="00E64184">
        <w:rPr>
          <w:rFonts w:ascii="Century Gothic" w:hAnsi="Century Gothic" w:cs="Arial"/>
          <w:i/>
          <w:sz w:val="20"/>
          <w:lang w:val="es-CO"/>
        </w:rPr>
        <w:t xml:space="preserve">2. Que se les ordene tanto al Director del Departamento Administrativo para la Prosperidad Social como a los Directores del Programa Familias en Acción de Bogotá </w:t>
      </w:r>
      <w:r w:rsidRPr="00072A10">
        <w:rPr>
          <w:rFonts w:ascii="Century Gothic" w:hAnsi="Century Gothic" w:cs="Arial"/>
          <w:i/>
          <w:sz w:val="20"/>
          <w:lang w:val="es-CO"/>
        </w:rPr>
        <w:t>yedra</w:t>
      </w:r>
      <w:r w:rsidR="001658B5">
        <w:rPr>
          <w:rFonts w:ascii="Century Gothic" w:hAnsi="Century Gothic" w:cs="Arial"/>
          <w:i/>
          <w:sz w:val="20"/>
          <w:lang w:val="es-CO"/>
        </w:rPr>
        <w:t xml:space="preserve"> </w:t>
      </w:r>
      <w:r w:rsidR="00072A10">
        <w:rPr>
          <w:rFonts w:ascii="Century Gothic" w:hAnsi="Century Gothic" w:cs="Arial"/>
          <w:i/>
          <w:sz w:val="20"/>
          <w:lang w:val="es-CO"/>
        </w:rPr>
        <w:t>(SIC)</w:t>
      </w:r>
      <w:r w:rsidRPr="00E64184">
        <w:rPr>
          <w:rFonts w:ascii="Century Gothic" w:hAnsi="Century Gothic" w:cs="Arial"/>
          <w:i/>
          <w:sz w:val="20"/>
          <w:lang w:val="es-CO"/>
        </w:rPr>
        <w:t xml:space="preserve"> Palmira Valle del Cauca realicen todas las gestiones para que yo pueda reclamar el incentivo del programa familias en acción en la ciudad de Bogotá. </w:t>
      </w:r>
    </w:p>
    <w:p w14:paraId="3870D2A8" w14:textId="6CF8D184" w:rsidR="00201BB6" w:rsidRPr="00E64184" w:rsidRDefault="00201BB6" w:rsidP="00BC49BB">
      <w:pPr>
        <w:pStyle w:val="Textoindependiente"/>
        <w:spacing w:line="276" w:lineRule="auto"/>
        <w:ind w:right="51"/>
        <w:jc w:val="both"/>
        <w:rPr>
          <w:rFonts w:ascii="Century Gothic" w:hAnsi="Century Gothic" w:cs="Arial"/>
          <w:i/>
          <w:sz w:val="20"/>
          <w:lang w:val="es-CO"/>
        </w:rPr>
      </w:pPr>
      <w:r w:rsidRPr="00E64184">
        <w:rPr>
          <w:rFonts w:ascii="Century Gothic" w:hAnsi="Century Gothic" w:cs="Arial"/>
          <w:i/>
          <w:sz w:val="20"/>
          <w:lang w:val="es-CO"/>
        </w:rPr>
        <w:t xml:space="preserve">3. </w:t>
      </w:r>
      <w:r w:rsidR="00243BD4" w:rsidRPr="00E64184">
        <w:rPr>
          <w:rFonts w:ascii="Century Gothic" w:hAnsi="Century Gothic" w:cs="Arial"/>
          <w:i/>
          <w:sz w:val="20"/>
          <w:lang w:val="es-CO"/>
        </w:rPr>
        <w:t xml:space="preserve">Que se les ORDENE en el término de 48 horas siguientes a la notificación del fallo de tutela, autoricen el traslado de los 3 giros del incentivo que tengo pendiente por refclamar para la ciudad de Bogotá. </w:t>
      </w:r>
    </w:p>
    <w:p w14:paraId="47C8A909" w14:textId="1AB44E1A" w:rsidR="00B01255" w:rsidRPr="00B01255" w:rsidRDefault="00243BD4" w:rsidP="00BB329C">
      <w:pPr>
        <w:pStyle w:val="Textoindependiente"/>
        <w:spacing w:line="276" w:lineRule="auto"/>
        <w:ind w:right="51"/>
        <w:jc w:val="both"/>
        <w:rPr>
          <w:rFonts w:ascii="Century Gothic" w:hAnsi="Century Gothic" w:cs="Arial"/>
          <w:bCs/>
          <w:i/>
          <w:sz w:val="16"/>
          <w:szCs w:val="16"/>
          <w:lang w:val="es-CO"/>
        </w:rPr>
      </w:pPr>
      <w:r w:rsidRPr="00E64184">
        <w:rPr>
          <w:rFonts w:ascii="Century Gothic" w:hAnsi="Century Gothic" w:cs="Arial"/>
          <w:i/>
          <w:sz w:val="20"/>
          <w:lang w:val="es-CO"/>
        </w:rPr>
        <w:t>4. Que no me vayan a retirar del programa familias en acción por no haber podido reclamar los giros que tengo pendientes”</w:t>
      </w:r>
      <w:r w:rsidR="00B01255" w:rsidRPr="00E64184">
        <w:rPr>
          <w:rFonts w:ascii="Century Gothic" w:hAnsi="Century Gothic" w:cs="Arial"/>
          <w:bCs/>
          <w:i/>
          <w:sz w:val="20"/>
          <w:lang w:val="es-CO"/>
        </w:rPr>
        <w:t>.</w:t>
      </w:r>
    </w:p>
  </w:footnote>
  <w:footnote w:id="3">
    <w:p w14:paraId="31C141B2" w14:textId="29CBCE0E" w:rsidR="00E66D1A" w:rsidRPr="00DC4BC3" w:rsidRDefault="00A323FF" w:rsidP="003C559A">
      <w:pPr>
        <w:pStyle w:val="Textonotapie"/>
        <w:jc w:val="both"/>
        <w:rPr>
          <w:rFonts w:ascii="Century Gothic" w:hAnsi="Century Gothic"/>
          <w:i/>
          <w:iCs/>
        </w:rPr>
      </w:pPr>
      <w:r w:rsidRPr="002209B4">
        <w:rPr>
          <w:rStyle w:val="Refdenotaalpie"/>
          <w:rFonts w:ascii="Century Gothic" w:hAnsi="Century Gothic"/>
        </w:rPr>
        <w:footnoteRef/>
      </w:r>
      <w:r w:rsidRPr="002209B4">
        <w:rPr>
          <w:rFonts w:ascii="Century Gothic" w:hAnsi="Century Gothic"/>
        </w:rPr>
        <w:t xml:space="preserve"> </w:t>
      </w:r>
      <w:r w:rsidR="003C559A" w:rsidRPr="00DC4BC3">
        <w:rPr>
          <w:i/>
          <w:iCs/>
        </w:rPr>
        <w:t>“</w:t>
      </w:r>
      <w:r w:rsidR="00E66D1A" w:rsidRPr="00DC4BC3">
        <w:rPr>
          <w:rFonts w:ascii="Century Gothic" w:hAnsi="Century Gothic"/>
          <w:i/>
          <w:iCs/>
        </w:rPr>
        <w:t>5.2.3.1.3. Traslado de municipio</w:t>
      </w:r>
    </w:p>
    <w:p w14:paraId="41FFC9E1" w14:textId="77777777" w:rsidR="002B0A97" w:rsidRDefault="002B0A97" w:rsidP="003C559A">
      <w:pPr>
        <w:pStyle w:val="Textonotapie"/>
        <w:jc w:val="both"/>
        <w:rPr>
          <w:rFonts w:ascii="Century Gothic" w:hAnsi="Century Gothic"/>
          <w:i/>
          <w:iCs/>
        </w:rPr>
      </w:pPr>
    </w:p>
    <w:p w14:paraId="5E020EAC" w14:textId="0CF09289" w:rsidR="00E66D1A" w:rsidRDefault="00E66D1A" w:rsidP="003C559A">
      <w:pPr>
        <w:pStyle w:val="Textonotapie"/>
        <w:jc w:val="both"/>
        <w:rPr>
          <w:rFonts w:ascii="Century Gothic" w:hAnsi="Century Gothic"/>
          <w:i/>
          <w:iCs/>
        </w:rPr>
      </w:pPr>
      <w:r w:rsidRPr="00DC4BC3">
        <w:rPr>
          <w:rFonts w:ascii="Century Gothic" w:hAnsi="Century Gothic"/>
          <w:i/>
          <w:iCs/>
        </w:rPr>
        <w:t>Consiste en el traslado del lugar de la residencia de la familia participante a un municipio distinto al registrado en la base de datos del SIFA. La clasificación y los requisitos necesarios para realizar este procedimiento son:</w:t>
      </w:r>
    </w:p>
    <w:p w14:paraId="0432446D" w14:textId="77777777" w:rsidR="002B0A97" w:rsidRPr="00DC4BC3" w:rsidRDefault="002B0A97" w:rsidP="003C559A">
      <w:pPr>
        <w:pStyle w:val="Textonotapie"/>
        <w:jc w:val="both"/>
        <w:rPr>
          <w:rFonts w:ascii="Century Gothic" w:hAnsi="Century Gothic"/>
          <w:i/>
          <w:iCs/>
        </w:rPr>
      </w:pPr>
    </w:p>
    <w:p w14:paraId="0FF9C17E" w14:textId="1777B4FC" w:rsidR="00E66D1A" w:rsidRDefault="00E66D1A" w:rsidP="003C559A">
      <w:pPr>
        <w:pStyle w:val="Textonotapie"/>
        <w:jc w:val="both"/>
        <w:rPr>
          <w:rFonts w:ascii="Century Gothic" w:hAnsi="Century Gothic"/>
          <w:i/>
          <w:iCs/>
        </w:rPr>
      </w:pPr>
      <w:r w:rsidRPr="00DC4BC3">
        <w:rPr>
          <w:rFonts w:ascii="Century Gothic" w:hAnsi="Century Gothic"/>
          <w:i/>
          <w:iCs/>
        </w:rPr>
        <w:t>El traslado de municipio de una familia debe tener en cuenta:</w:t>
      </w:r>
    </w:p>
    <w:p w14:paraId="6666E18A" w14:textId="77777777" w:rsidR="002B0A97" w:rsidRPr="00DC4BC3" w:rsidRDefault="002B0A97" w:rsidP="003C559A">
      <w:pPr>
        <w:pStyle w:val="Textonotapie"/>
        <w:jc w:val="both"/>
        <w:rPr>
          <w:rFonts w:ascii="Century Gothic" w:hAnsi="Century Gothic"/>
          <w:i/>
          <w:iCs/>
        </w:rPr>
      </w:pPr>
    </w:p>
    <w:p w14:paraId="7B80AC8D" w14:textId="77777777" w:rsidR="00E66D1A" w:rsidRPr="00DC4BC3" w:rsidRDefault="00E66D1A" w:rsidP="003C559A">
      <w:pPr>
        <w:pStyle w:val="Textonotapie"/>
        <w:jc w:val="both"/>
        <w:rPr>
          <w:rFonts w:ascii="Century Gothic" w:hAnsi="Century Gothic"/>
          <w:i/>
          <w:iCs/>
        </w:rPr>
      </w:pPr>
      <w:r w:rsidRPr="00DC4BC3">
        <w:rPr>
          <w:rFonts w:ascii="Century Gothic" w:hAnsi="Century Gothic"/>
          <w:i/>
          <w:iCs/>
        </w:rPr>
        <w:t>*Esta novedad se debe tramitar en el municipio al cual se trasladó la familia, es decir, en el municipio receptor.</w:t>
      </w:r>
    </w:p>
    <w:p w14:paraId="5AA5BC50" w14:textId="017FCE77" w:rsidR="00E66D1A" w:rsidRPr="00DC4BC3" w:rsidRDefault="00E66D1A" w:rsidP="003C559A">
      <w:pPr>
        <w:pStyle w:val="Textonotapie"/>
        <w:jc w:val="both"/>
        <w:rPr>
          <w:rFonts w:ascii="Century Gothic" w:hAnsi="Century Gothic"/>
          <w:i/>
          <w:iCs/>
        </w:rPr>
      </w:pPr>
      <w:r w:rsidRPr="00DC4BC3">
        <w:rPr>
          <w:rFonts w:ascii="Century Gothic" w:hAnsi="Century Gothic"/>
          <w:i/>
          <w:iCs/>
        </w:rPr>
        <w:t>*Las familias SISBEN deben cumplir con los puntos de corte establecidos por el programa, según municipio y área de la nueva residencia.</w:t>
      </w:r>
    </w:p>
    <w:p w14:paraId="2336265A" w14:textId="13E75B9A" w:rsidR="00E66D1A" w:rsidRDefault="00E66D1A" w:rsidP="003C559A">
      <w:pPr>
        <w:pStyle w:val="Textonotapie"/>
        <w:jc w:val="both"/>
        <w:rPr>
          <w:rFonts w:ascii="Century Gothic" w:hAnsi="Century Gothic"/>
          <w:i/>
          <w:iCs/>
        </w:rPr>
      </w:pPr>
      <w:r w:rsidRPr="00DC4BC3">
        <w:rPr>
          <w:rFonts w:ascii="Century Gothic" w:hAnsi="Century Gothic"/>
          <w:i/>
          <w:iCs/>
        </w:rPr>
        <w:t xml:space="preserve">  *Una vez aprobado el traslado de municipio de la familia y si la entidad financiera es la misma que operaba en el municipio de origen, los incentivos se siguen entregando por intermedio de esta entidad, en las mismas condiciones, sin requerir ningún trámite adicional. No obstante, debe tenerse en cuenta que el valor del incentivo se ajusta a los establecidos para el nuevo municipio de residencia.</w:t>
      </w:r>
    </w:p>
    <w:p w14:paraId="2DB1EF13" w14:textId="77777777" w:rsidR="002B0A97" w:rsidRPr="00DC4BC3" w:rsidRDefault="002B0A97" w:rsidP="003C559A">
      <w:pPr>
        <w:pStyle w:val="Textonotapie"/>
        <w:jc w:val="both"/>
        <w:rPr>
          <w:rFonts w:ascii="Century Gothic" w:hAnsi="Century Gothic"/>
          <w:i/>
          <w:iCs/>
        </w:rPr>
      </w:pPr>
    </w:p>
    <w:p w14:paraId="12C73EB6" w14:textId="6F6A03A3" w:rsidR="00A323FF" w:rsidRPr="00885C1E" w:rsidRDefault="00E66D1A" w:rsidP="003C559A">
      <w:pPr>
        <w:pStyle w:val="Textonotapie"/>
        <w:jc w:val="both"/>
        <w:rPr>
          <w:rFonts w:ascii="Century Gothic" w:hAnsi="Century Gothic"/>
          <w:i/>
          <w:iCs/>
          <w:sz w:val="16"/>
          <w:szCs w:val="16"/>
          <w:lang w:val="es-CO"/>
        </w:rPr>
      </w:pPr>
      <w:r w:rsidRPr="00DC4BC3">
        <w:rPr>
          <w:rFonts w:ascii="Century Gothic" w:hAnsi="Century Gothic"/>
          <w:i/>
          <w:iCs/>
        </w:rPr>
        <w:t xml:space="preserve">En los casos en que la entidad financiera sea diferente, la titular recibe los incentivos mediante giro a través de la entidad financiera que opera en el municipio de destino, mientras se realiza la </w:t>
      </w:r>
      <w:r w:rsidRPr="00DC4BC3">
        <w:rPr>
          <w:rFonts w:ascii="Century Gothic" w:hAnsi="Century Gothic"/>
          <w:i/>
          <w:iCs/>
        </w:rPr>
        <w:t>bancarización.”</w:t>
      </w:r>
    </w:p>
  </w:footnote>
  <w:footnote w:id="4">
    <w:p w14:paraId="35E3598F" w14:textId="77777777" w:rsidR="00E027FB" w:rsidRDefault="005739AC">
      <w:pPr>
        <w:pStyle w:val="Textonotapie"/>
        <w:rPr>
          <w:rFonts w:ascii="Century Gothic" w:hAnsi="Century Gothic"/>
          <w:lang w:val="es-CO"/>
        </w:rPr>
      </w:pPr>
      <w:r w:rsidRPr="002B0A97">
        <w:rPr>
          <w:rStyle w:val="Refdenotaalpie"/>
          <w:rFonts w:ascii="Century Gothic" w:hAnsi="Century Gothic"/>
        </w:rPr>
        <w:footnoteRef/>
      </w:r>
      <w:r w:rsidRPr="002B0A97">
        <w:rPr>
          <w:rFonts w:ascii="Century Gothic" w:hAnsi="Century Gothic"/>
        </w:rPr>
        <w:t xml:space="preserve"> </w:t>
      </w:r>
      <w:r w:rsidRPr="002B0A97">
        <w:rPr>
          <w:rFonts w:ascii="Century Gothic" w:hAnsi="Century Gothic"/>
          <w:lang w:val="es-CO"/>
        </w:rPr>
        <w:t>Sentencia T-480 de 2011</w:t>
      </w:r>
    </w:p>
    <w:p w14:paraId="47C4373A" w14:textId="26F8E7DA" w:rsidR="005739AC" w:rsidRPr="002B0A97" w:rsidRDefault="005739AC">
      <w:pPr>
        <w:pStyle w:val="Textonotapie"/>
        <w:rPr>
          <w:rFonts w:ascii="Century Gothic" w:hAnsi="Century Gothic"/>
          <w:lang w:val="es-CO"/>
        </w:rPr>
      </w:pPr>
      <w:r w:rsidRPr="002B0A97">
        <w:rPr>
          <w:rFonts w:ascii="Century Gothic" w:hAnsi="Century Gothic"/>
          <w:lang w:val="es-CO"/>
        </w:rPr>
        <w:t xml:space="preserve"> </w:t>
      </w:r>
    </w:p>
  </w:footnote>
  <w:footnote w:id="5">
    <w:p w14:paraId="4D877AF8" w14:textId="6DEF81BD" w:rsidR="005739AC" w:rsidRDefault="005739AC">
      <w:pPr>
        <w:pStyle w:val="Textonotapie"/>
        <w:rPr>
          <w:rFonts w:ascii="Century Gothic" w:hAnsi="Century Gothic"/>
          <w:lang w:val="es-CO"/>
        </w:rPr>
      </w:pPr>
      <w:r w:rsidRPr="002B0A97">
        <w:rPr>
          <w:rStyle w:val="Refdenotaalpie"/>
          <w:rFonts w:ascii="Century Gothic" w:hAnsi="Century Gothic"/>
        </w:rPr>
        <w:footnoteRef/>
      </w:r>
      <w:r w:rsidRPr="002B0A97">
        <w:rPr>
          <w:rFonts w:ascii="Century Gothic" w:hAnsi="Century Gothic"/>
        </w:rPr>
        <w:t xml:space="preserve"> Sentencia </w:t>
      </w:r>
      <w:r w:rsidRPr="002B0A97">
        <w:rPr>
          <w:rFonts w:ascii="Century Gothic" w:hAnsi="Century Gothic"/>
          <w:lang w:val="es-CO"/>
        </w:rPr>
        <w:t>T-580 de 2006</w:t>
      </w:r>
    </w:p>
    <w:p w14:paraId="185111BE" w14:textId="77777777" w:rsidR="00E027FB" w:rsidRPr="002B0A97" w:rsidRDefault="00E027FB">
      <w:pPr>
        <w:pStyle w:val="Textonotapie"/>
        <w:rPr>
          <w:rFonts w:ascii="Century Gothic" w:hAnsi="Century Gothic"/>
          <w:lang w:val="es-CO"/>
        </w:rPr>
      </w:pPr>
    </w:p>
  </w:footnote>
  <w:footnote w:id="6">
    <w:p w14:paraId="61856032" w14:textId="79227705" w:rsidR="005739AC" w:rsidRPr="002B0A97" w:rsidRDefault="005739AC">
      <w:pPr>
        <w:pStyle w:val="Textonotapie"/>
        <w:rPr>
          <w:rFonts w:ascii="Century Gothic" w:hAnsi="Century Gothic"/>
          <w:lang w:val="es-CO"/>
        </w:rPr>
      </w:pPr>
      <w:r w:rsidRPr="002B0A97">
        <w:rPr>
          <w:rStyle w:val="Refdenotaalpie"/>
          <w:rFonts w:ascii="Century Gothic" w:hAnsi="Century Gothic"/>
        </w:rPr>
        <w:footnoteRef/>
      </w:r>
      <w:r w:rsidRPr="002B0A97">
        <w:rPr>
          <w:rFonts w:ascii="Century Gothic" w:hAnsi="Century Gothic"/>
        </w:rPr>
        <w:t xml:space="preserve"> Sentencia </w:t>
      </w:r>
      <w:r w:rsidRPr="002B0A97">
        <w:rPr>
          <w:rFonts w:ascii="Century Gothic" w:hAnsi="Century Gothic"/>
          <w:lang w:val="es-CO"/>
        </w:rPr>
        <w:t>T-211 de 2009</w:t>
      </w:r>
    </w:p>
  </w:footnote>
  <w:footnote w:id="7">
    <w:p w14:paraId="54C851C7" w14:textId="77777777" w:rsidR="005739AC" w:rsidRPr="002B0A97" w:rsidRDefault="005739AC">
      <w:pPr>
        <w:pStyle w:val="Textonotapie"/>
        <w:rPr>
          <w:rFonts w:ascii="Century Gothic" w:hAnsi="Century Gothic"/>
          <w:lang w:val="es-CO"/>
        </w:rPr>
      </w:pPr>
      <w:r w:rsidRPr="002B0A97">
        <w:rPr>
          <w:rStyle w:val="Refdenotaalpie"/>
          <w:rFonts w:ascii="Century Gothic" w:hAnsi="Century Gothic"/>
        </w:rPr>
        <w:footnoteRef/>
      </w:r>
      <w:r w:rsidRPr="002B0A97">
        <w:rPr>
          <w:rFonts w:ascii="Century Gothic" w:hAnsi="Century Gothic"/>
        </w:rPr>
        <w:t xml:space="preserve"> Sentencia </w:t>
      </w:r>
      <w:r w:rsidRPr="002B0A97">
        <w:rPr>
          <w:rFonts w:ascii="Century Gothic" w:hAnsi="Century Gothic"/>
          <w:lang w:val="es-CO"/>
        </w:rPr>
        <w:t>T-009 de 2008</w:t>
      </w:r>
    </w:p>
  </w:footnote>
  <w:footnote w:id="8">
    <w:p w14:paraId="23F6238D" w14:textId="77777777" w:rsidR="005739AC" w:rsidRPr="00D911DA" w:rsidRDefault="005739AC">
      <w:pPr>
        <w:pStyle w:val="Textonotapie"/>
        <w:rPr>
          <w:lang w:val="es-CO"/>
        </w:rPr>
      </w:pPr>
      <w:r w:rsidRPr="002B0A97">
        <w:rPr>
          <w:rStyle w:val="Refdenotaalpie"/>
          <w:rFonts w:ascii="Century Gothic" w:hAnsi="Century Gothic"/>
        </w:rPr>
        <w:footnoteRef/>
      </w:r>
      <w:r w:rsidRPr="002B0A97">
        <w:rPr>
          <w:rFonts w:ascii="Century Gothic" w:hAnsi="Century Gothic"/>
        </w:rPr>
        <w:t xml:space="preserve"> </w:t>
      </w:r>
      <w:r w:rsidRPr="002B0A97">
        <w:rPr>
          <w:rFonts w:ascii="Century Gothic" w:hAnsi="Century Gothic"/>
          <w:lang w:val="es-CO"/>
        </w:rPr>
        <w:t>Ibidem</w:t>
      </w:r>
    </w:p>
  </w:footnote>
  <w:footnote w:id="9">
    <w:p w14:paraId="6F14B48E" w14:textId="791F34A8" w:rsidR="003A07BB" w:rsidRPr="002B0A97" w:rsidRDefault="003A07BB">
      <w:pPr>
        <w:pStyle w:val="Textonotapie"/>
        <w:rPr>
          <w:rFonts w:ascii="Century Gothic" w:hAnsi="Century Gothic"/>
          <w:lang w:val="es-419"/>
        </w:rPr>
      </w:pPr>
      <w:r w:rsidRPr="002B0A97">
        <w:rPr>
          <w:rStyle w:val="Refdenotaalpie"/>
          <w:rFonts w:ascii="Century Gothic" w:hAnsi="Century Gothic"/>
        </w:rPr>
        <w:footnoteRef/>
      </w:r>
      <w:r w:rsidRPr="002B0A97">
        <w:rPr>
          <w:rFonts w:ascii="Century Gothic" w:hAnsi="Century Gothic"/>
        </w:rPr>
        <w:t xml:space="preserve"> </w:t>
      </w:r>
      <w:r w:rsidR="0034640F" w:rsidRPr="002B0A97">
        <w:rPr>
          <w:rFonts w:ascii="Century Gothic" w:hAnsi="Century Gothic"/>
          <w:lang w:val="es-419"/>
        </w:rPr>
        <w:t>Sentencia T-131 de 2007. M.P. Humberto Sierra Porto</w:t>
      </w:r>
    </w:p>
  </w:footnote>
  <w:footnote w:id="10">
    <w:p w14:paraId="22BBE2E7" w14:textId="19B6FD34" w:rsidR="00CD3007" w:rsidRPr="00965DE6" w:rsidRDefault="0061343B" w:rsidP="00965DE6">
      <w:pPr>
        <w:pStyle w:val="Textonotapie"/>
        <w:jc w:val="both"/>
        <w:rPr>
          <w:rFonts w:ascii="Century Gothic" w:hAnsi="Century Gothic"/>
          <w:i/>
          <w:iCs/>
        </w:rPr>
      </w:pPr>
      <w:r w:rsidRPr="00965DE6">
        <w:rPr>
          <w:rStyle w:val="Refdenotaalpie"/>
          <w:rFonts w:ascii="Century Gothic" w:hAnsi="Century Gothic"/>
          <w:i/>
          <w:iCs/>
        </w:rPr>
        <w:footnoteRef/>
      </w:r>
      <w:r w:rsidR="00386C80" w:rsidRPr="00965DE6">
        <w:rPr>
          <w:rFonts w:ascii="Century Gothic" w:hAnsi="Century Gothic"/>
          <w:i/>
          <w:iCs/>
        </w:rPr>
        <w:t>T</w:t>
      </w:r>
      <w:r w:rsidR="00CD3007" w:rsidRPr="00965DE6">
        <w:rPr>
          <w:rFonts w:ascii="Century Gothic" w:hAnsi="Century Gothic"/>
          <w:i/>
          <w:iCs/>
        </w:rPr>
        <w:t xml:space="preserve">omado de </w:t>
      </w:r>
      <w:hyperlink r:id="rId1" w:history="1">
        <w:r w:rsidR="00CD3007" w:rsidRPr="00965DE6">
          <w:rPr>
            <w:rStyle w:val="Hipervnculo"/>
            <w:rFonts w:ascii="Century Gothic" w:hAnsi="Century Gothic"/>
            <w:i/>
            <w:iCs/>
          </w:rPr>
          <w:t>http://centrodedocumentacion.prosperidadsocial.gov.co/2020/Familias-en-Accion/%E2%80%8BGuias-Operativas/G-GI-TM-9-GUÍA-OPERATIVA-NOVEDADES-FA.pdf</w:t>
        </w:r>
      </w:hyperlink>
    </w:p>
    <w:p w14:paraId="2FAFA3F0" w14:textId="77777777" w:rsidR="00FB5737" w:rsidRPr="0061343B" w:rsidRDefault="00FB5737">
      <w:pPr>
        <w:pStyle w:val="Textonotapie"/>
        <w:rPr>
          <w:lang w:val="es-419"/>
        </w:rPr>
      </w:pPr>
    </w:p>
  </w:footnote>
  <w:footnote w:id="11">
    <w:p w14:paraId="6DBBBD3C" w14:textId="77777777" w:rsidR="002B0A97" w:rsidRPr="002B0A97" w:rsidRDefault="00504683" w:rsidP="00C36D46">
      <w:pPr>
        <w:pStyle w:val="Textonotapie"/>
        <w:jc w:val="both"/>
        <w:rPr>
          <w:rFonts w:ascii="Century Gothic" w:hAnsi="Century Gothic"/>
          <w:i/>
          <w:iCs/>
          <w:lang w:val="es-419"/>
        </w:rPr>
      </w:pPr>
      <w:r w:rsidRPr="002B0A97">
        <w:rPr>
          <w:rStyle w:val="Refdenotaalpie"/>
          <w:rFonts w:ascii="Century Gothic" w:hAnsi="Century Gothic"/>
          <w:i/>
          <w:iCs/>
        </w:rPr>
        <w:footnoteRef/>
      </w:r>
      <w:r w:rsidRPr="002B0A97">
        <w:rPr>
          <w:rFonts w:ascii="Century Gothic" w:hAnsi="Century Gothic"/>
          <w:i/>
          <w:iCs/>
        </w:rPr>
        <w:t xml:space="preserve"> </w:t>
      </w:r>
      <w:r w:rsidRPr="002B0A97">
        <w:rPr>
          <w:rFonts w:ascii="Century Gothic" w:hAnsi="Century Gothic"/>
          <w:i/>
          <w:iCs/>
          <w:lang w:val="es-419"/>
        </w:rPr>
        <w:t>En dicho oficio se le informó lo siguiente</w:t>
      </w:r>
      <w:r w:rsidR="00C36D46" w:rsidRPr="002B0A97">
        <w:rPr>
          <w:rFonts w:ascii="Century Gothic" w:hAnsi="Century Gothic"/>
          <w:i/>
          <w:iCs/>
          <w:lang w:val="es-419"/>
        </w:rPr>
        <w:t xml:space="preserve">: </w:t>
      </w:r>
    </w:p>
    <w:p w14:paraId="7A610BBF" w14:textId="77777777" w:rsidR="002B0A97" w:rsidRPr="002B0A97" w:rsidRDefault="002B0A97" w:rsidP="00C36D46">
      <w:pPr>
        <w:pStyle w:val="Textonotapie"/>
        <w:jc w:val="both"/>
        <w:rPr>
          <w:rFonts w:ascii="Century Gothic" w:hAnsi="Century Gothic"/>
          <w:i/>
          <w:iCs/>
          <w:lang w:val="es-419"/>
        </w:rPr>
      </w:pPr>
    </w:p>
    <w:p w14:paraId="11382B75" w14:textId="780C906D" w:rsidR="001D0232" w:rsidRPr="002B0A97" w:rsidRDefault="00C36D46" w:rsidP="00C36D46">
      <w:pPr>
        <w:pStyle w:val="Textonotapie"/>
        <w:jc w:val="both"/>
        <w:rPr>
          <w:rFonts w:ascii="Century Gothic" w:hAnsi="Century Gothic"/>
          <w:i/>
          <w:iCs/>
          <w:lang w:val="es-419"/>
        </w:rPr>
      </w:pPr>
      <w:r w:rsidRPr="002B0A97">
        <w:rPr>
          <w:rFonts w:ascii="Century Gothic" w:hAnsi="Century Gothic"/>
          <w:i/>
          <w:iCs/>
          <w:lang w:val="es-419"/>
        </w:rPr>
        <w:t>“(…)</w:t>
      </w:r>
      <w:r w:rsidR="00504683" w:rsidRPr="002B0A97">
        <w:rPr>
          <w:rFonts w:ascii="Century Gothic" w:hAnsi="Century Gothic"/>
          <w:i/>
          <w:iCs/>
          <w:lang w:val="es-419"/>
        </w:rPr>
        <w:t xml:space="preserve"> </w:t>
      </w:r>
      <w:r w:rsidR="001D0232" w:rsidRPr="002B0A97">
        <w:rPr>
          <w:rFonts w:ascii="Century Gothic" w:hAnsi="Century Gothic"/>
          <w:i/>
          <w:iCs/>
          <w:lang w:val="es-419"/>
        </w:rPr>
        <w:t>Por lo anteriormente expuesto y como quiera que no es actualmente viable dirigirse a ningún punto de atención del Programa Familias en Acción, ya que dentro del marco del Estado de Emergencia Económica, Social y Ecológica en todo el territorio nacional, se deben atender las recomendaciones emitidas por el gobierno colombiano debido a la expansión de la pandemia COVID-19; el Programa Familias en Acción de la Dirección de Transferencias Monetarias Condicionadas de Prosperidad Social, modificó la atención al público mientras se supera la emergencia generada por el virus en el país.</w:t>
      </w:r>
    </w:p>
    <w:p w14:paraId="150D911F" w14:textId="77777777" w:rsidR="002B0A97" w:rsidRPr="002B0A97" w:rsidRDefault="002B0A97" w:rsidP="00C36D46">
      <w:pPr>
        <w:pStyle w:val="Textonotapie"/>
        <w:jc w:val="both"/>
        <w:rPr>
          <w:rFonts w:ascii="Century Gothic" w:hAnsi="Century Gothic"/>
          <w:i/>
          <w:iCs/>
          <w:lang w:val="es-419"/>
        </w:rPr>
      </w:pPr>
    </w:p>
    <w:p w14:paraId="58988DA8" w14:textId="11F12DAD" w:rsidR="00504683" w:rsidRPr="002B0A97" w:rsidRDefault="001D0232" w:rsidP="00C36D46">
      <w:pPr>
        <w:pStyle w:val="Textonotapie"/>
        <w:jc w:val="both"/>
        <w:rPr>
          <w:rFonts w:ascii="Century Gothic" w:hAnsi="Century Gothic"/>
          <w:i/>
          <w:iCs/>
          <w:lang w:val="es-419"/>
        </w:rPr>
      </w:pPr>
      <w:r w:rsidRPr="002B0A97">
        <w:rPr>
          <w:rFonts w:ascii="Century Gothic" w:hAnsi="Century Gothic"/>
          <w:i/>
          <w:iCs/>
          <w:lang w:val="es-419"/>
        </w:rPr>
        <w:t>Por lo precedente, podrá remitir su solicitud de TRASLADO DE MUNICIPIO de la ciudad de Palmira, Valle del Cauca, a la ciudad de Bogotá, al correo electrónico: novedades.bogota.fa@prosperidadsocial.gov.co, a fin de registrar la novedad solicitada y una vez quede aplicada en el Sistema de Información del Programa Familias en Acción -SIFA, serán liquidadas y entregadas las transferencias en la ciudad donde actualmente está domiciliada. (...)”</w:t>
      </w:r>
    </w:p>
    <w:p w14:paraId="7E9A2F62" w14:textId="77777777" w:rsidR="00606E4D" w:rsidRPr="00504683" w:rsidRDefault="00606E4D" w:rsidP="00C36D46">
      <w:pPr>
        <w:pStyle w:val="Textonotapie"/>
        <w:jc w:val="both"/>
        <w:rPr>
          <w:lang w:val="es-419"/>
        </w:rPr>
      </w:pPr>
    </w:p>
  </w:footnote>
  <w:footnote w:id="12">
    <w:p w14:paraId="11015F31" w14:textId="0BECE261" w:rsidR="00132B47" w:rsidRPr="00132B47" w:rsidRDefault="006C0BF9" w:rsidP="004147AA">
      <w:pPr>
        <w:pStyle w:val="Textonotapie"/>
        <w:jc w:val="both"/>
        <w:rPr>
          <w:rFonts w:ascii="Century Gothic" w:hAnsi="Century Gothic"/>
          <w:sz w:val="16"/>
          <w:szCs w:val="16"/>
        </w:rPr>
      </w:pPr>
      <w:r w:rsidRPr="00132B47">
        <w:rPr>
          <w:rStyle w:val="Refdenotaalpie"/>
          <w:rFonts w:ascii="Century Gothic" w:hAnsi="Century Gothic"/>
          <w:sz w:val="16"/>
          <w:szCs w:val="16"/>
        </w:rPr>
        <w:footnoteRef/>
      </w:r>
      <w:r w:rsidRPr="00132B47">
        <w:rPr>
          <w:rFonts w:ascii="Century Gothic" w:hAnsi="Century Gothic"/>
          <w:sz w:val="16"/>
          <w:szCs w:val="16"/>
        </w:rPr>
        <w:t xml:space="preserve"> </w:t>
      </w:r>
      <w:hyperlink r:id="rId2" w:history="1">
        <w:r w:rsidR="00132B47" w:rsidRPr="00132B47">
          <w:rPr>
            <w:rStyle w:val="Hipervnculo"/>
            <w:rFonts w:ascii="Century Gothic" w:hAnsi="Century Gothic"/>
            <w:sz w:val="16"/>
            <w:szCs w:val="16"/>
          </w:rPr>
          <w:t>Notificaciones.Juridica@prosperidadsocial.gov.co</w:t>
        </w:r>
      </w:hyperlink>
      <w:r w:rsidR="00132B47" w:rsidRPr="00132B47">
        <w:rPr>
          <w:rFonts w:ascii="Century Gothic" w:hAnsi="Century Gothic"/>
          <w:sz w:val="16"/>
          <w:szCs w:val="16"/>
        </w:rPr>
        <w:t>.</w:t>
      </w:r>
    </w:p>
    <w:p w14:paraId="4C27E034" w14:textId="1D3B8F9E" w:rsidR="006C0BF9" w:rsidRPr="0017283D" w:rsidRDefault="006C0BF9" w:rsidP="004147AA">
      <w:pPr>
        <w:pStyle w:val="Textonotapie"/>
        <w:jc w:val="both"/>
        <w:rPr>
          <w:rFonts w:ascii="Century Gothic" w:hAnsi="Century Gothic"/>
          <w:sz w:val="16"/>
          <w:szCs w:val="16"/>
          <w:lang w:val="es-419"/>
        </w:rPr>
      </w:pPr>
      <w:r w:rsidRPr="0017283D">
        <w:rPr>
          <w:rFonts w:ascii="Century Gothic" w:hAnsi="Century Gothic"/>
          <w:sz w:val="16"/>
          <w:szCs w:val="16"/>
          <w:lang w:val="es-419"/>
        </w:rPr>
        <w:t xml:space="preserve">Resolución No. 2587 del 30 de octubre de 2018 modificada por la Resolución No. 00743 del 1 de abril de 2019. </w:t>
      </w:r>
      <w:r w:rsidR="004147AA" w:rsidRPr="004147AA">
        <w:rPr>
          <w:rFonts w:ascii="Century Gothic" w:hAnsi="Century Gothic"/>
          <w:sz w:val="16"/>
          <w:szCs w:val="16"/>
          <w:lang w:val="es-419"/>
        </w:rPr>
        <w:t>“Por la cual se delega el cumplimiento de las órdenes judiciales proferidas en contra del Departamento Administrativo para la Prosperidad Social dentro de las acciones constitucionales, así como en los fallos expedidos en el marco del proceso de restitución de tierras regulado por la Ley 1448 de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E99FA" w14:textId="77777777" w:rsidR="00BB329C" w:rsidRPr="00673541" w:rsidRDefault="000B1CC3" w:rsidP="00BB329C">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Expediente No. AT 2020-000</w:t>
    </w:r>
    <w:r>
      <w:rPr>
        <w:rFonts w:ascii="Century Gothic" w:eastAsiaTheme="minorHAnsi" w:hAnsi="Century Gothic" w:cs="Tahoma"/>
        <w:i/>
        <w:sz w:val="20"/>
        <w:szCs w:val="20"/>
        <w:lang w:val="es-MX" w:eastAsia="en-US"/>
      </w:rPr>
      <w:t>93</w:t>
    </w:r>
  </w:p>
  <w:p w14:paraId="2775C751" w14:textId="77777777" w:rsidR="00BB329C" w:rsidRPr="00673541" w:rsidRDefault="000B1CC3" w:rsidP="00BB329C">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 Sentencia de tutel</w:t>
    </w:r>
    <w:r>
      <w:rPr>
        <w:rFonts w:ascii="Century Gothic" w:eastAsiaTheme="minorHAnsi" w:hAnsi="Century Gothic" w:cs="Tahoma"/>
        <w:i/>
        <w:sz w:val="20"/>
        <w:szCs w:val="20"/>
        <w:lang w:val="es-MX" w:eastAsia="en-US"/>
      </w:rPr>
      <w:t>a</w:t>
    </w:r>
  </w:p>
  <w:p w14:paraId="6C6C2A71" w14:textId="77777777" w:rsidR="00BB329C" w:rsidRPr="00673541" w:rsidRDefault="000B1CC3" w:rsidP="00BB329C">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Páginas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PAGE </w:instrText>
    </w:r>
    <w:r w:rsidRPr="00673541">
      <w:rPr>
        <w:rFonts w:ascii="Century Gothic" w:eastAsiaTheme="minorHAnsi" w:hAnsi="Century Gothic" w:cs="Tahoma"/>
        <w:i/>
        <w:sz w:val="20"/>
        <w:szCs w:val="20"/>
        <w:lang w:eastAsia="en-US"/>
      </w:rPr>
      <w:fldChar w:fldCharType="separate"/>
    </w:r>
    <w:r w:rsidRPr="00673541">
      <w:rPr>
        <w:rFonts w:ascii="Century Gothic" w:eastAsiaTheme="minorHAnsi" w:hAnsi="Century Gothic" w:cs="Tahoma"/>
        <w:i/>
        <w:sz w:val="20"/>
        <w:szCs w:val="20"/>
        <w:lang w:eastAsia="en-US"/>
      </w:rPr>
      <w:t>2</w:t>
    </w:r>
    <w:r w:rsidRPr="00673541">
      <w:rPr>
        <w:rFonts w:ascii="Century Gothic" w:eastAsiaTheme="minorHAnsi" w:hAnsi="Century Gothic" w:cs="Tahoma"/>
        <w:i/>
        <w:sz w:val="20"/>
        <w:szCs w:val="20"/>
        <w:lang w:eastAsia="en-US"/>
      </w:rPr>
      <w:fldChar w:fldCharType="end"/>
    </w:r>
    <w:r w:rsidRPr="00673541">
      <w:rPr>
        <w:rFonts w:ascii="Century Gothic" w:eastAsiaTheme="minorHAnsi" w:hAnsi="Century Gothic" w:cs="Tahoma"/>
        <w:i/>
        <w:sz w:val="20"/>
        <w:szCs w:val="20"/>
        <w:lang w:eastAsia="en-US"/>
      </w:rPr>
      <w:t xml:space="preserve"> de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NUMPAGES </w:instrText>
    </w:r>
    <w:r w:rsidRPr="00673541">
      <w:rPr>
        <w:rFonts w:ascii="Century Gothic" w:eastAsiaTheme="minorHAnsi" w:hAnsi="Century Gothic" w:cs="Tahoma"/>
        <w:i/>
        <w:sz w:val="20"/>
        <w:szCs w:val="20"/>
        <w:lang w:eastAsia="en-US"/>
      </w:rPr>
      <w:fldChar w:fldCharType="separate"/>
    </w:r>
    <w:r w:rsidRPr="00673541">
      <w:rPr>
        <w:rFonts w:ascii="Century Gothic" w:eastAsiaTheme="minorHAnsi" w:hAnsi="Century Gothic" w:cs="Tahoma"/>
        <w:i/>
        <w:sz w:val="20"/>
        <w:szCs w:val="20"/>
        <w:lang w:eastAsia="en-US"/>
      </w:rPr>
      <w:t>2</w:t>
    </w:r>
    <w:r w:rsidRPr="00673541">
      <w:rPr>
        <w:rFonts w:ascii="Century Gothic" w:eastAsiaTheme="minorHAnsi" w:hAnsi="Century Gothic" w:cs="Tahoma"/>
        <w:i/>
        <w:sz w:val="20"/>
        <w:szCs w:val="20"/>
        <w:lang w:eastAsia="en-US"/>
      </w:rPr>
      <w:fldChar w:fldCharType="end"/>
    </w:r>
  </w:p>
  <w:p w14:paraId="0CA51DDA" w14:textId="77777777" w:rsidR="00BB329C" w:rsidRDefault="00A805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143B" w14:textId="77777777" w:rsidR="00BB329C" w:rsidRPr="002F1FF0" w:rsidRDefault="000B1CC3" w:rsidP="00BB329C">
    <w:pPr>
      <w:tabs>
        <w:tab w:val="center" w:pos="4419"/>
        <w:tab w:val="right" w:pos="8838"/>
      </w:tabs>
      <w:jc w:val="center"/>
      <w:rPr>
        <w:rFonts w:ascii="Tahoma" w:eastAsiaTheme="minorHAnsi" w:hAnsi="Tahoma" w:cs="Tahoma"/>
        <w:b/>
        <w:i/>
        <w:sz w:val="16"/>
        <w:szCs w:val="16"/>
        <w:lang w:eastAsia="en-US"/>
      </w:rPr>
    </w:pPr>
    <w:r w:rsidRPr="002F1FF0">
      <w:rPr>
        <w:rFonts w:ascii="Tahoma" w:eastAsiaTheme="minorHAnsi" w:hAnsi="Tahoma" w:cs="Tahoma"/>
        <w:b/>
        <w:i/>
        <w:noProof/>
        <w:sz w:val="16"/>
        <w:szCs w:val="16"/>
        <w:lang w:val="es-ES"/>
      </w:rPr>
      <w:drawing>
        <wp:inline distT="0" distB="0" distL="0" distR="0" wp14:anchorId="3033FA3B" wp14:editId="55136EAB">
          <wp:extent cx="661670" cy="641350"/>
          <wp:effectExtent l="0" t="0" r="5080" b="635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41350"/>
                  </a:xfrm>
                  <a:prstGeom prst="rect">
                    <a:avLst/>
                  </a:prstGeom>
                  <a:noFill/>
                  <a:ln>
                    <a:noFill/>
                  </a:ln>
                </pic:spPr>
              </pic:pic>
            </a:graphicData>
          </a:graphic>
        </wp:inline>
      </w:drawing>
    </w:r>
  </w:p>
  <w:p w14:paraId="723FD55A" w14:textId="77777777" w:rsidR="00BB329C" w:rsidRPr="00C603AA" w:rsidRDefault="000B1CC3" w:rsidP="00BB329C">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JUZGADO TREINTA Y CUATRO ADMINISTRATIVO</w:t>
    </w:r>
  </w:p>
  <w:p w14:paraId="15E8C732" w14:textId="77777777" w:rsidR="00BB329C" w:rsidRPr="00C603AA" w:rsidRDefault="000B1CC3" w:rsidP="00BB329C">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ORAL DEL CIRCUITO DE BOGOTÁ</w:t>
    </w:r>
  </w:p>
  <w:p w14:paraId="1E2E996A" w14:textId="77777777" w:rsidR="00BB329C" w:rsidRPr="00C603AA" w:rsidRDefault="000B1CC3" w:rsidP="00BB329C">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Sección Tercera</w:t>
    </w:r>
  </w:p>
  <w:p w14:paraId="7CC03F96" w14:textId="77777777" w:rsidR="00BB329C" w:rsidRDefault="00A805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57CEC"/>
    <w:multiLevelType w:val="hybridMultilevel"/>
    <w:tmpl w:val="E320C2AE"/>
    <w:lvl w:ilvl="0" w:tplc="04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2D5429DB"/>
    <w:multiLevelType w:val="hybridMultilevel"/>
    <w:tmpl w:val="F9F4C6EA"/>
    <w:lvl w:ilvl="0" w:tplc="FFFFFFF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74"/>
    <w:rsid w:val="00010BE3"/>
    <w:rsid w:val="0002120A"/>
    <w:rsid w:val="00025C23"/>
    <w:rsid w:val="0003115F"/>
    <w:rsid w:val="00034545"/>
    <w:rsid w:val="00041D31"/>
    <w:rsid w:val="00055D19"/>
    <w:rsid w:val="00065290"/>
    <w:rsid w:val="00072A10"/>
    <w:rsid w:val="0008623F"/>
    <w:rsid w:val="00087120"/>
    <w:rsid w:val="000A1B33"/>
    <w:rsid w:val="000B1CC3"/>
    <w:rsid w:val="000B7B94"/>
    <w:rsid w:val="000C2619"/>
    <w:rsid w:val="000C3925"/>
    <w:rsid w:val="000E71C1"/>
    <w:rsid w:val="000F6028"/>
    <w:rsid w:val="00101785"/>
    <w:rsid w:val="00116B81"/>
    <w:rsid w:val="00132B47"/>
    <w:rsid w:val="00153459"/>
    <w:rsid w:val="001658B5"/>
    <w:rsid w:val="00166732"/>
    <w:rsid w:val="0017283D"/>
    <w:rsid w:val="001762EA"/>
    <w:rsid w:val="00180F42"/>
    <w:rsid w:val="00191A8B"/>
    <w:rsid w:val="001941A7"/>
    <w:rsid w:val="001B4EEA"/>
    <w:rsid w:val="001D0232"/>
    <w:rsid w:val="001D4F5B"/>
    <w:rsid w:val="001D56D4"/>
    <w:rsid w:val="001E23BB"/>
    <w:rsid w:val="001E51B1"/>
    <w:rsid w:val="00201BB6"/>
    <w:rsid w:val="002117D2"/>
    <w:rsid w:val="002209B4"/>
    <w:rsid w:val="00221F4E"/>
    <w:rsid w:val="00236265"/>
    <w:rsid w:val="00243BD4"/>
    <w:rsid w:val="00250777"/>
    <w:rsid w:val="002550DA"/>
    <w:rsid w:val="00260B53"/>
    <w:rsid w:val="00263541"/>
    <w:rsid w:val="00283767"/>
    <w:rsid w:val="002863ED"/>
    <w:rsid w:val="002963FB"/>
    <w:rsid w:val="00297124"/>
    <w:rsid w:val="00297464"/>
    <w:rsid w:val="002A151A"/>
    <w:rsid w:val="002A294C"/>
    <w:rsid w:val="002A704C"/>
    <w:rsid w:val="002B0A15"/>
    <w:rsid w:val="002B0A97"/>
    <w:rsid w:val="002B16C0"/>
    <w:rsid w:val="002C27CF"/>
    <w:rsid w:val="002C7E56"/>
    <w:rsid w:val="002D61C5"/>
    <w:rsid w:val="002E0888"/>
    <w:rsid w:val="002F3436"/>
    <w:rsid w:val="002F64FD"/>
    <w:rsid w:val="002F7B2A"/>
    <w:rsid w:val="003054B4"/>
    <w:rsid w:val="00314ED7"/>
    <w:rsid w:val="0031736D"/>
    <w:rsid w:val="00320715"/>
    <w:rsid w:val="00323627"/>
    <w:rsid w:val="003266F4"/>
    <w:rsid w:val="00341DFB"/>
    <w:rsid w:val="0034640F"/>
    <w:rsid w:val="00350F9E"/>
    <w:rsid w:val="00371044"/>
    <w:rsid w:val="003757D3"/>
    <w:rsid w:val="0037664E"/>
    <w:rsid w:val="00383239"/>
    <w:rsid w:val="003836BA"/>
    <w:rsid w:val="00386C80"/>
    <w:rsid w:val="00392504"/>
    <w:rsid w:val="003A023E"/>
    <w:rsid w:val="003A07BB"/>
    <w:rsid w:val="003A2B16"/>
    <w:rsid w:val="003B1BC2"/>
    <w:rsid w:val="003B34D5"/>
    <w:rsid w:val="003C2869"/>
    <w:rsid w:val="003C4CA7"/>
    <w:rsid w:val="003C559A"/>
    <w:rsid w:val="003D18D5"/>
    <w:rsid w:val="003F62C8"/>
    <w:rsid w:val="004053AA"/>
    <w:rsid w:val="00405E72"/>
    <w:rsid w:val="004100AE"/>
    <w:rsid w:val="00412996"/>
    <w:rsid w:val="004147AA"/>
    <w:rsid w:val="0042224D"/>
    <w:rsid w:val="004236F8"/>
    <w:rsid w:val="00427174"/>
    <w:rsid w:val="00430B1E"/>
    <w:rsid w:val="0045332D"/>
    <w:rsid w:val="00465820"/>
    <w:rsid w:val="004850BF"/>
    <w:rsid w:val="00485373"/>
    <w:rsid w:val="00490094"/>
    <w:rsid w:val="004957C3"/>
    <w:rsid w:val="004B3C04"/>
    <w:rsid w:val="004C0599"/>
    <w:rsid w:val="004C1F89"/>
    <w:rsid w:val="004C63E3"/>
    <w:rsid w:val="004D4277"/>
    <w:rsid w:val="004F5A3D"/>
    <w:rsid w:val="004F62AD"/>
    <w:rsid w:val="00504216"/>
    <w:rsid w:val="00504683"/>
    <w:rsid w:val="0051276B"/>
    <w:rsid w:val="00523B34"/>
    <w:rsid w:val="00531C7D"/>
    <w:rsid w:val="005349E7"/>
    <w:rsid w:val="0053742D"/>
    <w:rsid w:val="0053763E"/>
    <w:rsid w:val="00537A75"/>
    <w:rsid w:val="00544B54"/>
    <w:rsid w:val="00552568"/>
    <w:rsid w:val="0056387C"/>
    <w:rsid w:val="00564095"/>
    <w:rsid w:val="005669EB"/>
    <w:rsid w:val="005739AC"/>
    <w:rsid w:val="00577B65"/>
    <w:rsid w:val="00586714"/>
    <w:rsid w:val="00596C3F"/>
    <w:rsid w:val="005A2EE4"/>
    <w:rsid w:val="005B4DEC"/>
    <w:rsid w:val="005B64E8"/>
    <w:rsid w:val="005C36BD"/>
    <w:rsid w:val="005C48CA"/>
    <w:rsid w:val="005D3968"/>
    <w:rsid w:val="005F1F71"/>
    <w:rsid w:val="005F49B4"/>
    <w:rsid w:val="005F69BA"/>
    <w:rsid w:val="00601BBC"/>
    <w:rsid w:val="0060424F"/>
    <w:rsid w:val="00604C4C"/>
    <w:rsid w:val="00606E4D"/>
    <w:rsid w:val="00613118"/>
    <w:rsid w:val="0061343B"/>
    <w:rsid w:val="00634E96"/>
    <w:rsid w:val="00641F14"/>
    <w:rsid w:val="00642C33"/>
    <w:rsid w:val="006527A3"/>
    <w:rsid w:val="00657D62"/>
    <w:rsid w:val="00661423"/>
    <w:rsid w:val="006757BE"/>
    <w:rsid w:val="00682BBF"/>
    <w:rsid w:val="00684D57"/>
    <w:rsid w:val="0069179A"/>
    <w:rsid w:val="00697CB7"/>
    <w:rsid w:val="006A1475"/>
    <w:rsid w:val="006A1FB9"/>
    <w:rsid w:val="006A2732"/>
    <w:rsid w:val="006A395F"/>
    <w:rsid w:val="006A469A"/>
    <w:rsid w:val="006B3AD2"/>
    <w:rsid w:val="006B5F98"/>
    <w:rsid w:val="006C0BF9"/>
    <w:rsid w:val="006D03CB"/>
    <w:rsid w:val="006D4274"/>
    <w:rsid w:val="006E7D20"/>
    <w:rsid w:val="006F2AF2"/>
    <w:rsid w:val="006F4807"/>
    <w:rsid w:val="00702DC4"/>
    <w:rsid w:val="00704067"/>
    <w:rsid w:val="00705B1E"/>
    <w:rsid w:val="00723CAA"/>
    <w:rsid w:val="00735831"/>
    <w:rsid w:val="00740067"/>
    <w:rsid w:val="00747589"/>
    <w:rsid w:val="00793398"/>
    <w:rsid w:val="007942E8"/>
    <w:rsid w:val="00795EAD"/>
    <w:rsid w:val="007A2246"/>
    <w:rsid w:val="007A3ECB"/>
    <w:rsid w:val="007A463D"/>
    <w:rsid w:val="007B2DEA"/>
    <w:rsid w:val="007B3E40"/>
    <w:rsid w:val="007D1C05"/>
    <w:rsid w:val="007E099A"/>
    <w:rsid w:val="0080001B"/>
    <w:rsid w:val="008040BE"/>
    <w:rsid w:val="00820A87"/>
    <w:rsid w:val="008320A0"/>
    <w:rsid w:val="0083395D"/>
    <w:rsid w:val="00843068"/>
    <w:rsid w:val="00844E13"/>
    <w:rsid w:val="00851685"/>
    <w:rsid w:val="00852475"/>
    <w:rsid w:val="00885C1E"/>
    <w:rsid w:val="00892478"/>
    <w:rsid w:val="008C0BF4"/>
    <w:rsid w:val="008E0D3C"/>
    <w:rsid w:val="008F3A9D"/>
    <w:rsid w:val="008F6152"/>
    <w:rsid w:val="00906F64"/>
    <w:rsid w:val="00917FDC"/>
    <w:rsid w:val="00924431"/>
    <w:rsid w:val="0093528A"/>
    <w:rsid w:val="00936560"/>
    <w:rsid w:val="00944EE2"/>
    <w:rsid w:val="00956FF9"/>
    <w:rsid w:val="00965DE6"/>
    <w:rsid w:val="009672EC"/>
    <w:rsid w:val="00973E68"/>
    <w:rsid w:val="00974F3A"/>
    <w:rsid w:val="009854CE"/>
    <w:rsid w:val="009875EE"/>
    <w:rsid w:val="00990D26"/>
    <w:rsid w:val="00992B14"/>
    <w:rsid w:val="00992CE8"/>
    <w:rsid w:val="009A7DA7"/>
    <w:rsid w:val="009B014A"/>
    <w:rsid w:val="009B093D"/>
    <w:rsid w:val="009B1F85"/>
    <w:rsid w:val="009B201A"/>
    <w:rsid w:val="009B5BB8"/>
    <w:rsid w:val="009D1F7D"/>
    <w:rsid w:val="009D6FBD"/>
    <w:rsid w:val="009E00F3"/>
    <w:rsid w:val="009E0D8F"/>
    <w:rsid w:val="009F4752"/>
    <w:rsid w:val="00A005BA"/>
    <w:rsid w:val="00A0106E"/>
    <w:rsid w:val="00A04C4D"/>
    <w:rsid w:val="00A07BCA"/>
    <w:rsid w:val="00A27D3D"/>
    <w:rsid w:val="00A323FF"/>
    <w:rsid w:val="00A3244C"/>
    <w:rsid w:val="00A34C5C"/>
    <w:rsid w:val="00A3789A"/>
    <w:rsid w:val="00A553D3"/>
    <w:rsid w:val="00A60AD6"/>
    <w:rsid w:val="00A67585"/>
    <w:rsid w:val="00A8056B"/>
    <w:rsid w:val="00A81B65"/>
    <w:rsid w:val="00A8438F"/>
    <w:rsid w:val="00A85709"/>
    <w:rsid w:val="00A87D71"/>
    <w:rsid w:val="00A92D3C"/>
    <w:rsid w:val="00AA083E"/>
    <w:rsid w:val="00AB115B"/>
    <w:rsid w:val="00AC3D5A"/>
    <w:rsid w:val="00AD33D3"/>
    <w:rsid w:val="00AF3E04"/>
    <w:rsid w:val="00B01255"/>
    <w:rsid w:val="00B10D76"/>
    <w:rsid w:val="00B13A4B"/>
    <w:rsid w:val="00B154E8"/>
    <w:rsid w:val="00B164DD"/>
    <w:rsid w:val="00B528E9"/>
    <w:rsid w:val="00B546EC"/>
    <w:rsid w:val="00B559DA"/>
    <w:rsid w:val="00B64486"/>
    <w:rsid w:val="00B6560F"/>
    <w:rsid w:val="00B66C05"/>
    <w:rsid w:val="00B77DF0"/>
    <w:rsid w:val="00B83B8D"/>
    <w:rsid w:val="00BA67F6"/>
    <w:rsid w:val="00BC49BB"/>
    <w:rsid w:val="00BD56AA"/>
    <w:rsid w:val="00BE7DA4"/>
    <w:rsid w:val="00BE7EDA"/>
    <w:rsid w:val="00BF24D0"/>
    <w:rsid w:val="00C016FA"/>
    <w:rsid w:val="00C02D26"/>
    <w:rsid w:val="00C07215"/>
    <w:rsid w:val="00C1258F"/>
    <w:rsid w:val="00C22193"/>
    <w:rsid w:val="00C351D5"/>
    <w:rsid w:val="00C358E7"/>
    <w:rsid w:val="00C36D46"/>
    <w:rsid w:val="00C53B6A"/>
    <w:rsid w:val="00C6257F"/>
    <w:rsid w:val="00C6271C"/>
    <w:rsid w:val="00C77BE4"/>
    <w:rsid w:val="00C809DE"/>
    <w:rsid w:val="00C8166E"/>
    <w:rsid w:val="00C83415"/>
    <w:rsid w:val="00C933D0"/>
    <w:rsid w:val="00CB6D3F"/>
    <w:rsid w:val="00CC0732"/>
    <w:rsid w:val="00CC5BD4"/>
    <w:rsid w:val="00CC5EF1"/>
    <w:rsid w:val="00CC6800"/>
    <w:rsid w:val="00CD2E03"/>
    <w:rsid w:val="00CD3007"/>
    <w:rsid w:val="00CE16E5"/>
    <w:rsid w:val="00CF4710"/>
    <w:rsid w:val="00D00041"/>
    <w:rsid w:val="00D0222F"/>
    <w:rsid w:val="00D07150"/>
    <w:rsid w:val="00D14C1A"/>
    <w:rsid w:val="00D278A3"/>
    <w:rsid w:val="00D439F7"/>
    <w:rsid w:val="00D55CC5"/>
    <w:rsid w:val="00D57148"/>
    <w:rsid w:val="00D678BA"/>
    <w:rsid w:val="00D740DC"/>
    <w:rsid w:val="00D76150"/>
    <w:rsid w:val="00D9535F"/>
    <w:rsid w:val="00DB3CC1"/>
    <w:rsid w:val="00DC2348"/>
    <w:rsid w:val="00DC4BC3"/>
    <w:rsid w:val="00DE7201"/>
    <w:rsid w:val="00DF043F"/>
    <w:rsid w:val="00DF3153"/>
    <w:rsid w:val="00E027FB"/>
    <w:rsid w:val="00E10810"/>
    <w:rsid w:val="00E174A4"/>
    <w:rsid w:val="00E20D03"/>
    <w:rsid w:val="00E21B3D"/>
    <w:rsid w:val="00E33C02"/>
    <w:rsid w:val="00E34121"/>
    <w:rsid w:val="00E4369D"/>
    <w:rsid w:val="00E64184"/>
    <w:rsid w:val="00E64F82"/>
    <w:rsid w:val="00E65FE9"/>
    <w:rsid w:val="00E66D1A"/>
    <w:rsid w:val="00E71880"/>
    <w:rsid w:val="00E800DB"/>
    <w:rsid w:val="00E91F7C"/>
    <w:rsid w:val="00E93C0A"/>
    <w:rsid w:val="00E97686"/>
    <w:rsid w:val="00EA3564"/>
    <w:rsid w:val="00EA4634"/>
    <w:rsid w:val="00EB1E8C"/>
    <w:rsid w:val="00EC467C"/>
    <w:rsid w:val="00EC648A"/>
    <w:rsid w:val="00EE16B0"/>
    <w:rsid w:val="00EE2117"/>
    <w:rsid w:val="00EE51DB"/>
    <w:rsid w:val="00F01252"/>
    <w:rsid w:val="00F031B7"/>
    <w:rsid w:val="00F0648C"/>
    <w:rsid w:val="00F13774"/>
    <w:rsid w:val="00F20EE4"/>
    <w:rsid w:val="00F21383"/>
    <w:rsid w:val="00F31097"/>
    <w:rsid w:val="00F319C4"/>
    <w:rsid w:val="00F34DBB"/>
    <w:rsid w:val="00F42D9E"/>
    <w:rsid w:val="00F46539"/>
    <w:rsid w:val="00F53958"/>
    <w:rsid w:val="00F660EE"/>
    <w:rsid w:val="00F70805"/>
    <w:rsid w:val="00F76B20"/>
    <w:rsid w:val="00F92D62"/>
    <w:rsid w:val="00F96903"/>
    <w:rsid w:val="00FA5FA0"/>
    <w:rsid w:val="00FB19F8"/>
    <w:rsid w:val="00FB5737"/>
    <w:rsid w:val="00FC1CBD"/>
    <w:rsid w:val="00FC2CCA"/>
    <w:rsid w:val="00FC5F60"/>
    <w:rsid w:val="00FF4D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28AD"/>
  <w15:chartTrackingRefBased/>
  <w15:docId w15:val="{C6E83BB6-2DFD-F74F-A9E9-4E3762B5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13774"/>
    <w:pPr>
      <w:spacing w:after="120"/>
    </w:pPr>
    <w:rPr>
      <w:rFonts w:ascii="Arial" w:eastAsia="Times New Roman" w:hAnsi="Arial" w:cs="Times New Roman"/>
      <w:sz w:val="24"/>
      <w:szCs w:val="20"/>
      <w:lang w:val="x-none"/>
    </w:rPr>
  </w:style>
  <w:style w:type="character" w:customStyle="1" w:styleId="TextoindependienteCar">
    <w:name w:val="Texto independiente Car"/>
    <w:basedOn w:val="Fuentedeprrafopredeter"/>
    <w:link w:val="Textoindependiente"/>
    <w:rsid w:val="00F13774"/>
    <w:rPr>
      <w:rFonts w:ascii="Arial" w:eastAsia="Times New Roman" w:hAnsi="Arial" w:cs="Times New Roman"/>
      <w:sz w:val="24"/>
      <w:szCs w:val="20"/>
      <w:lang w:val="x-none"/>
    </w:rPr>
  </w:style>
  <w:style w:type="paragraph" w:styleId="Textonotapie">
    <w:name w:val="footnote text"/>
    <w:basedOn w:val="Normal"/>
    <w:link w:val="TextonotapieCar"/>
    <w:uiPriority w:val="99"/>
    <w:unhideWhenUsed/>
    <w:rsid w:val="00F13774"/>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uiPriority w:val="99"/>
    <w:rsid w:val="00F13774"/>
    <w:rPr>
      <w:rFonts w:ascii="Times New Roman" w:eastAsia="Times New Roman" w:hAnsi="Times New Roman" w:cs="Times New Roman"/>
      <w:sz w:val="20"/>
      <w:szCs w:val="20"/>
      <w:lang w:val="es-ES"/>
    </w:rPr>
  </w:style>
  <w:style w:type="character" w:styleId="Refdenotaalpie">
    <w:name w:val="footnote reference"/>
    <w:basedOn w:val="Fuentedeprrafopredeter"/>
    <w:unhideWhenUsed/>
    <w:rsid w:val="00F13774"/>
    <w:rPr>
      <w:vertAlign w:val="superscript"/>
    </w:rPr>
  </w:style>
  <w:style w:type="paragraph" w:styleId="Encabezado">
    <w:name w:val="header"/>
    <w:basedOn w:val="Normal"/>
    <w:link w:val="EncabezadoCar"/>
    <w:uiPriority w:val="99"/>
    <w:unhideWhenUsed/>
    <w:rsid w:val="00F13774"/>
    <w:pPr>
      <w:tabs>
        <w:tab w:val="center" w:pos="4252"/>
        <w:tab w:val="right" w:pos="8504"/>
      </w:tabs>
    </w:pPr>
  </w:style>
  <w:style w:type="character" w:customStyle="1" w:styleId="EncabezadoCar">
    <w:name w:val="Encabezado Car"/>
    <w:basedOn w:val="Fuentedeprrafopredeter"/>
    <w:link w:val="Encabezado"/>
    <w:uiPriority w:val="99"/>
    <w:rsid w:val="00F13774"/>
  </w:style>
  <w:style w:type="paragraph" w:styleId="Prrafodelista">
    <w:name w:val="List Paragraph"/>
    <w:basedOn w:val="Normal"/>
    <w:uiPriority w:val="34"/>
    <w:qFormat/>
    <w:rsid w:val="00AD33D3"/>
    <w:pPr>
      <w:ind w:left="720"/>
      <w:contextualSpacing/>
    </w:pPr>
  </w:style>
  <w:style w:type="character" w:styleId="Hipervnculo">
    <w:name w:val="Hyperlink"/>
    <w:basedOn w:val="Fuentedeprrafopredeter"/>
    <w:uiPriority w:val="99"/>
    <w:unhideWhenUsed/>
    <w:rsid w:val="00B6560F"/>
    <w:rPr>
      <w:color w:val="0563C1" w:themeColor="hyperlink"/>
      <w:u w:val="single"/>
    </w:rPr>
  </w:style>
  <w:style w:type="character" w:styleId="Mencinsinresolver">
    <w:name w:val="Unresolved Mention"/>
    <w:basedOn w:val="Fuentedeprrafopredeter"/>
    <w:uiPriority w:val="99"/>
    <w:semiHidden/>
    <w:unhideWhenUsed/>
    <w:rsid w:val="00B6560F"/>
    <w:rPr>
      <w:color w:val="605E5C"/>
      <w:shd w:val="clear" w:color="auto" w:fill="E1DFDD"/>
    </w:rPr>
  </w:style>
  <w:style w:type="paragraph" w:styleId="Textonotaalfinal">
    <w:name w:val="endnote text"/>
    <w:basedOn w:val="Normal"/>
    <w:link w:val="TextonotaalfinalCar"/>
    <w:uiPriority w:val="99"/>
    <w:semiHidden/>
    <w:unhideWhenUsed/>
    <w:rsid w:val="0093528A"/>
    <w:rPr>
      <w:sz w:val="20"/>
      <w:szCs w:val="20"/>
    </w:rPr>
  </w:style>
  <w:style w:type="character" w:customStyle="1" w:styleId="TextonotaalfinalCar">
    <w:name w:val="Texto nota al final Car"/>
    <w:basedOn w:val="Fuentedeprrafopredeter"/>
    <w:link w:val="Textonotaalfinal"/>
    <w:uiPriority w:val="99"/>
    <w:semiHidden/>
    <w:rsid w:val="0093528A"/>
    <w:rPr>
      <w:sz w:val="20"/>
      <w:szCs w:val="20"/>
    </w:rPr>
  </w:style>
  <w:style w:type="character" w:styleId="Refdenotaalfinal">
    <w:name w:val="endnote reference"/>
    <w:basedOn w:val="Fuentedeprrafopredeter"/>
    <w:uiPriority w:val="99"/>
    <w:semiHidden/>
    <w:unhideWhenUsed/>
    <w:rsid w:val="0093528A"/>
    <w:rPr>
      <w:vertAlign w:val="superscript"/>
    </w:rPr>
  </w:style>
  <w:style w:type="paragraph" w:styleId="Piedepgina">
    <w:name w:val="footer"/>
    <w:basedOn w:val="Normal"/>
    <w:link w:val="PiedepginaCar"/>
    <w:uiPriority w:val="99"/>
    <w:unhideWhenUsed/>
    <w:rsid w:val="002A704C"/>
    <w:pPr>
      <w:tabs>
        <w:tab w:val="center" w:pos="4252"/>
        <w:tab w:val="right" w:pos="8504"/>
      </w:tabs>
    </w:pPr>
  </w:style>
  <w:style w:type="character" w:customStyle="1" w:styleId="PiedepginaCar">
    <w:name w:val="Pie de página Car"/>
    <w:basedOn w:val="Fuentedeprrafopredeter"/>
    <w:link w:val="Piedepgina"/>
    <w:uiPriority w:val="99"/>
    <w:rsid w:val="002A704C"/>
  </w:style>
  <w:style w:type="paragraph" w:styleId="Textodeglobo">
    <w:name w:val="Balloon Text"/>
    <w:basedOn w:val="Normal"/>
    <w:link w:val="TextodegloboCar"/>
    <w:uiPriority w:val="99"/>
    <w:semiHidden/>
    <w:unhideWhenUsed/>
    <w:rsid w:val="001658B5"/>
    <w:rPr>
      <w:rFonts w:ascii="Arial" w:hAnsi="Arial" w:cs="Arial"/>
      <w:sz w:val="18"/>
      <w:szCs w:val="18"/>
    </w:rPr>
  </w:style>
  <w:style w:type="character" w:customStyle="1" w:styleId="TextodegloboCar">
    <w:name w:val="Texto de globo Car"/>
    <w:basedOn w:val="Fuentedeprrafopredeter"/>
    <w:link w:val="Textodeglobo"/>
    <w:uiPriority w:val="99"/>
    <w:semiHidden/>
    <w:rsid w:val="001658B5"/>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mis07@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vedades.bogota.fa@prosperidadso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eimis07@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Notificaciones.Juridica@prosperidadsocial.gov.co" TargetMode="External"/><Relationship Id="rId1" Type="http://schemas.openxmlformats.org/officeDocument/2006/relationships/hyperlink" Target="http://centrodedocumentacion.prosperidadsocial.gov.co/2020/Familias-en-Accion/%E2%80%8BGuias-Operativas/G-GI-TM-9-GU&#205;A-OPERATIVA-NOVEDADES-F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2011</Words>
  <Characters>11066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Amaya</dc:creator>
  <cp:keywords/>
  <dc:description/>
  <cp:lastModifiedBy>crileca88</cp:lastModifiedBy>
  <cp:revision>2</cp:revision>
  <dcterms:created xsi:type="dcterms:W3CDTF">2020-05-22T21:18:00Z</dcterms:created>
  <dcterms:modified xsi:type="dcterms:W3CDTF">2020-05-22T21:18:00Z</dcterms:modified>
</cp:coreProperties>
</file>