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96"/>
      </w:tblGrid>
      <w:tr w:rsidR="00330A78" w:rsidRPr="00435692" w14:paraId="0AC17BE8" w14:textId="77777777" w:rsidTr="00F96BCD">
        <w:trPr>
          <w:trHeight w:val="246"/>
        </w:trPr>
        <w:tc>
          <w:tcPr>
            <w:tcW w:w="2088" w:type="dxa"/>
            <w:shd w:val="clear" w:color="auto" w:fill="auto"/>
          </w:tcPr>
          <w:p w14:paraId="7FFF7B93" w14:textId="77777777" w:rsidR="00330A78" w:rsidRPr="00435692" w:rsidRDefault="00330A78"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b/>
                <w:sz w:val="22"/>
                <w:szCs w:val="22"/>
                <w:lang w:val="es-ES_tradnl"/>
              </w:rPr>
            </w:pPr>
            <w:r w:rsidRPr="00435692">
              <w:rPr>
                <w:rFonts w:ascii="Century Gothic" w:hAnsi="Century Gothic" w:cs="Arial"/>
                <w:b/>
                <w:sz w:val="22"/>
                <w:szCs w:val="22"/>
                <w:lang w:val="es-ES_tradnl"/>
              </w:rPr>
              <w:t>CIUDAD Y FECHA</w:t>
            </w:r>
          </w:p>
        </w:tc>
        <w:tc>
          <w:tcPr>
            <w:tcW w:w="6696" w:type="dxa"/>
            <w:shd w:val="clear" w:color="auto" w:fill="auto"/>
          </w:tcPr>
          <w:p w14:paraId="0734AC45" w14:textId="77777777" w:rsidR="00330A78" w:rsidRPr="00435692" w:rsidRDefault="00330A78"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sz w:val="22"/>
                <w:szCs w:val="22"/>
                <w:lang w:val="es-ES_tradnl"/>
              </w:rPr>
            </w:pPr>
            <w:r w:rsidRPr="00435692">
              <w:rPr>
                <w:rFonts w:ascii="Century Gothic" w:hAnsi="Century Gothic" w:cs="Arial"/>
                <w:sz w:val="22"/>
                <w:szCs w:val="22"/>
                <w:lang w:val="es-ES_tradnl"/>
              </w:rPr>
              <w:t xml:space="preserve">Bogotá D.C., </w:t>
            </w:r>
            <w:r w:rsidR="0082719B" w:rsidRPr="00435692">
              <w:rPr>
                <w:rFonts w:ascii="Century Gothic" w:hAnsi="Century Gothic" w:cs="Arial"/>
                <w:sz w:val="22"/>
                <w:szCs w:val="22"/>
                <w:lang w:val="es-ES_tradnl"/>
              </w:rPr>
              <w:t xml:space="preserve">trece </w:t>
            </w:r>
            <w:r w:rsidRPr="00435692">
              <w:rPr>
                <w:rFonts w:ascii="Century Gothic" w:hAnsi="Century Gothic" w:cs="Arial"/>
                <w:sz w:val="22"/>
                <w:szCs w:val="22"/>
                <w:lang w:val="es-ES_tradnl"/>
              </w:rPr>
              <w:t>(</w:t>
            </w:r>
            <w:r w:rsidR="0082719B" w:rsidRPr="00435692">
              <w:rPr>
                <w:rFonts w:ascii="Century Gothic" w:hAnsi="Century Gothic" w:cs="Arial"/>
                <w:sz w:val="22"/>
                <w:szCs w:val="22"/>
                <w:lang w:val="es-ES_tradnl"/>
              </w:rPr>
              <w:t>13</w:t>
            </w:r>
            <w:r w:rsidRPr="00435692">
              <w:rPr>
                <w:rFonts w:ascii="Century Gothic" w:hAnsi="Century Gothic" w:cs="Arial"/>
                <w:sz w:val="22"/>
                <w:szCs w:val="22"/>
                <w:lang w:val="es-ES_tradnl"/>
              </w:rPr>
              <w:t>) de ma</w:t>
            </w:r>
            <w:r w:rsidR="0082719B" w:rsidRPr="00435692">
              <w:rPr>
                <w:rFonts w:ascii="Century Gothic" w:hAnsi="Century Gothic" w:cs="Arial"/>
                <w:sz w:val="22"/>
                <w:szCs w:val="22"/>
                <w:lang w:val="es-ES_tradnl"/>
              </w:rPr>
              <w:t>yo</w:t>
            </w:r>
            <w:r w:rsidRPr="00435692">
              <w:rPr>
                <w:rFonts w:ascii="Century Gothic" w:hAnsi="Century Gothic" w:cs="Arial"/>
                <w:sz w:val="22"/>
                <w:szCs w:val="22"/>
                <w:lang w:val="es-ES_tradnl"/>
              </w:rPr>
              <w:t xml:space="preserve"> de dos mil veinte (2020)</w:t>
            </w:r>
          </w:p>
        </w:tc>
      </w:tr>
      <w:tr w:rsidR="00330A78" w:rsidRPr="00435692" w14:paraId="514DF785" w14:textId="77777777" w:rsidTr="00F96BCD">
        <w:trPr>
          <w:trHeight w:val="278"/>
        </w:trPr>
        <w:tc>
          <w:tcPr>
            <w:tcW w:w="2088" w:type="dxa"/>
            <w:shd w:val="clear" w:color="auto" w:fill="auto"/>
          </w:tcPr>
          <w:p w14:paraId="3BBB2688" w14:textId="77777777" w:rsidR="00330A78" w:rsidRPr="00435692" w:rsidRDefault="00330A78"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b/>
                <w:sz w:val="22"/>
                <w:szCs w:val="22"/>
                <w:lang w:val="es-ES_tradnl"/>
              </w:rPr>
            </w:pPr>
            <w:r w:rsidRPr="00435692">
              <w:rPr>
                <w:rFonts w:ascii="Century Gothic" w:hAnsi="Century Gothic" w:cs="Arial"/>
                <w:b/>
                <w:sz w:val="22"/>
                <w:szCs w:val="22"/>
                <w:lang w:val="es-ES_tradnl"/>
              </w:rPr>
              <w:t>REFERENCIA</w:t>
            </w:r>
          </w:p>
        </w:tc>
        <w:tc>
          <w:tcPr>
            <w:tcW w:w="6696" w:type="dxa"/>
            <w:shd w:val="clear" w:color="auto" w:fill="auto"/>
          </w:tcPr>
          <w:p w14:paraId="15C2128A" w14:textId="77777777" w:rsidR="00330A78" w:rsidRPr="00435692" w:rsidRDefault="0082719B"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sz w:val="22"/>
                <w:szCs w:val="22"/>
                <w:lang w:val="es-ES_tradnl"/>
              </w:rPr>
            </w:pPr>
            <w:r w:rsidRPr="00435692">
              <w:rPr>
                <w:rFonts w:ascii="Century Gothic" w:hAnsi="Century Gothic" w:cs="Arial"/>
                <w:sz w:val="22"/>
                <w:szCs w:val="22"/>
                <w:lang w:val="es-ES_tradnl"/>
              </w:rPr>
              <w:t>Expediente No. 110013336034202000009600</w:t>
            </w:r>
          </w:p>
        </w:tc>
      </w:tr>
      <w:tr w:rsidR="00330A78" w:rsidRPr="00435692" w14:paraId="5ABE85E3" w14:textId="77777777" w:rsidTr="00F96BCD">
        <w:tc>
          <w:tcPr>
            <w:tcW w:w="2088" w:type="dxa"/>
            <w:shd w:val="clear" w:color="auto" w:fill="auto"/>
          </w:tcPr>
          <w:p w14:paraId="371D9CC8" w14:textId="77777777" w:rsidR="00330A78" w:rsidRPr="00435692" w:rsidRDefault="00330A78"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b/>
                <w:sz w:val="22"/>
                <w:szCs w:val="22"/>
                <w:lang w:val="es-ES_tradnl"/>
              </w:rPr>
            </w:pPr>
            <w:r w:rsidRPr="00435692">
              <w:rPr>
                <w:rFonts w:ascii="Century Gothic" w:hAnsi="Century Gothic" w:cs="Arial"/>
                <w:b/>
                <w:sz w:val="22"/>
                <w:szCs w:val="22"/>
                <w:lang w:val="es-ES_tradnl"/>
              </w:rPr>
              <w:t>DEMANDANTE</w:t>
            </w:r>
          </w:p>
        </w:tc>
        <w:tc>
          <w:tcPr>
            <w:tcW w:w="6696" w:type="dxa"/>
            <w:shd w:val="clear" w:color="auto" w:fill="auto"/>
          </w:tcPr>
          <w:p w14:paraId="06147AFA" w14:textId="77777777" w:rsidR="00330A78" w:rsidRPr="00435692" w:rsidRDefault="0082719B"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sz w:val="22"/>
                <w:szCs w:val="22"/>
                <w:lang w:val="es-ES_tradnl"/>
              </w:rPr>
            </w:pPr>
            <w:r w:rsidRPr="00435692">
              <w:rPr>
                <w:rFonts w:ascii="Century Gothic" w:hAnsi="Century Gothic" w:cs="Arial"/>
                <w:sz w:val="22"/>
                <w:szCs w:val="22"/>
                <w:lang w:val="es-ES_tradnl"/>
              </w:rPr>
              <w:t xml:space="preserve">ROBERTO ORLANDO BERMUDEZ SEGURA en representación de HANS o </w:t>
            </w:r>
            <w:r w:rsidRPr="00435692">
              <w:rPr>
                <w:rFonts w:ascii="Century Gothic" w:hAnsi="Century Gothic"/>
                <w:sz w:val="22"/>
                <w:szCs w:val="22"/>
              </w:rPr>
              <w:t>HANCEN</w:t>
            </w:r>
            <w:r w:rsidRPr="00435692">
              <w:rPr>
                <w:rFonts w:ascii="Century Gothic" w:hAnsi="Century Gothic" w:cs="Arial"/>
                <w:sz w:val="22"/>
                <w:szCs w:val="22"/>
                <w:lang w:val="es-ES_tradnl"/>
              </w:rPr>
              <w:t xml:space="preserve"> RAMIREZ GARZON Y OTROS 9 MAS</w:t>
            </w:r>
          </w:p>
        </w:tc>
      </w:tr>
      <w:tr w:rsidR="00330A78" w:rsidRPr="00435692" w14:paraId="15CD230B" w14:textId="77777777" w:rsidTr="00F96BCD">
        <w:tc>
          <w:tcPr>
            <w:tcW w:w="2088" w:type="dxa"/>
            <w:shd w:val="clear" w:color="auto" w:fill="auto"/>
          </w:tcPr>
          <w:p w14:paraId="5A2330BA" w14:textId="77777777" w:rsidR="00330A78" w:rsidRPr="00435692" w:rsidRDefault="00330A78"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b/>
                <w:sz w:val="22"/>
                <w:szCs w:val="22"/>
                <w:lang w:val="es-ES_tradnl"/>
              </w:rPr>
            </w:pPr>
            <w:r w:rsidRPr="00435692">
              <w:rPr>
                <w:rFonts w:ascii="Century Gothic" w:hAnsi="Century Gothic" w:cs="Arial"/>
                <w:b/>
                <w:sz w:val="22"/>
                <w:szCs w:val="22"/>
                <w:lang w:val="es-ES_tradnl"/>
              </w:rPr>
              <w:t>DEMANDADO</w:t>
            </w:r>
          </w:p>
        </w:tc>
        <w:tc>
          <w:tcPr>
            <w:tcW w:w="6696" w:type="dxa"/>
            <w:shd w:val="clear" w:color="auto" w:fill="auto"/>
          </w:tcPr>
          <w:p w14:paraId="1311328E" w14:textId="77777777" w:rsidR="00330A78" w:rsidRPr="00435692" w:rsidRDefault="0082719B"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sz w:val="22"/>
                <w:szCs w:val="22"/>
                <w:lang w:val="es-ES_tradnl"/>
              </w:rPr>
            </w:pPr>
            <w:r w:rsidRPr="00435692">
              <w:rPr>
                <w:rFonts w:ascii="Century Gothic" w:hAnsi="Century Gothic" w:cs="Arial"/>
                <w:sz w:val="22"/>
                <w:szCs w:val="22"/>
                <w:lang w:val="es-ES_tradnl"/>
              </w:rPr>
              <w:t>JUZGADO 26 PENAL DEL CIRCUITO DE CONOCIMIENTO DE BOGOTA</w:t>
            </w:r>
          </w:p>
        </w:tc>
      </w:tr>
      <w:tr w:rsidR="00330A78" w:rsidRPr="00435692" w14:paraId="7B46FF96" w14:textId="77777777" w:rsidTr="00F96BCD">
        <w:tc>
          <w:tcPr>
            <w:tcW w:w="2088" w:type="dxa"/>
            <w:shd w:val="clear" w:color="auto" w:fill="auto"/>
          </w:tcPr>
          <w:p w14:paraId="79C60BF9" w14:textId="77777777" w:rsidR="00330A78" w:rsidRPr="00435692" w:rsidRDefault="00330A78"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b/>
                <w:sz w:val="22"/>
                <w:szCs w:val="22"/>
                <w:lang w:val="es-ES_tradnl"/>
              </w:rPr>
            </w:pPr>
            <w:r w:rsidRPr="00435692">
              <w:rPr>
                <w:rFonts w:ascii="Century Gothic" w:hAnsi="Century Gothic" w:cs="Arial"/>
                <w:b/>
                <w:sz w:val="22"/>
                <w:szCs w:val="22"/>
                <w:lang w:val="es-ES_tradnl"/>
              </w:rPr>
              <w:t>ACCIÓN</w:t>
            </w:r>
          </w:p>
        </w:tc>
        <w:tc>
          <w:tcPr>
            <w:tcW w:w="6696" w:type="dxa"/>
            <w:shd w:val="clear" w:color="auto" w:fill="auto"/>
          </w:tcPr>
          <w:p w14:paraId="3DC64B64" w14:textId="77777777" w:rsidR="00330A78" w:rsidRPr="00435692" w:rsidRDefault="00330A78"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sz w:val="22"/>
                <w:szCs w:val="22"/>
                <w:lang w:val="es-ES_tradnl"/>
              </w:rPr>
            </w:pPr>
            <w:r w:rsidRPr="00435692">
              <w:rPr>
                <w:rFonts w:ascii="Century Gothic" w:hAnsi="Century Gothic" w:cs="Arial"/>
                <w:sz w:val="22"/>
                <w:szCs w:val="22"/>
                <w:lang w:val="es-ES_tradnl"/>
              </w:rPr>
              <w:t>HABEAS CORPUS</w:t>
            </w:r>
          </w:p>
        </w:tc>
      </w:tr>
      <w:tr w:rsidR="00330A78" w:rsidRPr="00435692" w14:paraId="07B6C2DD" w14:textId="77777777" w:rsidTr="00F96BCD">
        <w:tc>
          <w:tcPr>
            <w:tcW w:w="2088" w:type="dxa"/>
            <w:shd w:val="clear" w:color="auto" w:fill="auto"/>
          </w:tcPr>
          <w:p w14:paraId="6DC80989" w14:textId="77777777" w:rsidR="00330A78" w:rsidRPr="00435692" w:rsidRDefault="00330A78"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b/>
                <w:sz w:val="22"/>
                <w:szCs w:val="22"/>
                <w:lang w:val="es-ES_tradnl"/>
              </w:rPr>
            </w:pPr>
            <w:r w:rsidRPr="00435692">
              <w:rPr>
                <w:rFonts w:ascii="Century Gothic" w:hAnsi="Century Gothic" w:cs="Arial"/>
                <w:b/>
                <w:sz w:val="22"/>
                <w:szCs w:val="22"/>
                <w:lang w:val="es-ES_tradnl"/>
              </w:rPr>
              <w:t>ASUNTO</w:t>
            </w:r>
          </w:p>
        </w:tc>
        <w:tc>
          <w:tcPr>
            <w:tcW w:w="6696" w:type="dxa"/>
            <w:shd w:val="clear" w:color="auto" w:fill="auto"/>
          </w:tcPr>
          <w:p w14:paraId="2E22CA47" w14:textId="77777777" w:rsidR="00330A78" w:rsidRPr="00435692" w:rsidRDefault="0082719B" w:rsidP="00144489">
            <w:pPr>
              <w:keepNext/>
              <w:tabs>
                <w:tab w:val="left" w:pos="180"/>
                <w:tab w:val="left" w:pos="8640"/>
              </w:tabs>
              <w:autoSpaceDE w:val="0"/>
              <w:autoSpaceDN w:val="0"/>
              <w:adjustRightInd w:val="0"/>
              <w:spacing w:line="360" w:lineRule="auto"/>
              <w:ind w:right="200"/>
              <w:jc w:val="both"/>
              <w:outlineLvl w:val="5"/>
              <w:rPr>
                <w:rFonts w:ascii="Century Gothic" w:hAnsi="Century Gothic" w:cs="Arial"/>
                <w:sz w:val="22"/>
                <w:szCs w:val="22"/>
                <w:lang w:val="es-ES_tradnl"/>
              </w:rPr>
            </w:pPr>
            <w:r w:rsidRPr="00435692">
              <w:rPr>
                <w:rFonts w:ascii="Century Gothic" w:hAnsi="Century Gothic" w:cs="Arial"/>
                <w:sz w:val="22"/>
                <w:szCs w:val="22"/>
                <w:lang w:val="es-ES_tradnl"/>
              </w:rPr>
              <w:t xml:space="preserve">SENTENCIA </w:t>
            </w:r>
          </w:p>
        </w:tc>
      </w:tr>
    </w:tbl>
    <w:p w14:paraId="095E4D30" w14:textId="77777777" w:rsidR="00330A78" w:rsidRPr="0026006A" w:rsidRDefault="00330A78" w:rsidP="00144489">
      <w:pPr>
        <w:spacing w:line="360" w:lineRule="auto"/>
        <w:jc w:val="both"/>
        <w:rPr>
          <w:rFonts w:ascii="Century Gothic" w:hAnsi="Century Gothic" w:cs="Arial"/>
          <w:lang w:val="es-CO"/>
        </w:rPr>
      </w:pPr>
    </w:p>
    <w:p w14:paraId="01C3E70F" w14:textId="77777777" w:rsidR="000B58F9" w:rsidRPr="0026006A" w:rsidRDefault="009E109A" w:rsidP="00144489">
      <w:pPr>
        <w:tabs>
          <w:tab w:val="left" w:pos="180"/>
          <w:tab w:val="left" w:pos="8640"/>
        </w:tabs>
        <w:spacing w:line="360" w:lineRule="auto"/>
        <w:ind w:right="200"/>
        <w:jc w:val="center"/>
        <w:rPr>
          <w:rFonts w:ascii="Century Gothic" w:hAnsi="Century Gothic"/>
          <w:b/>
        </w:rPr>
      </w:pPr>
      <w:r w:rsidRPr="0026006A">
        <w:rPr>
          <w:rFonts w:ascii="Century Gothic" w:hAnsi="Century Gothic"/>
        </w:rPr>
        <w:t xml:space="preserve">  </w:t>
      </w:r>
      <w:r w:rsidR="000B58F9" w:rsidRPr="0026006A">
        <w:rPr>
          <w:rFonts w:ascii="Century Gothic" w:hAnsi="Century Gothic"/>
          <w:b/>
        </w:rPr>
        <w:t xml:space="preserve">HÁBEAS CORPUS </w:t>
      </w:r>
    </w:p>
    <w:p w14:paraId="5383DBE7" w14:textId="77777777" w:rsidR="000B58F9" w:rsidRPr="0026006A" w:rsidRDefault="000B58F9" w:rsidP="00144489">
      <w:pPr>
        <w:spacing w:line="360" w:lineRule="auto"/>
        <w:ind w:right="51"/>
        <w:jc w:val="both"/>
        <w:rPr>
          <w:rFonts w:ascii="Century Gothic" w:hAnsi="Century Gothic"/>
        </w:rPr>
      </w:pPr>
    </w:p>
    <w:p w14:paraId="04980245" w14:textId="73B67AF0" w:rsidR="000B58F9" w:rsidRPr="0026006A" w:rsidRDefault="000B58F9" w:rsidP="00144489">
      <w:pPr>
        <w:spacing w:line="360" w:lineRule="auto"/>
        <w:ind w:right="51"/>
        <w:jc w:val="both"/>
        <w:rPr>
          <w:rFonts w:ascii="Century Gothic" w:hAnsi="Century Gothic" w:cs="Arial"/>
        </w:rPr>
      </w:pPr>
      <w:r w:rsidRPr="0026006A">
        <w:rPr>
          <w:rFonts w:ascii="Century Gothic" w:hAnsi="Century Gothic" w:cs="Arial"/>
        </w:rPr>
        <w:t xml:space="preserve">El despacho procede a decidir la solicitud de habeas corpus interpuesta por </w:t>
      </w:r>
      <w:r w:rsidR="0082719B" w:rsidRPr="0026006A">
        <w:rPr>
          <w:rFonts w:ascii="Century Gothic" w:hAnsi="Century Gothic" w:cs="Arial"/>
        </w:rPr>
        <w:t>señor ROBERTO ORLANDO BERMUDEZ SEGURA en representación de HANS o HANCEN RAMÍREZ GARZÓN, DIEGO ARMANDO COMBITA FUENTES, FABIO ENRIQUE CAMARGO ANDRADE, LUIS FERNANDO CORTÉS AVILA, EDGAR EDISON ORT</w:t>
      </w:r>
      <w:r w:rsidR="00C41521">
        <w:rPr>
          <w:rFonts w:ascii="Century Gothic" w:hAnsi="Century Gothic" w:cs="Arial"/>
        </w:rPr>
        <w:t>I</w:t>
      </w:r>
      <w:r w:rsidR="0082719B" w:rsidRPr="0026006A">
        <w:rPr>
          <w:rFonts w:ascii="Century Gothic" w:hAnsi="Century Gothic" w:cs="Arial"/>
        </w:rPr>
        <w:t xml:space="preserve">Z FORERO, ERIKA PILAR VILLA, YEISON ANTONIO LICONA HENAO, JOSÉ ANTONIO ANTICA, JAIME ANDRÉS OROZCO </w:t>
      </w:r>
      <w:r w:rsidR="00435692" w:rsidRPr="0026006A">
        <w:rPr>
          <w:rFonts w:ascii="Century Gothic" w:hAnsi="Century Gothic" w:cs="Arial"/>
        </w:rPr>
        <w:t>MARTÍNEZ y</w:t>
      </w:r>
      <w:r w:rsidR="0082719B" w:rsidRPr="0026006A">
        <w:rPr>
          <w:rFonts w:ascii="Century Gothic" w:hAnsi="Century Gothic" w:cs="Arial"/>
        </w:rPr>
        <w:t xml:space="preserve"> JESÚS MARÍA CAMARGO MORENO</w:t>
      </w:r>
      <w:r w:rsidRPr="0026006A">
        <w:rPr>
          <w:rFonts w:ascii="Century Gothic" w:hAnsi="Century Gothic"/>
        </w:rPr>
        <w:t>, quien</w:t>
      </w:r>
      <w:r w:rsidR="0082719B" w:rsidRPr="0026006A">
        <w:rPr>
          <w:rFonts w:ascii="Century Gothic" w:hAnsi="Century Gothic"/>
        </w:rPr>
        <w:t>es</w:t>
      </w:r>
      <w:r w:rsidRPr="0026006A">
        <w:rPr>
          <w:rFonts w:ascii="Century Gothic" w:hAnsi="Century Gothic"/>
        </w:rPr>
        <w:t xml:space="preserve"> </w:t>
      </w:r>
      <w:r w:rsidRPr="0026006A">
        <w:rPr>
          <w:rFonts w:ascii="Century Gothic" w:hAnsi="Century Gothic" w:cs="Arial"/>
        </w:rPr>
        <w:t xml:space="preserve">actualmente </w:t>
      </w:r>
      <w:r w:rsidR="006E3904" w:rsidRPr="0026006A">
        <w:rPr>
          <w:rFonts w:ascii="Century Gothic" w:hAnsi="Century Gothic" w:cs="Arial"/>
        </w:rPr>
        <w:t>se encuentra</w:t>
      </w:r>
      <w:r w:rsidR="0082719B" w:rsidRPr="0026006A">
        <w:rPr>
          <w:rFonts w:ascii="Century Gothic" w:hAnsi="Century Gothic" w:cs="Arial"/>
        </w:rPr>
        <w:t>n</w:t>
      </w:r>
      <w:r w:rsidR="006E3904" w:rsidRPr="0026006A">
        <w:rPr>
          <w:rFonts w:ascii="Century Gothic" w:hAnsi="Century Gothic" w:cs="Arial"/>
        </w:rPr>
        <w:t xml:space="preserve"> </w:t>
      </w:r>
      <w:r w:rsidRPr="0026006A">
        <w:rPr>
          <w:rFonts w:ascii="Century Gothic" w:hAnsi="Century Gothic" w:cs="Arial"/>
        </w:rPr>
        <w:t>privado</w:t>
      </w:r>
      <w:r w:rsidR="0082719B" w:rsidRPr="0026006A">
        <w:rPr>
          <w:rFonts w:ascii="Century Gothic" w:hAnsi="Century Gothic" w:cs="Arial"/>
        </w:rPr>
        <w:t>s</w:t>
      </w:r>
      <w:r w:rsidRPr="0026006A">
        <w:rPr>
          <w:rFonts w:ascii="Century Gothic" w:hAnsi="Century Gothic" w:cs="Arial"/>
        </w:rPr>
        <w:t xml:space="preserve"> de la libertad. </w:t>
      </w:r>
    </w:p>
    <w:p w14:paraId="569BB0E9" w14:textId="77777777" w:rsidR="000B58F9" w:rsidRPr="0026006A" w:rsidRDefault="000B58F9" w:rsidP="00144489">
      <w:pPr>
        <w:spacing w:line="360" w:lineRule="auto"/>
        <w:ind w:right="51"/>
        <w:jc w:val="center"/>
        <w:rPr>
          <w:rFonts w:ascii="Century Gothic" w:hAnsi="Century Gothic"/>
          <w:b/>
        </w:rPr>
      </w:pPr>
      <w:r w:rsidRPr="0026006A">
        <w:rPr>
          <w:rFonts w:ascii="Century Gothic" w:hAnsi="Century Gothic"/>
          <w:b/>
        </w:rPr>
        <w:t>1. ANTECEDENTES</w:t>
      </w:r>
    </w:p>
    <w:p w14:paraId="2DDEBC0E" w14:textId="77777777" w:rsidR="000B58F9" w:rsidRPr="0026006A" w:rsidRDefault="000B58F9" w:rsidP="00144489">
      <w:pPr>
        <w:spacing w:line="360" w:lineRule="auto"/>
        <w:jc w:val="both"/>
        <w:rPr>
          <w:rFonts w:ascii="Century Gothic" w:hAnsi="Century Gothic"/>
        </w:rPr>
      </w:pPr>
    </w:p>
    <w:p w14:paraId="54E11DA8" w14:textId="1F793322" w:rsidR="00B12485" w:rsidRPr="0026006A" w:rsidRDefault="000B58F9" w:rsidP="00144489">
      <w:pPr>
        <w:spacing w:line="360" w:lineRule="auto"/>
        <w:jc w:val="both"/>
        <w:rPr>
          <w:rFonts w:ascii="Century Gothic" w:hAnsi="Century Gothic"/>
        </w:rPr>
      </w:pPr>
      <w:r w:rsidRPr="0026006A">
        <w:rPr>
          <w:rFonts w:ascii="Century Gothic" w:hAnsi="Century Gothic"/>
          <w:lang w:val="es-MX"/>
        </w:rPr>
        <w:t xml:space="preserve">El </w:t>
      </w:r>
      <w:r w:rsidR="007B3307" w:rsidRPr="0026006A">
        <w:rPr>
          <w:rFonts w:ascii="Century Gothic" w:hAnsi="Century Gothic"/>
          <w:lang w:val="es-MX"/>
        </w:rPr>
        <w:t>11</w:t>
      </w:r>
      <w:r w:rsidR="00B12485" w:rsidRPr="0026006A">
        <w:rPr>
          <w:rFonts w:ascii="Century Gothic" w:hAnsi="Century Gothic"/>
          <w:lang w:val="es-MX"/>
        </w:rPr>
        <w:t xml:space="preserve"> de ma</w:t>
      </w:r>
      <w:r w:rsidR="007B3307" w:rsidRPr="0026006A">
        <w:rPr>
          <w:rFonts w:ascii="Century Gothic" w:hAnsi="Century Gothic"/>
          <w:lang w:val="es-MX"/>
        </w:rPr>
        <w:t>yo</w:t>
      </w:r>
      <w:r w:rsidR="00B12485" w:rsidRPr="0026006A">
        <w:rPr>
          <w:rFonts w:ascii="Century Gothic" w:hAnsi="Century Gothic"/>
          <w:lang w:val="es-MX"/>
        </w:rPr>
        <w:t xml:space="preserve"> de 2020</w:t>
      </w:r>
      <w:r w:rsidRPr="0026006A">
        <w:rPr>
          <w:rFonts w:ascii="Century Gothic" w:hAnsi="Century Gothic"/>
          <w:lang w:val="es-MX"/>
        </w:rPr>
        <w:t xml:space="preserve">, </w:t>
      </w:r>
      <w:r w:rsidR="007B3307" w:rsidRPr="0026006A">
        <w:rPr>
          <w:rFonts w:ascii="Century Gothic" w:hAnsi="Century Gothic"/>
          <w:lang w:val="es-MX"/>
        </w:rPr>
        <w:t xml:space="preserve"> el señor  ROBERTO ORLANDO BERMUDEZ SEGURA en representación de HANS o HANCEN RAMÍREZ GARZÓN, DIEGO ARMANDO COMBITA FUENTES, FABIO ENRIQUE CAMARGO ANDRADE, LUIS FERNANDO CORTÉS AVILA, EDGAR EDISON ORTÍZ FORERO, ERIKA PILAR VILLA, YEISON ANTONIO LICONA HENAO, JOSÉ ANTONIO ANTICA, JAIME ANDRÉS OROZCO MARTÍNEZ  y JESÚS MARÍA CAMARGO MORENO </w:t>
      </w:r>
      <w:r w:rsidR="00B12485" w:rsidRPr="0026006A">
        <w:rPr>
          <w:rFonts w:ascii="Century Gothic" w:hAnsi="Century Gothic"/>
        </w:rPr>
        <w:t xml:space="preserve">interpuso habeas corpus en contra del JUZGADO </w:t>
      </w:r>
      <w:r w:rsidR="007B3307" w:rsidRPr="0026006A">
        <w:rPr>
          <w:rFonts w:ascii="Century Gothic" w:hAnsi="Century Gothic"/>
        </w:rPr>
        <w:t xml:space="preserve">26 PENAL DEL CIRCUITO DE CONOCIMIENTO DE BOGOTA </w:t>
      </w:r>
      <w:r w:rsidR="00B12485" w:rsidRPr="0026006A">
        <w:rPr>
          <w:rFonts w:ascii="Century Gothic" w:hAnsi="Century Gothic"/>
        </w:rPr>
        <w:t xml:space="preserve">pues a su juicio </w:t>
      </w:r>
      <w:r w:rsidR="007B3307" w:rsidRPr="0026006A">
        <w:rPr>
          <w:rFonts w:ascii="Century Gothic" w:hAnsi="Century Gothic"/>
        </w:rPr>
        <w:t xml:space="preserve">la detención establecida desde el pasado 23 del mes de julio (07) de 2019, excede lo establecido en el artículo 317 del código de procedimiento penal </w:t>
      </w:r>
      <w:r w:rsidR="00C41521" w:rsidRPr="00C41521">
        <w:rPr>
          <w:rFonts w:ascii="Century Gothic" w:hAnsi="Century Gothic"/>
          <w:i/>
          <w:iCs/>
        </w:rPr>
        <w:t>“</w:t>
      </w:r>
      <w:r w:rsidR="007B3307" w:rsidRPr="00C41521">
        <w:rPr>
          <w:rFonts w:ascii="Century Gothic" w:hAnsi="Century Gothic"/>
          <w:i/>
          <w:iCs/>
        </w:rPr>
        <w:t xml:space="preserve">denominado causales de libertad, teniendo en cuenta que el denominado “plazo razonable”, toda vez que en el numeral </w:t>
      </w:r>
      <w:r w:rsidR="007B3307" w:rsidRPr="00C41521">
        <w:rPr>
          <w:rFonts w:ascii="Century Gothic" w:hAnsi="Century Gothic"/>
          <w:i/>
          <w:iCs/>
        </w:rPr>
        <w:lastRenderedPageBreak/>
        <w:t>5° se menciona que: “cuando transcurridos ciento veinte (120) días contados a partir de la fecha de presentación del escrito de acusación, no se haya dado inicio a la audiencia de juicio”, lo cual en el caso que nos ocupa no ha ocurrido, toda vez que está hablando de factores atribuibles a los organismos oficiales encargados de las remisiones de privados de la libertad, llámese INPEC, Cárcel Distrital o, Policía Nacional</w:t>
      </w:r>
      <w:r w:rsidR="00C41521" w:rsidRPr="00C41521">
        <w:rPr>
          <w:rFonts w:ascii="Century Gothic" w:hAnsi="Century Gothic"/>
          <w:i/>
          <w:iCs/>
        </w:rPr>
        <w:t>”</w:t>
      </w:r>
      <w:r w:rsidR="00C41521">
        <w:rPr>
          <w:rFonts w:ascii="Century Gothic" w:hAnsi="Century Gothic"/>
          <w:i/>
          <w:iCs/>
        </w:rPr>
        <w:t>(SIC)</w:t>
      </w:r>
      <w:r w:rsidR="007B3307" w:rsidRPr="00C41521">
        <w:rPr>
          <w:rFonts w:ascii="Century Gothic" w:hAnsi="Century Gothic"/>
          <w:i/>
          <w:iCs/>
        </w:rPr>
        <w:t>.</w:t>
      </w:r>
    </w:p>
    <w:p w14:paraId="5B3B9530" w14:textId="77777777" w:rsidR="00B12485" w:rsidRPr="0026006A" w:rsidRDefault="00B12485" w:rsidP="00144489">
      <w:pPr>
        <w:spacing w:line="360" w:lineRule="auto"/>
        <w:jc w:val="both"/>
        <w:rPr>
          <w:rFonts w:ascii="Century Gothic" w:hAnsi="Century Gothic"/>
          <w:lang w:val="es-MX"/>
        </w:rPr>
      </w:pPr>
      <w:r w:rsidRPr="0026006A">
        <w:rPr>
          <w:rFonts w:ascii="Century Gothic" w:hAnsi="Century Gothic"/>
          <w:lang w:val="es-MX"/>
        </w:rPr>
        <w:t xml:space="preserve">  </w:t>
      </w:r>
    </w:p>
    <w:p w14:paraId="17D74681" w14:textId="77777777" w:rsidR="000B58F9" w:rsidRPr="0026006A" w:rsidRDefault="000B58F9" w:rsidP="00144489">
      <w:pPr>
        <w:pStyle w:val="NormalWeb"/>
        <w:spacing w:before="0" w:beforeAutospacing="0" w:after="0" w:afterAutospacing="0" w:line="360" w:lineRule="auto"/>
        <w:jc w:val="both"/>
        <w:rPr>
          <w:rFonts w:ascii="Century Gothic" w:hAnsi="Century Gothic"/>
          <w:b/>
          <w:lang w:val="es-MX"/>
        </w:rPr>
      </w:pPr>
      <w:r w:rsidRPr="0026006A">
        <w:rPr>
          <w:rFonts w:ascii="Century Gothic" w:hAnsi="Century Gothic"/>
          <w:b/>
          <w:lang w:val="es-MX"/>
        </w:rPr>
        <w:t>1.2. Trámite procesal</w:t>
      </w:r>
    </w:p>
    <w:p w14:paraId="38B88434" w14:textId="77777777" w:rsidR="000B58F9" w:rsidRPr="0026006A" w:rsidRDefault="000B58F9" w:rsidP="00144489">
      <w:pPr>
        <w:pStyle w:val="NormalWeb"/>
        <w:spacing w:before="0" w:beforeAutospacing="0" w:after="0" w:afterAutospacing="0" w:line="360" w:lineRule="auto"/>
        <w:jc w:val="both"/>
        <w:rPr>
          <w:rFonts w:ascii="Century Gothic" w:hAnsi="Century Gothic"/>
          <w:b/>
          <w:lang w:val="es-MX"/>
        </w:rPr>
      </w:pPr>
    </w:p>
    <w:p w14:paraId="19B4815B" w14:textId="238E8ACB" w:rsidR="00B12485" w:rsidRPr="0026006A" w:rsidRDefault="000B58F9" w:rsidP="00144489">
      <w:pPr>
        <w:spacing w:line="360" w:lineRule="auto"/>
        <w:jc w:val="both"/>
        <w:rPr>
          <w:rFonts w:ascii="Century Gothic" w:hAnsi="Century Gothic"/>
        </w:rPr>
      </w:pPr>
      <w:r w:rsidRPr="0026006A">
        <w:rPr>
          <w:rFonts w:ascii="Century Gothic" w:hAnsi="Century Gothic" w:cs="Arial"/>
        </w:rPr>
        <w:t xml:space="preserve">La solicitud de hábeas corpus correspondió a este despacho por reparto del </w:t>
      </w:r>
      <w:r w:rsidR="007B3307" w:rsidRPr="0026006A">
        <w:rPr>
          <w:rFonts w:ascii="Century Gothic" w:hAnsi="Century Gothic" w:cs="Arial"/>
        </w:rPr>
        <w:t>13</w:t>
      </w:r>
      <w:r w:rsidR="003D73D5" w:rsidRPr="0026006A">
        <w:rPr>
          <w:rFonts w:ascii="Century Gothic" w:hAnsi="Century Gothic" w:cs="Arial"/>
        </w:rPr>
        <w:t xml:space="preserve"> de </w:t>
      </w:r>
      <w:r w:rsidR="007B3307" w:rsidRPr="0026006A">
        <w:rPr>
          <w:rFonts w:ascii="Century Gothic" w:hAnsi="Century Gothic" w:cs="Arial"/>
        </w:rPr>
        <w:t>mayo</w:t>
      </w:r>
      <w:r w:rsidR="003D73D5" w:rsidRPr="0026006A">
        <w:rPr>
          <w:rFonts w:ascii="Century Gothic" w:hAnsi="Century Gothic" w:cs="Arial"/>
        </w:rPr>
        <w:t xml:space="preserve"> de 2020</w:t>
      </w:r>
      <w:r w:rsidRPr="0026006A">
        <w:rPr>
          <w:rFonts w:ascii="Century Gothic" w:hAnsi="Century Gothic" w:cs="Arial"/>
        </w:rPr>
        <w:t>. Mediante providencia de ese mismo día se avocó su conocimiento y se ordenó al</w:t>
      </w:r>
      <w:r w:rsidR="00144489" w:rsidRPr="0026006A">
        <w:rPr>
          <w:rFonts w:ascii="Century Gothic" w:hAnsi="Century Gothic" w:cs="Arial"/>
        </w:rPr>
        <w:t xml:space="preserve"> </w:t>
      </w:r>
      <w:r w:rsidR="005C50CD" w:rsidRPr="0026006A">
        <w:rPr>
          <w:rFonts w:ascii="Century Gothic" w:hAnsi="Century Gothic" w:cs="Arial"/>
        </w:rPr>
        <w:t xml:space="preserve">juez </w:t>
      </w:r>
      <w:r w:rsidR="007B3307" w:rsidRPr="0026006A">
        <w:rPr>
          <w:rFonts w:ascii="Century Gothic" w:hAnsi="Century Gothic"/>
        </w:rPr>
        <w:t>26 PENAL DEL CIRCUITO DE CONOCIMIENTO DE BOGOTA</w:t>
      </w:r>
      <w:r w:rsidRPr="0026006A">
        <w:rPr>
          <w:rFonts w:ascii="Century Gothic" w:hAnsi="Century Gothic" w:cs="Arial"/>
        </w:rPr>
        <w:t xml:space="preserve"> informe </w:t>
      </w:r>
      <w:r w:rsidR="007B3307" w:rsidRPr="0026006A">
        <w:rPr>
          <w:rFonts w:ascii="Century Gothic" w:hAnsi="Century Gothic" w:cs="Arial"/>
        </w:rPr>
        <w:t>sobre las actuaciones que de acuerdo con su competencia ha realizado respecto a la situación jurídica de los 10 accionantes y s</w:t>
      </w:r>
      <w:r w:rsidR="00C41521">
        <w:rPr>
          <w:rFonts w:ascii="Century Gothic" w:hAnsi="Century Gothic" w:cs="Arial"/>
        </w:rPr>
        <w:t>í</w:t>
      </w:r>
      <w:r w:rsidR="007B3307" w:rsidRPr="0026006A">
        <w:rPr>
          <w:rFonts w:ascii="Century Gothic" w:hAnsi="Century Gothic" w:cs="Arial"/>
        </w:rPr>
        <w:t xml:space="preserve"> la detención establecida desde el pasado 23 del mes de julio (07) de 2019, excede lo establecido en el artículo 317 del Código de Procedimiento Penal. </w:t>
      </w:r>
      <w:r w:rsidRPr="0026006A">
        <w:rPr>
          <w:rFonts w:ascii="Century Gothic" w:hAnsi="Century Gothic"/>
        </w:rPr>
        <w:t>La notificación se realizó vía electrónica en la misma fecha a la autoridad accionada.</w:t>
      </w:r>
    </w:p>
    <w:p w14:paraId="3CD337F5" w14:textId="77777777" w:rsidR="007D6026" w:rsidRPr="0026006A" w:rsidRDefault="000B58F9" w:rsidP="00144489">
      <w:pPr>
        <w:spacing w:line="360" w:lineRule="auto"/>
        <w:jc w:val="both"/>
        <w:rPr>
          <w:rFonts w:ascii="Century Gothic" w:hAnsi="Century Gothic"/>
        </w:rPr>
      </w:pPr>
      <w:r w:rsidRPr="0026006A">
        <w:rPr>
          <w:rFonts w:ascii="Century Gothic" w:hAnsi="Century Gothic"/>
        </w:rPr>
        <w:t xml:space="preserve"> </w:t>
      </w:r>
    </w:p>
    <w:p w14:paraId="0E1678D1" w14:textId="77777777" w:rsidR="000B58F9" w:rsidRPr="0026006A" w:rsidRDefault="007D6026" w:rsidP="00144489">
      <w:pPr>
        <w:spacing w:line="360" w:lineRule="auto"/>
        <w:jc w:val="center"/>
        <w:rPr>
          <w:rFonts w:ascii="Century Gothic" w:hAnsi="Century Gothic"/>
          <w:b/>
        </w:rPr>
      </w:pPr>
      <w:r w:rsidRPr="0026006A">
        <w:rPr>
          <w:rFonts w:ascii="Century Gothic" w:hAnsi="Century Gothic"/>
          <w:b/>
        </w:rPr>
        <w:t>2. CONSIDERACIONES</w:t>
      </w:r>
    </w:p>
    <w:p w14:paraId="0F258FFE" w14:textId="77777777" w:rsidR="007D6026" w:rsidRPr="0026006A" w:rsidRDefault="007D6026" w:rsidP="00144489">
      <w:pPr>
        <w:spacing w:line="360" w:lineRule="auto"/>
        <w:jc w:val="center"/>
        <w:rPr>
          <w:rFonts w:ascii="Century Gothic" w:hAnsi="Century Gothic"/>
          <w:b/>
          <w:lang w:val="es-MX"/>
        </w:rPr>
      </w:pPr>
    </w:p>
    <w:p w14:paraId="2F11C13E" w14:textId="77777777" w:rsidR="000B58F9" w:rsidRPr="0026006A" w:rsidRDefault="000B58F9" w:rsidP="00144489">
      <w:pPr>
        <w:spacing w:line="360" w:lineRule="auto"/>
        <w:jc w:val="both"/>
        <w:rPr>
          <w:rFonts w:ascii="Century Gothic" w:hAnsi="Century Gothic" w:cs="Arial"/>
          <w:bCs/>
        </w:rPr>
      </w:pPr>
      <w:r w:rsidRPr="0026006A">
        <w:rPr>
          <w:rFonts w:ascii="Century Gothic" w:hAnsi="Century Gothic" w:cs="Arial"/>
          <w:bCs/>
        </w:rPr>
        <w:t>En ejercicio de la competencia prevista en el artículo 2 de la Ley 1095</w:t>
      </w:r>
      <w:r w:rsidRPr="0026006A">
        <w:rPr>
          <w:rFonts w:ascii="Century Gothic" w:hAnsi="Century Gothic" w:cs="Arial"/>
          <w:bCs/>
          <w:vertAlign w:val="superscript"/>
        </w:rPr>
        <w:footnoteReference w:id="1"/>
      </w:r>
      <w:r w:rsidRPr="0026006A">
        <w:rPr>
          <w:rFonts w:ascii="Century Gothic" w:hAnsi="Century Gothic" w:cs="Arial"/>
          <w:bCs/>
        </w:rPr>
        <w:t xml:space="preserve"> de 2006, que reglamentó el artículo 30 de la Constitución Política</w:t>
      </w:r>
      <w:r w:rsidRPr="0026006A">
        <w:rPr>
          <w:rFonts w:ascii="Century Gothic" w:hAnsi="Century Gothic" w:cs="Arial"/>
          <w:bCs/>
          <w:vertAlign w:val="superscript"/>
        </w:rPr>
        <w:footnoteReference w:id="2"/>
      </w:r>
      <w:r w:rsidRPr="0026006A">
        <w:rPr>
          <w:rFonts w:ascii="Century Gothic" w:hAnsi="Century Gothic" w:cs="Arial"/>
          <w:bCs/>
        </w:rPr>
        <w:t>, este despacho es competente para conocer en primera instancia el presente asunto.</w:t>
      </w:r>
    </w:p>
    <w:p w14:paraId="572F2351" w14:textId="77777777" w:rsidR="000B58F9" w:rsidRPr="0026006A" w:rsidRDefault="000B58F9" w:rsidP="00144489">
      <w:pPr>
        <w:tabs>
          <w:tab w:val="left" w:pos="180"/>
          <w:tab w:val="left" w:pos="8640"/>
        </w:tabs>
        <w:spacing w:line="360" w:lineRule="auto"/>
        <w:ind w:right="-46"/>
        <w:jc w:val="both"/>
        <w:rPr>
          <w:rFonts w:ascii="Century Gothic" w:hAnsi="Century Gothic" w:cs="Arial"/>
          <w:bCs/>
        </w:rPr>
      </w:pPr>
    </w:p>
    <w:p w14:paraId="466AB251" w14:textId="77777777" w:rsidR="000B58F9" w:rsidRPr="0026006A" w:rsidRDefault="000B58F9" w:rsidP="00144489">
      <w:pPr>
        <w:tabs>
          <w:tab w:val="left" w:pos="180"/>
          <w:tab w:val="left" w:pos="8640"/>
        </w:tabs>
        <w:spacing w:line="360" w:lineRule="auto"/>
        <w:ind w:right="-46"/>
        <w:jc w:val="both"/>
        <w:rPr>
          <w:rFonts w:ascii="Century Gothic" w:hAnsi="Century Gothic" w:cs="Arial"/>
          <w:bCs/>
        </w:rPr>
      </w:pPr>
      <w:r w:rsidRPr="0026006A">
        <w:rPr>
          <w:rFonts w:ascii="Century Gothic" w:hAnsi="Century Gothic" w:cs="Arial"/>
          <w:b/>
          <w:bCs/>
        </w:rPr>
        <w:t>2</w:t>
      </w:r>
      <w:r w:rsidR="007D6026" w:rsidRPr="0026006A">
        <w:rPr>
          <w:rFonts w:ascii="Century Gothic" w:hAnsi="Century Gothic" w:cs="Arial"/>
          <w:b/>
          <w:bCs/>
        </w:rPr>
        <w:t>.1</w:t>
      </w:r>
      <w:r w:rsidRPr="0026006A">
        <w:rPr>
          <w:rFonts w:ascii="Century Gothic" w:hAnsi="Century Gothic" w:cs="Arial"/>
          <w:b/>
          <w:bCs/>
        </w:rPr>
        <w:t>.</w:t>
      </w:r>
      <w:r w:rsidRPr="0026006A">
        <w:rPr>
          <w:rFonts w:ascii="Century Gothic" w:hAnsi="Century Gothic" w:cs="Arial"/>
          <w:bCs/>
        </w:rPr>
        <w:t xml:space="preserve"> </w:t>
      </w:r>
      <w:r w:rsidR="007D6026" w:rsidRPr="0026006A">
        <w:rPr>
          <w:rFonts w:ascii="Century Gothic" w:hAnsi="Century Gothic" w:cs="Arial"/>
          <w:bCs/>
        </w:rPr>
        <w:t xml:space="preserve">El despacho precisa </w:t>
      </w:r>
      <w:r w:rsidRPr="0026006A">
        <w:rPr>
          <w:rFonts w:ascii="Century Gothic" w:hAnsi="Century Gothic" w:cs="Arial"/>
          <w:bCs/>
        </w:rPr>
        <w:t xml:space="preserve">la naturaleza especial del </w:t>
      </w:r>
      <w:r w:rsidRPr="0026006A">
        <w:rPr>
          <w:rFonts w:ascii="Century Gothic" w:hAnsi="Century Gothic" w:cs="Arial"/>
          <w:bCs/>
          <w:i/>
        </w:rPr>
        <w:t>hábeas corpus</w:t>
      </w:r>
      <w:r w:rsidRPr="0026006A">
        <w:rPr>
          <w:rFonts w:ascii="Century Gothic" w:hAnsi="Century Gothic" w:cs="Arial"/>
          <w:bCs/>
        </w:rPr>
        <w:t xml:space="preserve"> como derecho constitucional fundamental para la protección de la libertad </w:t>
      </w:r>
      <w:r w:rsidRPr="0026006A">
        <w:rPr>
          <w:rFonts w:ascii="Century Gothic" w:hAnsi="Century Gothic" w:cs="Arial"/>
          <w:bCs/>
        </w:rPr>
        <w:lastRenderedPageBreak/>
        <w:t xml:space="preserve">personal, cuando su privación se produce afectando preceptos constitucionales o legales, o cuando se prolonga ilegalmente. </w:t>
      </w:r>
    </w:p>
    <w:p w14:paraId="0647A9BE" w14:textId="77777777" w:rsidR="000B58F9" w:rsidRPr="0026006A" w:rsidRDefault="000B58F9" w:rsidP="00144489">
      <w:pPr>
        <w:tabs>
          <w:tab w:val="left" w:pos="180"/>
          <w:tab w:val="left" w:pos="8640"/>
        </w:tabs>
        <w:spacing w:line="360" w:lineRule="auto"/>
        <w:ind w:right="-46"/>
        <w:jc w:val="both"/>
        <w:rPr>
          <w:rFonts w:ascii="Century Gothic" w:hAnsi="Century Gothic" w:cs="Arial"/>
          <w:bCs/>
        </w:rPr>
      </w:pPr>
    </w:p>
    <w:p w14:paraId="0647891C" w14:textId="77777777" w:rsidR="000B58F9" w:rsidRPr="0026006A" w:rsidRDefault="000B58F9" w:rsidP="00144489">
      <w:pPr>
        <w:tabs>
          <w:tab w:val="left" w:pos="180"/>
          <w:tab w:val="left" w:pos="8640"/>
        </w:tabs>
        <w:spacing w:line="360" w:lineRule="auto"/>
        <w:ind w:right="-46"/>
        <w:jc w:val="both"/>
        <w:rPr>
          <w:rFonts w:ascii="Century Gothic" w:hAnsi="Century Gothic" w:cs="Arial"/>
          <w:bCs/>
          <w:i/>
        </w:rPr>
      </w:pPr>
      <w:r w:rsidRPr="0026006A">
        <w:rPr>
          <w:rFonts w:ascii="Century Gothic" w:hAnsi="Century Gothic" w:cs="Arial"/>
          <w:bCs/>
        </w:rPr>
        <w:t>Se trata de un mecanismo con una amplia proyección, que</w:t>
      </w:r>
      <w:r w:rsidRPr="0026006A">
        <w:rPr>
          <w:rFonts w:ascii="Century Gothic" w:hAnsi="Century Gothic" w:cs="Arial"/>
          <w:bCs/>
          <w:i/>
        </w:rPr>
        <w:t xml:space="preserve"> abarca la garantía de todo el conjunto de derechos fundamentales de la persona que se encuentra privada de su libertad de manera arbitraria o ilegal, y que por esta circunstancia se encuentra en latente y permanente amenaza</w:t>
      </w:r>
      <w:r w:rsidRPr="0026006A">
        <w:rPr>
          <w:rFonts w:ascii="Century Gothic" w:hAnsi="Century Gothic" w:cs="Arial"/>
          <w:bCs/>
          <w:vertAlign w:val="superscript"/>
        </w:rPr>
        <w:footnoteReference w:id="3"/>
      </w:r>
      <w:r w:rsidRPr="0026006A">
        <w:rPr>
          <w:rFonts w:ascii="Century Gothic" w:hAnsi="Century Gothic" w:cs="Arial"/>
          <w:bCs/>
        </w:rPr>
        <w:t>.</w:t>
      </w:r>
      <w:r w:rsidRPr="0026006A">
        <w:rPr>
          <w:rFonts w:ascii="Century Gothic" w:hAnsi="Century Gothic" w:cs="Arial"/>
          <w:bCs/>
          <w:i/>
        </w:rPr>
        <w:t xml:space="preserve"> </w:t>
      </w:r>
    </w:p>
    <w:p w14:paraId="0163BBA9" w14:textId="77777777" w:rsidR="000B58F9" w:rsidRPr="0026006A" w:rsidRDefault="000B58F9" w:rsidP="00144489">
      <w:pPr>
        <w:tabs>
          <w:tab w:val="left" w:pos="180"/>
          <w:tab w:val="left" w:pos="8640"/>
        </w:tabs>
        <w:spacing w:line="360" w:lineRule="auto"/>
        <w:ind w:right="-46"/>
        <w:jc w:val="both"/>
        <w:rPr>
          <w:rFonts w:ascii="Century Gothic" w:hAnsi="Century Gothic" w:cs="Arial"/>
          <w:bCs/>
          <w:i/>
        </w:rPr>
      </w:pPr>
    </w:p>
    <w:p w14:paraId="6A22F69E" w14:textId="77777777" w:rsidR="000B58F9" w:rsidRPr="0026006A" w:rsidRDefault="000B58F9" w:rsidP="00144489">
      <w:pPr>
        <w:tabs>
          <w:tab w:val="left" w:pos="180"/>
          <w:tab w:val="left" w:pos="8640"/>
        </w:tabs>
        <w:spacing w:line="360" w:lineRule="auto"/>
        <w:ind w:right="-46"/>
        <w:jc w:val="both"/>
        <w:rPr>
          <w:rFonts w:ascii="Century Gothic" w:hAnsi="Century Gothic" w:cs="Arial"/>
          <w:bCs/>
        </w:rPr>
      </w:pPr>
      <w:r w:rsidRPr="0026006A">
        <w:rPr>
          <w:rFonts w:ascii="Century Gothic" w:hAnsi="Century Gothic" w:cs="Arial"/>
          <w:bCs/>
        </w:rPr>
        <w:t xml:space="preserve">Por ello, la Corte Constitucional ha precisado que para su procedencia el juez debe verificar </w:t>
      </w:r>
      <w:r w:rsidRPr="0026006A">
        <w:rPr>
          <w:rFonts w:ascii="Century Gothic" w:hAnsi="Century Gothic" w:cs="Arial"/>
          <w:bCs/>
          <w:i/>
        </w:rPr>
        <w:t>(i)</w:t>
      </w:r>
      <w:r w:rsidRPr="0026006A">
        <w:rPr>
          <w:rFonts w:ascii="Century Gothic" w:hAnsi="Century Gothic" w:cs="Arial"/>
          <w:bCs/>
        </w:rPr>
        <w:t xml:space="preserve"> que la persona está privada de la libertad, </w:t>
      </w:r>
      <w:r w:rsidRPr="0026006A">
        <w:rPr>
          <w:rFonts w:ascii="Century Gothic" w:hAnsi="Century Gothic" w:cs="Arial"/>
          <w:bCs/>
          <w:i/>
        </w:rPr>
        <w:t>(ii)</w:t>
      </w:r>
      <w:r w:rsidRPr="0026006A">
        <w:rPr>
          <w:rFonts w:ascii="Century Gothic" w:hAnsi="Century Gothic" w:cs="Arial"/>
          <w:bCs/>
        </w:rPr>
        <w:t xml:space="preserve"> que el peticionario considere que la privación de la libertad o la prolongación de la misma es ilegal y </w:t>
      </w:r>
      <w:r w:rsidRPr="0026006A">
        <w:rPr>
          <w:rFonts w:ascii="Century Gothic" w:hAnsi="Century Gothic" w:cs="Arial"/>
          <w:bCs/>
          <w:i/>
        </w:rPr>
        <w:t>(</w:t>
      </w:r>
      <w:proofErr w:type="spellStart"/>
      <w:r w:rsidRPr="0026006A">
        <w:rPr>
          <w:rFonts w:ascii="Century Gothic" w:hAnsi="Century Gothic" w:cs="Arial"/>
          <w:bCs/>
          <w:i/>
        </w:rPr>
        <w:t>iii</w:t>
      </w:r>
      <w:proofErr w:type="spellEnd"/>
      <w:r w:rsidRPr="0026006A">
        <w:rPr>
          <w:rFonts w:ascii="Century Gothic" w:hAnsi="Century Gothic" w:cs="Arial"/>
          <w:bCs/>
          <w:i/>
        </w:rPr>
        <w:t>)</w:t>
      </w:r>
      <w:r w:rsidRPr="0026006A">
        <w:rPr>
          <w:rFonts w:ascii="Century Gothic" w:hAnsi="Century Gothic" w:cs="Arial"/>
          <w:bCs/>
        </w:rPr>
        <w:t xml:space="preserve"> que efectivamente se hayan violado las garantías constitucionales o legales. </w:t>
      </w:r>
    </w:p>
    <w:p w14:paraId="5A5BFC64" w14:textId="77777777" w:rsidR="000B58F9" w:rsidRPr="0026006A" w:rsidRDefault="000B58F9" w:rsidP="00144489">
      <w:pPr>
        <w:tabs>
          <w:tab w:val="left" w:pos="180"/>
          <w:tab w:val="left" w:pos="8640"/>
        </w:tabs>
        <w:spacing w:line="360" w:lineRule="auto"/>
        <w:ind w:right="-46"/>
        <w:jc w:val="both"/>
        <w:rPr>
          <w:rFonts w:ascii="Century Gothic" w:hAnsi="Century Gothic" w:cs="Arial"/>
          <w:bCs/>
        </w:rPr>
      </w:pPr>
    </w:p>
    <w:p w14:paraId="15EE6A56" w14:textId="77777777" w:rsidR="000B58F9" w:rsidRPr="0026006A" w:rsidRDefault="000B58F9" w:rsidP="00144489">
      <w:pPr>
        <w:spacing w:line="360" w:lineRule="auto"/>
        <w:ind w:right="-7"/>
        <w:jc w:val="both"/>
        <w:rPr>
          <w:rFonts w:ascii="Century Gothic" w:hAnsi="Century Gothic"/>
        </w:rPr>
      </w:pPr>
      <w:r w:rsidRPr="0026006A">
        <w:rPr>
          <w:rFonts w:ascii="Century Gothic" w:hAnsi="Century Gothic" w:cs="Arial"/>
          <w:iCs/>
        </w:rPr>
        <w:t xml:space="preserve">Por su parte, la Sala de Casación Penal de la Corte Suprema de Justicia ha indicado </w:t>
      </w:r>
      <w:r w:rsidRPr="0026006A">
        <w:rPr>
          <w:rFonts w:ascii="Century Gothic" w:hAnsi="Century Gothic"/>
        </w:rPr>
        <w:t>que esta acción no es instancia para controvertir las decisiones judiciales ordinarias, ni para discutir aspectos propios del proceso penal contra el afectado, pues tales debates deben plantearse al interior de los mismos procesos, dentro de los escenarios formales establecidos para el efecto.</w:t>
      </w:r>
    </w:p>
    <w:p w14:paraId="76722F32" w14:textId="77777777" w:rsidR="007D6026" w:rsidRPr="0026006A" w:rsidRDefault="007D6026" w:rsidP="00144489">
      <w:pPr>
        <w:spacing w:line="360" w:lineRule="auto"/>
        <w:ind w:right="-7"/>
        <w:jc w:val="both"/>
        <w:rPr>
          <w:rFonts w:ascii="Century Gothic" w:hAnsi="Century Gothic"/>
        </w:rPr>
      </w:pPr>
    </w:p>
    <w:p w14:paraId="158975B9" w14:textId="77777777" w:rsidR="000B58F9" w:rsidRPr="0026006A" w:rsidRDefault="000B58F9" w:rsidP="00144489">
      <w:pPr>
        <w:spacing w:line="360" w:lineRule="auto"/>
        <w:ind w:right="-7"/>
        <w:jc w:val="both"/>
        <w:rPr>
          <w:rFonts w:ascii="Century Gothic" w:hAnsi="Century Gothic"/>
        </w:rPr>
      </w:pPr>
      <w:r w:rsidRPr="0026006A">
        <w:rPr>
          <w:rFonts w:ascii="Century Gothic" w:hAnsi="Century Gothic"/>
        </w:rPr>
        <w:t>Además, precisó que como la acción está dirigida a proteger a la persona de la privación ilegal de la libertad o a su indebida prolongación, el juez que conoce de esta acción no puede incursionar en terrenos ajenos a este específico tema, so pena de invadir órbitas de competencia  y desbordar  la naturaleza de su función</w:t>
      </w:r>
      <w:r w:rsidRPr="0026006A">
        <w:rPr>
          <w:rFonts w:ascii="Century Gothic" w:hAnsi="Century Gothic"/>
          <w:vertAlign w:val="superscript"/>
        </w:rPr>
        <w:footnoteReference w:id="4"/>
      </w:r>
      <w:r w:rsidRPr="0026006A">
        <w:rPr>
          <w:rFonts w:ascii="Century Gothic" w:hAnsi="Century Gothic"/>
        </w:rPr>
        <w:t>.</w:t>
      </w:r>
    </w:p>
    <w:p w14:paraId="5575E4B1" w14:textId="77777777" w:rsidR="000B58F9" w:rsidRPr="0026006A" w:rsidRDefault="000B58F9" w:rsidP="00144489">
      <w:pPr>
        <w:tabs>
          <w:tab w:val="left" w:pos="180"/>
          <w:tab w:val="left" w:pos="8640"/>
        </w:tabs>
        <w:spacing w:line="360" w:lineRule="auto"/>
        <w:ind w:right="-46"/>
        <w:jc w:val="both"/>
        <w:rPr>
          <w:rFonts w:ascii="Century Gothic" w:hAnsi="Century Gothic" w:cs="Arial"/>
          <w:bCs/>
        </w:rPr>
      </w:pPr>
    </w:p>
    <w:p w14:paraId="26D333C4" w14:textId="77777777" w:rsidR="000B58F9" w:rsidRPr="0026006A" w:rsidRDefault="000B58F9" w:rsidP="00144489">
      <w:pPr>
        <w:tabs>
          <w:tab w:val="left" w:pos="180"/>
          <w:tab w:val="left" w:pos="8640"/>
        </w:tabs>
        <w:spacing w:line="360" w:lineRule="auto"/>
        <w:ind w:right="200"/>
        <w:jc w:val="both"/>
        <w:rPr>
          <w:rFonts w:ascii="Century Gothic" w:hAnsi="Century Gothic" w:cs="Arial"/>
          <w:b/>
          <w:bCs/>
        </w:rPr>
      </w:pPr>
      <w:r w:rsidRPr="0026006A">
        <w:rPr>
          <w:rFonts w:ascii="Century Gothic" w:hAnsi="Century Gothic" w:cs="Arial"/>
          <w:b/>
          <w:bCs/>
        </w:rPr>
        <w:t>2.3. Análisis del caso concreto</w:t>
      </w:r>
    </w:p>
    <w:p w14:paraId="0F75BB66" w14:textId="77777777" w:rsidR="000B58F9" w:rsidRPr="0026006A" w:rsidRDefault="000B58F9" w:rsidP="00144489">
      <w:pPr>
        <w:spacing w:line="360" w:lineRule="auto"/>
        <w:jc w:val="both"/>
        <w:rPr>
          <w:rFonts w:ascii="Century Gothic" w:hAnsi="Century Gothic" w:cs="Arial"/>
        </w:rPr>
      </w:pPr>
    </w:p>
    <w:p w14:paraId="32A2FFB0" w14:textId="56A50297" w:rsidR="005C50CD" w:rsidRPr="0026006A" w:rsidRDefault="000B58F9" w:rsidP="00144489">
      <w:pPr>
        <w:pStyle w:val="Textodebloque"/>
        <w:tabs>
          <w:tab w:val="left" w:pos="180"/>
          <w:tab w:val="left" w:pos="8789"/>
        </w:tabs>
        <w:overflowPunct/>
        <w:ind w:left="0" w:right="-91"/>
        <w:textAlignment w:val="auto"/>
        <w:rPr>
          <w:rFonts w:ascii="Century Gothic" w:hAnsi="Century Gothic"/>
          <w:sz w:val="24"/>
          <w:szCs w:val="24"/>
        </w:rPr>
      </w:pPr>
      <w:r w:rsidRPr="0026006A">
        <w:rPr>
          <w:rFonts w:ascii="Century Gothic" w:hAnsi="Century Gothic"/>
          <w:sz w:val="24"/>
          <w:szCs w:val="24"/>
        </w:rPr>
        <w:t xml:space="preserve">2.3.1. En este evento, según se precisó antes, la solicitud se fundamenta en que </w:t>
      </w:r>
      <w:r w:rsidR="007B3307" w:rsidRPr="0026006A">
        <w:rPr>
          <w:rFonts w:ascii="Century Gothic" w:hAnsi="Century Gothic"/>
          <w:sz w:val="24"/>
          <w:szCs w:val="24"/>
        </w:rPr>
        <w:t xml:space="preserve">los señores HANS o HANCEN RAMÍREZ GARZÓN, DIEGO ARMANDO </w:t>
      </w:r>
      <w:r w:rsidR="007B3307" w:rsidRPr="0026006A">
        <w:rPr>
          <w:rFonts w:ascii="Century Gothic" w:hAnsi="Century Gothic"/>
          <w:sz w:val="24"/>
          <w:szCs w:val="24"/>
        </w:rPr>
        <w:lastRenderedPageBreak/>
        <w:t xml:space="preserve">COMBITA FUENTES, FABIO ENRIQUE CAMARGO ANDRADE, LUIS FERNANDO CORTÉS AVILA, EDGAR EDISON ORTÍZ FORERO, ERIKA PILAR VILLA, YEISON ANTONIO LICONA HENAO, JOSÉ ANTONIO ANTICA, JAIME ANDRÉS OROZCO MARTÍNEZ  y JESÚS MARÍA CAMARGO MOREN </w:t>
      </w:r>
      <w:r w:rsidR="00A7068B" w:rsidRPr="0026006A">
        <w:rPr>
          <w:rFonts w:ascii="Century Gothic" w:hAnsi="Century Gothic"/>
          <w:sz w:val="24"/>
          <w:szCs w:val="24"/>
        </w:rPr>
        <w:t>considera</w:t>
      </w:r>
      <w:r w:rsidR="007B3307" w:rsidRPr="0026006A">
        <w:rPr>
          <w:rFonts w:ascii="Century Gothic" w:hAnsi="Century Gothic"/>
          <w:sz w:val="24"/>
          <w:szCs w:val="24"/>
        </w:rPr>
        <w:t>n</w:t>
      </w:r>
      <w:r w:rsidR="00A7068B" w:rsidRPr="0026006A">
        <w:rPr>
          <w:rFonts w:ascii="Century Gothic" w:hAnsi="Century Gothic"/>
          <w:sz w:val="24"/>
          <w:szCs w:val="24"/>
        </w:rPr>
        <w:t xml:space="preserve"> que</w:t>
      </w:r>
      <w:r w:rsidR="005C50CD" w:rsidRPr="0026006A">
        <w:rPr>
          <w:rFonts w:ascii="Century Gothic" w:hAnsi="Century Gothic"/>
          <w:sz w:val="24"/>
          <w:szCs w:val="24"/>
        </w:rPr>
        <w:t xml:space="preserve"> transcurrió el termino de 120 días contados  a partir de la fecha de presentación del escrito de acusación</w:t>
      </w:r>
      <w:r w:rsidR="006F700D" w:rsidRPr="0026006A">
        <w:rPr>
          <w:rFonts w:ascii="Century Gothic" w:hAnsi="Century Gothic"/>
          <w:sz w:val="24"/>
          <w:szCs w:val="24"/>
        </w:rPr>
        <w:t xml:space="preserve"> y aun no se ha dado inicio a la audiencia de juicio </w:t>
      </w:r>
      <w:r w:rsidR="005C50CD" w:rsidRPr="0026006A">
        <w:rPr>
          <w:rFonts w:ascii="Century Gothic" w:hAnsi="Century Gothic"/>
          <w:sz w:val="24"/>
          <w:szCs w:val="24"/>
        </w:rPr>
        <w:t xml:space="preserve">y por lo tanto lo procedente es </w:t>
      </w:r>
      <w:r w:rsidR="00C41521">
        <w:rPr>
          <w:rFonts w:ascii="Century Gothic" w:hAnsi="Century Gothic"/>
          <w:sz w:val="24"/>
          <w:szCs w:val="24"/>
        </w:rPr>
        <w:t xml:space="preserve">conceder </w:t>
      </w:r>
      <w:r w:rsidR="005C50CD" w:rsidRPr="0026006A">
        <w:rPr>
          <w:rFonts w:ascii="Century Gothic" w:hAnsi="Century Gothic"/>
          <w:sz w:val="24"/>
          <w:szCs w:val="24"/>
        </w:rPr>
        <w:t>su libertad inmediata</w:t>
      </w:r>
      <w:r w:rsidR="00DB6E46" w:rsidRPr="0026006A">
        <w:rPr>
          <w:rFonts w:ascii="Century Gothic" w:hAnsi="Century Gothic"/>
          <w:sz w:val="24"/>
          <w:szCs w:val="24"/>
        </w:rPr>
        <w:t xml:space="preserve"> </w:t>
      </w:r>
      <w:r w:rsidR="00C41521">
        <w:rPr>
          <w:rFonts w:ascii="Century Gothic" w:hAnsi="Century Gothic"/>
          <w:sz w:val="24"/>
          <w:szCs w:val="24"/>
        </w:rPr>
        <w:t>y finalizar así</w:t>
      </w:r>
      <w:r w:rsidR="00DB6E46" w:rsidRPr="0026006A">
        <w:rPr>
          <w:rFonts w:ascii="Century Gothic" w:hAnsi="Century Gothic"/>
          <w:sz w:val="24"/>
          <w:szCs w:val="24"/>
        </w:rPr>
        <w:t xml:space="preserve"> la medida de aseguramiento,</w:t>
      </w:r>
      <w:r w:rsidR="000B41D0" w:rsidRPr="0026006A">
        <w:rPr>
          <w:rFonts w:ascii="Century Gothic" w:hAnsi="Century Gothic"/>
          <w:sz w:val="24"/>
          <w:szCs w:val="24"/>
        </w:rPr>
        <w:t xml:space="preserve"> en aplicación al numeral 5 del articulo 317 del Código de procedimiento Penal.</w:t>
      </w:r>
    </w:p>
    <w:p w14:paraId="3237CF4A" w14:textId="77777777" w:rsidR="00A7068B" w:rsidRPr="0026006A" w:rsidRDefault="00A7068B" w:rsidP="00144489">
      <w:pPr>
        <w:pStyle w:val="Textodebloque"/>
        <w:tabs>
          <w:tab w:val="left" w:pos="180"/>
          <w:tab w:val="left" w:pos="8789"/>
        </w:tabs>
        <w:overflowPunct/>
        <w:ind w:left="0" w:right="-91"/>
        <w:textAlignment w:val="auto"/>
        <w:rPr>
          <w:rFonts w:ascii="Century Gothic" w:hAnsi="Century Gothic"/>
          <w:sz w:val="24"/>
          <w:szCs w:val="24"/>
          <w:highlight w:val="yellow"/>
        </w:rPr>
      </w:pPr>
    </w:p>
    <w:p w14:paraId="2218273F" w14:textId="77777777" w:rsidR="00C266F5" w:rsidRPr="0026006A" w:rsidRDefault="003A4F0D" w:rsidP="00144489">
      <w:pPr>
        <w:pStyle w:val="Textoindependiente"/>
        <w:rPr>
          <w:rFonts w:ascii="Century Gothic" w:hAnsi="Century Gothic"/>
          <w:sz w:val="24"/>
          <w:szCs w:val="24"/>
          <w:lang w:val="es-ES"/>
        </w:rPr>
      </w:pPr>
      <w:r w:rsidRPr="0026006A">
        <w:rPr>
          <w:rFonts w:ascii="Century Gothic" w:hAnsi="Century Gothic"/>
          <w:sz w:val="24"/>
          <w:szCs w:val="24"/>
        </w:rPr>
        <w:t xml:space="preserve">2.3.2. </w:t>
      </w:r>
      <w:r w:rsidR="000B58F9" w:rsidRPr="0026006A">
        <w:rPr>
          <w:rFonts w:ascii="Century Gothic" w:hAnsi="Century Gothic"/>
          <w:sz w:val="24"/>
          <w:szCs w:val="24"/>
        </w:rPr>
        <w:t xml:space="preserve">Por su parte, el </w:t>
      </w:r>
      <w:r w:rsidR="006E612F" w:rsidRPr="0026006A">
        <w:rPr>
          <w:rFonts w:ascii="Century Gothic" w:hAnsi="Century Gothic"/>
          <w:sz w:val="24"/>
          <w:szCs w:val="24"/>
        </w:rPr>
        <w:t xml:space="preserve">Juez </w:t>
      </w:r>
      <w:r w:rsidR="005C50CD" w:rsidRPr="0026006A">
        <w:rPr>
          <w:rFonts w:ascii="Century Gothic" w:hAnsi="Century Gothic"/>
          <w:sz w:val="24"/>
          <w:szCs w:val="24"/>
        </w:rPr>
        <w:t xml:space="preserve">26 PENAL DEL CIRCUITO DE CONOCIMIENTO DE BOGOTA </w:t>
      </w:r>
      <w:r w:rsidR="00313E53" w:rsidRPr="0026006A">
        <w:rPr>
          <w:rFonts w:ascii="Century Gothic" w:hAnsi="Century Gothic"/>
          <w:sz w:val="24"/>
          <w:szCs w:val="24"/>
          <w:lang w:val="es-ES"/>
        </w:rPr>
        <w:t xml:space="preserve"> </w:t>
      </w:r>
      <w:r w:rsidR="00B9748D" w:rsidRPr="0026006A">
        <w:rPr>
          <w:rFonts w:ascii="Century Gothic" w:hAnsi="Century Gothic"/>
          <w:sz w:val="24"/>
          <w:szCs w:val="24"/>
          <w:lang w:val="es-ES"/>
        </w:rPr>
        <w:t>informó que</w:t>
      </w:r>
      <w:r w:rsidR="006F700D" w:rsidRPr="0026006A">
        <w:rPr>
          <w:rFonts w:ascii="Century Gothic" w:hAnsi="Century Gothic"/>
          <w:sz w:val="24"/>
          <w:szCs w:val="24"/>
          <w:lang w:val="es-ES"/>
        </w:rPr>
        <w:t>:</w:t>
      </w:r>
    </w:p>
    <w:p w14:paraId="13A65BCE" w14:textId="77777777" w:rsidR="006F700D" w:rsidRPr="0026006A" w:rsidRDefault="006F700D" w:rsidP="00144489">
      <w:pPr>
        <w:pStyle w:val="Textoindependiente"/>
        <w:ind w:left="708"/>
        <w:rPr>
          <w:rFonts w:ascii="Century Gothic" w:hAnsi="Century Gothic"/>
          <w:i/>
          <w:iCs/>
          <w:sz w:val="24"/>
          <w:szCs w:val="24"/>
          <w:lang w:val="es-ES"/>
        </w:rPr>
      </w:pPr>
    </w:p>
    <w:p w14:paraId="701C9EFC" w14:textId="77777777" w:rsidR="006F700D" w:rsidRPr="0026006A" w:rsidRDefault="006F700D" w:rsidP="00144489">
      <w:pPr>
        <w:pStyle w:val="Default"/>
        <w:spacing w:line="360" w:lineRule="auto"/>
        <w:ind w:left="708"/>
        <w:jc w:val="both"/>
        <w:rPr>
          <w:rFonts w:ascii="Century Gothic" w:hAnsi="Century Gothic"/>
          <w:i/>
          <w:iCs/>
        </w:rPr>
      </w:pPr>
      <w:r w:rsidRPr="0026006A">
        <w:rPr>
          <w:rFonts w:ascii="Century Gothic" w:hAnsi="Century Gothic"/>
          <w:i/>
          <w:iCs/>
          <w:lang w:val="es-ES"/>
        </w:rPr>
        <w:t xml:space="preserve">“ </w:t>
      </w:r>
      <w:r w:rsidRPr="0026006A">
        <w:rPr>
          <w:rFonts w:ascii="Century Gothic" w:hAnsi="Century Gothic"/>
          <w:i/>
          <w:iCs/>
        </w:rPr>
        <w:t xml:space="preserve">El día 23 de Julio de 2019 ante el Juzgado 22 Penal Municipal Con funciones de Control de Garantías se celebraron audiencias preliminares, dentro de las cuales se formuló de imputación a los señores HANCEN RAMÍREZ GARZÓN, DIEGO ARMANDO COMBITA FUENTES, FABIO ENRIQUE CAMARGO ANDRADE, LUIS FERNANDO CORTÉS AVILA, EDGAR EDISON ORTÍZ FORERO, ERIKA PILAR VILLA, YEISON ANTONIO LICONA HENAO, JOSÉ ANTONIO ANTICA, JAIME ANDRÉS OROZCO MARTÍNEZ y JESÚS MARÍA CAMARGO MORENO por las conductas punibles de CONCIERTO PARA DELINQUIR en concurso heterogéneo con HURTO CALIFICADO Y AGRAVADO, cargos que </w:t>
      </w:r>
      <w:r w:rsidRPr="0026006A">
        <w:rPr>
          <w:rFonts w:ascii="Century Gothic" w:hAnsi="Century Gothic"/>
          <w:b/>
          <w:bCs/>
          <w:i/>
          <w:iCs/>
        </w:rPr>
        <w:t xml:space="preserve">fueron aceptados por los imputados. </w:t>
      </w:r>
      <w:r w:rsidRPr="0026006A">
        <w:rPr>
          <w:rFonts w:ascii="Century Gothic" w:hAnsi="Century Gothic"/>
          <w:i/>
          <w:iCs/>
        </w:rPr>
        <w:t>Además, se impuso medida de aseguramiento de detención preventiva en establecimiento carcelario.</w:t>
      </w:r>
    </w:p>
    <w:p w14:paraId="150C2FBF" w14:textId="77777777" w:rsidR="006F700D" w:rsidRPr="0026006A" w:rsidRDefault="006F700D" w:rsidP="00144489">
      <w:pPr>
        <w:pStyle w:val="Default"/>
        <w:spacing w:line="360" w:lineRule="auto"/>
        <w:ind w:left="708"/>
        <w:jc w:val="both"/>
        <w:rPr>
          <w:rFonts w:ascii="Century Gothic" w:hAnsi="Century Gothic"/>
          <w:i/>
          <w:iCs/>
        </w:rPr>
      </w:pPr>
    </w:p>
    <w:p w14:paraId="0F907227" w14:textId="77777777" w:rsidR="006F700D" w:rsidRPr="0026006A" w:rsidRDefault="006F700D" w:rsidP="00144489">
      <w:pPr>
        <w:pStyle w:val="Default"/>
        <w:spacing w:line="360" w:lineRule="auto"/>
        <w:ind w:left="708"/>
        <w:jc w:val="both"/>
        <w:rPr>
          <w:rFonts w:ascii="Century Gothic" w:hAnsi="Century Gothic"/>
          <w:i/>
          <w:iCs/>
        </w:rPr>
      </w:pPr>
      <w:r w:rsidRPr="0026006A">
        <w:rPr>
          <w:rFonts w:ascii="Century Gothic" w:hAnsi="Century Gothic"/>
          <w:i/>
          <w:iCs/>
        </w:rPr>
        <w:t>En la fecha programada no se hizo presente el delegado de la fiscalía, y por parte del INPEC no se efectuó la remisión de dos internos reprogramándose la diligencia.</w:t>
      </w:r>
    </w:p>
    <w:p w14:paraId="33780BC0" w14:textId="77777777" w:rsidR="006F700D" w:rsidRPr="0026006A" w:rsidRDefault="006F700D" w:rsidP="00144489">
      <w:pPr>
        <w:pStyle w:val="Default"/>
        <w:spacing w:line="360" w:lineRule="auto"/>
        <w:ind w:left="708"/>
        <w:jc w:val="both"/>
        <w:rPr>
          <w:rFonts w:ascii="Century Gothic" w:hAnsi="Century Gothic"/>
          <w:i/>
          <w:iCs/>
        </w:rPr>
      </w:pPr>
    </w:p>
    <w:p w14:paraId="1F678677" w14:textId="77777777" w:rsidR="006F700D" w:rsidRPr="0026006A" w:rsidRDefault="006F700D" w:rsidP="00144489">
      <w:pPr>
        <w:pStyle w:val="Default"/>
        <w:spacing w:line="360" w:lineRule="auto"/>
        <w:ind w:left="708"/>
        <w:jc w:val="both"/>
        <w:rPr>
          <w:rFonts w:ascii="Century Gothic" w:hAnsi="Century Gothic"/>
          <w:i/>
          <w:iCs/>
        </w:rPr>
      </w:pPr>
      <w:r w:rsidRPr="0026006A">
        <w:rPr>
          <w:rFonts w:ascii="Century Gothic" w:hAnsi="Century Gothic"/>
          <w:i/>
          <w:iCs/>
        </w:rPr>
        <w:t xml:space="preserve">El día </w:t>
      </w:r>
      <w:r w:rsidRPr="0026006A">
        <w:rPr>
          <w:rFonts w:ascii="Century Gothic" w:hAnsi="Century Gothic"/>
          <w:i/>
          <w:iCs/>
          <w:u w:val="single"/>
        </w:rPr>
        <w:t>25 de octubre de 2019</w:t>
      </w:r>
      <w:r w:rsidRPr="0026006A">
        <w:rPr>
          <w:rFonts w:ascii="Century Gothic" w:hAnsi="Century Gothic"/>
          <w:i/>
          <w:iCs/>
        </w:rPr>
        <w:t xml:space="preserve"> tampoco se puede efectuar la audiencia en razón a que por parte del INPEC no se efectuó la remisión de tres implicados, señalándose como nueva fecha el </w:t>
      </w:r>
      <w:r w:rsidRPr="0026006A">
        <w:rPr>
          <w:rFonts w:ascii="Century Gothic" w:hAnsi="Century Gothic"/>
          <w:i/>
          <w:iCs/>
          <w:u w:val="single"/>
        </w:rPr>
        <w:t xml:space="preserve">día 2 de diciembre de </w:t>
      </w:r>
      <w:r w:rsidRPr="0026006A">
        <w:rPr>
          <w:rFonts w:ascii="Century Gothic" w:hAnsi="Century Gothic"/>
          <w:i/>
          <w:iCs/>
          <w:u w:val="single"/>
        </w:rPr>
        <w:lastRenderedPageBreak/>
        <w:t>2019</w:t>
      </w:r>
      <w:r w:rsidRPr="0026006A">
        <w:rPr>
          <w:rFonts w:ascii="Century Gothic" w:hAnsi="Century Gothic"/>
          <w:i/>
          <w:iCs/>
        </w:rPr>
        <w:t>, fecha en la que no se efectuó en razón a que por parte de la Estación de la Candelaria No se efectuó la remisión de uno de los internos.</w:t>
      </w:r>
    </w:p>
    <w:p w14:paraId="619E422B" w14:textId="77777777" w:rsidR="006F700D" w:rsidRPr="0026006A" w:rsidRDefault="006F700D" w:rsidP="00144489">
      <w:pPr>
        <w:pStyle w:val="Default"/>
        <w:spacing w:line="360" w:lineRule="auto"/>
        <w:ind w:left="708"/>
        <w:jc w:val="both"/>
        <w:rPr>
          <w:rFonts w:ascii="Century Gothic" w:hAnsi="Century Gothic"/>
          <w:i/>
          <w:iCs/>
        </w:rPr>
      </w:pPr>
    </w:p>
    <w:p w14:paraId="0F5D5BA4" w14:textId="77777777" w:rsidR="006F700D" w:rsidRPr="0026006A" w:rsidRDefault="006F700D" w:rsidP="00144489">
      <w:pPr>
        <w:pStyle w:val="Default"/>
        <w:spacing w:line="360" w:lineRule="auto"/>
        <w:ind w:left="708"/>
        <w:jc w:val="both"/>
        <w:rPr>
          <w:rFonts w:ascii="Century Gothic" w:hAnsi="Century Gothic"/>
          <w:i/>
          <w:iCs/>
        </w:rPr>
      </w:pPr>
      <w:r w:rsidRPr="0026006A">
        <w:rPr>
          <w:rFonts w:ascii="Century Gothic" w:hAnsi="Century Gothic"/>
          <w:i/>
          <w:iCs/>
        </w:rPr>
        <w:t xml:space="preserve">El día </w:t>
      </w:r>
      <w:r w:rsidRPr="0026006A">
        <w:rPr>
          <w:rFonts w:ascii="Century Gothic" w:hAnsi="Century Gothic"/>
          <w:i/>
          <w:iCs/>
          <w:u w:val="single"/>
        </w:rPr>
        <w:t>29 de enero de 2020</w:t>
      </w:r>
      <w:r w:rsidRPr="0026006A">
        <w:rPr>
          <w:rFonts w:ascii="Century Gothic" w:hAnsi="Century Gothic"/>
          <w:i/>
          <w:iCs/>
        </w:rPr>
        <w:t xml:space="preserve"> no se efectúa la diligencia por la falta de remisión de uno de los imputados, razón por la cual se reprograma para el día </w:t>
      </w:r>
      <w:r w:rsidRPr="0026006A">
        <w:rPr>
          <w:rFonts w:ascii="Century Gothic" w:hAnsi="Century Gothic"/>
          <w:i/>
          <w:iCs/>
          <w:u w:val="single"/>
        </w:rPr>
        <w:t>6 de marzo de 2020</w:t>
      </w:r>
      <w:r w:rsidRPr="0026006A">
        <w:rPr>
          <w:rFonts w:ascii="Century Gothic" w:hAnsi="Century Gothic"/>
          <w:i/>
          <w:iCs/>
        </w:rPr>
        <w:t>, fecha en la cual la defensa solicita aplazamiento con el fin de buscar indemnización a las víctimas.</w:t>
      </w:r>
      <w:r w:rsidR="000B41D0" w:rsidRPr="0026006A">
        <w:rPr>
          <w:rFonts w:ascii="Century Gothic" w:hAnsi="Century Gothic"/>
          <w:i/>
          <w:iCs/>
        </w:rPr>
        <w:t xml:space="preserve"> </w:t>
      </w:r>
      <w:r w:rsidRPr="0026006A">
        <w:rPr>
          <w:rFonts w:ascii="Century Gothic" w:hAnsi="Century Gothic"/>
          <w:i/>
          <w:iCs/>
        </w:rPr>
        <w:t xml:space="preserve">Reprogramándose para el día </w:t>
      </w:r>
      <w:r w:rsidRPr="0026006A">
        <w:rPr>
          <w:rFonts w:ascii="Century Gothic" w:hAnsi="Century Gothic"/>
          <w:i/>
          <w:iCs/>
          <w:u w:val="single"/>
        </w:rPr>
        <w:t>17 de abril de 2020</w:t>
      </w:r>
      <w:r w:rsidRPr="0026006A">
        <w:rPr>
          <w:rFonts w:ascii="Century Gothic" w:hAnsi="Century Gothic"/>
          <w:i/>
          <w:iCs/>
        </w:rPr>
        <w:t xml:space="preserve">, fecha en la cual el señor defensor depreco en favor de la señora ERIKA PAOLA VILLA el beneficio de la prisión domiciliaria transitoria en aplicación del Decreto Ley 546 de 2020, señalándose los días 21 de abril de 2020 para resolver la solicitud invocada. En la fecha señalada, se </w:t>
      </w:r>
      <w:r w:rsidR="000B41D0" w:rsidRPr="0026006A">
        <w:rPr>
          <w:rFonts w:ascii="Century Gothic" w:hAnsi="Century Gothic"/>
          <w:i/>
          <w:iCs/>
        </w:rPr>
        <w:t>dispuso a</w:t>
      </w:r>
      <w:r w:rsidRPr="0026006A">
        <w:rPr>
          <w:rFonts w:ascii="Century Gothic" w:hAnsi="Century Gothic"/>
          <w:i/>
          <w:iCs/>
        </w:rPr>
        <w:t xml:space="preserve"> negar la petición invocada.</w:t>
      </w:r>
    </w:p>
    <w:p w14:paraId="0B916B43" w14:textId="77777777" w:rsidR="006F700D" w:rsidRPr="0026006A" w:rsidRDefault="006F700D" w:rsidP="00144489">
      <w:pPr>
        <w:pStyle w:val="Default"/>
        <w:spacing w:line="360" w:lineRule="auto"/>
        <w:ind w:left="708"/>
        <w:jc w:val="both"/>
        <w:rPr>
          <w:rFonts w:ascii="Century Gothic" w:hAnsi="Century Gothic"/>
          <w:i/>
          <w:iCs/>
        </w:rPr>
      </w:pPr>
    </w:p>
    <w:p w14:paraId="56258341" w14:textId="0AF07DE1" w:rsidR="009920AA" w:rsidRPr="0026006A" w:rsidRDefault="006F700D" w:rsidP="00435692">
      <w:pPr>
        <w:pStyle w:val="Default"/>
        <w:spacing w:line="360" w:lineRule="auto"/>
        <w:ind w:left="708"/>
        <w:jc w:val="both"/>
        <w:rPr>
          <w:rFonts w:ascii="Century Gothic" w:hAnsi="Century Gothic"/>
          <w:i/>
          <w:iCs/>
          <w:lang w:val="es-ES"/>
        </w:rPr>
      </w:pPr>
      <w:r w:rsidRPr="0026006A">
        <w:rPr>
          <w:rFonts w:ascii="Century Gothic" w:hAnsi="Century Gothic"/>
          <w:i/>
          <w:iCs/>
        </w:rPr>
        <w:t xml:space="preserve">Se encuentra señalado el </w:t>
      </w:r>
      <w:r w:rsidRPr="0026006A">
        <w:rPr>
          <w:rFonts w:ascii="Century Gothic" w:hAnsi="Century Gothic"/>
          <w:b/>
          <w:bCs/>
          <w:i/>
          <w:iCs/>
        </w:rPr>
        <w:t>día 18 de mayo de 2020 a la hora de las 02:00 p.m</w:t>
      </w:r>
      <w:r w:rsidRPr="0026006A">
        <w:rPr>
          <w:rFonts w:ascii="Century Gothic" w:hAnsi="Century Gothic"/>
          <w:i/>
          <w:iCs/>
        </w:rPr>
        <w:t>. para la celebración de la audiencia de individualización de pena con ocasión a la aceptación de cargos.</w:t>
      </w:r>
      <w:r w:rsidRPr="0026006A">
        <w:rPr>
          <w:rFonts w:ascii="Century Gothic" w:hAnsi="Century Gothic"/>
          <w:i/>
          <w:iCs/>
          <w:lang w:val="es-ES"/>
        </w:rPr>
        <w:t>”</w:t>
      </w:r>
      <w:r w:rsidR="00435692">
        <w:rPr>
          <w:rFonts w:ascii="Century Gothic" w:hAnsi="Century Gothic"/>
          <w:i/>
          <w:iCs/>
          <w:lang w:val="es-ES"/>
        </w:rPr>
        <w:t xml:space="preserve"> </w:t>
      </w:r>
      <w:r w:rsidR="009920AA" w:rsidRPr="0026006A">
        <w:rPr>
          <w:rFonts w:ascii="Century Gothic" w:hAnsi="Century Gothic"/>
          <w:i/>
          <w:iCs/>
          <w:lang w:val="es-ES"/>
        </w:rPr>
        <w:t>(…)</w:t>
      </w:r>
    </w:p>
    <w:p w14:paraId="7829478D" w14:textId="77777777" w:rsidR="009920AA" w:rsidRPr="0026006A" w:rsidRDefault="009920AA" w:rsidP="00144489">
      <w:pPr>
        <w:pStyle w:val="Textoindependiente"/>
        <w:ind w:left="708"/>
        <w:rPr>
          <w:rFonts w:ascii="Century Gothic" w:hAnsi="Century Gothic"/>
          <w:i/>
          <w:iCs/>
          <w:sz w:val="24"/>
          <w:szCs w:val="24"/>
          <w:lang w:val="es-ES"/>
        </w:rPr>
      </w:pPr>
    </w:p>
    <w:p w14:paraId="62AADE7D" w14:textId="77777777" w:rsidR="009920AA" w:rsidRPr="0026006A" w:rsidRDefault="009920AA" w:rsidP="00144489">
      <w:pPr>
        <w:pStyle w:val="Textoindependiente"/>
        <w:ind w:left="708"/>
        <w:rPr>
          <w:rFonts w:ascii="Century Gothic" w:hAnsi="Century Gothic"/>
          <w:i/>
          <w:iCs/>
          <w:sz w:val="24"/>
          <w:szCs w:val="24"/>
          <w:lang w:val="es-ES"/>
        </w:rPr>
      </w:pPr>
      <w:r w:rsidRPr="0026006A">
        <w:rPr>
          <w:rFonts w:ascii="Century Gothic" w:hAnsi="Century Gothic"/>
          <w:i/>
          <w:iCs/>
          <w:sz w:val="24"/>
          <w:szCs w:val="24"/>
          <w:lang w:val="es-ES"/>
        </w:rPr>
        <w:t>Nótese, para el caso concreto el señor defensor parte de una premisa tendiente a establecer la presunta privación ilegal de la libertad de sus prohijados, a través de diferentes argumentos que se enmarcan dentro de presuntas circunstancias de vencimiento de términos al manifestar que se excede lo establecido en el artículo 317 del código de procedimiento penal denominado “plazo razonable”, pasando por alto que el habeas corpus no es una tercera instancia, ni un mecanismo alternativo frente a los medios procesales con que cuentan los privados de la libertad. Por ello, las peticiones de libertad de quien se halla legalmente privado como acontece en el presente asunto, deben formularse ante los Jueces de Control de Garantías y no por medio de esta acción constitucional. (</w:t>
      </w:r>
      <w:r w:rsidR="00DE5EC4" w:rsidRPr="0026006A">
        <w:rPr>
          <w:rFonts w:ascii="Century Gothic" w:hAnsi="Century Gothic"/>
          <w:i/>
          <w:iCs/>
          <w:sz w:val="24"/>
          <w:szCs w:val="24"/>
          <w:lang w:val="es-ES"/>
        </w:rPr>
        <w:t>…</w:t>
      </w:r>
      <w:r w:rsidRPr="0026006A">
        <w:rPr>
          <w:rFonts w:ascii="Century Gothic" w:hAnsi="Century Gothic"/>
          <w:i/>
          <w:iCs/>
          <w:sz w:val="24"/>
          <w:szCs w:val="24"/>
          <w:lang w:val="es-ES"/>
        </w:rPr>
        <w:t>)</w:t>
      </w:r>
    </w:p>
    <w:p w14:paraId="50263B66" w14:textId="77777777" w:rsidR="009920AA" w:rsidRPr="0026006A" w:rsidRDefault="009920AA" w:rsidP="00144489">
      <w:pPr>
        <w:pStyle w:val="Textoindependiente"/>
        <w:ind w:left="708"/>
        <w:rPr>
          <w:rFonts w:ascii="Century Gothic" w:hAnsi="Century Gothic"/>
          <w:i/>
          <w:iCs/>
          <w:sz w:val="24"/>
          <w:szCs w:val="24"/>
          <w:lang w:val="es-ES"/>
        </w:rPr>
      </w:pPr>
    </w:p>
    <w:p w14:paraId="65C197A9" w14:textId="77777777" w:rsidR="009920AA" w:rsidRPr="0026006A" w:rsidRDefault="00DE5EC4" w:rsidP="00144489">
      <w:pPr>
        <w:pStyle w:val="Textoindependiente"/>
        <w:ind w:left="708"/>
        <w:rPr>
          <w:rFonts w:ascii="Century Gothic" w:hAnsi="Century Gothic"/>
          <w:i/>
          <w:iCs/>
          <w:sz w:val="24"/>
          <w:szCs w:val="24"/>
        </w:rPr>
      </w:pPr>
      <w:r w:rsidRPr="0026006A">
        <w:rPr>
          <w:rFonts w:ascii="Century Gothic" w:hAnsi="Century Gothic"/>
          <w:i/>
          <w:iCs/>
          <w:sz w:val="24"/>
          <w:szCs w:val="24"/>
        </w:rPr>
        <w:t xml:space="preserve">Aunado lo anterior en su escrito el señor defensor plantea erróneamente como vía de hecho la privación ilegal de la libertad, </w:t>
      </w:r>
      <w:r w:rsidRPr="0026006A">
        <w:rPr>
          <w:rFonts w:ascii="Century Gothic" w:hAnsi="Century Gothic"/>
          <w:i/>
          <w:iCs/>
          <w:sz w:val="24"/>
          <w:szCs w:val="24"/>
        </w:rPr>
        <w:lastRenderedPageBreak/>
        <w:t>argumentando el vencimiento del plazo razonable que para el presente caso se encuentra enmarcado en el artículo 317 numeral quinto</w:t>
      </w:r>
      <w:r w:rsidRPr="0026006A">
        <w:rPr>
          <w:rStyle w:val="Refdenotaalpie"/>
          <w:rFonts w:ascii="Century Gothic" w:hAnsi="Century Gothic"/>
          <w:i/>
          <w:iCs/>
          <w:sz w:val="24"/>
          <w:szCs w:val="24"/>
        </w:rPr>
        <w:footnoteReference w:id="5"/>
      </w:r>
      <w:r w:rsidRPr="0026006A">
        <w:rPr>
          <w:rFonts w:ascii="Century Gothic" w:hAnsi="Century Gothic"/>
          <w:i/>
          <w:iCs/>
          <w:sz w:val="24"/>
          <w:szCs w:val="24"/>
        </w:rPr>
        <w:t xml:space="preserve"> (…)</w:t>
      </w:r>
    </w:p>
    <w:p w14:paraId="4EE425E8" w14:textId="77777777" w:rsidR="00DE5EC4" w:rsidRPr="0026006A" w:rsidRDefault="00DE5EC4" w:rsidP="00144489">
      <w:pPr>
        <w:pStyle w:val="Textoindependiente"/>
        <w:ind w:left="708"/>
        <w:rPr>
          <w:rFonts w:ascii="Century Gothic" w:hAnsi="Century Gothic"/>
          <w:i/>
          <w:iCs/>
          <w:sz w:val="24"/>
          <w:szCs w:val="24"/>
        </w:rPr>
      </w:pPr>
    </w:p>
    <w:p w14:paraId="218F0442" w14:textId="77777777" w:rsidR="00DE5EC4" w:rsidRPr="0026006A" w:rsidRDefault="00DE5EC4" w:rsidP="00144489">
      <w:pPr>
        <w:pStyle w:val="Textoindependiente"/>
        <w:ind w:left="708"/>
        <w:rPr>
          <w:rFonts w:ascii="Century Gothic" w:hAnsi="Century Gothic"/>
          <w:i/>
          <w:iCs/>
          <w:sz w:val="24"/>
          <w:szCs w:val="24"/>
          <w:lang w:val="es-ES"/>
        </w:rPr>
      </w:pPr>
      <w:r w:rsidRPr="0026006A">
        <w:rPr>
          <w:rFonts w:ascii="Century Gothic" w:hAnsi="Century Gothic"/>
          <w:i/>
          <w:iCs/>
          <w:sz w:val="24"/>
          <w:szCs w:val="24"/>
          <w:lang w:val="es-ES"/>
        </w:rPr>
        <w:t>Así las cosas, vale señalar que para que este sea aplicado como vía de hecho de carácter excepcional dentro de la acción de habeas corpus se requiere cumplir con una serie de argumentos y especificaciones que no fueron satisfechas por el señor defensor, pues de lo planteado no se ha corroborado que se agotó la vía ordinaria o que se presenta inoperancia de las herramientas establecidas por el legislador frente al vencimiento de término, permitiendo entonces indicar que para el presente caso lo que se pretende es obviar el procedimiento y hacer un uso erróneo de los elementos constitucionales para acceder a la libertad.</w:t>
      </w:r>
    </w:p>
    <w:p w14:paraId="06A31CB1" w14:textId="77777777" w:rsidR="00DE5EC4" w:rsidRPr="0026006A" w:rsidRDefault="00DE5EC4" w:rsidP="00144489">
      <w:pPr>
        <w:pStyle w:val="Textoindependiente"/>
        <w:ind w:left="708"/>
        <w:rPr>
          <w:rFonts w:ascii="Century Gothic" w:hAnsi="Century Gothic"/>
          <w:i/>
          <w:iCs/>
          <w:sz w:val="24"/>
          <w:szCs w:val="24"/>
          <w:lang w:val="es-ES"/>
        </w:rPr>
      </w:pPr>
    </w:p>
    <w:p w14:paraId="3A905511" w14:textId="77777777" w:rsidR="00DE5EC4" w:rsidRPr="0026006A" w:rsidRDefault="00DE5EC4" w:rsidP="00144489">
      <w:pPr>
        <w:pStyle w:val="Textoindependiente"/>
        <w:ind w:left="708"/>
        <w:rPr>
          <w:rFonts w:ascii="Century Gothic" w:hAnsi="Century Gothic"/>
          <w:i/>
          <w:iCs/>
          <w:sz w:val="24"/>
          <w:szCs w:val="24"/>
          <w:lang w:val="es-ES"/>
        </w:rPr>
      </w:pPr>
      <w:r w:rsidRPr="0026006A">
        <w:rPr>
          <w:rFonts w:ascii="Century Gothic" w:hAnsi="Century Gothic"/>
          <w:i/>
          <w:iCs/>
          <w:sz w:val="24"/>
          <w:szCs w:val="24"/>
          <w:lang w:val="es-ES"/>
        </w:rPr>
        <w:t>Conforme lo anterior y desvirtuándose la premisa que sustenta el petitum de la defensa, se permite inferir que los argumentos presentados por el señor defensor carecen de la fuerza argumentativa requerida, para establecer la procedencia de la acción constitucional.</w:t>
      </w:r>
    </w:p>
    <w:p w14:paraId="4E1C51CE" w14:textId="77777777" w:rsidR="00DE5EC4" w:rsidRPr="0026006A" w:rsidRDefault="00DE5EC4" w:rsidP="00144489">
      <w:pPr>
        <w:pStyle w:val="Textoindependiente"/>
        <w:ind w:left="708"/>
        <w:rPr>
          <w:rFonts w:ascii="Century Gothic" w:hAnsi="Century Gothic"/>
          <w:i/>
          <w:iCs/>
          <w:sz w:val="24"/>
          <w:szCs w:val="24"/>
          <w:lang w:val="es-ES"/>
        </w:rPr>
      </w:pPr>
    </w:p>
    <w:p w14:paraId="2F7B2381" w14:textId="77777777" w:rsidR="00DE5EC4" w:rsidRPr="0026006A" w:rsidRDefault="00DE5EC4" w:rsidP="00144489">
      <w:pPr>
        <w:pStyle w:val="Textoindependiente"/>
        <w:ind w:left="708"/>
        <w:rPr>
          <w:rFonts w:ascii="Century Gothic" w:hAnsi="Century Gothic"/>
          <w:i/>
          <w:iCs/>
          <w:sz w:val="24"/>
          <w:szCs w:val="24"/>
          <w:lang w:val="es-ES"/>
        </w:rPr>
      </w:pPr>
      <w:r w:rsidRPr="0026006A">
        <w:rPr>
          <w:rFonts w:ascii="Century Gothic" w:hAnsi="Century Gothic"/>
          <w:i/>
          <w:iCs/>
          <w:sz w:val="24"/>
          <w:szCs w:val="24"/>
          <w:lang w:val="es-ES"/>
        </w:rPr>
        <w:t xml:space="preserve">Entonces, conforme a los planteamientos fácticos y jurisprudenciales, me permito solicitarle, se decrete la improcedencia de la acción invocada respecto de este Despacho, por cuanto no se presenta en </w:t>
      </w:r>
      <w:r w:rsidRPr="0026006A">
        <w:rPr>
          <w:rFonts w:ascii="Century Gothic" w:hAnsi="Century Gothic"/>
          <w:i/>
          <w:iCs/>
          <w:sz w:val="24"/>
          <w:szCs w:val="24"/>
          <w:lang w:val="es-ES"/>
        </w:rPr>
        <w:lastRenderedPageBreak/>
        <w:t>este caso una privación ilegal de la libertad de los aquí procesados máxime cuando se han respetado los preceptos de carácter constitucional. Además, si lo pretendido por el señor defensor consiste en alegar la libertad de sus prohijados por el presunto vencimiento de términos, la Ley 906 de 2004 ha sido clara al señalar que es el JUEZ DE CONTROL DE GARANTIAS el encargado de dirimir tal conflicto jurídico, pues la acción de HABEAS CORPUS tiene como fin conocer de la privación ilegal de la libertad y no de vencimiento de términos procesales. (…)</w:t>
      </w:r>
    </w:p>
    <w:p w14:paraId="220DD346" w14:textId="77777777" w:rsidR="00C266F5" w:rsidRPr="0026006A" w:rsidRDefault="00C266F5" w:rsidP="00144489">
      <w:pPr>
        <w:pStyle w:val="Textoindependiente"/>
        <w:rPr>
          <w:rFonts w:ascii="Century Gothic" w:hAnsi="Century Gothic"/>
          <w:sz w:val="24"/>
          <w:szCs w:val="24"/>
          <w:highlight w:val="yellow"/>
          <w:lang w:val="es-ES"/>
        </w:rPr>
      </w:pPr>
    </w:p>
    <w:p w14:paraId="076EDBE1" w14:textId="734FF42C" w:rsidR="00C67766" w:rsidRPr="0026006A" w:rsidRDefault="00C266F5" w:rsidP="00144489">
      <w:pPr>
        <w:pStyle w:val="Textoindependiente"/>
        <w:rPr>
          <w:rFonts w:ascii="Century Gothic" w:hAnsi="Century Gothic"/>
          <w:i/>
          <w:iCs/>
          <w:sz w:val="24"/>
          <w:szCs w:val="24"/>
        </w:rPr>
      </w:pPr>
      <w:r w:rsidRPr="0026006A">
        <w:rPr>
          <w:rFonts w:ascii="Century Gothic" w:hAnsi="Century Gothic"/>
          <w:sz w:val="24"/>
          <w:szCs w:val="24"/>
          <w:lang w:val="es-ES"/>
        </w:rPr>
        <w:t xml:space="preserve">Es decir, </w:t>
      </w:r>
      <w:r w:rsidR="00CC555D" w:rsidRPr="0026006A">
        <w:rPr>
          <w:rFonts w:ascii="Century Gothic" w:hAnsi="Century Gothic"/>
          <w:sz w:val="24"/>
          <w:szCs w:val="24"/>
          <w:lang w:val="es-ES"/>
        </w:rPr>
        <w:t>que</w:t>
      </w:r>
      <w:r w:rsidR="00C41521">
        <w:rPr>
          <w:rFonts w:ascii="Century Gothic" w:hAnsi="Century Gothic"/>
          <w:sz w:val="24"/>
          <w:szCs w:val="24"/>
          <w:lang w:val="es-ES"/>
        </w:rPr>
        <w:t xml:space="preserve"> a</w:t>
      </w:r>
      <w:r w:rsidR="00CC555D" w:rsidRPr="0026006A">
        <w:rPr>
          <w:rFonts w:ascii="Century Gothic" w:hAnsi="Century Gothic"/>
          <w:sz w:val="24"/>
          <w:szCs w:val="24"/>
          <w:lang w:val="es-ES"/>
        </w:rPr>
        <w:t xml:space="preserve"> las </w:t>
      </w:r>
      <w:r w:rsidR="00C67766" w:rsidRPr="0026006A">
        <w:rPr>
          <w:rFonts w:ascii="Century Gothic" w:hAnsi="Century Gothic"/>
          <w:sz w:val="24"/>
          <w:szCs w:val="24"/>
          <w:lang w:val="es-ES"/>
        </w:rPr>
        <w:t xml:space="preserve">10 </w:t>
      </w:r>
      <w:r w:rsidR="00CC555D" w:rsidRPr="0026006A">
        <w:rPr>
          <w:rFonts w:ascii="Century Gothic" w:hAnsi="Century Gothic"/>
          <w:sz w:val="24"/>
          <w:szCs w:val="24"/>
          <w:lang w:val="es-ES"/>
        </w:rPr>
        <w:t>personas</w:t>
      </w:r>
      <w:r w:rsidR="00C67766" w:rsidRPr="0026006A">
        <w:rPr>
          <w:rStyle w:val="Refdenotaalpie"/>
          <w:rFonts w:ascii="Century Gothic" w:hAnsi="Century Gothic"/>
          <w:sz w:val="24"/>
          <w:szCs w:val="24"/>
          <w:lang w:val="es-ES"/>
        </w:rPr>
        <w:footnoteReference w:id="6"/>
      </w:r>
      <w:r w:rsidR="00CC555D" w:rsidRPr="0026006A">
        <w:rPr>
          <w:rFonts w:ascii="Century Gothic" w:hAnsi="Century Gothic"/>
          <w:sz w:val="24"/>
          <w:szCs w:val="24"/>
          <w:lang w:val="es-ES"/>
        </w:rPr>
        <w:t xml:space="preserve"> privadas de su libertad</w:t>
      </w:r>
      <w:r w:rsidR="006E612F" w:rsidRPr="0026006A">
        <w:rPr>
          <w:rFonts w:ascii="Century Gothic" w:hAnsi="Century Gothic"/>
          <w:sz w:val="24"/>
          <w:szCs w:val="24"/>
          <w:lang w:val="es-ES"/>
        </w:rPr>
        <w:t xml:space="preserve"> </w:t>
      </w:r>
      <w:r w:rsidR="0026006A" w:rsidRPr="0026006A">
        <w:rPr>
          <w:rFonts w:ascii="Century Gothic" w:hAnsi="Century Gothic"/>
          <w:sz w:val="24"/>
          <w:szCs w:val="24"/>
          <w:lang w:val="es-ES"/>
        </w:rPr>
        <w:t xml:space="preserve">dentro del proceso que </w:t>
      </w:r>
      <w:r w:rsidR="006E612F" w:rsidRPr="0026006A">
        <w:rPr>
          <w:rFonts w:ascii="Century Gothic" w:hAnsi="Century Gothic"/>
          <w:sz w:val="24"/>
          <w:szCs w:val="24"/>
          <w:lang w:val="es-ES"/>
        </w:rPr>
        <w:t>tramita</w:t>
      </w:r>
      <w:r w:rsidR="0026006A" w:rsidRPr="0026006A">
        <w:rPr>
          <w:rFonts w:ascii="Century Gothic" w:hAnsi="Century Gothic"/>
          <w:sz w:val="24"/>
          <w:szCs w:val="24"/>
          <w:lang w:val="es-ES"/>
        </w:rPr>
        <w:t xml:space="preserve"> </w:t>
      </w:r>
      <w:r w:rsidR="006E612F" w:rsidRPr="0026006A">
        <w:rPr>
          <w:rFonts w:ascii="Century Gothic" w:hAnsi="Century Gothic"/>
          <w:sz w:val="24"/>
          <w:szCs w:val="24"/>
          <w:lang w:val="es-ES"/>
        </w:rPr>
        <w:t xml:space="preserve">el </w:t>
      </w:r>
      <w:r w:rsidR="006E612F" w:rsidRPr="0026006A">
        <w:rPr>
          <w:rFonts w:ascii="Century Gothic" w:hAnsi="Century Gothic"/>
          <w:sz w:val="24"/>
          <w:szCs w:val="24"/>
        </w:rPr>
        <w:t xml:space="preserve">Juez 26 PENAL DEL CIRCUITO DE CONOCIMIENTO DE </w:t>
      </w:r>
      <w:r w:rsidR="00435692" w:rsidRPr="0026006A">
        <w:rPr>
          <w:rFonts w:ascii="Century Gothic" w:hAnsi="Century Gothic"/>
          <w:sz w:val="24"/>
          <w:szCs w:val="24"/>
        </w:rPr>
        <w:t>BOGOT</w:t>
      </w:r>
      <w:r w:rsidR="00435692">
        <w:rPr>
          <w:rFonts w:ascii="Century Gothic" w:hAnsi="Century Gothic"/>
          <w:sz w:val="24"/>
          <w:szCs w:val="24"/>
        </w:rPr>
        <w:t>Á</w:t>
      </w:r>
      <w:r w:rsidR="00435692" w:rsidRPr="0026006A">
        <w:rPr>
          <w:rFonts w:ascii="Century Gothic" w:hAnsi="Century Gothic"/>
          <w:sz w:val="24"/>
          <w:szCs w:val="24"/>
        </w:rPr>
        <w:t xml:space="preserve"> </w:t>
      </w:r>
      <w:r w:rsidR="00435692" w:rsidRPr="0026006A">
        <w:rPr>
          <w:rFonts w:ascii="Century Gothic" w:hAnsi="Century Gothic"/>
          <w:sz w:val="24"/>
          <w:szCs w:val="24"/>
          <w:lang w:val="es-ES"/>
        </w:rPr>
        <w:t>bajo</w:t>
      </w:r>
      <w:r w:rsidR="006E612F" w:rsidRPr="0026006A">
        <w:rPr>
          <w:rFonts w:ascii="Century Gothic" w:hAnsi="Century Gothic"/>
          <w:sz w:val="24"/>
          <w:szCs w:val="24"/>
          <w:lang w:val="es-ES"/>
        </w:rPr>
        <w:t xml:space="preserve"> el radicado </w:t>
      </w:r>
      <w:r w:rsidR="006E612F" w:rsidRPr="0026006A">
        <w:rPr>
          <w:rFonts w:ascii="Century Gothic" w:hAnsi="Century Gothic"/>
          <w:b/>
          <w:bCs/>
          <w:sz w:val="24"/>
          <w:szCs w:val="24"/>
          <w:lang w:val="es-ES"/>
        </w:rPr>
        <w:t>11001600005720190010600</w:t>
      </w:r>
      <w:r w:rsidR="00C67766" w:rsidRPr="0026006A">
        <w:rPr>
          <w:rFonts w:ascii="Century Gothic" w:hAnsi="Century Gothic"/>
          <w:sz w:val="24"/>
          <w:szCs w:val="24"/>
          <w:lang w:val="es-ES"/>
        </w:rPr>
        <w:t xml:space="preserve"> desde la presentación del escrito de acusación 12 de agosto de 2019, </w:t>
      </w:r>
      <w:r w:rsidR="00C41521">
        <w:rPr>
          <w:rFonts w:ascii="Century Gothic" w:hAnsi="Century Gothic"/>
          <w:sz w:val="24"/>
          <w:szCs w:val="24"/>
          <w:lang w:val="es-ES"/>
        </w:rPr>
        <w:t xml:space="preserve">se les </w:t>
      </w:r>
      <w:r w:rsidR="00C67766" w:rsidRPr="0026006A">
        <w:rPr>
          <w:rFonts w:ascii="Century Gothic" w:hAnsi="Century Gothic"/>
          <w:sz w:val="24"/>
          <w:szCs w:val="24"/>
          <w:lang w:val="es-ES"/>
        </w:rPr>
        <w:t>ha</w:t>
      </w:r>
      <w:r w:rsidR="00C41521">
        <w:rPr>
          <w:rFonts w:ascii="Century Gothic" w:hAnsi="Century Gothic"/>
          <w:sz w:val="24"/>
          <w:szCs w:val="24"/>
          <w:lang w:val="es-ES"/>
        </w:rPr>
        <w:t>n</w:t>
      </w:r>
      <w:r w:rsidR="00C67766" w:rsidRPr="0026006A">
        <w:rPr>
          <w:rFonts w:ascii="Century Gothic" w:hAnsi="Century Gothic"/>
          <w:sz w:val="24"/>
          <w:szCs w:val="24"/>
          <w:lang w:val="es-ES"/>
        </w:rPr>
        <w:t xml:space="preserve"> </w:t>
      </w:r>
      <w:r w:rsidR="00C41521">
        <w:rPr>
          <w:rFonts w:ascii="Century Gothic" w:hAnsi="Century Gothic"/>
          <w:sz w:val="24"/>
          <w:szCs w:val="24"/>
          <w:lang w:val="es-ES"/>
        </w:rPr>
        <w:t>agendado diferentes fechas par</w:t>
      </w:r>
      <w:r w:rsidR="00C67766" w:rsidRPr="0026006A">
        <w:rPr>
          <w:rFonts w:ascii="Century Gothic" w:hAnsi="Century Gothic"/>
          <w:sz w:val="24"/>
          <w:szCs w:val="24"/>
          <w:lang w:val="es-ES"/>
        </w:rPr>
        <w:t>a la celebración de la audiencia</w:t>
      </w:r>
      <w:r w:rsidR="0026006A" w:rsidRPr="0026006A">
        <w:rPr>
          <w:rFonts w:ascii="Century Gothic" w:hAnsi="Century Gothic"/>
          <w:sz w:val="24"/>
          <w:szCs w:val="24"/>
          <w:lang w:val="es-ES"/>
        </w:rPr>
        <w:t>.</w:t>
      </w:r>
      <w:r w:rsidR="00C67766" w:rsidRPr="0026006A">
        <w:rPr>
          <w:rFonts w:ascii="Century Gothic" w:hAnsi="Century Gothic"/>
          <w:sz w:val="24"/>
          <w:szCs w:val="24"/>
          <w:lang w:val="es-ES"/>
        </w:rPr>
        <w:t xml:space="preserve"> </w:t>
      </w:r>
      <w:r w:rsidR="0026006A" w:rsidRPr="0026006A">
        <w:rPr>
          <w:rFonts w:ascii="Century Gothic" w:hAnsi="Century Gothic"/>
          <w:sz w:val="24"/>
          <w:szCs w:val="24"/>
          <w:lang w:val="es-ES"/>
        </w:rPr>
        <w:t>S</w:t>
      </w:r>
      <w:r w:rsidR="00C67766" w:rsidRPr="0026006A">
        <w:rPr>
          <w:rFonts w:ascii="Century Gothic" w:hAnsi="Century Gothic"/>
          <w:sz w:val="24"/>
          <w:szCs w:val="24"/>
          <w:lang w:val="es-ES"/>
        </w:rPr>
        <w:t>in embargo</w:t>
      </w:r>
      <w:r w:rsidR="0026006A" w:rsidRPr="0026006A">
        <w:rPr>
          <w:rFonts w:ascii="Century Gothic" w:hAnsi="Century Gothic"/>
          <w:sz w:val="24"/>
          <w:szCs w:val="24"/>
          <w:lang w:val="es-ES"/>
        </w:rPr>
        <w:t>,</w:t>
      </w:r>
      <w:r w:rsidR="00C67766" w:rsidRPr="0026006A">
        <w:rPr>
          <w:rFonts w:ascii="Century Gothic" w:hAnsi="Century Gothic"/>
          <w:sz w:val="24"/>
          <w:szCs w:val="24"/>
          <w:lang w:val="es-ES"/>
        </w:rPr>
        <w:t xml:space="preserve"> por múltiples motivos</w:t>
      </w:r>
      <w:r w:rsidR="00C41521">
        <w:rPr>
          <w:rFonts w:ascii="Century Gothic" w:hAnsi="Century Gothic"/>
          <w:sz w:val="24"/>
          <w:szCs w:val="24"/>
          <w:lang w:val="es-ES"/>
        </w:rPr>
        <w:t>,</w:t>
      </w:r>
      <w:r w:rsidR="00C67766" w:rsidRPr="0026006A">
        <w:rPr>
          <w:rFonts w:ascii="Century Gothic" w:hAnsi="Century Gothic"/>
          <w:sz w:val="24"/>
          <w:szCs w:val="24"/>
          <w:lang w:val="es-ES"/>
        </w:rPr>
        <w:t xml:space="preserve"> no solo atribuibles a los centros de detención,</w:t>
      </w:r>
      <w:r w:rsidR="00C41521">
        <w:rPr>
          <w:rFonts w:ascii="Century Gothic" w:hAnsi="Century Gothic"/>
          <w:sz w:val="24"/>
          <w:szCs w:val="24"/>
          <w:lang w:val="es-ES"/>
        </w:rPr>
        <w:t xml:space="preserve"> la</w:t>
      </w:r>
      <w:r w:rsidR="00C67766" w:rsidRPr="0026006A">
        <w:rPr>
          <w:rFonts w:ascii="Century Gothic" w:hAnsi="Century Gothic"/>
          <w:sz w:val="24"/>
          <w:szCs w:val="24"/>
          <w:lang w:val="es-ES"/>
        </w:rPr>
        <w:t xml:space="preserve"> </w:t>
      </w:r>
      <w:r w:rsidR="00435692" w:rsidRPr="0026006A">
        <w:rPr>
          <w:rFonts w:ascii="Century Gothic" w:hAnsi="Century Gothic"/>
          <w:sz w:val="24"/>
          <w:szCs w:val="24"/>
          <w:lang w:val="es-ES"/>
        </w:rPr>
        <w:t>fiscalía</w:t>
      </w:r>
      <w:r w:rsidR="00435692">
        <w:rPr>
          <w:rFonts w:ascii="Century Gothic" w:hAnsi="Century Gothic"/>
          <w:sz w:val="24"/>
          <w:szCs w:val="24"/>
          <w:lang w:val="es-ES"/>
        </w:rPr>
        <w:t xml:space="preserve">, </w:t>
      </w:r>
      <w:r w:rsidR="00435692" w:rsidRPr="0026006A">
        <w:rPr>
          <w:rFonts w:ascii="Century Gothic" w:hAnsi="Century Gothic"/>
          <w:sz w:val="24"/>
          <w:szCs w:val="24"/>
          <w:lang w:val="es-ES"/>
        </w:rPr>
        <w:t>sino</w:t>
      </w:r>
      <w:r w:rsidR="00C67766" w:rsidRPr="0026006A">
        <w:rPr>
          <w:rFonts w:ascii="Century Gothic" w:hAnsi="Century Gothic"/>
          <w:sz w:val="24"/>
          <w:szCs w:val="24"/>
          <w:lang w:val="es-ES"/>
        </w:rPr>
        <w:t xml:space="preserve"> al mismo apoderado de los accionantes</w:t>
      </w:r>
      <w:r w:rsidR="00055089">
        <w:rPr>
          <w:rFonts w:ascii="Century Gothic" w:hAnsi="Century Gothic"/>
          <w:sz w:val="24"/>
          <w:szCs w:val="24"/>
          <w:lang w:val="es-ES"/>
        </w:rPr>
        <w:t>,</w:t>
      </w:r>
      <w:r w:rsidR="00C67766" w:rsidRPr="0026006A">
        <w:rPr>
          <w:rFonts w:ascii="Century Gothic" w:hAnsi="Century Gothic"/>
          <w:sz w:val="24"/>
          <w:szCs w:val="24"/>
          <w:lang w:val="es-ES"/>
        </w:rPr>
        <w:t xml:space="preserve"> no ha sido posible</w:t>
      </w:r>
      <w:r w:rsidR="00055089">
        <w:rPr>
          <w:rFonts w:ascii="Century Gothic" w:hAnsi="Century Gothic"/>
          <w:sz w:val="24"/>
          <w:szCs w:val="24"/>
          <w:lang w:val="es-ES"/>
        </w:rPr>
        <w:t xml:space="preserve"> llevar a cabo</w:t>
      </w:r>
      <w:r w:rsidR="00C67766" w:rsidRPr="0026006A">
        <w:rPr>
          <w:rFonts w:ascii="Century Gothic" w:hAnsi="Century Gothic"/>
          <w:sz w:val="24"/>
          <w:szCs w:val="24"/>
          <w:lang w:val="es-ES"/>
        </w:rPr>
        <w:t xml:space="preserve"> la celebración de dicha diligencia, </w:t>
      </w:r>
      <w:r w:rsidR="00055089">
        <w:rPr>
          <w:rFonts w:ascii="Century Gothic" w:hAnsi="Century Gothic"/>
          <w:sz w:val="24"/>
          <w:szCs w:val="24"/>
          <w:lang w:val="es-ES"/>
        </w:rPr>
        <w:t>estando</w:t>
      </w:r>
      <w:r w:rsidR="00C67766" w:rsidRPr="0026006A">
        <w:rPr>
          <w:rFonts w:ascii="Century Gothic" w:hAnsi="Century Gothic"/>
          <w:sz w:val="24"/>
          <w:szCs w:val="24"/>
          <w:lang w:val="es-ES"/>
        </w:rPr>
        <w:t xml:space="preserve"> pendiente la realización de la diligencia </w:t>
      </w:r>
      <w:r w:rsidR="00CC555D" w:rsidRPr="0026006A">
        <w:rPr>
          <w:rFonts w:ascii="Century Gothic" w:hAnsi="Century Gothic"/>
          <w:sz w:val="24"/>
          <w:szCs w:val="24"/>
          <w:lang w:val="es-ES"/>
        </w:rPr>
        <w:t xml:space="preserve">programada para el </w:t>
      </w:r>
      <w:r w:rsidR="00CC555D" w:rsidRPr="0026006A">
        <w:rPr>
          <w:rFonts w:ascii="Century Gothic" w:hAnsi="Century Gothic"/>
          <w:b/>
          <w:bCs/>
          <w:i/>
          <w:iCs/>
          <w:sz w:val="24"/>
          <w:szCs w:val="24"/>
        </w:rPr>
        <w:t>día 18 de mayo de 2020 a las 2:00 p.m</w:t>
      </w:r>
      <w:r w:rsidR="00CC555D" w:rsidRPr="0026006A">
        <w:rPr>
          <w:rFonts w:ascii="Century Gothic" w:hAnsi="Century Gothic"/>
          <w:i/>
          <w:iCs/>
          <w:sz w:val="24"/>
          <w:szCs w:val="24"/>
        </w:rPr>
        <w:t>.</w:t>
      </w:r>
      <w:r w:rsidR="00C67766" w:rsidRPr="0026006A">
        <w:rPr>
          <w:rFonts w:ascii="Century Gothic" w:hAnsi="Century Gothic"/>
          <w:i/>
          <w:iCs/>
          <w:sz w:val="24"/>
          <w:szCs w:val="24"/>
        </w:rPr>
        <w:t xml:space="preserve"> </w:t>
      </w:r>
    </w:p>
    <w:p w14:paraId="42F60A19" w14:textId="77777777" w:rsidR="00C67766" w:rsidRPr="0026006A" w:rsidRDefault="00C67766" w:rsidP="00144489">
      <w:pPr>
        <w:pStyle w:val="Textoindependiente"/>
        <w:rPr>
          <w:rFonts w:ascii="Century Gothic" w:hAnsi="Century Gothic"/>
          <w:i/>
          <w:iCs/>
          <w:sz w:val="24"/>
          <w:szCs w:val="24"/>
        </w:rPr>
      </w:pPr>
    </w:p>
    <w:p w14:paraId="73EE463B" w14:textId="6E26B664" w:rsidR="00C67766" w:rsidRPr="0026006A" w:rsidRDefault="00F41690" w:rsidP="00144489">
      <w:pPr>
        <w:pStyle w:val="Textoindependiente"/>
        <w:rPr>
          <w:rFonts w:ascii="Century Gothic" w:hAnsi="Century Gothic"/>
          <w:sz w:val="24"/>
          <w:szCs w:val="24"/>
        </w:rPr>
      </w:pPr>
      <w:r w:rsidRPr="0026006A">
        <w:rPr>
          <w:rFonts w:ascii="Century Gothic" w:hAnsi="Century Gothic"/>
          <w:sz w:val="24"/>
          <w:szCs w:val="24"/>
        </w:rPr>
        <w:t xml:space="preserve">Ahora bien, el </w:t>
      </w:r>
      <w:r w:rsidR="00C67766" w:rsidRPr="0026006A">
        <w:rPr>
          <w:rFonts w:ascii="Century Gothic" w:hAnsi="Century Gothic"/>
          <w:sz w:val="24"/>
          <w:szCs w:val="24"/>
        </w:rPr>
        <w:t xml:space="preserve">accionante </w:t>
      </w:r>
      <w:r w:rsidRPr="0026006A">
        <w:rPr>
          <w:rFonts w:ascii="Century Gothic" w:hAnsi="Century Gothic"/>
          <w:sz w:val="24"/>
          <w:szCs w:val="24"/>
        </w:rPr>
        <w:t xml:space="preserve">considera que se cumplieron los 120 días </w:t>
      </w:r>
      <w:r w:rsidR="006E612F" w:rsidRPr="0026006A">
        <w:rPr>
          <w:rFonts w:ascii="Century Gothic" w:hAnsi="Century Gothic"/>
          <w:sz w:val="24"/>
          <w:szCs w:val="24"/>
        </w:rPr>
        <w:t xml:space="preserve">contados desde el </w:t>
      </w:r>
      <w:r w:rsidR="006E612F" w:rsidRPr="0026006A">
        <w:rPr>
          <w:rFonts w:ascii="Century Gothic" w:hAnsi="Century Gothic"/>
          <w:sz w:val="24"/>
          <w:szCs w:val="24"/>
          <w:lang w:val="es-ES"/>
        </w:rPr>
        <w:t xml:space="preserve">escrito de acusación, termino de </w:t>
      </w:r>
      <w:r w:rsidR="006E612F" w:rsidRPr="0026006A">
        <w:rPr>
          <w:rFonts w:ascii="Century Gothic" w:hAnsi="Century Gothic"/>
          <w:sz w:val="24"/>
          <w:szCs w:val="24"/>
        </w:rPr>
        <w:t>qué</w:t>
      </w:r>
      <w:r w:rsidRPr="0026006A">
        <w:rPr>
          <w:rFonts w:ascii="Century Gothic" w:hAnsi="Century Gothic"/>
          <w:sz w:val="24"/>
          <w:szCs w:val="24"/>
        </w:rPr>
        <w:t xml:space="preserve"> trata el numeral 5 del artículo 317 del Código de Procedimiento Penal</w:t>
      </w:r>
      <w:r w:rsidR="0026006A">
        <w:rPr>
          <w:rFonts w:ascii="Century Gothic" w:hAnsi="Century Gothic"/>
          <w:sz w:val="24"/>
          <w:szCs w:val="24"/>
        </w:rPr>
        <w:t>.</w:t>
      </w:r>
      <w:r w:rsidRPr="0026006A">
        <w:rPr>
          <w:rFonts w:ascii="Century Gothic" w:hAnsi="Century Gothic"/>
          <w:sz w:val="24"/>
          <w:szCs w:val="24"/>
        </w:rPr>
        <w:t xml:space="preserve"> sin </w:t>
      </w:r>
      <w:r w:rsidR="00435692" w:rsidRPr="0026006A">
        <w:rPr>
          <w:rFonts w:ascii="Century Gothic" w:hAnsi="Century Gothic"/>
          <w:sz w:val="24"/>
          <w:szCs w:val="24"/>
        </w:rPr>
        <w:t>embargo,</w:t>
      </w:r>
      <w:r w:rsidRPr="0026006A">
        <w:rPr>
          <w:rFonts w:ascii="Century Gothic" w:hAnsi="Century Gothic"/>
          <w:sz w:val="24"/>
          <w:szCs w:val="24"/>
        </w:rPr>
        <w:t xml:space="preserve"> </w:t>
      </w:r>
      <w:r w:rsidR="00055089">
        <w:rPr>
          <w:rFonts w:ascii="Century Gothic" w:hAnsi="Century Gothic"/>
          <w:sz w:val="24"/>
          <w:szCs w:val="24"/>
        </w:rPr>
        <w:t>la</w:t>
      </w:r>
      <w:r w:rsidRPr="0026006A">
        <w:rPr>
          <w:rFonts w:ascii="Century Gothic" w:hAnsi="Century Gothic"/>
          <w:sz w:val="24"/>
          <w:szCs w:val="24"/>
        </w:rPr>
        <w:t xml:space="preserve"> norma establece que dicho termino se puede ampliar cuando sean más de </w:t>
      </w:r>
      <w:r w:rsidR="00055089">
        <w:rPr>
          <w:rFonts w:ascii="Century Gothic" w:hAnsi="Century Gothic"/>
          <w:sz w:val="24"/>
          <w:szCs w:val="24"/>
        </w:rPr>
        <w:t>tres</w:t>
      </w:r>
      <w:r w:rsidRPr="0026006A">
        <w:rPr>
          <w:rFonts w:ascii="Century Gothic" w:hAnsi="Century Gothic"/>
          <w:sz w:val="24"/>
          <w:szCs w:val="24"/>
        </w:rPr>
        <w:t xml:space="preserve"> acusados, situación que se da en el presente asunto</w:t>
      </w:r>
      <w:r w:rsidR="00055089">
        <w:rPr>
          <w:rFonts w:ascii="Century Gothic" w:hAnsi="Century Gothic"/>
          <w:sz w:val="24"/>
          <w:szCs w:val="24"/>
        </w:rPr>
        <w:t>.</w:t>
      </w:r>
    </w:p>
    <w:p w14:paraId="17094DE1" w14:textId="77777777" w:rsidR="00C67766" w:rsidRPr="0026006A" w:rsidRDefault="00C67766" w:rsidP="00144489">
      <w:pPr>
        <w:pStyle w:val="Textoindependiente"/>
        <w:rPr>
          <w:rFonts w:ascii="Century Gothic" w:eastAsiaTheme="majorEastAsia" w:hAnsi="Century Gothic" w:cs="Arial"/>
          <w:color w:val="333333"/>
          <w:sz w:val="24"/>
          <w:szCs w:val="24"/>
          <w:lang w:val="es-ES"/>
        </w:rPr>
      </w:pPr>
    </w:p>
    <w:p w14:paraId="5AFD81BC" w14:textId="77777777" w:rsidR="00F41690" w:rsidRPr="00055089" w:rsidRDefault="00F41690" w:rsidP="00144489">
      <w:pPr>
        <w:pStyle w:val="Textoindependiente"/>
        <w:ind w:left="708"/>
        <w:rPr>
          <w:rFonts w:ascii="Century Gothic" w:eastAsiaTheme="majorEastAsia" w:hAnsi="Century Gothic" w:cs="Arial"/>
          <w:b/>
          <w:bCs/>
          <w:i/>
          <w:iCs/>
          <w:color w:val="333333"/>
          <w:sz w:val="24"/>
          <w:szCs w:val="24"/>
          <w:lang w:val="es-ES"/>
        </w:rPr>
      </w:pPr>
      <w:r w:rsidRPr="00055089">
        <w:rPr>
          <w:rFonts w:ascii="Century Gothic" w:eastAsiaTheme="majorEastAsia" w:hAnsi="Century Gothic" w:cs="Arial"/>
          <w:b/>
          <w:bCs/>
          <w:i/>
          <w:iCs/>
          <w:color w:val="333333"/>
          <w:sz w:val="24"/>
          <w:szCs w:val="24"/>
          <w:lang w:val="es-ES"/>
        </w:rPr>
        <w:t>Código de Procedimiento Penal. Artículo 317. Causales de libertad</w:t>
      </w:r>
    </w:p>
    <w:p w14:paraId="4A66F0B3" w14:textId="77777777" w:rsidR="00F41690" w:rsidRPr="00055089" w:rsidRDefault="00F41690" w:rsidP="00144489">
      <w:pPr>
        <w:pStyle w:val="Textoindependiente"/>
        <w:ind w:left="708"/>
        <w:rPr>
          <w:rFonts w:ascii="Century Gothic" w:eastAsiaTheme="majorEastAsia" w:hAnsi="Century Gothic" w:cs="Arial"/>
          <w:b/>
          <w:bCs/>
          <w:i/>
          <w:iCs/>
          <w:color w:val="333333"/>
          <w:sz w:val="24"/>
          <w:szCs w:val="24"/>
          <w:lang w:val="es-ES"/>
        </w:rPr>
      </w:pPr>
      <w:r w:rsidRPr="00055089">
        <w:rPr>
          <w:rFonts w:ascii="Century Gothic" w:eastAsiaTheme="majorEastAsia" w:hAnsi="Century Gothic" w:cs="Arial"/>
          <w:b/>
          <w:bCs/>
          <w:i/>
          <w:iCs/>
          <w:color w:val="333333"/>
          <w:sz w:val="24"/>
          <w:szCs w:val="24"/>
          <w:lang w:val="es-ES"/>
        </w:rPr>
        <w:t>Las medidas de aseguramiento indicadas en los anteriores artículos tendrán vigencia durante toda la actuación</w:t>
      </w:r>
      <w:r w:rsidRPr="00055089">
        <w:rPr>
          <w:rFonts w:ascii="Century Gothic" w:eastAsiaTheme="majorEastAsia" w:hAnsi="Century Gothic" w:cs="Arial"/>
          <w:i/>
          <w:iCs/>
          <w:color w:val="333333"/>
          <w:sz w:val="24"/>
          <w:szCs w:val="24"/>
          <w:lang w:val="es-ES"/>
        </w:rPr>
        <w:t>, sin perjuicio de lo establecido en el parágrafo 1o del artículo 307 del presente código sobre las medidas de aseguramiento privativas de la libertad</w:t>
      </w:r>
      <w:r w:rsidRPr="00055089">
        <w:rPr>
          <w:rFonts w:ascii="Century Gothic" w:eastAsiaTheme="majorEastAsia" w:hAnsi="Century Gothic" w:cs="Arial"/>
          <w:b/>
          <w:bCs/>
          <w:i/>
          <w:iCs/>
          <w:color w:val="333333"/>
          <w:sz w:val="24"/>
          <w:szCs w:val="24"/>
          <w:lang w:val="es-ES"/>
        </w:rPr>
        <w:t xml:space="preserve">. La </w:t>
      </w:r>
      <w:r w:rsidRPr="00055089">
        <w:rPr>
          <w:rFonts w:ascii="Century Gothic" w:eastAsiaTheme="majorEastAsia" w:hAnsi="Century Gothic" w:cs="Arial"/>
          <w:b/>
          <w:bCs/>
          <w:i/>
          <w:iCs/>
          <w:color w:val="333333"/>
          <w:sz w:val="24"/>
          <w:szCs w:val="24"/>
          <w:lang w:val="es-ES"/>
        </w:rPr>
        <w:lastRenderedPageBreak/>
        <w:t>libertad del imputado o acusado se cumplirá de inmediato y solo procederá en los siguientes eventos:</w:t>
      </w:r>
    </w:p>
    <w:p w14:paraId="6A2CCFFA"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p>
    <w:p w14:paraId="54339890"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r w:rsidRPr="00055089">
        <w:rPr>
          <w:rFonts w:ascii="Century Gothic" w:eastAsiaTheme="majorEastAsia" w:hAnsi="Century Gothic" w:cs="Arial"/>
          <w:i/>
          <w:iCs/>
          <w:color w:val="333333"/>
          <w:sz w:val="24"/>
          <w:szCs w:val="24"/>
          <w:lang w:val="es-ES"/>
        </w:rPr>
        <w:t>1. Cuando se haya cumplido la pena según la determinación anticipada que para este efecto se haga, o se haya decretado la preclusión, o se haya absuelto al acusado.</w:t>
      </w:r>
    </w:p>
    <w:p w14:paraId="5A70B7FC"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p>
    <w:p w14:paraId="314F1910"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r w:rsidRPr="00055089">
        <w:rPr>
          <w:rFonts w:ascii="Century Gothic" w:eastAsiaTheme="majorEastAsia" w:hAnsi="Century Gothic" w:cs="Arial"/>
          <w:i/>
          <w:iCs/>
          <w:color w:val="333333"/>
          <w:sz w:val="24"/>
          <w:szCs w:val="24"/>
          <w:lang w:val="es-ES"/>
        </w:rPr>
        <w:t>2. Como consecuencia de la aplicación del Principio de Oportunidad.</w:t>
      </w:r>
    </w:p>
    <w:p w14:paraId="42813E79"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p>
    <w:p w14:paraId="7346829E"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r w:rsidRPr="00055089">
        <w:rPr>
          <w:rFonts w:ascii="Century Gothic" w:eastAsiaTheme="majorEastAsia" w:hAnsi="Century Gothic" w:cs="Arial"/>
          <w:i/>
          <w:iCs/>
          <w:color w:val="333333"/>
          <w:sz w:val="24"/>
          <w:szCs w:val="24"/>
          <w:lang w:val="es-ES"/>
        </w:rPr>
        <w:t>3. Como consecuencia de las cláusulas del acuerdo cuando haya sido aceptado por el Juez de Conocimiento.</w:t>
      </w:r>
    </w:p>
    <w:p w14:paraId="730DDF5B"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p>
    <w:p w14:paraId="763E9EEA"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r w:rsidRPr="00055089">
        <w:rPr>
          <w:rFonts w:ascii="Century Gothic" w:eastAsiaTheme="majorEastAsia" w:hAnsi="Century Gothic" w:cs="Arial"/>
          <w:i/>
          <w:iCs/>
          <w:color w:val="333333"/>
          <w:sz w:val="24"/>
          <w:szCs w:val="24"/>
          <w:lang w:val="es-ES"/>
        </w:rPr>
        <w:t>4. Cuando transcurridos sesenta (60) días contados a partir de la fecha de imputación no se hubiere presentado el escrito de acusación o solicitado la preclusión, conforme a lo dispuesto en el artículo 294.</w:t>
      </w:r>
    </w:p>
    <w:p w14:paraId="5B6376C2"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p>
    <w:p w14:paraId="11CFE525" w14:textId="77777777" w:rsidR="00F41690" w:rsidRPr="00055089" w:rsidRDefault="00F41690" w:rsidP="00144489">
      <w:pPr>
        <w:pStyle w:val="Textoindependiente"/>
        <w:ind w:left="708"/>
        <w:rPr>
          <w:rFonts w:ascii="Century Gothic" w:eastAsiaTheme="majorEastAsia" w:hAnsi="Century Gothic" w:cs="Arial"/>
          <w:b/>
          <w:bCs/>
          <w:i/>
          <w:iCs/>
          <w:color w:val="333333"/>
          <w:sz w:val="24"/>
          <w:szCs w:val="24"/>
          <w:lang w:val="es-ES"/>
        </w:rPr>
      </w:pPr>
      <w:r w:rsidRPr="00055089">
        <w:rPr>
          <w:rFonts w:ascii="Century Gothic" w:eastAsiaTheme="majorEastAsia" w:hAnsi="Century Gothic" w:cs="Arial"/>
          <w:b/>
          <w:bCs/>
          <w:i/>
          <w:iCs/>
          <w:color w:val="333333"/>
          <w:sz w:val="24"/>
          <w:szCs w:val="24"/>
          <w:lang w:val="es-ES"/>
        </w:rPr>
        <w:t>5. Cuando transcurridos ciento veinte (120) días contados a partir de la fecha de presentación del escrito de acusación, no se haya dado inicio a la audiencia de juicio.</w:t>
      </w:r>
    </w:p>
    <w:p w14:paraId="6F9668CC"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p>
    <w:p w14:paraId="783F4853"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r w:rsidRPr="00055089">
        <w:rPr>
          <w:rFonts w:ascii="Century Gothic" w:eastAsiaTheme="majorEastAsia" w:hAnsi="Century Gothic" w:cs="Arial"/>
          <w:i/>
          <w:iCs/>
          <w:color w:val="333333"/>
          <w:sz w:val="24"/>
          <w:szCs w:val="24"/>
          <w:lang w:val="es-ES"/>
        </w:rPr>
        <w:t>6. Cuando transcurridos ciento cincuenta (150) días contados a partir de la fecha de inicio de la audiencia de juicio, no se haya celebrado la audiencia de lectura de fallo o su equivalente.</w:t>
      </w:r>
    </w:p>
    <w:p w14:paraId="2EC69FD9" w14:textId="77777777" w:rsidR="00F41690" w:rsidRPr="00055089" w:rsidRDefault="00F41690" w:rsidP="00144489">
      <w:pPr>
        <w:pStyle w:val="Textoindependiente"/>
        <w:rPr>
          <w:rFonts w:ascii="Century Gothic" w:eastAsiaTheme="majorEastAsia" w:hAnsi="Century Gothic" w:cs="Arial"/>
          <w:color w:val="333333"/>
          <w:sz w:val="24"/>
          <w:szCs w:val="24"/>
          <w:lang w:val="es-ES"/>
        </w:rPr>
      </w:pPr>
    </w:p>
    <w:p w14:paraId="14EF1FE0"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r w:rsidRPr="00055089">
        <w:rPr>
          <w:rFonts w:ascii="Century Gothic" w:eastAsiaTheme="majorEastAsia" w:hAnsi="Century Gothic" w:cs="Arial"/>
          <w:i/>
          <w:iCs/>
          <w:color w:val="333333"/>
          <w:sz w:val="24"/>
          <w:szCs w:val="24"/>
          <w:lang w:val="es-ES"/>
        </w:rPr>
        <w:t xml:space="preserve">PARÁGRAFO 1o. Los términos dispuestos en los numerales 4, 5 y 6 del presente artículo </w:t>
      </w:r>
      <w:r w:rsidRPr="00055089">
        <w:rPr>
          <w:rFonts w:ascii="Century Gothic" w:eastAsiaTheme="majorEastAsia" w:hAnsi="Century Gothic" w:cs="Arial"/>
          <w:b/>
          <w:bCs/>
          <w:i/>
          <w:iCs/>
          <w:color w:val="333333"/>
          <w:sz w:val="24"/>
          <w:szCs w:val="24"/>
          <w:lang w:val="es-ES"/>
        </w:rPr>
        <w:t>se incrementarán por el mismo término inicial, cuando el proceso se surta ante la justicia penal especializada, o sean tres (3) o más los imputados o acusados</w:t>
      </w:r>
      <w:r w:rsidRPr="00055089">
        <w:rPr>
          <w:rFonts w:ascii="Century Gothic" w:eastAsiaTheme="majorEastAsia" w:hAnsi="Century Gothic" w:cs="Arial"/>
          <w:i/>
          <w:iCs/>
          <w:color w:val="333333"/>
          <w:sz w:val="24"/>
          <w:szCs w:val="24"/>
          <w:lang w:val="es-ES"/>
        </w:rPr>
        <w:t>, o se trate de investigación o juicio de actos de corrupción de que trata la Ley 1474 de 2011 o de cualquiera de las conductas previstas en el Título IV del Libro Segundo de la Ley 599 de 2000 (Código Penal).</w:t>
      </w:r>
    </w:p>
    <w:p w14:paraId="34A69843"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p>
    <w:p w14:paraId="762C0B8B"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r w:rsidRPr="00055089">
        <w:rPr>
          <w:rFonts w:ascii="Century Gothic" w:eastAsiaTheme="majorEastAsia" w:hAnsi="Century Gothic" w:cs="Arial"/>
          <w:i/>
          <w:iCs/>
          <w:color w:val="333333"/>
          <w:sz w:val="24"/>
          <w:szCs w:val="24"/>
          <w:lang w:val="es-ES"/>
        </w:rPr>
        <w:lastRenderedPageBreak/>
        <w:t>PARÁGRAFO 2o. En los numerales 4 y 5 se restablecerán los términos cuando hubiere improbación de la aceptación de cargos, de los preacuerdos o de la aplicación del principio de oportunidad.</w:t>
      </w:r>
    </w:p>
    <w:p w14:paraId="12C3BF19"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p>
    <w:p w14:paraId="7A86CF43"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r w:rsidRPr="00055089">
        <w:rPr>
          <w:rFonts w:ascii="Century Gothic" w:eastAsiaTheme="majorEastAsia" w:hAnsi="Century Gothic" w:cs="Arial"/>
          <w:i/>
          <w:iCs/>
          <w:color w:val="333333"/>
          <w:sz w:val="24"/>
          <w:szCs w:val="24"/>
          <w:lang w:val="es-ES"/>
        </w:rPr>
        <w:t>PARÁGRAFO 3o. Cuando la audiencia de juicio oral no se haya podido iniciar o terminar por maniobras dilatorias del acusado o su defensor, no se contabilizarán dentro de los términos contenidos en los numerales 5 y 6 de este artículo, los días empleados en ellas.</w:t>
      </w:r>
    </w:p>
    <w:p w14:paraId="20CA2B7D" w14:textId="77777777" w:rsidR="00F41690" w:rsidRPr="00055089" w:rsidRDefault="00F41690" w:rsidP="00144489">
      <w:pPr>
        <w:pStyle w:val="Textoindependiente"/>
        <w:ind w:left="708"/>
        <w:rPr>
          <w:rFonts w:ascii="Century Gothic" w:eastAsiaTheme="majorEastAsia" w:hAnsi="Century Gothic" w:cs="Arial"/>
          <w:i/>
          <w:iCs/>
          <w:color w:val="333333"/>
          <w:sz w:val="24"/>
          <w:szCs w:val="24"/>
          <w:lang w:val="es-ES"/>
        </w:rPr>
      </w:pPr>
    </w:p>
    <w:p w14:paraId="06F30E7D" w14:textId="77777777" w:rsidR="00F41690" w:rsidRPr="00055089" w:rsidRDefault="00F41690" w:rsidP="00144489">
      <w:pPr>
        <w:pStyle w:val="Textoindependiente"/>
        <w:ind w:left="708"/>
        <w:rPr>
          <w:rFonts w:ascii="Century Gothic" w:eastAsiaTheme="majorEastAsia" w:hAnsi="Century Gothic" w:cs="Arial"/>
          <w:b/>
          <w:bCs/>
          <w:i/>
          <w:iCs/>
          <w:color w:val="333333"/>
          <w:sz w:val="24"/>
          <w:szCs w:val="24"/>
          <w:lang w:val="es-ES"/>
        </w:rPr>
      </w:pPr>
      <w:r w:rsidRPr="00055089">
        <w:rPr>
          <w:rFonts w:ascii="Century Gothic" w:eastAsiaTheme="majorEastAsia" w:hAnsi="Century Gothic" w:cs="Arial"/>
          <w:i/>
          <w:iCs/>
          <w:color w:val="333333"/>
          <w:sz w:val="24"/>
          <w:szCs w:val="24"/>
          <w:lang w:val="es-ES"/>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317. “negritas</w:t>
      </w:r>
      <w:r w:rsidRPr="00055089">
        <w:rPr>
          <w:rFonts w:ascii="Century Gothic" w:eastAsiaTheme="majorEastAsia" w:hAnsi="Century Gothic" w:cs="Arial"/>
          <w:b/>
          <w:bCs/>
          <w:i/>
          <w:iCs/>
          <w:color w:val="333333"/>
          <w:sz w:val="24"/>
          <w:szCs w:val="24"/>
          <w:lang w:val="es-ES"/>
        </w:rPr>
        <w:t xml:space="preserve"> fuera de texto</w:t>
      </w:r>
    </w:p>
    <w:p w14:paraId="357F8E1A" w14:textId="77777777" w:rsidR="00F41690" w:rsidRPr="0026006A" w:rsidRDefault="00F41690" w:rsidP="00144489">
      <w:pPr>
        <w:pStyle w:val="Textoindependiente"/>
        <w:rPr>
          <w:rFonts w:ascii="Century Gothic" w:eastAsiaTheme="majorEastAsia" w:hAnsi="Century Gothic" w:cs="Arial"/>
          <w:color w:val="333333"/>
          <w:sz w:val="24"/>
          <w:szCs w:val="24"/>
          <w:lang w:val="es-ES"/>
        </w:rPr>
      </w:pPr>
    </w:p>
    <w:p w14:paraId="797B5A3A" w14:textId="5931B470" w:rsidR="00F41690" w:rsidRPr="0026006A" w:rsidRDefault="00C207CC" w:rsidP="00144489">
      <w:pPr>
        <w:pStyle w:val="Textoindependiente"/>
        <w:rPr>
          <w:rFonts w:ascii="Century Gothic" w:hAnsi="Century Gothic"/>
          <w:sz w:val="24"/>
          <w:szCs w:val="24"/>
        </w:rPr>
      </w:pPr>
      <w:r w:rsidRPr="0026006A">
        <w:rPr>
          <w:rFonts w:ascii="Century Gothic" w:hAnsi="Century Gothic"/>
          <w:sz w:val="24"/>
          <w:szCs w:val="24"/>
        </w:rPr>
        <w:t>Por último, el juez del habeas</w:t>
      </w:r>
      <w:r w:rsidR="0026006A">
        <w:rPr>
          <w:rFonts w:ascii="Century Gothic" w:hAnsi="Century Gothic"/>
          <w:sz w:val="24"/>
          <w:szCs w:val="24"/>
        </w:rPr>
        <w:t xml:space="preserve"> corpus n</w:t>
      </w:r>
      <w:r w:rsidRPr="0026006A">
        <w:rPr>
          <w:rFonts w:ascii="Century Gothic" w:hAnsi="Century Gothic"/>
          <w:sz w:val="24"/>
          <w:szCs w:val="24"/>
        </w:rPr>
        <w:t xml:space="preserve">o puede soslayar un procedimiento que el </w:t>
      </w:r>
      <w:r w:rsidR="00055089">
        <w:rPr>
          <w:rFonts w:ascii="Century Gothic" w:hAnsi="Century Gothic"/>
          <w:sz w:val="24"/>
          <w:szCs w:val="24"/>
        </w:rPr>
        <w:t>apoderado</w:t>
      </w:r>
      <w:r w:rsidRPr="0026006A">
        <w:rPr>
          <w:rFonts w:ascii="Century Gothic" w:hAnsi="Century Gothic"/>
          <w:sz w:val="24"/>
          <w:szCs w:val="24"/>
        </w:rPr>
        <w:t xml:space="preserve"> de los detenidos no ha surtido en debida forma ante la autoridad competente</w:t>
      </w:r>
      <w:r w:rsidR="00055089">
        <w:rPr>
          <w:rFonts w:ascii="Century Gothic" w:hAnsi="Century Gothic"/>
          <w:sz w:val="24"/>
          <w:szCs w:val="24"/>
        </w:rPr>
        <w:t>,</w:t>
      </w:r>
      <w:r w:rsidR="006E612F" w:rsidRPr="0026006A">
        <w:rPr>
          <w:rFonts w:ascii="Century Gothic" w:hAnsi="Century Gothic"/>
          <w:sz w:val="24"/>
          <w:szCs w:val="24"/>
        </w:rPr>
        <w:t xml:space="preserve"> como lo es la</w:t>
      </w:r>
      <w:r w:rsidR="00055089">
        <w:rPr>
          <w:rFonts w:ascii="Century Gothic" w:hAnsi="Century Gothic"/>
          <w:sz w:val="24"/>
          <w:szCs w:val="24"/>
        </w:rPr>
        <w:t xml:space="preserve"> solicitud de libertad</w:t>
      </w:r>
      <w:r w:rsidR="006E612F" w:rsidRPr="0026006A">
        <w:rPr>
          <w:rFonts w:ascii="Century Gothic" w:hAnsi="Century Gothic"/>
          <w:sz w:val="24"/>
          <w:szCs w:val="24"/>
        </w:rPr>
        <w:t xml:space="preserve"> por vencimiento de términos.</w:t>
      </w:r>
    </w:p>
    <w:p w14:paraId="0C415AA9" w14:textId="77777777" w:rsidR="00E161DA" w:rsidRPr="0026006A" w:rsidRDefault="00E161DA" w:rsidP="00144489">
      <w:pPr>
        <w:pStyle w:val="Textoindependiente"/>
        <w:rPr>
          <w:rFonts w:ascii="Century Gothic" w:hAnsi="Century Gothic"/>
          <w:sz w:val="24"/>
          <w:szCs w:val="24"/>
          <w:highlight w:val="yellow"/>
          <w:lang w:val="es-ES"/>
        </w:rPr>
      </w:pPr>
    </w:p>
    <w:p w14:paraId="423FB4F9" w14:textId="44010F26" w:rsidR="000B58F9" w:rsidRPr="0026006A" w:rsidRDefault="000B58F9" w:rsidP="00144489">
      <w:pPr>
        <w:pStyle w:val="Textoindependiente"/>
        <w:rPr>
          <w:rFonts w:ascii="Century Gothic" w:hAnsi="Century Gothic"/>
          <w:sz w:val="24"/>
          <w:szCs w:val="24"/>
        </w:rPr>
      </w:pPr>
      <w:r w:rsidRPr="0026006A">
        <w:rPr>
          <w:rFonts w:ascii="Century Gothic" w:hAnsi="Century Gothic"/>
          <w:sz w:val="24"/>
          <w:szCs w:val="24"/>
        </w:rPr>
        <w:t xml:space="preserve">Así las cosas, el despacho considera que </w:t>
      </w:r>
      <w:r w:rsidRPr="0026006A">
        <w:rPr>
          <w:rFonts w:ascii="Century Gothic" w:hAnsi="Century Gothic"/>
          <w:b/>
          <w:sz w:val="24"/>
          <w:szCs w:val="24"/>
        </w:rPr>
        <w:t>el amparo solicitado resulta improcedente</w:t>
      </w:r>
      <w:r w:rsidRPr="0026006A">
        <w:rPr>
          <w:rFonts w:ascii="Century Gothic" w:hAnsi="Century Gothic"/>
          <w:sz w:val="24"/>
          <w:szCs w:val="24"/>
        </w:rPr>
        <w:t xml:space="preserve"> en este caso, pues </w:t>
      </w:r>
      <w:r w:rsidR="00F41690" w:rsidRPr="0026006A">
        <w:rPr>
          <w:rFonts w:ascii="Century Gothic" w:hAnsi="Century Gothic"/>
          <w:sz w:val="24"/>
          <w:szCs w:val="24"/>
        </w:rPr>
        <w:t xml:space="preserve">los </w:t>
      </w:r>
      <w:r w:rsidRPr="0026006A">
        <w:rPr>
          <w:rFonts w:ascii="Century Gothic" w:hAnsi="Century Gothic"/>
          <w:sz w:val="24"/>
          <w:szCs w:val="24"/>
        </w:rPr>
        <w:t>señor</w:t>
      </w:r>
      <w:r w:rsidR="00F41690" w:rsidRPr="0026006A">
        <w:rPr>
          <w:rFonts w:ascii="Century Gothic" w:hAnsi="Century Gothic"/>
          <w:sz w:val="24"/>
          <w:szCs w:val="24"/>
        </w:rPr>
        <w:t>es</w:t>
      </w:r>
      <w:r w:rsidRPr="0026006A">
        <w:rPr>
          <w:rFonts w:ascii="Century Gothic" w:hAnsi="Century Gothic"/>
          <w:sz w:val="24"/>
          <w:szCs w:val="24"/>
        </w:rPr>
        <w:t xml:space="preserve"> </w:t>
      </w:r>
      <w:r w:rsidR="00F41690" w:rsidRPr="00435692">
        <w:rPr>
          <w:rFonts w:ascii="Century Gothic" w:hAnsi="Century Gothic" w:cs="Arial"/>
          <w:sz w:val="22"/>
          <w:szCs w:val="22"/>
        </w:rPr>
        <w:t xml:space="preserve">HANS o HANCEN RAMÍREZ GARZÓN, DIEGO ARMANDO COMBITA FUENTES, FABIO ENRIQUE CAMARGO ANDRADE, LUIS FERNANDO CORTÉS AVILA, EDGAR EDISON ORTÍZ FORERO, ERIKA PILAR VILLA, YEISON ANTONIO LICONA HENAO, JOSÉ ANTONIO ANTICA, JAIME ANDRÉS OROZCO MARTÍNEZ  y JESÚS MARÍA CAMARGO MORENO </w:t>
      </w:r>
      <w:r w:rsidRPr="0026006A">
        <w:rPr>
          <w:rFonts w:ascii="Century Gothic" w:hAnsi="Century Gothic"/>
          <w:sz w:val="24"/>
          <w:szCs w:val="24"/>
        </w:rPr>
        <w:t>se encuentra</w:t>
      </w:r>
      <w:r w:rsidR="00055089">
        <w:rPr>
          <w:rFonts w:ascii="Century Gothic" w:hAnsi="Century Gothic"/>
          <w:sz w:val="24"/>
          <w:szCs w:val="24"/>
        </w:rPr>
        <w:t>n</w:t>
      </w:r>
      <w:r w:rsidRPr="0026006A">
        <w:rPr>
          <w:rFonts w:ascii="Century Gothic" w:hAnsi="Century Gothic"/>
          <w:sz w:val="24"/>
          <w:szCs w:val="24"/>
        </w:rPr>
        <w:t xml:space="preserve"> privad</w:t>
      </w:r>
      <w:r w:rsidR="00F41690" w:rsidRPr="0026006A">
        <w:rPr>
          <w:rFonts w:ascii="Century Gothic" w:hAnsi="Century Gothic"/>
          <w:sz w:val="24"/>
          <w:szCs w:val="24"/>
        </w:rPr>
        <w:t>os</w:t>
      </w:r>
      <w:r w:rsidRPr="0026006A">
        <w:rPr>
          <w:rFonts w:ascii="Century Gothic" w:hAnsi="Century Gothic"/>
          <w:sz w:val="24"/>
          <w:szCs w:val="24"/>
        </w:rPr>
        <w:t xml:space="preserve"> de la libertad</w:t>
      </w:r>
      <w:r w:rsidR="00F41690" w:rsidRPr="0026006A">
        <w:rPr>
          <w:rFonts w:ascii="Century Gothic" w:hAnsi="Century Gothic"/>
          <w:sz w:val="24"/>
          <w:szCs w:val="24"/>
        </w:rPr>
        <w:t xml:space="preserve">, </w:t>
      </w:r>
      <w:r w:rsidR="00055089">
        <w:rPr>
          <w:rFonts w:ascii="Century Gothic" w:hAnsi="Century Gothic"/>
          <w:sz w:val="24"/>
          <w:szCs w:val="24"/>
        </w:rPr>
        <w:t xml:space="preserve">como consecuencia de </w:t>
      </w:r>
      <w:r w:rsidR="00F41690" w:rsidRPr="0026006A">
        <w:rPr>
          <w:rFonts w:ascii="Century Gothic" w:hAnsi="Century Gothic"/>
          <w:sz w:val="24"/>
          <w:szCs w:val="24"/>
        </w:rPr>
        <w:t xml:space="preserve"> la imposición de medida de aseguramiento por las conductas punibles de CONCIERTO PARA DELINQUIR en concurso heterogéneo con HURTO CALIFICADO Y AGRAVADO</w:t>
      </w:r>
      <w:r w:rsidR="006E612F" w:rsidRPr="0026006A">
        <w:rPr>
          <w:rFonts w:ascii="Century Gothic" w:hAnsi="Century Gothic"/>
          <w:sz w:val="24"/>
          <w:szCs w:val="24"/>
        </w:rPr>
        <w:t xml:space="preserve">, </w:t>
      </w:r>
      <w:r w:rsidR="00055089">
        <w:rPr>
          <w:rFonts w:ascii="Century Gothic" w:hAnsi="Century Gothic"/>
          <w:sz w:val="24"/>
          <w:szCs w:val="24"/>
        </w:rPr>
        <w:t xml:space="preserve"> y </w:t>
      </w:r>
      <w:r w:rsidR="006E612F" w:rsidRPr="0026006A">
        <w:rPr>
          <w:rFonts w:ascii="Century Gothic" w:hAnsi="Century Gothic"/>
          <w:sz w:val="24"/>
          <w:szCs w:val="24"/>
        </w:rPr>
        <w:t>están siendo procesados por autoridad competente bajo el procedimiento pertinente garantizándose todos sus derechos.</w:t>
      </w:r>
    </w:p>
    <w:p w14:paraId="210E9B69" w14:textId="77777777" w:rsidR="00057D44" w:rsidRPr="0026006A" w:rsidRDefault="00057D44" w:rsidP="00144489">
      <w:pPr>
        <w:pStyle w:val="Textoindependiente"/>
        <w:rPr>
          <w:rFonts w:ascii="Century Gothic" w:hAnsi="Century Gothic"/>
          <w:sz w:val="24"/>
          <w:szCs w:val="24"/>
          <w:lang w:val="es-ES"/>
        </w:rPr>
      </w:pPr>
    </w:p>
    <w:p w14:paraId="486CD4A6" w14:textId="7FA08FCA" w:rsidR="000B58F9" w:rsidRPr="0026006A" w:rsidRDefault="000B58F9" w:rsidP="00144489">
      <w:pPr>
        <w:pStyle w:val="Textoindependiente"/>
        <w:rPr>
          <w:rFonts w:ascii="Century Gothic" w:hAnsi="Century Gothic"/>
          <w:sz w:val="24"/>
          <w:szCs w:val="24"/>
          <w:lang w:val="es-ES"/>
        </w:rPr>
      </w:pPr>
      <w:r w:rsidRPr="0026006A">
        <w:rPr>
          <w:rFonts w:ascii="Century Gothic" w:hAnsi="Century Gothic"/>
          <w:sz w:val="24"/>
          <w:szCs w:val="24"/>
          <w:lang w:val="es-ES"/>
        </w:rPr>
        <w:lastRenderedPageBreak/>
        <w:t xml:space="preserve">En este sentido, el despacho reitera que es el juez </w:t>
      </w:r>
      <w:r w:rsidR="00F41690" w:rsidRPr="0026006A">
        <w:rPr>
          <w:rFonts w:ascii="Century Gothic" w:hAnsi="Century Gothic"/>
          <w:sz w:val="24"/>
          <w:szCs w:val="24"/>
          <w:lang w:val="es-ES"/>
        </w:rPr>
        <w:t>de conocimiento y</w:t>
      </w:r>
      <w:r w:rsidR="00C207CC" w:rsidRPr="0026006A">
        <w:rPr>
          <w:rFonts w:ascii="Century Gothic" w:hAnsi="Century Gothic"/>
          <w:sz w:val="24"/>
          <w:szCs w:val="24"/>
          <w:lang w:val="es-ES"/>
        </w:rPr>
        <w:t>/o el juez</w:t>
      </w:r>
      <w:r w:rsidR="00F41690" w:rsidRPr="0026006A">
        <w:rPr>
          <w:rFonts w:ascii="Century Gothic" w:hAnsi="Century Gothic"/>
          <w:sz w:val="24"/>
          <w:szCs w:val="24"/>
          <w:lang w:val="es-ES"/>
        </w:rPr>
        <w:t xml:space="preserve"> de control de garantías</w:t>
      </w:r>
      <w:r w:rsidR="00926D67" w:rsidRPr="0026006A">
        <w:rPr>
          <w:rFonts w:ascii="Century Gothic" w:hAnsi="Century Gothic"/>
          <w:sz w:val="24"/>
          <w:szCs w:val="24"/>
          <w:lang w:val="es-ES"/>
        </w:rPr>
        <w:t xml:space="preserve"> el que tiene la competencia para definir la situación jurídica de</w:t>
      </w:r>
      <w:r w:rsidR="00F41690" w:rsidRPr="0026006A">
        <w:rPr>
          <w:rFonts w:ascii="Century Gothic" w:hAnsi="Century Gothic"/>
          <w:sz w:val="24"/>
          <w:szCs w:val="24"/>
          <w:lang w:val="es-ES"/>
        </w:rPr>
        <w:t xml:space="preserve"> </w:t>
      </w:r>
      <w:r w:rsidR="00926D67" w:rsidRPr="0026006A">
        <w:rPr>
          <w:rFonts w:ascii="Century Gothic" w:hAnsi="Century Gothic"/>
          <w:sz w:val="24"/>
          <w:szCs w:val="24"/>
          <w:lang w:val="es-ES"/>
        </w:rPr>
        <w:t>l</w:t>
      </w:r>
      <w:r w:rsidR="00F41690" w:rsidRPr="0026006A">
        <w:rPr>
          <w:rFonts w:ascii="Century Gothic" w:hAnsi="Century Gothic"/>
          <w:sz w:val="24"/>
          <w:szCs w:val="24"/>
          <w:lang w:val="es-ES"/>
        </w:rPr>
        <w:t>os</w:t>
      </w:r>
      <w:r w:rsidR="00926D67" w:rsidRPr="0026006A">
        <w:rPr>
          <w:rFonts w:ascii="Century Gothic" w:hAnsi="Century Gothic"/>
          <w:sz w:val="24"/>
          <w:szCs w:val="24"/>
          <w:lang w:val="es-ES"/>
        </w:rPr>
        <w:t xml:space="preserve"> sujeto</w:t>
      </w:r>
      <w:r w:rsidR="00F41690" w:rsidRPr="0026006A">
        <w:rPr>
          <w:rFonts w:ascii="Century Gothic" w:hAnsi="Century Gothic"/>
          <w:sz w:val="24"/>
          <w:szCs w:val="24"/>
          <w:lang w:val="es-ES"/>
        </w:rPr>
        <w:t>s</w:t>
      </w:r>
      <w:r w:rsidR="00926D67" w:rsidRPr="0026006A">
        <w:rPr>
          <w:rFonts w:ascii="Century Gothic" w:hAnsi="Century Gothic"/>
          <w:sz w:val="24"/>
          <w:szCs w:val="24"/>
          <w:lang w:val="es-ES"/>
        </w:rPr>
        <w:t xml:space="preserve"> procesal</w:t>
      </w:r>
      <w:r w:rsidR="00F41690" w:rsidRPr="0026006A">
        <w:rPr>
          <w:rFonts w:ascii="Century Gothic" w:hAnsi="Century Gothic"/>
          <w:sz w:val="24"/>
          <w:szCs w:val="24"/>
          <w:lang w:val="es-ES"/>
        </w:rPr>
        <w:t>es</w:t>
      </w:r>
      <w:r w:rsidR="00926D67" w:rsidRPr="0026006A">
        <w:rPr>
          <w:rFonts w:ascii="Century Gothic" w:hAnsi="Century Gothic"/>
          <w:sz w:val="24"/>
          <w:szCs w:val="24"/>
          <w:lang w:val="es-ES"/>
        </w:rPr>
        <w:t xml:space="preserve">, una vez cumplidos los requisitos para cada actuación, en este caso, los </w:t>
      </w:r>
      <w:r w:rsidR="00F41690" w:rsidRPr="0026006A">
        <w:rPr>
          <w:rFonts w:ascii="Century Gothic" w:hAnsi="Century Gothic"/>
          <w:sz w:val="24"/>
          <w:szCs w:val="24"/>
          <w:lang w:val="es-ES"/>
        </w:rPr>
        <w:t>del juicio oral</w:t>
      </w:r>
      <w:r w:rsidR="00926D67" w:rsidRPr="0026006A">
        <w:rPr>
          <w:rFonts w:ascii="Century Gothic" w:hAnsi="Century Gothic"/>
          <w:sz w:val="24"/>
          <w:szCs w:val="24"/>
          <w:lang w:val="es-ES"/>
        </w:rPr>
        <w:t xml:space="preserve">, </w:t>
      </w:r>
      <w:r w:rsidR="00C207CC" w:rsidRPr="0026006A">
        <w:rPr>
          <w:rFonts w:ascii="Century Gothic" w:hAnsi="Century Gothic"/>
          <w:sz w:val="24"/>
          <w:szCs w:val="24"/>
          <w:lang w:val="es-ES"/>
        </w:rPr>
        <w:t xml:space="preserve">o la posible petición de </w:t>
      </w:r>
      <w:r w:rsidR="00C207CC" w:rsidRPr="0026006A">
        <w:rPr>
          <w:rFonts w:ascii="Century Gothic" w:hAnsi="Century Gothic"/>
          <w:i/>
          <w:iCs/>
          <w:sz w:val="24"/>
          <w:szCs w:val="24"/>
          <w:lang w:val="es-ES"/>
        </w:rPr>
        <w:t>la libertad de sus prohijados por el presunto vencimiento de términos</w:t>
      </w:r>
      <w:r w:rsidR="00055089">
        <w:rPr>
          <w:rFonts w:ascii="Century Gothic" w:hAnsi="Century Gothic"/>
          <w:i/>
          <w:iCs/>
          <w:sz w:val="24"/>
          <w:szCs w:val="24"/>
          <w:lang w:val="es-ES"/>
        </w:rPr>
        <w:t>,</w:t>
      </w:r>
      <w:r w:rsidR="00C207CC" w:rsidRPr="0026006A">
        <w:rPr>
          <w:rFonts w:ascii="Century Gothic" w:hAnsi="Century Gothic"/>
          <w:sz w:val="24"/>
          <w:szCs w:val="24"/>
          <w:lang w:val="es-ES"/>
        </w:rPr>
        <w:t xml:space="preserve"> según sea el caso, </w:t>
      </w:r>
      <w:r w:rsidR="00926D67" w:rsidRPr="0026006A">
        <w:rPr>
          <w:rFonts w:ascii="Century Gothic" w:hAnsi="Century Gothic"/>
          <w:sz w:val="24"/>
          <w:szCs w:val="24"/>
          <w:lang w:val="es-ES"/>
        </w:rPr>
        <w:t xml:space="preserve">pues </w:t>
      </w:r>
      <w:r w:rsidRPr="0026006A">
        <w:rPr>
          <w:rFonts w:ascii="Century Gothic" w:hAnsi="Century Gothic"/>
          <w:sz w:val="24"/>
          <w:szCs w:val="24"/>
        </w:rPr>
        <w:t xml:space="preserve">al juez del habeas corpus le está vedado </w:t>
      </w:r>
      <w:r w:rsidR="00926D67" w:rsidRPr="0026006A">
        <w:rPr>
          <w:rFonts w:ascii="Century Gothic" w:hAnsi="Century Gothic"/>
          <w:sz w:val="24"/>
          <w:szCs w:val="24"/>
        </w:rPr>
        <w:t>intervenir en tal decisión, ya que</w:t>
      </w:r>
      <w:r w:rsidRPr="0026006A">
        <w:rPr>
          <w:rFonts w:ascii="Century Gothic" w:hAnsi="Century Gothic"/>
          <w:sz w:val="24"/>
          <w:szCs w:val="24"/>
        </w:rPr>
        <w:t xml:space="preserve"> de hacerlo desplazaría la competencia propia de aquel</w:t>
      </w:r>
      <w:r w:rsidR="00055089">
        <w:rPr>
          <w:rFonts w:ascii="Century Gothic" w:hAnsi="Century Gothic"/>
          <w:sz w:val="24"/>
          <w:szCs w:val="24"/>
        </w:rPr>
        <w:t>los</w:t>
      </w:r>
      <w:r w:rsidRPr="0026006A">
        <w:rPr>
          <w:rFonts w:ascii="Century Gothic" w:hAnsi="Century Gothic"/>
          <w:sz w:val="24"/>
          <w:szCs w:val="24"/>
        </w:rPr>
        <w:t>.</w:t>
      </w:r>
    </w:p>
    <w:p w14:paraId="1226C56A" w14:textId="77777777" w:rsidR="000B58F9" w:rsidRPr="0026006A" w:rsidRDefault="000B58F9" w:rsidP="00144489">
      <w:pPr>
        <w:pStyle w:val="Textoindependiente"/>
        <w:rPr>
          <w:rFonts w:ascii="Century Gothic" w:hAnsi="Century Gothic"/>
          <w:sz w:val="24"/>
          <w:szCs w:val="24"/>
          <w:lang w:val="es-ES"/>
        </w:rPr>
      </w:pPr>
    </w:p>
    <w:p w14:paraId="74703691" w14:textId="77777777" w:rsidR="000B58F9" w:rsidRPr="0026006A" w:rsidRDefault="000B58F9" w:rsidP="00144489">
      <w:pPr>
        <w:pStyle w:val="Textoindependiente"/>
        <w:rPr>
          <w:rFonts w:ascii="Century Gothic" w:hAnsi="Century Gothic"/>
          <w:bCs/>
          <w:sz w:val="24"/>
          <w:szCs w:val="24"/>
        </w:rPr>
      </w:pPr>
      <w:r w:rsidRPr="0026006A">
        <w:rPr>
          <w:rFonts w:ascii="Century Gothic" w:hAnsi="Century Gothic"/>
          <w:bCs/>
          <w:sz w:val="24"/>
          <w:szCs w:val="24"/>
        </w:rPr>
        <w:t>Al respecto, la Corte Suprema de Justicia ha precisado</w:t>
      </w:r>
      <w:r w:rsidRPr="0026006A">
        <w:rPr>
          <w:rStyle w:val="Refdenotaalpie"/>
          <w:rFonts w:ascii="Century Gothic" w:eastAsia="Calibri" w:hAnsi="Century Gothic"/>
          <w:bCs/>
          <w:sz w:val="24"/>
          <w:szCs w:val="24"/>
        </w:rPr>
        <w:footnoteReference w:id="7"/>
      </w:r>
      <w:r w:rsidRPr="0026006A">
        <w:rPr>
          <w:rFonts w:ascii="Century Gothic" w:hAnsi="Century Gothic"/>
          <w:bCs/>
          <w:sz w:val="24"/>
          <w:szCs w:val="24"/>
        </w:rPr>
        <w:t>:</w:t>
      </w:r>
      <w:r w:rsidRPr="0026006A">
        <w:rPr>
          <w:rStyle w:val="Refdenotaalpie"/>
          <w:rFonts w:ascii="Century Gothic" w:eastAsia="Calibri" w:hAnsi="Century Gothic"/>
          <w:bCs/>
          <w:sz w:val="24"/>
          <w:szCs w:val="24"/>
        </w:rPr>
        <w:t xml:space="preserve">   </w:t>
      </w:r>
    </w:p>
    <w:p w14:paraId="0FEA4852" w14:textId="77777777" w:rsidR="00C9767B" w:rsidRPr="0026006A" w:rsidRDefault="00C9767B" w:rsidP="00144489">
      <w:pPr>
        <w:pStyle w:val="Textoindependiente"/>
        <w:ind w:left="567" w:right="567"/>
        <w:rPr>
          <w:rFonts w:ascii="Century Gothic" w:hAnsi="Century Gothic"/>
          <w:bCs/>
          <w:sz w:val="24"/>
          <w:szCs w:val="24"/>
        </w:rPr>
      </w:pPr>
    </w:p>
    <w:p w14:paraId="29E53E25" w14:textId="77777777" w:rsidR="000B58F9" w:rsidRPr="0026006A" w:rsidRDefault="000B58F9" w:rsidP="00144489">
      <w:pPr>
        <w:pStyle w:val="Textoindependiente"/>
        <w:ind w:left="567" w:right="567"/>
        <w:rPr>
          <w:rFonts w:ascii="Century Gothic" w:hAnsi="Century Gothic"/>
          <w:bCs/>
          <w:sz w:val="24"/>
          <w:szCs w:val="24"/>
        </w:rPr>
      </w:pPr>
      <w:r w:rsidRPr="0026006A">
        <w:rPr>
          <w:rFonts w:ascii="Century Gothic" w:hAnsi="Century Gothic"/>
          <w:bCs/>
          <w:sz w:val="24"/>
          <w:szCs w:val="24"/>
        </w:rPr>
        <w:t xml:space="preserve">El núcleo del habeas corpus responde a la necesidad de proteger el derecho a la libertad. </w:t>
      </w:r>
      <w:r w:rsidRPr="0026006A">
        <w:rPr>
          <w:rFonts w:ascii="Century Gothic" w:hAnsi="Century Gothic"/>
          <w:b/>
          <w:bCs/>
          <w:sz w:val="24"/>
          <w:szCs w:val="24"/>
        </w:rPr>
        <w:t>Pero cuando la misma ha sido afectada por definición de quien tiene la facultad para hacerlo y ante él se dan por el legislador diferentes medios de reacción que conjuren el desacierto, nadie duda que el habeas corpus está por fuera de este ámbito y pretender aplicarlo es invadir órbitas funcionales ajenas</w:t>
      </w:r>
      <w:r w:rsidRPr="0026006A">
        <w:rPr>
          <w:rFonts w:ascii="Century Gothic" w:hAnsi="Century Gothic"/>
          <w:bCs/>
          <w:sz w:val="24"/>
          <w:szCs w:val="24"/>
        </w:rPr>
        <w:t>.  Su inmediatez, su perentoriedad, su efecto indiscriminado, al punto que no hay fuero o especialidad de competencia en el cual no incida, no impone ni auspicia el que se le haga actuar en donde no es el radio de su intervención.</w:t>
      </w:r>
    </w:p>
    <w:p w14:paraId="5A8DC870" w14:textId="77777777" w:rsidR="000B58F9" w:rsidRPr="0026006A" w:rsidRDefault="000B58F9" w:rsidP="00144489">
      <w:pPr>
        <w:spacing w:line="360" w:lineRule="auto"/>
        <w:jc w:val="both"/>
        <w:rPr>
          <w:rFonts w:ascii="Century Gothic" w:eastAsia="Arial Unicode MS" w:hAnsi="Century Gothic"/>
        </w:rPr>
      </w:pPr>
    </w:p>
    <w:p w14:paraId="0C4F56F8" w14:textId="77777777" w:rsidR="000B58F9" w:rsidRPr="0026006A" w:rsidRDefault="000B58F9" w:rsidP="00144489">
      <w:pPr>
        <w:pStyle w:val="Textoindependiente"/>
        <w:rPr>
          <w:rFonts w:ascii="Century Gothic" w:hAnsi="Century Gothic"/>
          <w:sz w:val="24"/>
          <w:szCs w:val="24"/>
        </w:rPr>
      </w:pPr>
      <w:r w:rsidRPr="0026006A">
        <w:rPr>
          <w:rFonts w:ascii="Century Gothic" w:hAnsi="Century Gothic"/>
          <w:b/>
          <w:sz w:val="24"/>
          <w:szCs w:val="24"/>
        </w:rPr>
        <w:t>2.4.</w:t>
      </w:r>
      <w:r w:rsidRPr="0026006A">
        <w:rPr>
          <w:rFonts w:ascii="Century Gothic" w:hAnsi="Century Gothic"/>
          <w:sz w:val="24"/>
          <w:szCs w:val="24"/>
        </w:rPr>
        <w:t xml:space="preserve"> En conclusión, el despacho no encuentra configurada la aludida vulneración al derecho de libertad de</w:t>
      </w:r>
      <w:r w:rsidR="000B41D0" w:rsidRPr="0026006A">
        <w:rPr>
          <w:rFonts w:ascii="Century Gothic" w:hAnsi="Century Gothic"/>
          <w:sz w:val="24"/>
          <w:szCs w:val="24"/>
        </w:rPr>
        <w:t xml:space="preserve"> </w:t>
      </w:r>
      <w:r w:rsidRPr="0026006A">
        <w:rPr>
          <w:rFonts w:ascii="Century Gothic" w:hAnsi="Century Gothic"/>
          <w:sz w:val="24"/>
          <w:szCs w:val="24"/>
        </w:rPr>
        <w:t>l</w:t>
      </w:r>
      <w:r w:rsidR="000B41D0" w:rsidRPr="0026006A">
        <w:rPr>
          <w:rFonts w:ascii="Century Gothic" w:hAnsi="Century Gothic"/>
          <w:sz w:val="24"/>
          <w:szCs w:val="24"/>
        </w:rPr>
        <w:t xml:space="preserve">os </w:t>
      </w:r>
      <w:r w:rsidRPr="0026006A">
        <w:rPr>
          <w:rFonts w:ascii="Century Gothic" w:hAnsi="Century Gothic"/>
          <w:sz w:val="24"/>
          <w:szCs w:val="24"/>
        </w:rPr>
        <w:t>señor</w:t>
      </w:r>
      <w:r w:rsidR="000B41D0" w:rsidRPr="0026006A">
        <w:rPr>
          <w:rFonts w:ascii="Century Gothic" w:hAnsi="Century Gothic"/>
          <w:sz w:val="24"/>
          <w:szCs w:val="24"/>
        </w:rPr>
        <w:t xml:space="preserve">es </w:t>
      </w:r>
      <w:r w:rsidR="000B41D0" w:rsidRPr="0026006A">
        <w:rPr>
          <w:rFonts w:ascii="Century Gothic" w:hAnsi="Century Gothic" w:cs="Arial"/>
          <w:sz w:val="24"/>
          <w:szCs w:val="24"/>
        </w:rPr>
        <w:t>HANS o HANCEN RAMÍREZ GARZÓN, DIEGO ARMANDO COMBITA FUENTES, FABIO ENRIQUE CAMARGO ANDRADE, LUIS FERNANDO CORTÉS AVILA, EDGAR EDISON ORTÍZ FORERO, ERIKA PILAR VILLA, YEISON ANTONIO LICONA HENAO, JOSÉ ANTONIO ANTICA, JAIME ANDRÉS OROZCO MARTÍNEZ  y JESÚS MARÍA CAMARGO MORENO</w:t>
      </w:r>
      <w:r w:rsidRPr="0026006A">
        <w:rPr>
          <w:rFonts w:ascii="Century Gothic" w:hAnsi="Century Gothic"/>
          <w:sz w:val="24"/>
          <w:szCs w:val="24"/>
        </w:rPr>
        <w:t xml:space="preserve">, ni los presupuestos para la procedencia del </w:t>
      </w:r>
      <w:r w:rsidRPr="0026006A">
        <w:rPr>
          <w:rFonts w:ascii="Century Gothic" w:hAnsi="Century Gothic"/>
          <w:i/>
          <w:sz w:val="24"/>
          <w:szCs w:val="24"/>
        </w:rPr>
        <w:t>hábeas corpus</w:t>
      </w:r>
      <w:r w:rsidRPr="0026006A">
        <w:rPr>
          <w:rFonts w:ascii="Century Gothic" w:hAnsi="Century Gothic"/>
          <w:sz w:val="24"/>
          <w:szCs w:val="24"/>
        </w:rPr>
        <w:t>. En consecuencia, no se accederá al amparo solicitado.</w:t>
      </w:r>
    </w:p>
    <w:p w14:paraId="5AC8193F" w14:textId="77777777" w:rsidR="000B58F9" w:rsidRPr="0026006A" w:rsidRDefault="000B58F9" w:rsidP="00144489">
      <w:pPr>
        <w:pStyle w:val="Subttulo"/>
        <w:spacing w:line="360" w:lineRule="auto"/>
        <w:rPr>
          <w:rFonts w:ascii="Century Gothic" w:hAnsi="Century Gothic"/>
          <w:lang w:eastAsia="es-CO"/>
        </w:rPr>
      </w:pPr>
    </w:p>
    <w:p w14:paraId="497D65B8" w14:textId="77777777" w:rsidR="000B58F9" w:rsidRPr="0026006A" w:rsidRDefault="000B58F9" w:rsidP="00144489">
      <w:pPr>
        <w:widowControl w:val="0"/>
        <w:spacing w:line="360" w:lineRule="auto"/>
        <w:jc w:val="both"/>
        <w:rPr>
          <w:rFonts w:ascii="Century Gothic" w:hAnsi="Century Gothic" w:cs="Arial"/>
          <w:bCs/>
        </w:rPr>
      </w:pPr>
      <w:r w:rsidRPr="0026006A">
        <w:rPr>
          <w:rFonts w:ascii="Century Gothic" w:hAnsi="Century Gothic" w:cs="Arial"/>
        </w:rPr>
        <w:t xml:space="preserve">En mérito de lo expuesto, el despacho sustanciador </w:t>
      </w:r>
    </w:p>
    <w:p w14:paraId="6AB429E5" w14:textId="77777777" w:rsidR="000B58F9" w:rsidRPr="0026006A" w:rsidRDefault="000B58F9" w:rsidP="00144489">
      <w:pPr>
        <w:widowControl w:val="0"/>
        <w:spacing w:line="360" w:lineRule="auto"/>
        <w:jc w:val="both"/>
        <w:rPr>
          <w:rFonts w:ascii="Century Gothic" w:hAnsi="Century Gothic" w:cs="Arial"/>
          <w:highlight w:val="yellow"/>
        </w:rPr>
      </w:pPr>
    </w:p>
    <w:p w14:paraId="1CB81F2B" w14:textId="77777777" w:rsidR="000B58F9" w:rsidRPr="0026006A" w:rsidRDefault="000B58F9" w:rsidP="00144489">
      <w:pPr>
        <w:pStyle w:val="a0"/>
        <w:spacing w:line="360" w:lineRule="auto"/>
        <w:rPr>
          <w:rFonts w:ascii="Century Gothic" w:hAnsi="Century Gothic" w:cs="Arial"/>
          <w:szCs w:val="24"/>
        </w:rPr>
      </w:pPr>
      <w:r w:rsidRPr="0026006A">
        <w:rPr>
          <w:rFonts w:ascii="Century Gothic" w:hAnsi="Century Gothic" w:cs="Arial"/>
          <w:szCs w:val="24"/>
        </w:rPr>
        <w:lastRenderedPageBreak/>
        <w:t>R E S U E L V E:</w:t>
      </w:r>
    </w:p>
    <w:p w14:paraId="5E907A74" w14:textId="77777777" w:rsidR="000B58F9" w:rsidRPr="0026006A" w:rsidRDefault="000B58F9" w:rsidP="00144489">
      <w:pPr>
        <w:pStyle w:val="a0"/>
        <w:spacing w:line="360" w:lineRule="auto"/>
        <w:jc w:val="left"/>
        <w:rPr>
          <w:rFonts w:ascii="Century Gothic" w:hAnsi="Century Gothic" w:cs="Arial"/>
          <w:szCs w:val="24"/>
        </w:rPr>
      </w:pPr>
    </w:p>
    <w:p w14:paraId="67B69911" w14:textId="77777777" w:rsidR="000B58F9" w:rsidRPr="0026006A" w:rsidRDefault="000B58F9" w:rsidP="00144489">
      <w:pPr>
        <w:spacing w:line="360" w:lineRule="auto"/>
        <w:jc w:val="both"/>
        <w:rPr>
          <w:rFonts w:ascii="Century Gothic" w:hAnsi="Century Gothic"/>
        </w:rPr>
      </w:pPr>
      <w:r w:rsidRPr="0026006A">
        <w:rPr>
          <w:rFonts w:ascii="Century Gothic" w:hAnsi="Century Gothic"/>
          <w:b/>
        </w:rPr>
        <w:t>PRIMERO</w:t>
      </w:r>
      <w:r w:rsidRPr="0026006A">
        <w:rPr>
          <w:rFonts w:ascii="Century Gothic" w:hAnsi="Century Gothic"/>
        </w:rPr>
        <w:t xml:space="preserve">: </w:t>
      </w:r>
      <w:r w:rsidRPr="0026006A">
        <w:rPr>
          <w:rFonts w:ascii="Century Gothic" w:hAnsi="Century Gothic"/>
          <w:b/>
        </w:rPr>
        <w:t>NEGAR</w:t>
      </w:r>
      <w:r w:rsidRPr="0026006A">
        <w:rPr>
          <w:rFonts w:ascii="Century Gothic" w:hAnsi="Century Gothic"/>
        </w:rPr>
        <w:t xml:space="preserve"> la solicitud de amparo de </w:t>
      </w:r>
      <w:r w:rsidRPr="0026006A">
        <w:rPr>
          <w:rFonts w:ascii="Century Gothic" w:hAnsi="Century Gothic"/>
          <w:i/>
        </w:rPr>
        <w:t>hábeas corpus</w:t>
      </w:r>
      <w:r w:rsidR="003C4424" w:rsidRPr="0026006A">
        <w:rPr>
          <w:rFonts w:ascii="Century Gothic" w:hAnsi="Century Gothic"/>
        </w:rPr>
        <w:t xml:space="preserve"> formulada por </w:t>
      </w:r>
      <w:r w:rsidR="000B41D0" w:rsidRPr="0026006A">
        <w:rPr>
          <w:rFonts w:ascii="Century Gothic" w:hAnsi="Century Gothic" w:cs="Arial"/>
        </w:rPr>
        <w:t xml:space="preserve">el </w:t>
      </w:r>
      <w:r w:rsidR="00933E23" w:rsidRPr="0026006A">
        <w:rPr>
          <w:rFonts w:ascii="Century Gothic" w:hAnsi="Century Gothic" w:cs="Arial"/>
        </w:rPr>
        <w:t xml:space="preserve"> señor </w:t>
      </w:r>
      <w:r w:rsidR="000B41D0" w:rsidRPr="0026006A">
        <w:rPr>
          <w:rFonts w:ascii="Century Gothic" w:hAnsi="Century Gothic" w:cs="Arial"/>
        </w:rPr>
        <w:t>ROBERTO ORLANDO BERMUDEZ SEGURA en representación de HANS o HANCEN RAMÍREZ GARZÓN, DIEGO ARMANDO COMBITA FUENTES, FABIO ENRIQUE CAMARGO ANDRADE, LUIS FERNANDO CORTÉS AVILA, EDGAR EDISON ORTÍZ FORERO, ERIKA PILAR VILLA, YEISON ANTONIO LICONA HENAO, JOSÉ ANTONIO ANTICA, JAIME ANDRÉS OROZCO MARTÍNEZ  y JESÚS MARÍA CAMARGO MORENO</w:t>
      </w:r>
      <w:r w:rsidR="003C4424" w:rsidRPr="0026006A">
        <w:rPr>
          <w:rFonts w:ascii="Century Gothic" w:hAnsi="Century Gothic"/>
        </w:rPr>
        <w:t>, por las razones expuestas en la parte considerativa de la presente pr</w:t>
      </w:r>
      <w:r w:rsidR="006E3904" w:rsidRPr="0026006A">
        <w:rPr>
          <w:rFonts w:ascii="Century Gothic" w:hAnsi="Century Gothic"/>
        </w:rPr>
        <w:t>ovidencia.</w:t>
      </w:r>
    </w:p>
    <w:p w14:paraId="631B14B7" w14:textId="77777777" w:rsidR="00C9767B" w:rsidRPr="0026006A" w:rsidRDefault="00C9767B" w:rsidP="00144489">
      <w:pPr>
        <w:spacing w:line="360" w:lineRule="auto"/>
        <w:jc w:val="both"/>
        <w:rPr>
          <w:rFonts w:ascii="Century Gothic" w:hAnsi="Century Gothic"/>
          <w:b/>
        </w:rPr>
      </w:pPr>
    </w:p>
    <w:p w14:paraId="20F68DC5" w14:textId="77777777" w:rsidR="000B41D0" w:rsidRPr="0026006A" w:rsidRDefault="000B58F9" w:rsidP="00144489">
      <w:pPr>
        <w:spacing w:line="360" w:lineRule="auto"/>
        <w:jc w:val="both"/>
        <w:rPr>
          <w:rFonts w:ascii="Century Gothic" w:hAnsi="Century Gothic"/>
        </w:rPr>
      </w:pPr>
      <w:r w:rsidRPr="0026006A">
        <w:rPr>
          <w:rFonts w:ascii="Century Gothic" w:hAnsi="Century Gothic"/>
          <w:b/>
        </w:rPr>
        <w:t>SEGUNDO:</w:t>
      </w:r>
      <w:r w:rsidRPr="0026006A">
        <w:rPr>
          <w:rFonts w:ascii="Century Gothic" w:hAnsi="Century Gothic"/>
        </w:rPr>
        <w:t xml:space="preserve"> </w:t>
      </w:r>
      <w:r w:rsidRPr="0026006A">
        <w:rPr>
          <w:rFonts w:ascii="Century Gothic" w:hAnsi="Century Gothic"/>
          <w:b/>
        </w:rPr>
        <w:t>NOTIFÍQUESE</w:t>
      </w:r>
      <w:r w:rsidRPr="0026006A">
        <w:rPr>
          <w:rFonts w:ascii="Century Gothic" w:hAnsi="Century Gothic"/>
        </w:rPr>
        <w:t xml:space="preserve"> de man</w:t>
      </w:r>
      <w:r w:rsidR="00C9767B" w:rsidRPr="0026006A">
        <w:rPr>
          <w:rFonts w:ascii="Century Gothic" w:hAnsi="Century Gothic"/>
        </w:rPr>
        <w:t xml:space="preserve">era inmediata esta decisión </w:t>
      </w:r>
      <w:r w:rsidR="00DB6E46" w:rsidRPr="0026006A">
        <w:rPr>
          <w:rFonts w:ascii="Century Gothic" w:hAnsi="Century Gothic"/>
        </w:rPr>
        <w:t>así:</w:t>
      </w:r>
    </w:p>
    <w:p w14:paraId="2DA97783" w14:textId="77777777" w:rsidR="000B41D0" w:rsidRPr="0026006A" w:rsidRDefault="000B41D0" w:rsidP="00144489">
      <w:pPr>
        <w:spacing w:line="360" w:lineRule="auto"/>
        <w:jc w:val="both"/>
        <w:rPr>
          <w:rFonts w:ascii="Century Gothic" w:hAnsi="Century Gothic"/>
        </w:rPr>
      </w:pPr>
    </w:p>
    <w:p w14:paraId="595AB83A" w14:textId="7437BF04" w:rsidR="000B41D0" w:rsidRPr="0026006A" w:rsidRDefault="00DB6E46" w:rsidP="00144489">
      <w:pPr>
        <w:pStyle w:val="Prrafodelista"/>
        <w:numPr>
          <w:ilvl w:val="0"/>
          <w:numId w:val="4"/>
        </w:numPr>
        <w:spacing w:line="360" w:lineRule="auto"/>
        <w:jc w:val="both"/>
        <w:rPr>
          <w:rFonts w:ascii="Century Gothic" w:hAnsi="Century Gothic"/>
        </w:rPr>
      </w:pPr>
      <w:r w:rsidRPr="0026006A">
        <w:rPr>
          <w:rFonts w:ascii="Century Gothic" w:hAnsi="Century Gothic"/>
        </w:rPr>
        <w:t>A los señores</w:t>
      </w:r>
      <w:r w:rsidR="004445A0" w:rsidRPr="0026006A">
        <w:rPr>
          <w:rFonts w:ascii="Century Gothic" w:hAnsi="Century Gothic"/>
        </w:rPr>
        <w:t xml:space="preserve"> </w:t>
      </w:r>
      <w:r w:rsidR="004445A0" w:rsidRPr="0026006A">
        <w:rPr>
          <w:rFonts w:ascii="Century Gothic" w:hAnsi="Century Gothic" w:cs="Arial"/>
          <w:b/>
          <w:bCs/>
        </w:rPr>
        <w:t>HANS o</w:t>
      </w:r>
      <w:r w:rsidRPr="0026006A">
        <w:rPr>
          <w:rFonts w:ascii="Century Gothic" w:hAnsi="Century Gothic"/>
          <w:b/>
          <w:bCs/>
        </w:rPr>
        <w:t xml:space="preserve"> HANCEN RAMÍREZ GARZÓN</w:t>
      </w:r>
      <w:r w:rsidRPr="0026006A">
        <w:rPr>
          <w:rFonts w:ascii="Century Gothic" w:hAnsi="Century Gothic"/>
        </w:rPr>
        <w:t xml:space="preserve"> identificado con C.C. N°79.970.021 de Bogotá y </w:t>
      </w:r>
      <w:r w:rsidRPr="0026006A">
        <w:rPr>
          <w:rFonts w:ascii="Century Gothic" w:hAnsi="Century Gothic"/>
          <w:b/>
          <w:bCs/>
        </w:rPr>
        <w:t>LUIS FERNANDO CORTÉS AVILA</w:t>
      </w:r>
      <w:r w:rsidRPr="0026006A">
        <w:rPr>
          <w:rFonts w:ascii="Century Gothic" w:hAnsi="Century Gothic"/>
        </w:rPr>
        <w:t xml:space="preserve"> con C. C. N°1.070.613.618 de Girardot </w:t>
      </w:r>
      <w:r w:rsidR="00707FE3" w:rsidRPr="0026006A">
        <w:rPr>
          <w:rFonts w:ascii="Century Gothic" w:hAnsi="Century Gothic"/>
        </w:rPr>
        <w:t xml:space="preserve">a través del </w:t>
      </w:r>
      <w:r w:rsidRPr="0026006A">
        <w:rPr>
          <w:rFonts w:ascii="Century Gothic" w:hAnsi="Century Gothic"/>
        </w:rPr>
        <w:t xml:space="preserve">comandante de la </w:t>
      </w:r>
      <w:r w:rsidRPr="0026006A">
        <w:rPr>
          <w:rFonts w:ascii="Century Gothic" w:hAnsi="Century Gothic"/>
          <w:b/>
          <w:bCs/>
        </w:rPr>
        <w:t>Estación de Policía Santafé</w:t>
      </w:r>
      <w:r w:rsidRPr="0026006A">
        <w:rPr>
          <w:rFonts w:ascii="Century Gothic" w:hAnsi="Century Gothic"/>
        </w:rPr>
        <w:t xml:space="preserve"> de la Policía Metropolitana de Bogotá. </w:t>
      </w:r>
      <w:r w:rsidR="00707FE3" w:rsidRPr="0026006A">
        <w:rPr>
          <w:rFonts w:ascii="Century Gothic" w:hAnsi="Century Gothic"/>
        </w:rPr>
        <w:t xml:space="preserve"> </w:t>
      </w:r>
      <w:r w:rsidR="006E3904" w:rsidRPr="0026006A">
        <w:rPr>
          <w:rFonts w:ascii="Century Gothic" w:hAnsi="Century Gothic"/>
        </w:rPr>
        <w:t>mediante correo electrónico dirigido a la Oficina Jurídica</w:t>
      </w:r>
      <w:r w:rsidRPr="0026006A">
        <w:rPr>
          <w:rFonts w:ascii="Century Gothic" w:hAnsi="Century Gothic"/>
        </w:rPr>
        <w:t>.</w:t>
      </w:r>
    </w:p>
    <w:p w14:paraId="085A6888" w14:textId="77777777" w:rsidR="004445A0" w:rsidRPr="0026006A" w:rsidRDefault="004445A0" w:rsidP="00144489">
      <w:pPr>
        <w:pStyle w:val="Prrafodelista"/>
        <w:spacing w:line="360" w:lineRule="auto"/>
        <w:jc w:val="both"/>
        <w:rPr>
          <w:rFonts w:ascii="Century Gothic" w:hAnsi="Century Gothic"/>
        </w:rPr>
      </w:pPr>
    </w:p>
    <w:p w14:paraId="0F68EC9F" w14:textId="0566430F" w:rsidR="00B0646F" w:rsidRPr="0026006A" w:rsidRDefault="004445A0" w:rsidP="00144489">
      <w:pPr>
        <w:pStyle w:val="Prrafodelista"/>
        <w:numPr>
          <w:ilvl w:val="0"/>
          <w:numId w:val="4"/>
        </w:numPr>
        <w:spacing w:line="360" w:lineRule="auto"/>
        <w:jc w:val="both"/>
        <w:rPr>
          <w:rFonts w:ascii="Century Gothic" w:hAnsi="Century Gothic"/>
        </w:rPr>
      </w:pPr>
      <w:r w:rsidRPr="0026006A">
        <w:rPr>
          <w:rFonts w:ascii="Century Gothic" w:hAnsi="Century Gothic"/>
        </w:rPr>
        <w:t xml:space="preserve">Al señor </w:t>
      </w:r>
      <w:r w:rsidRPr="0026006A">
        <w:rPr>
          <w:rFonts w:ascii="Century Gothic" w:hAnsi="Century Gothic"/>
          <w:b/>
          <w:bCs/>
        </w:rPr>
        <w:t>FABIO ENRIQUE CAMARGO ANDRADE</w:t>
      </w:r>
      <w:r w:rsidRPr="0026006A">
        <w:rPr>
          <w:rFonts w:ascii="Century Gothic" w:hAnsi="Century Gothic"/>
        </w:rPr>
        <w:t xml:space="preserve"> con C.C. N°1.013.652.153 de Bogotá a través del comandante de la </w:t>
      </w:r>
      <w:r w:rsidRPr="00ED79D3">
        <w:rPr>
          <w:rFonts w:ascii="Century Gothic" w:hAnsi="Century Gothic"/>
          <w:b/>
          <w:bCs/>
        </w:rPr>
        <w:t>Estación de Policía de San Cristóbal</w:t>
      </w:r>
      <w:r w:rsidRPr="00ED79D3">
        <w:rPr>
          <w:rFonts w:ascii="Century Gothic" w:hAnsi="Century Gothic"/>
        </w:rPr>
        <w:t xml:space="preserve"> de la Policía Metropolitana de Bogot</w:t>
      </w:r>
      <w:r w:rsidRPr="0026006A">
        <w:rPr>
          <w:rFonts w:ascii="Century Gothic" w:hAnsi="Century Gothic"/>
        </w:rPr>
        <w:t xml:space="preserve">á mediante correo electrónico dirigido a la Oficina Jurídica. </w:t>
      </w:r>
    </w:p>
    <w:p w14:paraId="474A409D" w14:textId="77777777" w:rsidR="00B0646F" w:rsidRPr="0026006A" w:rsidRDefault="00B0646F" w:rsidP="00144489">
      <w:pPr>
        <w:pStyle w:val="Prrafodelista"/>
        <w:spacing w:line="360" w:lineRule="auto"/>
        <w:rPr>
          <w:rFonts w:ascii="Century Gothic" w:hAnsi="Century Gothic"/>
        </w:rPr>
      </w:pPr>
    </w:p>
    <w:p w14:paraId="069DB15D" w14:textId="5E300B8B" w:rsidR="00B0646F" w:rsidRPr="0026006A" w:rsidRDefault="00837C1D" w:rsidP="00144489">
      <w:pPr>
        <w:pStyle w:val="Prrafodelista"/>
        <w:numPr>
          <w:ilvl w:val="0"/>
          <w:numId w:val="4"/>
        </w:numPr>
        <w:spacing w:line="360" w:lineRule="auto"/>
        <w:jc w:val="both"/>
        <w:rPr>
          <w:rFonts w:ascii="Century Gothic" w:hAnsi="Century Gothic"/>
        </w:rPr>
      </w:pPr>
      <w:r w:rsidRPr="0026006A">
        <w:rPr>
          <w:rFonts w:ascii="Century Gothic" w:hAnsi="Century Gothic"/>
        </w:rPr>
        <w:t xml:space="preserve">A los señores </w:t>
      </w:r>
      <w:r w:rsidRPr="0026006A">
        <w:rPr>
          <w:rFonts w:ascii="Century Gothic" w:hAnsi="Century Gothic"/>
          <w:b/>
          <w:bCs/>
        </w:rPr>
        <w:t xml:space="preserve">JOSÉ ANTONIO ANTICA </w:t>
      </w:r>
      <w:r w:rsidRPr="0026006A">
        <w:rPr>
          <w:rFonts w:ascii="Century Gothic" w:hAnsi="Century Gothic"/>
        </w:rPr>
        <w:t xml:space="preserve">con C.E. 30.015.953 de Venezuela, y </w:t>
      </w:r>
      <w:r w:rsidRPr="0026006A">
        <w:rPr>
          <w:rFonts w:ascii="Century Gothic" w:hAnsi="Century Gothic"/>
          <w:b/>
          <w:bCs/>
        </w:rPr>
        <w:t>JESÚS MARÍA CAMARGO MORENO</w:t>
      </w:r>
      <w:r w:rsidRPr="0026006A">
        <w:rPr>
          <w:rFonts w:ascii="Century Gothic" w:hAnsi="Century Gothic"/>
        </w:rPr>
        <w:t xml:space="preserve"> con C.C. N°1.032.363.773 de Bogotá</w:t>
      </w:r>
      <w:r w:rsidR="00B0646F" w:rsidRPr="0026006A">
        <w:rPr>
          <w:rFonts w:ascii="Century Gothic" w:hAnsi="Century Gothic"/>
        </w:rPr>
        <w:t xml:space="preserve"> a través del jefe de la URI de Puente Aranda de Bogotá.</w:t>
      </w:r>
      <w:r w:rsidR="00B0646F" w:rsidRPr="0026006A">
        <w:rPr>
          <w:rFonts w:ascii="Century Gothic" w:hAnsi="Century Gothic"/>
          <w:b/>
          <w:bCs/>
        </w:rPr>
        <w:t xml:space="preserve"> </w:t>
      </w:r>
      <w:r w:rsidR="00B0646F" w:rsidRPr="0026006A">
        <w:rPr>
          <w:rFonts w:ascii="Century Gothic" w:hAnsi="Century Gothic"/>
        </w:rPr>
        <w:t xml:space="preserve">mediante correo electrónico dirigido a la Oficina Jurídica. </w:t>
      </w:r>
    </w:p>
    <w:p w14:paraId="6AA9E698" w14:textId="77777777" w:rsidR="00B0646F" w:rsidRPr="0026006A" w:rsidRDefault="00B0646F" w:rsidP="00144489">
      <w:pPr>
        <w:pStyle w:val="Prrafodelista"/>
        <w:spacing w:line="360" w:lineRule="auto"/>
        <w:rPr>
          <w:rFonts w:ascii="Century Gothic" w:hAnsi="Century Gothic"/>
        </w:rPr>
      </w:pPr>
    </w:p>
    <w:p w14:paraId="13003CB3" w14:textId="06BB6096" w:rsidR="00DB6E46" w:rsidRPr="00ED79D3" w:rsidRDefault="00DB6E46" w:rsidP="00144489">
      <w:pPr>
        <w:pStyle w:val="Prrafodelista"/>
        <w:numPr>
          <w:ilvl w:val="0"/>
          <w:numId w:val="4"/>
        </w:numPr>
        <w:spacing w:line="360" w:lineRule="auto"/>
        <w:jc w:val="both"/>
        <w:rPr>
          <w:rFonts w:ascii="Century Gothic" w:hAnsi="Century Gothic"/>
        </w:rPr>
      </w:pPr>
      <w:r w:rsidRPr="0026006A">
        <w:rPr>
          <w:rFonts w:ascii="Century Gothic" w:hAnsi="Century Gothic"/>
        </w:rPr>
        <w:t xml:space="preserve">A los señores </w:t>
      </w:r>
      <w:r w:rsidRPr="0026006A">
        <w:rPr>
          <w:rFonts w:ascii="Century Gothic" w:hAnsi="Century Gothic"/>
          <w:b/>
          <w:bCs/>
        </w:rPr>
        <w:t>DIEGO ARMANDO COMBITA FUENTES</w:t>
      </w:r>
      <w:r w:rsidRPr="0026006A">
        <w:rPr>
          <w:rFonts w:ascii="Century Gothic" w:hAnsi="Century Gothic"/>
        </w:rPr>
        <w:t xml:space="preserve"> con C.C. N°1.136.911.488 de Bogotá y </w:t>
      </w:r>
      <w:r w:rsidRPr="0026006A">
        <w:rPr>
          <w:rFonts w:ascii="Century Gothic" w:hAnsi="Century Gothic"/>
          <w:b/>
          <w:bCs/>
        </w:rPr>
        <w:t>YEISON ANTONIO LICONA HENAO</w:t>
      </w:r>
      <w:r w:rsidRPr="0026006A">
        <w:rPr>
          <w:rFonts w:ascii="Century Gothic" w:hAnsi="Century Gothic"/>
        </w:rPr>
        <w:t xml:space="preserve"> con C. C. N°1.000.134.754 de Bogotá a través del </w:t>
      </w:r>
      <w:r w:rsidR="00055089" w:rsidRPr="0026006A">
        <w:rPr>
          <w:rFonts w:ascii="Century Gothic" w:hAnsi="Century Gothic"/>
        </w:rPr>
        <w:t>director</w:t>
      </w:r>
      <w:r w:rsidRPr="0026006A">
        <w:rPr>
          <w:rFonts w:ascii="Century Gothic" w:hAnsi="Century Gothic"/>
        </w:rPr>
        <w:t xml:space="preserve"> del Establecimiento penitenciario y carcelario </w:t>
      </w:r>
      <w:r w:rsidRPr="00ED79D3">
        <w:rPr>
          <w:rFonts w:ascii="Century Gothic" w:hAnsi="Century Gothic"/>
          <w:b/>
          <w:bCs/>
        </w:rPr>
        <w:t>Cárcel Distrital de Bogotá</w:t>
      </w:r>
      <w:r w:rsidRPr="00ED79D3">
        <w:rPr>
          <w:rFonts w:ascii="Century Gothic" w:hAnsi="Century Gothic"/>
        </w:rPr>
        <w:t xml:space="preserve"> mediante correo electrónico dirigido a la Oficina Jurídica.</w:t>
      </w:r>
    </w:p>
    <w:p w14:paraId="0B254C96" w14:textId="77777777" w:rsidR="00DB6E46" w:rsidRPr="0026006A" w:rsidRDefault="00DB6E46" w:rsidP="00144489">
      <w:pPr>
        <w:pStyle w:val="Prrafodelista"/>
        <w:spacing w:line="360" w:lineRule="auto"/>
        <w:rPr>
          <w:rFonts w:ascii="Century Gothic" w:hAnsi="Century Gothic"/>
        </w:rPr>
      </w:pPr>
    </w:p>
    <w:p w14:paraId="30F7DAC1" w14:textId="7364D909" w:rsidR="00B0646F" w:rsidRPr="0026006A" w:rsidRDefault="00DB6E46" w:rsidP="00144489">
      <w:pPr>
        <w:pStyle w:val="Prrafodelista"/>
        <w:numPr>
          <w:ilvl w:val="0"/>
          <w:numId w:val="4"/>
        </w:numPr>
        <w:spacing w:line="360" w:lineRule="auto"/>
        <w:jc w:val="both"/>
        <w:rPr>
          <w:rFonts w:ascii="Century Gothic" w:hAnsi="Century Gothic"/>
        </w:rPr>
      </w:pPr>
      <w:r w:rsidRPr="0026006A">
        <w:rPr>
          <w:rFonts w:ascii="Century Gothic" w:hAnsi="Century Gothic"/>
        </w:rPr>
        <w:t xml:space="preserve">A los señores </w:t>
      </w:r>
      <w:r w:rsidRPr="0026006A">
        <w:rPr>
          <w:rFonts w:ascii="Century Gothic" w:hAnsi="Century Gothic"/>
          <w:b/>
          <w:bCs/>
        </w:rPr>
        <w:t>EDGAR EDISON ORTÍZ FORERO</w:t>
      </w:r>
      <w:r w:rsidRPr="0026006A">
        <w:rPr>
          <w:rFonts w:ascii="Century Gothic" w:hAnsi="Century Gothic"/>
        </w:rPr>
        <w:t xml:space="preserve"> con C. C. N°1.023.869.354 de Bogotá y </w:t>
      </w:r>
      <w:r w:rsidRPr="0026006A">
        <w:rPr>
          <w:rFonts w:ascii="Century Gothic" w:hAnsi="Century Gothic"/>
          <w:b/>
          <w:bCs/>
        </w:rPr>
        <w:t>JAIME ANDRÉS OROZCO MARTÍNEZ</w:t>
      </w:r>
      <w:r w:rsidRPr="0026006A">
        <w:rPr>
          <w:rFonts w:ascii="Century Gothic" w:hAnsi="Century Gothic"/>
        </w:rPr>
        <w:t xml:space="preserve"> con C. C. N°1.032.363.773 de Bogotá a través del </w:t>
      </w:r>
      <w:r w:rsidR="00055089" w:rsidRPr="0026006A">
        <w:rPr>
          <w:rFonts w:ascii="Century Gothic" w:hAnsi="Century Gothic"/>
        </w:rPr>
        <w:t>director</w:t>
      </w:r>
      <w:r w:rsidRPr="0026006A">
        <w:rPr>
          <w:rFonts w:ascii="Century Gothic" w:hAnsi="Century Gothic"/>
        </w:rPr>
        <w:t xml:space="preserve"> del Establecimiento penitenciario y carcelario </w:t>
      </w:r>
      <w:r w:rsidRPr="00ED79D3">
        <w:rPr>
          <w:rFonts w:ascii="Century Gothic" w:hAnsi="Century Gothic"/>
          <w:b/>
          <w:bCs/>
        </w:rPr>
        <w:t>Cárcel Nacional Modelo de Bogotá</w:t>
      </w:r>
      <w:r w:rsidRPr="00ED79D3">
        <w:rPr>
          <w:rFonts w:ascii="Century Gothic" w:hAnsi="Century Gothic"/>
        </w:rPr>
        <w:t xml:space="preserve"> mediante</w:t>
      </w:r>
      <w:bookmarkStart w:id="0" w:name="_GoBack"/>
      <w:bookmarkEnd w:id="0"/>
      <w:r w:rsidRPr="0026006A">
        <w:rPr>
          <w:rFonts w:ascii="Century Gothic" w:hAnsi="Century Gothic"/>
        </w:rPr>
        <w:t xml:space="preserve"> correo electrónico dirigido a la Oficina Jurídica</w:t>
      </w:r>
      <w:r w:rsidR="004445A0" w:rsidRPr="0026006A">
        <w:rPr>
          <w:rFonts w:ascii="Century Gothic" w:hAnsi="Century Gothic"/>
        </w:rPr>
        <w:t>.</w:t>
      </w:r>
    </w:p>
    <w:p w14:paraId="2F8FE3CC" w14:textId="77777777" w:rsidR="00B0646F" w:rsidRPr="0026006A" w:rsidRDefault="00B0646F" w:rsidP="00144489">
      <w:pPr>
        <w:pStyle w:val="Prrafodelista"/>
        <w:spacing w:line="360" w:lineRule="auto"/>
        <w:rPr>
          <w:rFonts w:ascii="Century Gothic" w:hAnsi="Century Gothic"/>
        </w:rPr>
      </w:pPr>
    </w:p>
    <w:p w14:paraId="3E22E01A" w14:textId="5D7520D9" w:rsidR="00B0646F" w:rsidRPr="0026006A" w:rsidRDefault="004445A0" w:rsidP="00144489">
      <w:pPr>
        <w:pStyle w:val="Prrafodelista"/>
        <w:numPr>
          <w:ilvl w:val="0"/>
          <w:numId w:val="4"/>
        </w:numPr>
        <w:spacing w:line="360" w:lineRule="auto"/>
        <w:jc w:val="both"/>
        <w:rPr>
          <w:rFonts w:ascii="Century Gothic" w:hAnsi="Century Gothic"/>
        </w:rPr>
      </w:pPr>
      <w:r w:rsidRPr="0026006A">
        <w:rPr>
          <w:rFonts w:ascii="Century Gothic" w:hAnsi="Century Gothic"/>
        </w:rPr>
        <w:t xml:space="preserve">A la señora </w:t>
      </w:r>
      <w:r w:rsidRPr="0026006A">
        <w:rPr>
          <w:rFonts w:ascii="Century Gothic" w:hAnsi="Century Gothic"/>
          <w:b/>
          <w:bCs/>
        </w:rPr>
        <w:t>ERIKA PILAR VILLA</w:t>
      </w:r>
      <w:r w:rsidRPr="0026006A">
        <w:rPr>
          <w:rFonts w:ascii="Century Gothic" w:hAnsi="Century Gothic"/>
        </w:rPr>
        <w:t xml:space="preserve"> con C. C. N°52.395.938 de Bogotá a través del </w:t>
      </w:r>
      <w:r w:rsidR="00055089" w:rsidRPr="0026006A">
        <w:rPr>
          <w:rFonts w:ascii="Century Gothic" w:hAnsi="Century Gothic"/>
        </w:rPr>
        <w:t>director</w:t>
      </w:r>
      <w:r w:rsidRPr="0026006A">
        <w:rPr>
          <w:rFonts w:ascii="Century Gothic" w:hAnsi="Century Gothic"/>
        </w:rPr>
        <w:t xml:space="preserve"> del Establecimiento penitenciario y carcelario </w:t>
      </w:r>
      <w:r w:rsidRPr="0026006A">
        <w:rPr>
          <w:rFonts w:ascii="Century Gothic" w:hAnsi="Century Gothic"/>
          <w:b/>
          <w:bCs/>
        </w:rPr>
        <w:t>Cárcel El Buen Pastor de Bogotá</w:t>
      </w:r>
      <w:r w:rsidRPr="0026006A">
        <w:rPr>
          <w:rFonts w:ascii="Century Gothic" w:hAnsi="Century Gothic"/>
        </w:rPr>
        <w:t>. mediante correo electrónico dirigido a la Oficina Jurídica.</w:t>
      </w:r>
    </w:p>
    <w:p w14:paraId="5AFC1ADD" w14:textId="77777777" w:rsidR="00B0646F" w:rsidRPr="0026006A" w:rsidRDefault="00B0646F" w:rsidP="00144489">
      <w:pPr>
        <w:pStyle w:val="Prrafodelista"/>
        <w:spacing w:line="360" w:lineRule="auto"/>
        <w:rPr>
          <w:rFonts w:ascii="Century Gothic" w:hAnsi="Century Gothic"/>
        </w:rPr>
      </w:pPr>
    </w:p>
    <w:p w14:paraId="149F6CD3" w14:textId="77777777" w:rsidR="00707FE3" w:rsidRPr="0026006A" w:rsidRDefault="00707FE3" w:rsidP="00144489">
      <w:pPr>
        <w:pStyle w:val="Prrafodelista"/>
        <w:numPr>
          <w:ilvl w:val="0"/>
          <w:numId w:val="4"/>
        </w:numPr>
        <w:spacing w:line="360" w:lineRule="auto"/>
        <w:jc w:val="both"/>
        <w:rPr>
          <w:rFonts w:ascii="Century Gothic" w:hAnsi="Century Gothic"/>
        </w:rPr>
      </w:pPr>
      <w:r w:rsidRPr="0026006A">
        <w:rPr>
          <w:rFonts w:ascii="Century Gothic" w:hAnsi="Century Gothic"/>
        </w:rPr>
        <w:t>y</w:t>
      </w:r>
      <w:r w:rsidR="006E3904" w:rsidRPr="0026006A">
        <w:rPr>
          <w:rFonts w:ascii="Century Gothic" w:hAnsi="Century Gothic"/>
        </w:rPr>
        <w:t xml:space="preserve"> </w:t>
      </w:r>
      <w:r w:rsidR="008D4B43" w:rsidRPr="0026006A">
        <w:rPr>
          <w:rFonts w:ascii="Century Gothic" w:hAnsi="Century Gothic"/>
        </w:rPr>
        <w:t>a</w:t>
      </w:r>
      <w:r w:rsidR="00B4294A" w:rsidRPr="0026006A">
        <w:rPr>
          <w:rFonts w:ascii="Century Gothic" w:hAnsi="Century Gothic"/>
        </w:rPr>
        <w:t xml:space="preserve">l accionante </w:t>
      </w:r>
      <w:r w:rsidR="000B41D0" w:rsidRPr="0026006A">
        <w:rPr>
          <w:rFonts w:ascii="Century Gothic" w:hAnsi="Century Gothic"/>
        </w:rPr>
        <w:t xml:space="preserve">ROBERTO ORLANDO BERMÚDEZ SEGURA </w:t>
      </w:r>
      <w:r w:rsidR="008D4B43" w:rsidRPr="0026006A">
        <w:rPr>
          <w:rFonts w:ascii="Century Gothic" w:hAnsi="Century Gothic" w:cs="Arial"/>
        </w:rPr>
        <w:t xml:space="preserve">al correo electrónico </w:t>
      </w:r>
      <w:hyperlink r:id="rId8" w:history="1">
        <w:r w:rsidR="00B0646F" w:rsidRPr="0026006A">
          <w:rPr>
            <w:rStyle w:val="Hipervnculo"/>
            <w:rFonts w:ascii="Century Gothic" w:hAnsi="Century Gothic"/>
          </w:rPr>
          <w:t>rbermudez@defensoria.edu.co</w:t>
        </w:r>
      </w:hyperlink>
      <w:r w:rsidR="00B0646F" w:rsidRPr="0026006A">
        <w:rPr>
          <w:rFonts w:ascii="Century Gothic" w:hAnsi="Century Gothic"/>
        </w:rPr>
        <w:t xml:space="preserve"> </w:t>
      </w:r>
      <w:r w:rsidR="008D4B43" w:rsidRPr="0026006A">
        <w:rPr>
          <w:rFonts w:ascii="Century Gothic" w:hAnsi="Century Gothic" w:cs="Arial"/>
        </w:rPr>
        <w:t>señalado en su escrito</w:t>
      </w:r>
      <w:r w:rsidR="000B58F9" w:rsidRPr="0026006A">
        <w:rPr>
          <w:rFonts w:ascii="Century Gothic" w:hAnsi="Century Gothic"/>
        </w:rPr>
        <w:t>, informándole</w:t>
      </w:r>
      <w:r w:rsidR="008D4B43" w:rsidRPr="0026006A">
        <w:rPr>
          <w:rFonts w:ascii="Century Gothic" w:hAnsi="Century Gothic"/>
        </w:rPr>
        <w:t>s</w:t>
      </w:r>
      <w:r w:rsidR="000B58F9" w:rsidRPr="0026006A">
        <w:rPr>
          <w:rFonts w:ascii="Century Gothic" w:hAnsi="Century Gothic"/>
        </w:rPr>
        <w:t xml:space="preserve"> que</w:t>
      </w:r>
      <w:r w:rsidR="008D4B43" w:rsidRPr="0026006A">
        <w:rPr>
          <w:rFonts w:ascii="Century Gothic" w:hAnsi="Century Gothic"/>
        </w:rPr>
        <w:t xml:space="preserve"> la anterior decisión</w:t>
      </w:r>
      <w:r w:rsidR="000B58F9" w:rsidRPr="0026006A">
        <w:rPr>
          <w:rFonts w:ascii="Century Gothic" w:hAnsi="Century Gothic"/>
        </w:rPr>
        <w:t xml:space="preserve"> puede ser impugnada dentro de los 3 días siguientes a su notificación. </w:t>
      </w:r>
    </w:p>
    <w:p w14:paraId="431E9AA4" w14:textId="77777777" w:rsidR="00707FE3" w:rsidRPr="0026006A" w:rsidRDefault="00707FE3" w:rsidP="00144489">
      <w:pPr>
        <w:spacing w:line="360" w:lineRule="auto"/>
        <w:jc w:val="both"/>
        <w:rPr>
          <w:rFonts w:ascii="Century Gothic" w:hAnsi="Century Gothic"/>
        </w:rPr>
      </w:pPr>
    </w:p>
    <w:p w14:paraId="081F6411" w14:textId="2C8B1C32" w:rsidR="00707FE3" w:rsidRPr="0026006A" w:rsidRDefault="00707FE3" w:rsidP="00144489">
      <w:pPr>
        <w:spacing w:line="360" w:lineRule="auto"/>
        <w:jc w:val="both"/>
        <w:rPr>
          <w:rFonts w:ascii="Century Gothic" w:hAnsi="Century Gothic"/>
        </w:rPr>
      </w:pPr>
      <w:r w:rsidRPr="0026006A">
        <w:rPr>
          <w:rFonts w:ascii="Century Gothic" w:hAnsi="Century Gothic"/>
        </w:rPr>
        <w:t>Facúltese a</w:t>
      </w:r>
      <w:r w:rsidR="00B0646F" w:rsidRPr="0026006A">
        <w:rPr>
          <w:rFonts w:ascii="Century Gothic" w:hAnsi="Century Gothic"/>
        </w:rPr>
        <w:t xml:space="preserve"> </w:t>
      </w:r>
      <w:r w:rsidRPr="0026006A">
        <w:rPr>
          <w:rFonts w:ascii="Century Gothic" w:hAnsi="Century Gothic"/>
        </w:rPr>
        <w:t>l</w:t>
      </w:r>
      <w:r w:rsidR="00B0646F" w:rsidRPr="0026006A">
        <w:rPr>
          <w:rFonts w:ascii="Century Gothic" w:hAnsi="Century Gothic"/>
        </w:rPr>
        <w:t>os</w:t>
      </w:r>
      <w:r w:rsidRPr="0026006A">
        <w:rPr>
          <w:rFonts w:ascii="Century Gothic" w:hAnsi="Century Gothic"/>
        </w:rPr>
        <w:t xml:space="preserve"> Director</w:t>
      </w:r>
      <w:r w:rsidR="00B0646F" w:rsidRPr="0026006A">
        <w:rPr>
          <w:rFonts w:ascii="Century Gothic" w:hAnsi="Century Gothic"/>
        </w:rPr>
        <w:t>es</w:t>
      </w:r>
      <w:r w:rsidRPr="0026006A">
        <w:rPr>
          <w:rFonts w:ascii="Century Gothic" w:hAnsi="Century Gothic"/>
        </w:rPr>
        <w:t xml:space="preserve"> de</w:t>
      </w:r>
      <w:r w:rsidR="00B0646F" w:rsidRPr="0026006A">
        <w:rPr>
          <w:rFonts w:ascii="Century Gothic" w:hAnsi="Century Gothic"/>
        </w:rPr>
        <w:t xml:space="preserve"> </w:t>
      </w:r>
      <w:r w:rsidRPr="0026006A">
        <w:rPr>
          <w:rFonts w:ascii="Century Gothic" w:hAnsi="Century Gothic"/>
        </w:rPr>
        <w:t>l</w:t>
      </w:r>
      <w:r w:rsidR="00B0646F" w:rsidRPr="0026006A">
        <w:rPr>
          <w:rFonts w:ascii="Century Gothic" w:hAnsi="Century Gothic"/>
        </w:rPr>
        <w:t>os</w:t>
      </w:r>
      <w:r w:rsidRPr="0026006A">
        <w:rPr>
          <w:rFonts w:ascii="Century Gothic" w:hAnsi="Century Gothic"/>
        </w:rPr>
        <w:t xml:space="preserve"> Establecimiento</w:t>
      </w:r>
      <w:r w:rsidR="00B0646F" w:rsidRPr="0026006A">
        <w:rPr>
          <w:rFonts w:ascii="Century Gothic" w:hAnsi="Century Gothic"/>
        </w:rPr>
        <w:t>s</w:t>
      </w:r>
      <w:r w:rsidRPr="0026006A">
        <w:rPr>
          <w:rFonts w:ascii="Century Gothic" w:hAnsi="Century Gothic"/>
        </w:rPr>
        <w:t xml:space="preserve"> Penitenciario</w:t>
      </w:r>
      <w:r w:rsidR="00B0646F" w:rsidRPr="0026006A">
        <w:rPr>
          <w:rFonts w:ascii="Century Gothic" w:hAnsi="Century Gothic"/>
        </w:rPr>
        <w:t>s</w:t>
      </w:r>
      <w:r w:rsidRPr="0026006A">
        <w:rPr>
          <w:rFonts w:ascii="Century Gothic" w:hAnsi="Century Gothic"/>
        </w:rPr>
        <w:t xml:space="preserve"> y Carcelario</w:t>
      </w:r>
      <w:r w:rsidR="00B0646F" w:rsidRPr="0026006A">
        <w:rPr>
          <w:rFonts w:ascii="Century Gothic" w:hAnsi="Century Gothic"/>
        </w:rPr>
        <w:t>s</w:t>
      </w:r>
      <w:r w:rsidR="00B0646F" w:rsidRPr="0026006A">
        <w:rPr>
          <w:rFonts w:ascii="Century Gothic" w:hAnsi="Century Gothic"/>
          <w:b/>
          <w:bCs/>
        </w:rPr>
        <w:t xml:space="preserve"> </w:t>
      </w:r>
      <w:r w:rsidR="00B0646F" w:rsidRPr="0026006A">
        <w:rPr>
          <w:rFonts w:ascii="Century Gothic" w:hAnsi="Century Gothic"/>
        </w:rPr>
        <w:t>la Modelo, el Buen Pastor y Distrital, a los comandantes de las estaciones de policía</w:t>
      </w:r>
      <w:r w:rsidRPr="0026006A">
        <w:rPr>
          <w:rFonts w:ascii="Century Gothic" w:hAnsi="Century Gothic"/>
        </w:rPr>
        <w:t xml:space="preserve"> </w:t>
      </w:r>
      <w:r w:rsidR="00B0646F" w:rsidRPr="0026006A">
        <w:rPr>
          <w:rFonts w:ascii="Century Gothic" w:hAnsi="Century Gothic"/>
        </w:rPr>
        <w:t xml:space="preserve">de Santa FE Y San Cristóbal y al </w:t>
      </w:r>
      <w:r w:rsidR="00055089">
        <w:rPr>
          <w:rFonts w:ascii="Century Gothic" w:hAnsi="Century Gothic"/>
        </w:rPr>
        <w:t>J</w:t>
      </w:r>
      <w:r w:rsidR="00B0646F" w:rsidRPr="0026006A">
        <w:rPr>
          <w:rFonts w:ascii="Century Gothic" w:hAnsi="Century Gothic"/>
        </w:rPr>
        <w:t xml:space="preserve">efe de la URI de Puente Aranda de Bogotá </w:t>
      </w:r>
      <w:r w:rsidRPr="0026006A">
        <w:rPr>
          <w:rFonts w:ascii="Century Gothic" w:hAnsi="Century Gothic"/>
        </w:rPr>
        <w:t>para que notifique al</w:t>
      </w:r>
      <w:r w:rsidR="00B0646F" w:rsidRPr="0026006A">
        <w:rPr>
          <w:rFonts w:ascii="Century Gothic" w:hAnsi="Century Gothic"/>
        </w:rPr>
        <w:t xml:space="preserve"> respectivo detenido </w:t>
      </w:r>
      <w:r w:rsidRPr="0026006A">
        <w:rPr>
          <w:rFonts w:ascii="Century Gothic" w:hAnsi="Century Gothic"/>
        </w:rPr>
        <w:t xml:space="preserve">y remita al correo </w:t>
      </w:r>
      <w:r w:rsidR="00BE0232" w:rsidRPr="0026006A">
        <w:rPr>
          <w:rFonts w:ascii="Century Gothic" w:hAnsi="Century Gothic"/>
        </w:rPr>
        <w:t>electrónico</w:t>
      </w:r>
      <w:r w:rsidRPr="0026006A">
        <w:rPr>
          <w:rFonts w:ascii="Century Gothic" w:hAnsi="Century Gothic"/>
        </w:rPr>
        <w:t xml:space="preserve"> de este despacho </w:t>
      </w:r>
      <w:hyperlink r:id="rId9" w:history="1">
        <w:r w:rsidR="00BE0232" w:rsidRPr="0026006A">
          <w:rPr>
            <w:rStyle w:val="Hipervnculo"/>
            <w:rFonts w:ascii="Century Gothic" w:hAnsi="Century Gothic"/>
          </w:rPr>
          <w:t>jadmin34bta@notificacionesjr.gov.co</w:t>
        </w:r>
      </w:hyperlink>
      <w:r w:rsidR="00BE0232" w:rsidRPr="0026006A">
        <w:rPr>
          <w:rFonts w:ascii="Century Gothic" w:hAnsi="Century Gothic"/>
        </w:rPr>
        <w:t xml:space="preserve">, </w:t>
      </w:r>
      <w:hyperlink r:id="rId10" w:history="1">
        <w:r w:rsidR="00BE0232" w:rsidRPr="0026006A">
          <w:rPr>
            <w:rStyle w:val="Hipervnculo"/>
            <w:rFonts w:ascii="Century Gothic" w:hAnsi="Century Gothic"/>
          </w:rPr>
          <w:t>admin34bt@cendoj.ramajudicial.gov.co</w:t>
        </w:r>
      </w:hyperlink>
      <w:r w:rsidR="00BE0232" w:rsidRPr="0026006A">
        <w:rPr>
          <w:rStyle w:val="Hipervnculo"/>
          <w:rFonts w:ascii="Century Gothic" w:hAnsi="Century Gothic"/>
          <w:u w:val="none"/>
        </w:rPr>
        <w:t xml:space="preserve">  </w:t>
      </w:r>
      <w:r w:rsidR="00BE0232" w:rsidRPr="0026006A">
        <w:rPr>
          <w:rFonts w:ascii="Century Gothic" w:hAnsi="Century Gothic"/>
        </w:rPr>
        <w:t>la constancia respectiva.</w:t>
      </w:r>
    </w:p>
    <w:p w14:paraId="374E9587" w14:textId="77777777" w:rsidR="00707FE3" w:rsidRPr="0026006A" w:rsidRDefault="00707FE3" w:rsidP="00144489">
      <w:pPr>
        <w:spacing w:line="360" w:lineRule="auto"/>
        <w:jc w:val="both"/>
        <w:rPr>
          <w:rFonts w:ascii="Century Gothic" w:hAnsi="Century Gothic"/>
        </w:rPr>
      </w:pPr>
    </w:p>
    <w:p w14:paraId="5CCB1C1B" w14:textId="77777777" w:rsidR="008D4B43" w:rsidRPr="0026006A" w:rsidRDefault="00707FE3" w:rsidP="00144489">
      <w:pPr>
        <w:spacing w:line="360" w:lineRule="auto"/>
        <w:jc w:val="both"/>
        <w:rPr>
          <w:rFonts w:ascii="Century Gothic" w:hAnsi="Century Gothic"/>
        </w:rPr>
      </w:pPr>
      <w:r w:rsidRPr="0026006A">
        <w:rPr>
          <w:rFonts w:ascii="Century Gothic" w:hAnsi="Century Gothic"/>
        </w:rPr>
        <w:t xml:space="preserve"> </w:t>
      </w:r>
      <w:r w:rsidR="008D4B43" w:rsidRPr="0026006A">
        <w:rPr>
          <w:rFonts w:ascii="Century Gothic" w:hAnsi="Century Gothic"/>
        </w:rPr>
        <w:t>Lo anterior teniendo en cuenta lo dispuesto en l</w:t>
      </w:r>
      <w:r w:rsidR="00B0646F" w:rsidRPr="0026006A">
        <w:rPr>
          <w:rFonts w:ascii="Century Gothic" w:hAnsi="Century Gothic"/>
        </w:rPr>
        <w:t>os</w:t>
      </w:r>
      <w:r w:rsidR="008D4B43" w:rsidRPr="0026006A">
        <w:rPr>
          <w:rFonts w:ascii="Century Gothic" w:hAnsi="Century Gothic"/>
        </w:rPr>
        <w:t xml:space="preserve"> Acuerdo</w:t>
      </w:r>
      <w:r w:rsidR="00B0646F" w:rsidRPr="0026006A">
        <w:rPr>
          <w:rFonts w:ascii="Century Gothic" w:hAnsi="Century Gothic"/>
        </w:rPr>
        <w:t>s</w:t>
      </w:r>
      <w:r w:rsidR="008D4B43" w:rsidRPr="0026006A">
        <w:rPr>
          <w:rFonts w:ascii="Century Gothic" w:hAnsi="Century Gothic"/>
        </w:rPr>
        <w:t xml:space="preserve"> PCSJA20-11518 del 16 de marzo de 2020,</w:t>
      </w:r>
      <w:r w:rsidR="00B0646F" w:rsidRPr="0026006A">
        <w:rPr>
          <w:rFonts w:ascii="Century Gothic" w:hAnsi="Century Gothic"/>
        </w:rPr>
        <w:t xml:space="preserve"> PCSJA20-11546 del 25 de abril de 2020, PCSJA20-11549 del 7 de mayo de 2020 </w:t>
      </w:r>
      <w:r w:rsidR="008D4B43" w:rsidRPr="0026006A">
        <w:rPr>
          <w:rFonts w:ascii="Century Gothic" w:hAnsi="Century Gothic"/>
        </w:rPr>
        <w:t xml:space="preserve"> proferido por el Consejo Superior de la Judicatura mediante el cual se adoptan medidas transitorias por motivos de salubridad pública, para prevenir y garantizar la salud de los servidores y usuarios de la Administración de Justicia.</w:t>
      </w:r>
    </w:p>
    <w:p w14:paraId="77021D42" w14:textId="77777777" w:rsidR="00C9767B" w:rsidRPr="0026006A" w:rsidRDefault="00C9767B" w:rsidP="00144489">
      <w:pPr>
        <w:spacing w:line="360" w:lineRule="auto"/>
        <w:jc w:val="both"/>
        <w:rPr>
          <w:rFonts w:ascii="Century Gothic" w:hAnsi="Century Gothic"/>
        </w:rPr>
      </w:pPr>
    </w:p>
    <w:p w14:paraId="27296AEF" w14:textId="77777777" w:rsidR="000B58F9" w:rsidRPr="0026006A" w:rsidRDefault="008D4B43" w:rsidP="00144489">
      <w:pPr>
        <w:spacing w:line="360" w:lineRule="auto"/>
        <w:jc w:val="center"/>
        <w:rPr>
          <w:rFonts w:ascii="Century Gothic" w:hAnsi="Century Gothic"/>
          <w:b/>
        </w:rPr>
      </w:pPr>
      <w:r w:rsidRPr="0026006A">
        <w:rPr>
          <w:rFonts w:ascii="Century Gothic" w:hAnsi="Century Gothic"/>
          <w:b/>
        </w:rPr>
        <w:t>LUIS GABRIEL AHUMADA PERDOMO</w:t>
      </w:r>
    </w:p>
    <w:p w14:paraId="7AF81356" w14:textId="77777777" w:rsidR="009E109A" w:rsidRPr="0026006A" w:rsidRDefault="008D4B43" w:rsidP="00144489">
      <w:pPr>
        <w:spacing w:line="360" w:lineRule="auto"/>
        <w:jc w:val="center"/>
        <w:rPr>
          <w:rFonts w:ascii="Century Gothic" w:hAnsi="Century Gothic" w:cs="Arial"/>
        </w:rPr>
      </w:pPr>
      <w:r w:rsidRPr="0026006A">
        <w:rPr>
          <w:rFonts w:ascii="Century Gothic" w:hAnsi="Century Gothic"/>
        </w:rPr>
        <w:t>Juez</w:t>
      </w:r>
    </w:p>
    <w:p w14:paraId="1A0AB325" w14:textId="77777777" w:rsidR="00144489" w:rsidRPr="0026006A" w:rsidRDefault="008D4B43" w:rsidP="00144489">
      <w:pPr>
        <w:spacing w:line="360" w:lineRule="auto"/>
        <w:rPr>
          <w:rFonts w:ascii="Century Gothic" w:hAnsi="Century Gothic"/>
        </w:rPr>
      </w:pPr>
      <w:r w:rsidRPr="0026006A">
        <w:rPr>
          <w:rFonts w:ascii="Century Gothic" w:hAnsi="Century Gothic"/>
        </w:rPr>
        <w:t>MSGB/NNC</w:t>
      </w:r>
    </w:p>
    <w:sectPr w:rsidR="00144489" w:rsidRPr="0026006A" w:rsidSect="00797397">
      <w:headerReference w:type="default" r:id="rId11"/>
      <w:headerReference w:type="first" r:id="rId12"/>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3AE7A" w14:textId="77777777" w:rsidR="00995558" w:rsidRDefault="00995558" w:rsidP="000B58F9">
      <w:r>
        <w:separator/>
      </w:r>
    </w:p>
  </w:endnote>
  <w:endnote w:type="continuationSeparator" w:id="0">
    <w:p w14:paraId="56705E6A" w14:textId="77777777" w:rsidR="00995558" w:rsidRDefault="00995558" w:rsidP="000B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69940" w14:textId="77777777" w:rsidR="00995558" w:rsidRDefault="00995558" w:rsidP="000B58F9">
      <w:r>
        <w:separator/>
      </w:r>
    </w:p>
  </w:footnote>
  <w:footnote w:type="continuationSeparator" w:id="0">
    <w:p w14:paraId="68190B7C" w14:textId="77777777" w:rsidR="00995558" w:rsidRDefault="00995558" w:rsidP="000B58F9">
      <w:r>
        <w:continuationSeparator/>
      </w:r>
    </w:p>
  </w:footnote>
  <w:footnote w:id="1">
    <w:p w14:paraId="68BAE78C" w14:textId="77777777" w:rsidR="000B58F9" w:rsidRPr="00055089" w:rsidRDefault="000B58F9" w:rsidP="00435692">
      <w:pPr>
        <w:jc w:val="both"/>
        <w:rPr>
          <w:rFonts w:ascii="Century Gothic" w:hAnsi="Century Gothic"/>
          <w:sz w:val="18"/>
          <w:szCs w:val="18"/>
        </w:rPr>
      </w:pPr>
      <w:r w:rsidRPr="00055089">
        <w:rPr>
          <w:rStyle w:val="Refdenotaalpie"/>
          <w:rFonts w:ascii="Century Gothic" w:hAnsi="Century Gothic"/>
          <w:sz w:val="18"/>
          <w:szCs w:val="18"/>
        </w:rPr>
        <w:footnoteRef/>
      </w:r>
      <w:r w:rsidRPr="00055089">
        <w:rPr>
          <w:rFonts w:ascii="Century Gothic" w:hAnsi="Century Gothic"/>
          <w:sz w:val="18"/>
          <w:szCs w:val="18"/>
        </w:rPr>
        <w:t xml:space="preserve"> “ARTÍCULO 2. </w:t>
      </w:r>
      <w:r w:rsidRPr="00055089">
        <w:rPr>
          <w:rFonts w:ascii="Century Gothic" w:hAnsi="Century Gothic"/>
          <w:i/>
          <w:iCs/>
          <w:sz w:val="18"/>
          <w:szCs w:val="18"/>
        </w:rPr>
        <w:t>COMPETENCIA</w:t>
      </w:r>
      <w:r w:rsidRPr="00055089">
        <w:rPr>
          <w:rFonts w:ascii="Century Gothic" w:hAnsi="Century Gothic"/>
          <w:color w:val="000080"/>
          <w:sz w:val="18"/>
          <w:szCs w:val="18"/>
        </w:rPr>
        <w:t>.</w:t>
      </w:r>
      <w:r w:rsidRPr="00055089">
        <w:rPr>
          <w:rFonts w:ascii="Century Gothic" w:hAnsi="Century Gothic"/>
          <w:sz w:val="18"/>
          <w:szCs w:val="18"/>
        </w:rPr>
        <w:t xml:space="preserve"> La competencia para resolver solicitudes de Hábeas Corpus se establecerá de acuerdo con las siguientes reglas:</w:t>
      </w:r>
    </w:p>
    <w:p w14:paraId="6551D3DA" w14:textId="77777777" w:rsidR="000B58F9" w:rsidRPr="00055089" w:rsidRDefault="000B58F9" w:rsidP="00435692">
      <w:pPr>
        <w:jc w:val="both"/>
        <w:rPr>
          <w:rFonts w:ascii="Century Gothic" w:hAnsi="Century Gothic"/>
          <w:sz w:val="18"/>
          <w:szCs w:val="18"/>
        </w:rPr>
      </w:pPr>
      <w:r w:rsidRPr="00055089">
        <w:rPr>
          <w:rFonts w:ascii="Century Gothic" w:hAnsi="Century Gothic"/>
          <w:sz w:val="18"/>
          <w:szCs w:val="18"/>
        </w:rPr>
        <w:t>1. Son competentes para resolver la solicitud de Hábeas Corpus todos los jueces y tribunales de la Rama Judicial del Poder Público.</w:t>
      </w:r>
    </w:p>
    <w:p w14:paraId="0F3944EA" w14:textId="77777777" w:rsidR="000B58F9" w:rsidRPr="00055089" w:rsidRDefault="000B58F9" w:rsidP="00435692">
      <w:pPr>
        <w:pStyle w:val="Textonotapie"/>
        <w:jc w:val="both"/>
        <w:rPr>
          <w:rFonts w:ascii="Century Gothic" w:hAnsi="Century Gothic"/>
          <w:sz w:val="18"/>
          <w:szCs w:val="18"/>
        </w:rPr>
      </w:pPr>
      <w:r w:rsidRPr="00055089">
        <w:rPr>
          <w:rFonts w:ascii="Century Gothic" w:hAnsi="Century Gothic"/>
          <w:sz w:val="18"/>
          <w:szCs w:val="18"/>
        </w:rPr>
        <w:t>2. Cuando se interponga ante una Corporación, se tendrá a cada uno de sus integrantes como juez individual para resolver las acciones de Hábeas Corpus (…)”</w:t>
      </w:r>
      <w:r w:rsidRPr="00055089">
        <w:rPr>
          <w:rFonts w:ascii="Century Gothic" w:hAnsi="Century Gothic" w:cs="Arial"/>
          <w:sz w:val="18"/>
          <w:szCs w:val="18"/>
        </w:rPr>
        <w:t>.</w:t>
      </w:r>
    </w:p>
  </w:footnote>
  <w:footnote w:id="2">
    <w:p w14:paraId="2A3606C2" w14:textId="77777777" w:rsidR="00435692" w:rsidRDefault="00435692" w:rsidP="00435692">
      <w:pPr>
        <w:pStyle w:val="NormalWeb"/>
        <w:spacing w:before="0" w:beforeAutospacing="0" w:after="0" w:afterAutospacing="0"/>
        <w:jc w:val="both"/>
        <w:rPr>
          <w:rFonts w:ascii="Century Gothic" w:hAnsi="Century Gothic"/>
          <w:sz w:val="18"/>
          <w:szCs w:val="18"/>
        </w:rPr>
      </w:pPr>
    </w:p>
    <w:p w14:paraId="23157C02" w14:textId="2E55BCBA" w:rsidR="000B58F9" w:rsidRPr="00055089" w:rsidRDefault="000B58F9" w:rsidP="00435692">
      <w:pPr>
        <w:pStyle w:val="NormalWeb"/>
        <w:spacing w:before="0" w:beforeAutospacing="0" w:after="0" w:afterAutospacing="0"/>
        <w:jc w:val="both"/>
        <w:rPr>
          <w:rFonts w:ascii="Century Gothic" w:hAnsi="Century Gothic" w:cs="Arial"/>
          <w:sz w:val="18"/>
          <w:szCs w:val="18"/>
        </w:rPr>
      </w:pPr>
      <w:r w:rsidRPr="00055089">
        <w:rPr>
          <w:rStyle w:val="Refdenotaalpie"/>
          <w:rFonts w:ascii="Century Gothic" w:hAnsi="Century Gothic"/>
          <w:sz w:val="18"/>
          <w:szCs w:val="18"/>
        </w:rPr>
        <w:footnoteRef/>
      </w:r>
      <w:r w:rsidRPr="00055089">
        <w:rPr>
          <w:rFonts w:ascii="Century Gothic" w:hAnsi="Century Gothic"/>
          <w:sz w:val="18"/>
          <w:szCs w:val="18"/>
        </w:rPr>
        <w:t xml:space="preserve"> “</w:t>
      </w:r>
      <w:r w:rsidRPr="00055089">
        <w:rPr>
          <w:rFonts w:ascii="Century Gothic" w:hAnsi="Century Gothic" w:cs="Arial"/>
          <w:bCs/>
          <w:sz w:val="18"/>
          <w:szCs w:val="18"/>
        </w:rPr>
        <w:t>ARTICULO 30</w:t>
      </w:r>
      <w:r w:rsidRPr="00055089">
        <w:rPr>
          <w:rFonts w:ascii="Century Gothic" w:hAnsi="Century Gothic" w:cs="Arial"/>
          <w:sz w:val="18"/>
          <w:szCs w:val="18"/>
        </w:rPr>
        <w:t xml:space="preserve">. Quien estuviere privado de su libertad, y creyere estarlo ilegalmente, tiene derecho a invocar ante cualquier autoridad judicial, en todo tiempo, </w:t>
      </w:r>
      <w:r w:rsidRPr="00055089">
        <w:rPr>
          <w:rFonts w:ascii="Century Gothic" w:hAnsi="Century Gothic" w:cs="Arial"/>
          <w:b/>
          <w:sz w:val="18"/>
          <w:szCs w:val="18"/>
        </w:rPr>
        <w:t>por sí o por interpuesta persona</w:t>
      </w:r>
      <w:r w:rsidRPr="00055089">
        <w:rPr>
          <w:rFonts w:ascii="Century Gothic" w:hAnsi="Century Gothic" w:cs="Arial"/>
          <w:sz w:val="18"/>
          <w:szCs w:val="18"/>
        </w:rPr>
        <w:t xml:space="preserve">, el </w:t>
      </w:r>
      <w:r w:rsidRPr="00055089">
        <w:rPr>
          <w:rFonts w:ascii="Century Gothic" w:hAnsi="Century Gothic" w:cs="Arial"/>
          <w:i/>
          <w:sz w:val="18"/>
          <w:szCs w:val="18"/>
        </w:rPr>
        <w:t>Hábeas Corpus</w:t>
      </w:r>
      <w:r w:rsidRPr="00055089">
        <w:rPr>
          <w:rFonts w:ascii="Century Gothic" w:hAnsi="Century Gothic" w:cs="Arial"/>
          <w:sz w:val="18"/>
          <w:szCs w:val="18"/>
        </w:rPr>
        <w:t>, el cual debe resolverse en el término de treinta y seis horas.”</w:t>
      </w:r>
    </w:p>
  </w:footnote>
  <w:footnote w:id="3">
    <w:p w14:paraId="0A4318A5" w14:textId="77777777" w:rsidR="000B58F9" w:rsidRPr="00055089" w:rsidRDefault="000B58F9" w:rsidP="00435692">
      <w:pPr>
        <w:pStyle w:val="Textonotapie"/>
        <w:jc w:val="both"/>
        <w:rPr>
          <w:rFonts w:ascii="Century Gothic" w:hAnsi="Century Gothic"/>
          <w:sz w:val="18"/>
          <w:szCs w:val="18"/>
        </w:rPr>
      </w:pPr>
      <w:r w:rsidRPr="00055089">
        <w:rPr>
          <w:rStyle w:val="Refdenotaalpie"/>
          <w:rFonts w:ascii="Century Gothic" w:hAnsi="Century Gothic"/>
          <w:sz w:val="18"/>
          <w:szCs w:val="18"/>
        </w:rPr>
        <w:footnoteRef/>
      </w:r>
      <w:r w:rsidRPr="00055089">
        <w:rPr>
          <w:rFonts w:ascii="Century Gothic" w:hAnsi="Century Gothic"/>
          <w:sz w:val="18"/>
          <w:szCs w:val="18"/>
        </w:rPr>
        <w:t xml:space="preserve"> </w:t>
      </w:r>
      <w:r w:rsidRPr="00055089">
        <w:rPr>
          <w:rFonts w:ascii="Century Gothic" w:hAnsi="Century Gothic" w:cs="Arial"/>
          <w:sz w:val="18"/>
          <w:szCs w:val="18"/>
        </w:rPr>
        <w:t>Corte Constitucional, Sentencia C-187 de 2006 que revisó previamente la constitucionalidad de la Ley 1095 de 2006.</w:t>
      </w:r>
    </w:p>
  </w:footnote>
  <w:footnote w:id="4">
    <w:p w14:paraId="4B152318" w14:textId="77777777" w:rsidR="000B58F9" w:rsidRPr="00055089" w:rsidRDefault="000B58F9" w:rsidP="00435692">
      <w:pPr>
        <w:pStyle w:val="Textonotapie"/>
        <w:contextualSpacing/>
        <w:jc w:val="both"/>
        <w:rPr>
          <w:rFonts w:ascii="Century Gothic" w:hAnsi="Century Gothic" w:cs="Arial"/>
          <w:iCs/>
          <w:sz w:val="18"/>
          <w:szCs w:val="18"/>
        </w:rPr>
      </w:pPr>
      <w:r w:rsidRPr="00055089">
        <w:rPr>
          <w:rStyle w:val="Refdenotaalpie"/>
          <w:rFonts w:ascii="Century Gothic" w:hAnsi="Century Gothic"/>
          <w:sz w:val="18"/>
          <w:szCs w:val="18"/>
        </w:rPr>
        <w:footnoteRef/>
      </w:r>
      <w:r w:rsidRPr="00055089">
        <w:rPr>
          <w:rFonts w:ascii="Century Gothic" w:hAnsi="Century Gothic"/>
          <w:sz w:val="18"/>
          <w:szCs w:val="18"/>
        </w:rPr>
        <w:t xml:space="preserve"> Corte Suprema de Justicia, Sala de Casación Penal, S</w:t>
      </w:r>
      <w:r w:rsidRPr="00055089">
        <w:rPr>
          <w:rFonts w:ascii="Century Gothic" w:hAnsi="Century Gothic" w:cs="Arial"/>
          <w:iCs/>
          <w:sz w:val="18"/>
          <w:szCs w:val="18"/>
        </w:rPr>
        <w:t xml:space="preserve">entencia de mayo 7 de 2007, </w:t>
      </w:r>
      <w:proofErr w:type="spellStart"/>
      <w:r w:rsidRPr="00055089">
        <w:rPr>
          <w:rFonts w:ascii="Century Gothic" w:hAnsi="Century Gothic" w:cs="Arial"/>
          <w:iCs/>
          <w:sz w:val="18"/>
          <w:szCs w:val="18"/>
        </w:rPr>
        <w:t>exp</w:t>
      </w:r>
      <w:proofErr w:type="spellEnd"/>
      <w:r w:rsidRPr="00055089">
        <w:rPr>
          <w:rFonts w:ascii="Century Gothic" w:hAnsi="Century Gothic" w:cs="Arial"/>
          <w:iCs/>
          <w:sz w:val="18"/>
          <w:szCs w:val="18"/>
        </w:rPr>
        <w:t>. No.27434, M.P. Sigifredo Espinosa Pérez; Sentencia del 12 de octubre de 2011.</w:t>
      </w:r>
    </w:p>
  </w:footnote>
  <w:footnote w:id="5">
    <w:p w14:paraId="0D5D1A47" w14:textId="68E3EF49" w:rsidR="00DE5EC4" w:rsidRPr="00055089" w:rsidRDefault="00DE5EC4" w:rsidP="00435692">
      <w:pPr>
        <w:pStyle w:val="Default"/>
        <w:jc w:val="both"/>
        <w:rPr>
          <w:rFonts w:ascii="Century Gothic" w:hAnsi="Century Gothic"/>
          <w:sz w:val="18"/>
          <w:szCs w:val="18"/>
        </w:rPr>
      </w:pPr>
      <w:r w:rsidRPr="00055089">
        <w:rPr>
          <w:rStyle w:val="Refdenotaalpie"/>
          <w:rFonts w:ascii="Century Gothic" w:hAnsi="Century Gothic"/>
          <w:sz w:val="18"/>
          <w:szCs w:val="18"/>
        </w:rPr>
        <w:footnoteRef/>
      </w:r>
      <w:r w:rsidRPr="00055089">
        <w:rPr>
          <w:rFonts w:ascii="Century Gothic" w:hAnsi="Century Gothic"/>
          <w:sz w:val="18"/>
          <w:szCs w:val="18"/>
        </w:rPr>
        <w:t xml:space="preserve"> para dar solución a dicho planteamiento resulta pertinente definir el plazo razonable de la siguiente manera: </w:t>
      </w:r>
      <w:r w:rsidRPr="00055089">
        <w:rPr>
          <w:rFonts w:ascii="Century Gothic" w:hAnsi="Century Gothic"/>
          <w:i/>
          <w:iCs/>
          <w:sz w:val="18"/>
          <w:szCs w:val="18"/>
        </w:rPr>
        <w:t>“sobre este particular no puede perderse de vista que los artículos 29 y 228 de la Constitución Política consagran como elemento del debido proceso su trámite sin dilaciones injustificadas y la necesidad de observancia con diligencia de los términos procesales, so pena de sanción por su incumplimiento, previsión que también estableció el legislador en el artículo 4° de la Ley Estatutaria de la Administración de Justicia19, disposiciones estas que deben ser leídas en armonía con lo señalado en la Convención Americana de Derechos Humanos, instrumento que en sus artículos 7.520 y 8.121 ha permitido estructurar el concepto de “plazo 19 “Artículo 4</w:t>
      </w:r>
      <w:r w:rsidRPr="00055089">
        <w:rPr>
          <w:rFonts w:ascii="Century Gothic" w:hAnsi="Century Gothic"/>
          <w:sz w:val="18"/>
          <w:szCs w:val="18"/>
        </w:rPr>
        <w:t xml:space="preserve">°. </w:t>
      </w:r>
      <w:r w:rsidRPr="00055089">
        <w:rPr>
          <w:rFonts w:ascii="Century Gothic" w:hAnsi="Century Gothic"/>
          <w:i/>
          <w:iCs/>
          <w:sz w:val="18"/>
          <w:szCs w:val="18"/>
        </w:rPr>
        <w:t>Celeridad y oralidad. La administración de justicia debe ser pronta, cumplida y eficaz en la solución de fondo de los asuntos que se sometan a su conocimiento. Los términos procesales serán perentorios y de estricto cumplimiento por parte de los funcionarios judiciales. Su violación injustificada constituye causal de mala conducta, sin perjuicio de las sanciones penales a que haya lugar. Lo mismo se aplicará respecto de los titulares de la función disciplinaria (…)”. 20 “Artículo 7. Derecho a la Libertad Personal (…) 14 razonable”, el cual, de acuerdo con los desarrollos hermenéuticos de la Corte Europea de Derechos Humanos retomados por la Corte Interamericana, si bien no admite una definición sencilla, es necesario para su cabal entendimiento tener en cuenta tres elementos para determinar la razonabilidad del plazo en el cual se desarrolla el proceso: a) la complejidad del asunto; b) la actividad procesal del interesado; y c) la conducta de las autoridades judiciales”2.</w:t>
      </w:r>
    </w:p>
  </w:footnote>
  <w:footnote w:id="6">
    <w:p w14:paraId="47C5D867" w14:textId="77777777" w:rsidR="00C67766" w:rsidRPr="00055089" w:rsidRDefault="00C67766" w:rsidP="00435692">
      <w:pPr>
        <w:pStyle w:val="Textonotapie"/>
        <w:jc w:val="both"/>
        <w:rPr>
          <w:rFonts w:ascii="Century Gothic" w:hAnsi="Century Gothic"/>
          <w:sz w:val="18"/>
          <w:szCs w:val="18"/>
          <w:lang w:val="es-CO"/>
        </w:rPr>
      </w:pPr>
      <w:r w:rsidRPr="00055089">
        <w:rPr>
          <w:rStyle w:val="Refdenotaalpie"/>
          <w:rFonts w:ascii="Century Gothic" w:hAnsi="Century Gothic"/>
          <w:sz w:val="18"/>
          <w:szCs w:val="18"/>
        </w:rPr>
        <w:footnoteRef/>
      </w:r>
      <w:r w:rsidRPr="00055089">
        <w:rPr>
          <w:rFonts w:ascii="Century Gothic" w:hAnsi="Century Gothic"/>
          <w:sz w:val="18"/>
          <w:szCs w:val="18"/>
        </w:rPr>
        <w:t xml:space="preserve"> </w:t>
      </w:r>
      <w:r w:rsidRPr="00055089">
        <w:rPr>
          <w:rFonts w:ascii="Century Gothic" w:hAnsi="Century Gothic" w:cs="Arial"/>
          <w:sz w:val="18"/>
          <w:szCs w:val="18"/>
        </w:rPr>
        <w:t>HANCEN RAMÍREZ GARZÓN, DIEGO ARMANDO COMBITA FUENTES, FABIO ENRIQUE CAMARGO ANDRADE, LUIS FERNANDO CORTÉS AVILA, EDGAR EDISON ORTÍZ FORERO, ERIKA PILAR VILLA, YEISON ANTONIO LICONA HENAO, JOSÉ ANTONIO ANTICA, JAIME ANDRÉS OROZCO MARTÍNEZ  y JESÚS MARÍA CAMARGO MORENO</w:t>
      </w:r>
    </w:p>
  </w:footnote>
  <w:footnote w:id="7">
    <w:p w14:paraId="0C0BD39E" w14:textId="77777777" w:rsidR="000B58F9" w:rsidRPr="00055089" w:rsidRDefault="000B58F9" w:rsidP="00435692">
      <w:pPr>
        <w:pStyle w:val="Textonotapie"/>
        <w:jc w:val="both"/>
        <w:rPr>
          <w:rFonts w:ascii="Century Gothic" w:hAnsi="Century Gothic"/>
          <w:sz w:val="18"/>
          <w:szCs w:val="18"/>
        </w:rPr>
      </w:pPr>
      <w:r w:rsidRPr="00055089">
        <w:rPr>
          <w:rStyle w:val="Refdenotaalpie"/>
          <w:rFonts w:ascii="Century Gothic" w:hAnsi="Century Gothic"/>
          <w:sz w:val="18"/>
          <w:szCs w:val="18"/>
        </w:rPr>
        <w:footnoteRef/>
      </w:r>
      <w:r w:rsidRPr="00055089">
        <w:rPr>
          <w:rFonts w:ascii="Century Gothic" w:hAnsi="Century Gothic"/>
          <w:sz w:val="18"/>
          <w:szCs w:val="18"/>
        </w:rPr>
        <w:t xml:space="preserve"> Sentencia de segunda instancia, del 27 de septiembre de 2000, expediente No. 14153.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16"/>
        <w:szCs w:val="16"/>
      </w:rPr>
      <w:id w:val="1567458528"/>
      <w:docPartObj>
        <w:docPartGallery w:val="Page Numbers (Top of Page)"/>
        <w:docPartUnique/>
      </w:docPartObj>
    </w:sdtPr>
    <w:sdtEndPr/>
    <w:sdtContent>
      <w:p w14:paraId="04872A25" w14:textId="77777777" w:rsidR="000B58F9" w:rsidRPr="007B3307" w:rsidRDefault="000B58F9">
        <w:pPr>
          <w:pStyle w:val="Encabezado"/>
          <w:jc w:val="right"/>
          <w:rPr>
            <w:rFonts w:ascii="Century Gothic" w:hAnsi="Century Gothic"/>
            <w:sz w:val="16"/>
            <w:szCs w:val="16"/>
          </w:rPr>
        </w:pPr>
        <w:r w:rsidRPr="007B3307">
          <w:rPr>
            <w:rFonts w:ascii="Century Gothic" w:hAnsi="Century Gothic"/>
            <w:sz w:val="16"/>
            <w:szCs w:val="16"/>
          </w:rPr>
          <w:fldChar w:fldCharType="begin"/>
        </w:r>
        <w:r w:rsidRPr="007B3307">
          <w:rPr>
            <w:rFonts w:ascii="Century Gothic" w:hAnsi="Century Gothic"/>
            <w:sz w:val="16"/>
            <w:szCs w:val="16"/>
          </w:rPr>
          <w:instrText>PAGE   \* MERGEFORMAT</w:instrText>
        </w:r>
        <w:r w:rsidRPr="007B3307">
          <w:rPr>
            <w:rFonts w:ascii="Century Gothic" w:hAnsi="Century Gothic"/>
            <w:sz w:val="16"/>
            <w:szCs w:val="16"/>
          </w:rPr>
          <w:fldChar w:fldCharType="separate"/>
        </w:r>
        <w:r w:rsidR="00156F7B" w:rsidRPr="007B3307">
          <w:rPr>
            <w:rFonts w:ascii="Century Gothic" w:hAnsi="Century Gothic"/>
            <w:noProof/>
            <w:sz w:val="16"/>
            <w:szCs w:val="16"/>
          </w:rPr>
          <w:t>7</w:t>
        </w:r>
        <w:r w:rsidRPr="007B3307">
          <w:rPr>
            <w:rFonts w:ascii="Century Gothic" w:hAnsi="Century Gothic"/>
            <w:sz w:val="16"/>
            <w:szCs w:val="16"/>
          </w:rPr>
          <w:fldChar w:fldCharType="end"/>
        </w:r>
      </w:p>
      <w:tbl>
        <w:tblPr>
          <w:tblW w:w="8748" w:type="dxa"/>
          <w:tblInd w:w="-108" w:type="dxa"/>
          <w:tblLayout w:type="fixed"/>
          <w:tblCellMar>
            <w:left w:w="0" w:type="dxa"/>
            <w:right w:w="0" w:type="dxa"/>
          </w:tblCellMar>
          <w:tblLook w:val="0000" w:firstRow="0" w:lastRow="0" w:firstColumn="0" w:lastColumn="0" w:noHBand="0" w:noVBand="0"/>
        </w:tblPr>
        <w:tblGrid>
          <w:gridCol w:w="1908"/>
          <w:gridCol w:w="6840"/>
        </w:tblGrid>
        <w:tr w:rsidR="00A23CD6" w:rsidRPr="007B3307" w14:paraId="47F462E7" w14:textId="77777777" w:rsidTr="007B0479">
          <w:tc>
            <w:tcPr>
              <w:tcW w:w="1908" w:type="dxa"/>
              <w:shd w:val="clear" w:color="auto" w:fill="auto"/>
            </w:tcPr>
            <w:p w14:paraId="506872FB" w14:textId="77777777" w:rsidR="00A23CD6" w:rsidRPr="007B3307"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bCs/>
                  <w:sz w:val="16"/>
                  <w:szCs w:val="16"/>
                </w:rPr>
              </w:pPr>
              <w:r w:rsidRPr="007B3307">
                <w:rPr>
                  <w:rFonts w:ascii="Century Gothic" w:hAnsi="Century Gothic"/>
                  <w:b/>
                  <w:bCs/>
                  <w:sz w:val="16"/>
                  <w:szCs w:val="16"/>
                </w:rPr>
                <w:t>REFERENCIA</w:t>
              </w:r>
            </w:p>
          </w:tc>
          <w:tc>
            <w:tcPr>
              <w:tcW w:w="6840" w:type="dxa"/>
              <w:shd w:val="clear" w:color="auto" w:fill="auto"/>
            </w:tcPr>
            <w:p w14:paraId="520FEC98" w14:textId="77777777" w:rsidR="00A23CD6" w:rsidRPr="007B3307"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Cs/>
                  <w:sz w:val="16"/>
                  <w:szCs w:val="16"/>
                </w:rPr>
              </w:pPr>
              <w:r w:rsidRPr="007B3307">
                <w:rPr>
                  <w:rFonts w:ascii="Century Gothic" w:hAnsi="Century Gothic"/>
                  <w:bCs/>
                  <w:sz w:val="16"/>
                  <w:szCs w:val="16"/>
                </w:rPr>
                <w:t xml:space="preserve">Expediente No. </w:t>
              </w:r>
              <w:r w:rsidR="007B3307" w:rsidRPr="007B3307">
                <w:rPr>
                  <w:rFonts w:ascii="Century Gothic" w:hAnsi="Century Gothic" w:cs="Arial"/>
                  <w:sz w:val="16"/>
                  <w:szCs w:val="16"/>
                  <w:lang w:val="es-ES_tradnl"/>
                </w:rPr>
                <w:t>110013336034202000009600</w:t>
              </w:r>
            </w:p>
          </w:tc>
        </w:tr>
        <w:tr w:rsidR="00A23CD6" w:rsidRPr="007B3307" w14:paraId="0F4434B6" w14:textId="77777777" w:rsidTr="00537D88">
          <w:trPr>
            <w:trHeight w:val="289"/>
          </w:trPr>
          <w:tc>
            <w:tcPr>
              <w:tcW w:w="1908" w:type="dxa"/>
              <w:shd w:val="clear" w:color="auto" w:fill="auto"/>
            </w:tcPr>
            <w:p w14:paraId="0583100A" w14:textId="77777777" w:rsidR="00A23CD6" w:rsidRPr="007B3307"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sz w:val="16"/>
                  <w:szCs w:val="16"/>
                </w:rPr>
              </w:pPr>
              <w:r w:rsidRPr="007B3307">
                <w:rPr>
                  <w:rFonts w:ascii="Century Gothic" w:hAnsi="Century Gothic"/>
                  <w:b/>
                  <w:sz w:val="16"/>
                  <w:szCs w:val="16"/>
                </w:rPr>
                <w:t>DEMANDANTE</w:t>
              </w:r>
            </w:p>
          </w:tc>
          <w:tc>
            <w:tcPr>
              <w:tcW w:w="6840" w:type="dxa"/>
              <w:shd w:val="clear" w:color="auto" w:fill="auto"/>
            </w:tcPr>
            <w:p w14:paraId="100AF420" w14:textId="77777777" w:rsidR="00A23CD6" w:rsidRPr="007B3307" w:rsidRDefault="007B3307"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sz w:val="16"/>
                  <w:szCs w:val="16"/>
                </w:rPr>
              </w:pPr>
              <w:r w:rsidRPr="007B3307">
                <w:rPr>
                  <w:rFonts w:ascii="Century Gothic" w:hAnsi="Century Gothic" w:cs="Arial"/>
                  <w:sz w:val="16"/>
                  <w:szCs w:val="16"/>
                  <w:lang w:val="es-ES_tradnl"/>
                </w:rPr>
                <w:t xml:space="preserve">ROBERTO ORLANDO BERMUDEZ SEGURA en representación de HANS o </w:t>
              </w:r>
              <w:r w:rsidRPr="007B3307">
                <w:rPr>
                  <w:rFonts w:ascii="Century Gothic" w:hAnsi="Century Gothic"/>
                  <w:sz w:val="16"/>
                  <w:szCs w:val="16"/>
                </w:rPr>
                <w:t>HANCEN</w:t>
              </w:r>
              <w:r w:rsidRPr="007B3307">
                <w:rPr>
                  <w:rFonts w:ascii="Century Gothic" w:hAnsi="Century Gothic" w:cs="Arial"/>
                  <w:sz w:val="16"/>
                  <w:szCs w:val="16"/>
                  <w:lang w:val="es-ES_tradnl"/>
                </w:rPr>
                <w:t xml:space="preserve"> RAMIREZ GARZON Y OTROS 9 MAS</w:t>
              </w:r>
            </w:p>
          </w:tc>
        </w:tr>
        <w:tr w:rsidR="007B3307" w:rsidRPr="007B3307" w14:paraId="0B69DAC3" w14:textId="77777777" w:rsidTr="00C87288">
          <w:tc>
            <w:tcPr>
              <w:tcW w:w="1908" w:type="dxa"/>
              <w:shd w:val="clear" w:color="auto" w:fill="auto"/>
            </w:tcPr>
            <w:p w14:paraId="46A6EFBA" w14:textId="77777777" w:rsidR="007B3307" w:rsidRPr="007B3307" w:rsidRDefault="007B3307" w:rsidP="007B3307">
              <w:pPr>
                <w:keepNext/>
                <w:tabs>
                  <w:tab w:val="left" w:pos="180"/>
                  <w:tab w:val="left" w:pos="8640"/>
                </w:tabs>
                <w:autoSpaceDE w:val="0"/>
                <w:autoSpaceDN w:val="0"/>
                <w:adjustRightInd w:val="0"/>
                <w:spacing w:line="288" w:lineRule="auto"/>
                <w:ind w:right="200"/>
                <w:jc w:val="both"/>
                <w:outlineLvl w:val="5"/>
                <w:rPr>
                  <w:rFonts w:ascii="Century Gothic" w:hAnsi="Century Gothic"/>
                  <w:b/>
                  <w:sz w:val="16"/>
                  <w:szCs w:val="16"/>
                </w:rPr>
              </w:pPr>
              <w:r w:rsidRPr="007B3307">
                <w:rPr>
                  <w:rFonts w:ascii="Century Gothic" w:hAnsi="Century Gothic"/>
                  <w:b/>
                  <w:sz w:val="16"/>
                  <w:szCs w:val="16"/>
                </w:rPr>
                <w:t>DEMANDADO</w:t>
              </w:r>
            </w:p>
          </w:tc>
          <w:tc>
            <w:tcPr>
              <w:tcW w:w="6840" w:type="dxa"/>
              <w:shd w:val="clear" w:color="auto" w:fill="auto"/>
            </w:tcPr>
            <w:p w14:paraId="0D478299" w14:textId="77777777" w:rsidR="007B3307" w:rsidRPr="007B3307" w:rsidRDefault="007B3307" w:rsidP="007B3307">
              <w:pPr>
                <w:keepNext/>
                <w:tabs>
                  <w:tab w:val="left" w:pos="180"/>
                  <w:tab w:val="left" w:pos="8640"/>
                </w:tabs>
                <w:autoSpaceDE w:val="0"/>
                <w:autoSpaceDN w:val="0"/>
                <w:adjustRightInd w:val="0"/>
                <w:spacing w:line="288" w:lineRule="auto"/>
                <w:ind w:right="200"/>
                <w:jc w:val="both"/>
                <w:outlineLvl w:val="5"/>
                <w:rPr>
                  <w:rFonts w:ascii="Century Gothic" w:hAnsi="Century Gothic" w:cs="Arial"/>
                  <w:sz w:val="16"/>
                  <w:szCs w:val="16"/>
                  <w:lang w:val="es-ES_tradnl"/>
                </w:rPr>
              </w:pPr>
              <w:r w:rsidRPr="007B3307">
                <w:rPr>
                  <w:rFonts w:ascii="Century Gothic" w:hAnsi="Century Gothic" w:cs="Arial"/>
                  <w:sz w:val="16"/>
                  <w:szCs w:val="16"/>
                  <w:lang w:val="es-ES_tradnl"/>
                </w:rPr>
                <w:t>JUZGADO 26 PENAL DEL CIRCUITO DE CONOCIMIENTO DE BOGOTA</w:t>
              </w:r>
            </w:p>
          </w:tc>
        </w:tr>
      </w:tbl>
      <w:p w14:paraId="76FA20A3" w14:textId="77777777" w:rsidR="000B58F9" w:rsidRPr="007B3307" w:rsidRDefault="00995558">
        <w:pPr>
          <w:pStyle w:val="Encabezado"/>
          <w:rPr>
            <w:rFonts w:ascii="Century Gothic" w:hAnsi="Century Gothic"/>
            <w:sz w:val="16"/>
            <w:szCs w:val="16"/>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FA27" w14:textId="77777777" w:rsidR="00330A78" w:rsidRDefault="00330A78" w:rsidP="00330A78">
    <w:pPr>
      <w:pStyle w:val="Encabezado"/>
      <w:jc w:val="center"/>
      <w:rPr>
        <w:rFonts w:ascii="Arial" w:hAnsi="Arial" w:cs="Arial"/>
        <w:b/>
        <w:i/>
        <w:sz w:val="22"/>
        <w:szCs w:val="22"/>
      </w:rPr>
    </w:pPr>
    <w:r w:rsidRPr="004642FE">
      <w:rPr>
        <w:rFonts w:ascii="Arial" w:hAnsi="Arial" w:cs="Arial"/>
        <w:noProof/>
        <w:sz w:val="15"/>
        <w:szCs w:val="15"/>
        <w:lang w:val="es-CO" w:eastAsia="es-CO"/>
      </w:rPr>
      <w:drawing>
        <wp:inline distT="0" distB="0" distL="0" distR="0" wp14:anchorId="18D1B721" wp14:editId="406B2017">
          <wp:extent cx="723900" cy="67627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p w14:paraId="3FC2B16A" w14:textId="77777777" w:rsidR="00330A78" w:rsidRPr="00EE102B" w:rsidRDefault="00330A78" w:rsidP="00330A78">
    <w:pPr>
      <w:pStyle w:val="Encabezado"/>
      <w:jc w:val="center"/>
      <w:rPr>
        <w:rFonts w:ascii="Tahoma" w:hAnsi="Tahoma" w:cs="Tahoma"/>
        <w:b/>
        <w:sz w:val="18"/>
        <w:szCs w:val="18"/>
        <w:lang w:val="es-MX"/>
      </w:rPr>
    </w:pPr>
    <w:r w:rsidRPr="00EE102B">
      <w:rPr>
        <w:rFonts w:ascii="Tahoma" w:hAnsi="Tahoma" w:cs="Tahoma"/>
        <w:b/>
        <w:sz w:val="18"/>
        <w:szCs w:val="18"/>
        <w:lang w:val="es-MX"/>
      </w:rPr>
      <w:t>JUZGADO TREINTA Y CUATRO ADMINISTRATIVO</w:t>
    </w:r>
  </w:p>
  <w:p w14:paraId="2B1D041A" w14:textId="77777777" w:rsidR="00330A78" w:rsidRPr="00EE102B" w:rsidRDefault="00330A78" w:rsidP="00330A78">
    <w:pPr>
      <w:pStyle w:val="Encabezado"/>
      <w:jc w:val="center"/>
      <w:rPr>
        <w:rFonts w:ascii="Tahoma" w:hAnsi="Tahoma" w:cs="Tahoma"/>
        <w:b/>
        <w:sz w:val="18"/>
        <w:szCs w:val="18"/>
        <w:lang w:val="es-MX"/>
      </w:rPr>
    </w:pPr>
    <w:r w:rsidRPr="00EE102B">
      <w:rPr>
        <w:rFonts w:ascii="Tahoma" w:hAnsi="Tahoma" w:cs="Tahoma"/>
        <w:b/>
        <w:sz w:val="18"/>
        <w:szCs w:val="18"/>
        <w:lang w:val="es-MX"/>
      </w:rPr>
      <w:t>CIRCUITO DE BOGOTÁ</w:t>
    </w:r>
  </w:p>
  <w:p w14:paraId="1333360F" w14:textId="77777777" w:rsidR="00330A78" w:rsidRPr="00EE102B" w:rsidRDefault="00330A78" w:rsidP="00330A78">
    <w:pPr>
      <w:pStyle w:val="Encabezado"/>
      <w:jc w:val="center"/>
      <w:rPr>
        <w:rFonts w:ascii="Tahoma" w:hAnsi="Tahoma" w:cs="Tahoma"/>
        <w:b/>
        <w:sz w:val="18"/>
        <w:szCs w:val="18"/>
        <w:lang w:val="es-MX"/>
      </w:rPr>
    </w:pPr>
    <w:r w:rsidRPr="00EE102B">
      <w:rPr>
        <w:rFonts w:ascii="Tahoma" w:hAnsi="Tahoma" w:cs="Tahoma"/>
        <w:b/>
        <w:sz w:val="18"/>
        <w:szCs w:val="18"/>
        <w:lang w:val="es-MX"/>
      </w:rPr>
      <w:t>Sección Tercera</w:t>
    </w:r>
  </w:p>
  <w:p w14:paraId="2EADA468" w14:textId="77777777" w:rsidR="00330A78" w:rsidRDefault="00330A78" w:rsidP="00330A78">
    <w:pPr>
      <w:pStyle w:val="Encabezado"/>
    </w:pPr>
  </w:p>
  <w:p w14:paraId="56890425" w14:textId="77777777" w:rsidR="00330A78" w:rsidRDefault="00330A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63FB"/>
    <w:multiLevelType w:val="hybridMultilevel"/>
    <w:tmpl w:val="33BADD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AE456CF"/>
    <w:multiLevelType w:val="hybridMultilevel"/>
    <w:tmpl w:val="24567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CCC3CB5"/>
    <w:multiLevelType w:val="hybridMultilevel"/>
    <w:tmpl w:val="455AE708"/>
    <w:lvl w:ilvl="0" w:tplc="779286EA">
      <w:start w:val="1"/>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DD327E6"/>
    <w:multiLevelType w:val="hybridMultilevel"/>
    <w:tmpl w:val="BE60EF7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686069DE"/>
    <w:multiLevelType w:val="multilevel"/>
    <w:tmpl w:val="865E39C8"/>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9A"/>
    <w:rsid w:val="00055089"/>
    <w:rsid w:val="00057D44"/>
    <w:rsid w:val="000B41D0"/>
    <w:rsid w:val="000B58F9"/>
    <w:rsid w:val="000E0932"/>
    <w:rsid w:val="00114520"/>
    <w:rsid w:val="001277F3"/>
    <w:rsid w:val="00144489"/>
    <w:rsid w:val="00156F7B"/>
    <w:rsid w:val="001B1051"/>
    <w:rsid w:val="001F574F"/>
    <w:rsid w:val="001F70BB"/>
    <w:rsid w:val="002218F4"/>
    <w:rsid w:val="0026006A"/>
    <w:rsid w:val="002841A1"/>
    <w:rsid w:val="002B313E"/>
    <w:rsid w:val="002E42F3"/>
    <w:rsid w:val="002E6FF5"/>
    <w:rsid w:val="00302510"/>
    <w:rsid w:val="00306E04"/>
    <w:rsid w:val="00313E53"/>
    <w:rsid w:val="00330A78"/>
    <w:rsid w:val="00373B23"/>
    <w:rsid w:val="00377834"/>
    <w:rsid w:val="00383ADE"/>
    <w:rsid w:val="003A4F0D"/>
    <w:rsid w:val="003C4424"/>
    <w:rsid w:val="003D14F3"/>
    <w:rsid w:val="003D73D5"/>
    <w:rsid w:val="00435692"/>
    <w:rsid w:val="0043585B"/>
    <w:rsid w:val="00440C3C"/>
    <w:rsid w:val="004445A0"/>
    <w:rsid w:val="004C4BE7"/>
    <w:rsid w:val="004E20F4"/>
    <w:rsid w:val="004E66A9"/>
    <w:rsid w:val="004F66FD"/>
    <w:rsid w:val="00507B5A"/>
    <w:rsid w:val="00532A8D"/>
    <w:rsid w:val="0053398D"/>
    <w:rsid w:val="005575F4"/>
    <w:rsid w:val="005C50CD"/>
    <w:rsid w:val="00637CFC"/>
    <w:rsid w:val="00646900"/>
    <w:rsid w:val="00673F65"/>
    <w:rsid w:val="00674B68"/>
    <w:rsid w:val="006E3904"/>
    <w:rsid w:val="006E612F"/>
    <w:rsid w:val="006F700D"/>
    <w:rsid w:val="00707FE3"/>
    <w:rsid w:val="00747146"/>
    <w:rsid w:val="00764A6E"/>
    <w:rsid w:val="00764B41"/>
    <w:rsid w:val="007859C7"/>
    <w:rsid w:val="00797397"/>
    <w:rsid w:val="007B3307"/>
    <w:rsid w:val="007D6026"/>
    <w:rsid w:val="007D6051"/>
    <w:rsid w:val="0082719B"/>
    <w:rsid w:val="00837C1D"/>
    <w:rsid w:val="008479ED"/>
    <w:rsid w:val="00864EBE"/>
    <w:rsid w:val="008C637B"/>
    <w:rsid w:val="008D4B43"/>
    <w:rsid w:val="00900D84"/>
    <w:rsid w:val="009106E6"/>
    <w:rsid w:val="00926626"/>
    <w:rsid w:val="00926D67"/>
    <w:rsid w:val="00933E23"/>
    <w:rsid w:val="00941FC7"/>
    <w:rsid w:val="009920AA"/>
    <w:rsid w:val="00995558"/>
    <w:rsid w:val="009E109A"/>
    <w:rsid w:val="00A23CD6"/>
    <w:rsid w:val="00A4144D"/>
    <w:rsid w:val="00A55359"/>
    <w:rsid w:val="00A7068B"/>
    <w:rsid w:val="00A87A5D"/>
    <w:rsid w:val="00AC03E8"/>
    <w:rsid w:val="00AF463F"/>
    <w:rsid w:val="00B0646F"/>
    <w:rsid w:val="00B12485"/>
    <w:rsid w:val="00B27542"/>
    <w:rsid w:val="00B4294A"/>
    <w:rsid w:val="00B522C4"/>
    <w:rsid w:val="00B61AFB"/>
    <w:rsid w:val="00B66607"/>
    <w:rsid w:val="00B911A7"/>
    <w:rsid w:val="00B9748D"/>
    <w:rsid w:val="00BA1BA1"/>
    <w:rsid w:val="00BB016E"/>
    <w:rsid w:val="00BE0232"/>
    <w:rsid w:val="00BF688C"/>
    <w:rsid w:val="00C207CC"/>
    <w:rsid w:val="00C24C44"/>
    <w:rsid w:val="00C266F5"/>
    <w:rsid w:val="00C36778"/>
    <w:rsid w:val="00C41521"/>
    <w:rsid w:val="00C53AE3"/>
    <w:rsid w:val="00C60975"/>
    <w:rsid w:val="00C67766"/>
    <w:rsid w:val="00C77F8F"/>
    <w:rsid w:val="00C91DB5"/>
    <w:rsid w:val="00C9767B"/>
    <w:rsid w:val="00CC30F6"/>
    <w:rsid w:val="00CC3BFC"/>
    <w:rsid w:val="00CC555D"/>
    <w:rsid w:val="00D311D0"/>
    <w:rsid w:val="00D647B6"/>
    <w:rsid w:val="00D64C4A"/>
    <w:rsid w:val="00D65466"/>
    <w:rsid w:val="00D76FD6"/>
    <w:rsid w:val="00DA78F8"/>
    <w:rsid w:val="00DB6E46"/>
    <w:rsid w:val="00DE5EC4"/>
    <w:rsid w:val="00E161DA"/>
    <w:rsid w:val="00E40820"/>
    <w:rsid w:val="00ED28EF"/>
    <w:rsid w:val="00ED79D3"/>
    <w:rsid w:val="00F218C3"/>
    <w:rsid w:val="00F3088C"/>
    <w:rsid w:val="00F41690"/>
    <w:rsid w:val="00F5152D"/>
    <w:rsid w:val="00F564EF"/>
    <w:rsid w:val="00FD72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25391"/>
  <w15:chartTrackingRefBased/>
  <w15:docId w15:val="{FDE29D88-788C-4985-BF94-451553C8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109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F416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9E109A"/>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9E109A"/>
    <w:pPr>
      <w:keepNext/>
      <w:spacing w:before="240" w:after="60"/>
      <w:outlineLvl w:val="2"/>
    </w:pPr>
    <w:rPr>
      <w:rFonts w:ascii="Calibri Light" w:hAnsi="Calibri Light"/>
      <w:b/>
      <w:bCs/>
      <w:sz w:val="26"/>
      <w:szCs w:val="26"/>
    </w:rPr>
  </w:style>
  <w:style w:type="paragraph" w:styleId="Ttulo5">
    <w:name w:val="heading 5"/>
    <w:basedOn w:val="Normal"/>
    <w:next w:val="Normal"/>
    <w:link w:val="Ttulo5Car"/>
    <w:qFormat/>
    <w:rsid w:val="009E109A"/>
    <w:pPr>
      <w:keepNext/>
      <w:tabs>
        <w:tab w:val="left" w:pos="180"/>
        <w:tab w:val="left" w:pos="8640"/>
      </w:tabs>
      <w:autoSpaceDE w:val="0"/>
      <w:autoSpaceDN w:val="0"/>
      <w:adjustRightInd w:val="0"/>
      <w:spacing w:line="360" w:lineRule="auto"/>
      <w:ind w:left="720" w:right="200"/>
      <w:jc w:val="center"/>
      <w:outlineLvl w:val="4"/>
    </w:pPr>
    <w:rPr>
      <w:rFonts w:ascii="Arial" w:hAnsi="Arial" w:cs="Arial"/>
      <w:b/>
      <w:bCs/>
      <w:sz w:val="28"/>
      <w:szCs w:val="28"/>
      <w:u w:val="single"/>
      <w:lang w:val="es-ES_tradnl"/>
    </w:rPr>
  </w:style>
  <w:style w:type="paragraph" w:styleId="Ttulo6">
    <w:name w:val="heading 6"/>
    <w:basedOn w:val="Normal"/>
    <w:next w:val="Normal"/>
    <w:link w:val="Ttulo6Car"/>
    <w:qFormat/>
    <w:rsid w:val="009E109A"/>
    <w:pPr>
      <w:keepNext/>
      <w:tabs>
        <w:tab w:val="left" w:pos="180"/>
        <w:tab w:val="left" w:pos="8640"/>
      </w:tabs>
      <w:autoSpaceDE w:val="0"/>
      <w:autoSpaceDN w:val="0"/>
      <w:adjustRightInd w:val="0"/>
      <w:spacing w:line="360" w:lineRule="auto"/>
      <w:ind w:left="720" w:right="200"/>
      <w:outlineLvl w:val="5"/>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E109A"/>
    <w:rPr>
      <w:rFonts w:ascii="Calibri Light" w:eastAsia="Times New Roman" w:hAnsi="Calibri Light" w:cs="Times New Roman"/>
      <w:b/>
      <w:bCs/>
      <w:i/>
      <w:iCs/>
      <w:sz w:val="28"/>
      <w:szCs w:val="28"/>
      <w:lang w:eastAsia="es-ES"/>
    </w:rPr>
  </w:style>
  <w:style w:type="character" w:customStyle="1" w:styleId="Ttulo3Car">
    <w:name w:val="Título 3 Car"/>
    <w:basedOn w:val="Fuentedeprrafopredeter"/>
    <w:link w:val="Ttulo3"/>
    <w:rsid w:val="009E109A"/>
    <w:rPr>
      <w:rFonts w:ascii="Calibri Light" w:eastAsia="Times New Roman" w:hAnsi="Calibri Light" w:cs="Times New Roman"/>
      <w:b/>
      <w:bCs/>
      <w:sz w:val="26"/>
      <w:szCs w:val="26"/>
      <w:lang w:eastAsia="es-ES"/>
    </w:rPr>
  </w:style>
  <w:style w:type="character" w:customStyle="1" w:styleId="Ttulo5Car">
    <w:name w:val="Título 5 Car"/>
    <w:basedOn w:val="Fuentedeprrafopredeter"/>
    <w:link w:val="Ttulo5"/>
    <w:rsid w:val="009E109A"/>
    <w:rPr>
      <w:rFonts w:ascii="Arial" w:eastAsia="Times New Roman" w:hAnsi="Arial" w:cs="Arial"/>
      <w:b/>
      <w:bCs/>
      <w:sz w:val="28"/>
      <w:szCs w:val="28"/>
      <w:u w:val="single"/>
      <w:lang w:val="es-ES_tradnl" w:eastAsia="es-ES"/>
    </w:rPr>
  </w:style>
  <w:style w:type="character" w:customStyle="1" w:styleId="Ttulo6Car">
    <w:name w:val="Título 6 Car"/>
    <w:basedOn w:val="Fuentedeprrafopredeter"/>
    <w:link w:val="Ttulo6"/>
    <w:rsid w:val="009E109A"/>
    <w:rPr>
      <w:rFonts w:ascii="Arial" w:eastAsia="Times New Roman" w:hAnsi="Arial" w:cs="Arial"/>
      <w:b/>
      <w:bCs/>
      <w:sz w:val="24"/>
      <w:szCs w:val="24"/>
      <w:lang w:val="es-ES_tradnl" w:eastAsia="es-ES"/>
    </w:rPr>
  </w:style>
  <w:style w:type="paragraph" w:customStyle="1" w:styleId="a">
    <w:basedOn w:val="Normal"/>
    <w:next w:val="Ttulo"/>
    <w:link w:val="TtuloCar"/>
    <w:qFormat/>
    <w:rsid w:val="009E109A"/>
    <w:pPr>
      <w:jc w:val="center"/>
    </w:pPr>
    <w:rPr>
      <w:rFonts w:asciiTheme="minorHAnsi" w:eastAsiaTheme="minorHAnsi" w:hAnsiTheme="minorHAnsi" w:cstheme="minorBidi"/>
      <w:b/>
      <w:bCs/>
    </w:rPr>
  </w:style>
  <w:style w:type="character" w:customStyle="1" w:styleId="TtuloCar">
    <w:name w:val="Título Car"/>
    <w:link w:val="a"/>
    <w:locked/>
    <w:rsid w:val="009E109A"/>
    <w:rPr>
      <w:b/>
      <w:bCs/>
      <w:sz w:val="24"/>
      <w:szCs w:val="24"/>
      <w:lang w:val="es-ES" w:eastAsia="es-ES" w:bidi="ar-SA"/>
    </w:rPr>
  </w:style>
  <w:style w:type="paragraph" w:styleId="Prrafodelista">
    <w:name w:val="List Paragraph"/>
    <w:basedOn w:val="Normal"/>
    <w:uiPriority w:val="34"/>
    <w:qFormat/>
    <w:rsid w:val="009E109A"/>
    <w:pPr>
      <w:ind w:left="720"/>
      <w:contextualSpacing/>
    </w:pPr>
  </w:style>
  <w:style w:type="paragraph" w:styleId="Ttulo">
    <w:name w:val="Title"/>
    <w:basedOn w:val="Normal"/>
    <w:next w:val="Normal"/>
    <w:link w:val="TtuloCar1"/>
    <w:uiPriority w:val="10"/>
    <w:qFormat/>
    <w:rsid w:val="009E109A"/>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E109A"/>
    <w:rPr>
      <w:rFonts w:asciiTheme="majorHAnsi" w:eastAsiaTheme="majorEastAsia" w:hAnsiTheme="majorHAnsi" w:cstheme="majorBidi"/>
      <w:spacing w:val="-10"/>
      <w:kern w:val="28"/>
      <w:sz w:val="56"/>
      <w:szCs w:val="56"/>
      <w:lang w:eastAsia="es-ES"/>
    </w:rPr>
  </w:style>
  <w:style w:type="paragraph" w:customStyle="1" w:styleId="a0">
    <w:basedOn w:val="Normal"/>
    <w:next w:val="Subttulo"/>
    <w:qFormat/>
    <w:rsid w:val="000B58F9"/>
    <w:pPr>
      <w:suppressAutoHyphens/>
      <w:overflowPunct w:val="0"/>
      <w:autoSpaceDE w:val="0"/>
      <w:autoSpaceDN w:val="0"/>
      <w:adjustRightInd w:val="0"/>
      <w:jc w:val="center"/>
      <w:textAlignment w:val="baseline"/>
    </w:pPr>
    <w:rPr>
      <w:rFonts w:eastAsia="Calibri"/>
      <w:b/>
      <w:szCs w:val="20"/>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Ref. de nota al pi"/>
    <w:basedOn w:val="Normal"/>
    <w:link w:val="TextonotapieCar"/>
    <w:uiPriority w:val="99"/>
    <w:rsid w:val="000B58F9"/>
    <w:rPr>
      <w:rFonts w:ascii="Arial" w:eastAsia="Calibri" w:hAnsi="Arial"/>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0B58F9"/>
    <w:rPr>
      <w:rFonts w:ascii="Arial" w:eastAsia="Calibri" w:hAnsi="Arial" w:cs="Times New Roman"/>
      <w:sz w:val="20"/>
      <w:szCs w:val="20"/>
      <w:lang w:eastAsia="es-ES"/>
    </w:rPr>
  </w:style>
  <w:style w:type="character" w:styleId="Refdenotaalpie">
    <w:name w:val="footnote reference"/>
    <w:aliases w:val="Texto de nota al pie,referencia nota al pie,Ref. de nota al pie 2,Footnotes refss,Appel note de bas de page,Footnote number,BVI fnr,f,Pie de Página,FC"/>
    <w:uiPriority w:val="99"/>
    <w:rsid w:val="000B58F9"/>
    <w:rPr>
      <w:vertAlign w:val="superscript"/>
    </w:rPr>
  </w:style>
  <w:style w:type="paragraph" w:styleId="NormalWeb">
    <w:name w:val="Normal (Web)"/>
    <w:basedOn w:val="Normal"/>
    <w:uiPriority w:val="99"/>
    <w:rsid w:val="000B58F9"/>
    <w:pPr>
      <w:spacing w:before="100" w:beforeAutospacing="1" w:after="100" w:afterAutospacing="1"/>
    </w:pPr>
    <w:rPr>
      <w:rFonts w:ascii="Arial Unicode MS" w:eastAsia="Arial Unicode MS" w:cs="Arial Unicode MS"/>
    </w:rPr>
  </w:style>
  <w:style w:type="paragraph" w:styleId="Textoindependiente">
    <w:name w:val="Body Text"/>
    <w:basedOn w:val="Normal"/>
    <w:link w:val="TextoindependienteCar"/>
    <w:rsid w:val="000B58F9"/>
    <w:pPr>
      <w:spacing w:line="360" w:lineRule="auto"/>
      <w:jc w:val="both"/>
    </w:pPr>
    <w:rPr>
      <w:rFonts w:ascii="Arial" w:hAnsi="Arial"/>
      <w:sz w:val="28"/>
      <w:szCs w:val="20"/>
      <w:lang w:val="es-CO"/>
    </w:rPr>
  </w:style>
  <w:style w:type="character" w:customStyle="1" w:styleId="TextoindependienteCar">
    <w:name w:val="Texto independiente Car"/>
    <w:basedOn w:val="Fuentedeprrafopredeter"/>
    <w:link w:val="Textoindependiente"/>
    <w:rsid w:val="000B58F9"/>
    <w:rPr>
      <w:rFonts w:ascii="Arial" w:eastAsia="Times New Roman" w:hAnsi="Arial" w:cs="Times New Roman"/>
      <w:sz w:val="28"/>
      <w:szCs w:val="20"/>
      <w:lang w:val="es-CO" w:eastAsia="es-ES"/>
    </w:rPr>
  </w:style>
  <w:style w:type="paragraph" w:styleId="Textodebloque">
    <w:name w:val="Block Text"/>
    <w:basedOn w:val="Normal"/>
    <w:rsid w:val="000B58F9"/>
    <w:pPr>
      <w:overflowPunct w:val="0"/>
      <w:autoSpaceDE w:val="0"/>
      <w:autoSpaceDN w:val="0"/>
      <w:adjustRightInd w:val="0"/>
      <w:spacing w:line="360" w:lineRule="auto"/>
      <w:ind w:left="567" w:right="567"/>
      <w:jc w:val="both"/>
      <w:textAlignment w:val="baseline"/>
    </w:pPr>
    <w:rPr>
      <w:rFonts w:ascii="Arial" w:hAnsi="Arial" w:cs="Arial"/>
      <w:sz w:val="20"/>
      <w:szCs w:val="20"/>
      <w:lang w:val="es-ES_tradnl"/>
    </w:rPr>
  </w:style>
  <w:style w:type="paragraph" w:styleId="Subttulo">
    <w:name w:val="Subtitle"/>
    <w:basedOn w:val="Normal"/>
    <w:next w:val="Normal"/>
    <w:link w:val="SubttuloCar"/>
    <w:uiPriority w:val="11"/>
    <w:qFormat/>
    <w:rsid w:val="000B58F9"/>
    <w:pPr>
      <w:numPr>
        <w:ilvl w:val="1"/>
      </w:numPr>
    </w:pPr>
    <w:rPr>
      <w:rFonts w:ascii="Cambria" w:hAnsi="Cambria"/>
      <w:i/>
      <w:iCs/>
      <w:color w:val="4F81BD"/>
      <w:spacing w:val="15"/>
    </w:rPr>
  </w:style>
  <w:style w:type="character" w:customStyle="1" w:styleId="SubttuloCar">
    <w:name w:val="Subtítulo Car"/>
    <w:basedOn w:val="Fuentedeprrafopredeter"/>
    <w:link w:val="Subttulo"/>
    <w:uiPriority w:val="11"/>
    <w:rsid w:val="000B58F9"/>
    <w:rPr>
      <w:rFonts w:ascii="Cambria" w:eastAsia="Times New Roman" w:hAnsi="Cambria" w:cs="Times New Roman"/>
      <w:i/>
      <w:iCs/>
      <w:color w:val="4F81BD"/>
      <w:spacing w:val="15"/>
      <w:sz w:val="24"/>
      <w:szCs w:val="24"/>
      <w:lang w:eastAsia="es-ES"/>
    </w:rPr>
  </w:style>
  <w:style w:type="paragraph" w:styleId="Encabezado">
    <w:name w:val="header"/>
    <w:basedOn w:val="Normal"/>
    <w:link w:val="EncabezadoCar"/>
    <w:unhideWhenUsed/>
    <w:rsid w:val="000B58F9"/>
    <w:pPr>
      <w:tabs>
        <w:tab w:val="center" w:pos="4252"/>
        <w:tab w:val="right" w:pos="8504"/>
      </w:tabs>
    </w:pPr>
  </w:style>
  <w:style w:type="character" w:customStyle="1" w:styleId="EncabezadoCar">
    <w:name w:val="Encabezado Car"/>
    <w:basedOn w:val="Fuentedeprrafopredeter"/>
    <w:link w:val="Encabezado"/>
    <w:uiPriority w:val="99"/>
    <w:rsid w:val="000B58F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B58F9"/>
    <w:pPr>
      <w:tabs>
        <w:tab w:val="center" w:pos="4252"/>
        <w:tab w:val="right" w:pos="8504"/>
      </w:tabs>
    </w:pPr>
  </w:style>
  <w:style w:type="character" w:customStyle="1" w:styleId="PiedepginaCar">
    <w:name w:val="Pie de página Car"/>
    <w:basedOn w:val="Fuentedeprrafopredeter"/>
    <w:link w:val="Piedepgina"/>
    <w:uiPriority w:val="99"/>
    <w:rsid w:val="000B58F9"/>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77F8F"/>
  </w:style>
  <w:style w:type="paragraph" w:styleId="Textodeglobo">
    <w:name w:val="Balloon Text"/>
    <w:basedOn w:val="Normal"/>
    <w:link w:val="TextodegloboCar"/>
    <w:uiPriority w:val="99"/>
    <w:semiHidden/>
    <w:unhideWhenUsed/>
    <w:rsid w:val="00C976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67B"/>
    <w:rPr>
      <w:rFonts w:ascii="Segoe UI" w:eastAsia="Times New Roman" w:hAnsi="Segoe UI" w:cs="Segoe UI"/>
      <w:sz w:val="18"/>
      <w:szCs w:val="18"/>
      <w:lang w:eastAsia="es-ES"/>
    </w:rPr>
  </w:style>
  <w:style w:type="character" w:styleId="Hipervnculo">
    <w:name w:val="Hyperlink"/>
    <w:basedOn w:val="Fuentedeprrafopredeter"/>
    <w:unhideWhenUsed/>
    <w:rsid w:val="00B4294A"/>
    <w:rPr>
      <w:color w:val="0563C1" w:themeColor="hyperlink"/>
      <w:u w:val="single"/>
    </w:rPr>
  </w:style>
  <w:style w:type="paragraph" w:customStyle="1" w:styleId="Default">
    <w:name w:val="Default"/>
    <w:rsid w:val="006F700D"/>
    <w:pPr>
      <w:autoSpaceDE w:val="0"/>
      <w:autoSpaceDN w:val="0"/>
      <w:adjustRightInd w:val="0"/>
      <w:spacing w:after="0" w:line="240" w:lineRule="auto"/>
    </w:pPr>
    <w:rPr>
      <w:rFonts w:ascii="Arial" w:hAnsi="Arial" w:cs="Arial"/>
      <w:color w:val="000000"/>
      <w:sz w:val="24"/>
      <w:szCs w:val="24"/>
      <w:lang w:val="es-CO"/>
    </w:rPr>
  </w:style>
  <w:style w:type="character" w:styleId="Mencinsinresolver">
    <w:name w:val="Unresolved Mention"/>
    <w:basedOn w:val="Fuentedeprrafopredeter"/>
    <w:uiPriority w:val="99"/>
    <w:semiHidden/>
    <w:unhideWhenUsed/>
    <w:rsid w:val="00B0646F"/>
    <w:rPr>
      <w:color w:val="605E5C"/>
      <w:shd w:val="clear" w:color="auto" w:fill="E1DFDD"/>
    </w:rPr>
  </w:style>
  <w:style w:type="character" w:customStyle="1" w:styleId="Ttulo1Car">
    <w:name w:val="Título 1 Car"/>
    <w:basedOn w:val="Fuentedeprrafopredeter"/>
    <w:link w:val="Ttulo1"/>
    <w:uiPriority w:val="9"/>
    <w:rsid w:val="00F41690"/>
    <w:rPr>
      <w:rFonts w:asciiTheme="majorHAnsi" w:eastAsiaTheme="majorEastAsia" w:hAnsiTheme="majorHAnsi" w:cstheme="majorBidi"/>
      <w:color w:val="2E74B5"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947173">
      <w:bodyDiv w:val="1"/>
      <w:marLeft w:val="0"/>
      <w:marRight w:val="0"/>
      <w:marTop w:val="0"/>
      <w:marBottom w:val="0"/>
      <w:divBdr>
        <w:top w:val="none" w:sz="0" w:space="0" w:color="auto"/>
        <w:left w:val="none" w:sz="0" w:space="0" w:color="auto"/>
        <w:bottom w:val="none" w:sz="0" w:space="0" w:color="auto"/>
        <w:right w:val="none" w:sz="0" w:space="0" w:color="auto"/>
      </w:divBdr>
    </w:div>
    <w:div w:id="16072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ermudez@defensoria.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34bt@cendoj.ramajudicial.gov.co" TargetMode="External"/><Relationship Id="rId4" Type="http://schemas.openxmlformats.org/officeDocument/2006/relationships/settings" Target="settings.xml"/><Relationship Id="rId9" Type="http://schemas.openxmlformats.org/officeDocument/2006/relationships/hyperlink" Target="mailto:jadmin34bta@notificacionesjr.gov.c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574C-EAAD-4878-ACC2-92336245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3076</Words>
  <Characters>16922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Cabrera Pinzon</dc:creator>
  <cp:keywords/>
  <dc:description/>
  <cp:lastModifiedBy>crileca88</cp:lastModifiedBy>
  <cp:revision>3</cp:revision>
  <cp:lastPrinted>2017-05-19T23:12:00Z</cp:lastPrinted>
  <dcterms:created xsi:type="dcterms:W3CDTF">2020-05-14T15:05:00Z</dcterms:created>
  <dcterms:modified xsi:type="dcterms:W3CDTF">2020-05-14T15:17:00Z</dcterms:modified>
</cp:coreProperties>
</file>