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215" w:rsidRPr="00337086" w:rsidRDefault="00CE1215" w:rsidP="00CE1215">
      <w:pPr>
        <w:spacing w:line="276" w:lineRule="auto"/>
        <w:contextualSpacing/>
        <w:jc w:val="both"/>
        <w:rPr>
          <w:rFonts w:ascii="Century Gothic" w:hAnsi="Century Gothic"/>
          <w:highlight w:val="green"/>
        </w:rPr>
      </w:pPr>
      <w:bookmarkStart w:id="0" w:name="_GoBack"/>
      <w:bookmarkEnd w:id="0"/>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50"/>
      </w:tblGrid>
      <w:tr w:rsidR="00CE1215" w:rsidRPr="00337086" w:rsidTr="00DF13CB">
        <w:tc>
          <w:tcPr>
            <w:tcW w:w="2581" w:type="dxa"/>
            <w:vAlign w:val="center"/>
          </w:tcPr>
          <w:p w:rsidR="00CE1215" w:rsidRPr="00337086" w:rsidRDefault="00CE1215" w:rsidP="00DF13CB">
            <w:pPr>
              <w:jc w:val="both"/>
              <w:rPr>
                <w:rFonts w:ascii="Century Gothic" w:hAnsi="Century Gothic" w:cs="Tahoma"/>
              </w:rPr>
            </w:pPr>
            <w:r w:rsidRPr="00337086">
              <w:rPr>
                <w:rFonts w:ascii="Century Gothic" w:hAnsi="Century Gothic" w:cs="Tahoma"/>
              </w:rPr>
              <w:t>CIUDAD Y FECHA</w:t>
            </w:r>
          </w:p>
        </w:tc>
        <w:tc>
          <w:tcPr>
            <w:tcW w:w="6350" w:type="dxa"/>
          </w:tcPr>
          <w:p w:rsidR="00CE1215" w:rsidRPr="00337086" w:rsidRDefault="00CE1215" w:rsidP="00CE1215">
            <w:pPr>
              <w:jc w:val="both"/>
              <w:rPr>
                <w:rFonts w:ascii="Century Gothic" w:hAnsi="Century Gothic" w:cs="Tahoma"/>
                <w:b/>
              </w:rPr>
            </w:pPr>
            <w:r w:rsidRPr="00337086">
              <w:rPr>
                <w:rFonts w:ascii="Century Gothic" w:hAnsi="Century Gothic" w:cs="Tahoma"/>
                <w:b/>
              </w:rPr>
              <w:t xml:space="preserve">Bogotá, D.C., diez (10) de junio </w:t>
            </w:r>
            <w:r w:rsidRPr="00337086">
              <w:rPr>
                <w:rFonts w:ascii="Century Gothic" w:hAnsi="Century Gothic" w:cs="Tahoma"/>
                <w:b/>
              </w:rPr>
              <w:fldChar w:fldCharType="begin"/>
            </w:r>
            <w:r w:rsidRPr="00337086">
              <w:rPr>
                <w:rFonts w:ascii="Century Gothic" w:hAnsi="Century Gothic" w:cs="Tahoma"/>
                <w:b/>
              </w:rPr>
              <w:instrText xml:space="preserve"> MERGEFIELD FECHA_PROYECTÓ_EL_AUTO_ADMISORIO </w:instrText>
            </w:r>
            <w:r w:rsidRPr="00337086">
              <w:rPr>
                <w:rFonts w:ascii="Century Gothic" w:hAnsi="Century Gothic" w:cs="Tahoma"/>
                <w:b/>
              </w:rPr>
              <w:fldChar w:fldCharType="separate"/>
            </w:r>
            <w:r w:rsidRPr="00337086">
              <w:rPr>
                <w:rFonts w:ascii="Century Gothic" w:hAnsi="Century Gothic" w:cs="Tahoma"/>
                <w:b/>
              </w:rPr>
              <w:t>de dos mil veinte (2020)</w:t>
            </w:r>
            <w:r w:rsidRPr="00337086">
              <w:rPr>
                <w:rFonts w:ascii="Century Gothic" w:hAnsi="Century Gothic" w:cs="Tahoma"/>
                <w:b/>
              </w:rPr>
              <w:fldChar w:fldCharType="end"/>
            </w:r>
          </w:p>
        </w:tc>
      </w:tr>
      <w:tr w:rsidR="00CE1215" w:rsidRPr="00337086" w:rsidTr="00DF13CB">
        <w:tc>
          <w:tcPr>
            <w:tcW w:w="2581" w:type="dxa"/>
            <w:vAlign w:val="center"/>
          </w:tcPr>
          <w:p w:rsidR="00CE1215" w:rsidRPr="00337086" w:rsidRDefault="00CE1215" w:rsidP="00DF13CB">
            <w:pPr>
              <w:jc w:val="both"/>
              <w:rPr>
                <w:rFonts w:ascii="Century Gothic" w:hAnsi="Century Gothic" w:cs="Tahoma"/>
              </w:rPr>
            </w:pPr>
            <w:r w:rsidRPr="00337086">
              <w:rPr>
                <w:rFonts w:ascii="Century Gothic" w:hAnsi="Century Gothic" w:cs="Tahoma"/>
              </w:rPr>
              <w:t>REFERENCIA</w:t>
            </w:r>
          </w:p>
        </w:tc>
        <w:tc>
          <w:tcPr>
            <w:tcW w:w="6350" w:type="dxa"/>
          </w:tcPr>
          <w:p w:rsidR="00CE1215" w:rsidRPr="00337086" w:rsidRDefault="00CE1215" w:rsidP="00DF13CB">
            <w:pPr>
              <w:jc w:val="both"/>
              <w:rPr>
                <w:rFonts w:ascii="Century Gothic" w:hAnsi="Century Gothic" w:cs="Tahoma"/>
                <w:b/>
              </w:rPr>
            </w:pPr>
            <w:r w:rsidRPr="00337086">
              <w:rPr>
                <w:rFonts w:ascii="Century Gothic" w:hAnsi="Century Gothic" w:cs="Tahoma"/>
                <w:b/>
              </w:rPr>
              <w:t>Expediente No. 110013336034</w:t>
            </w:r>
            <w:r w:rsidRPr="00337086">
              <w:rPr>
                <w:rFonts w:ascii="Century Gothic" w:hAnsi="Century Gothic" w:cs="Tahoma"/>
                <w:b/>
              </w:rPr>
              <w:fldChar w:fldCharType="begin"/>
            </w:r>
            <w:r w:rsidRPr="00337086">
              <w:rPr>
                <w:rFonts w:ascii="Century Gothic" w:hAnsi="Century Gothic" w:cs="Tahoma"/>
                <w:b/>
              </w:rPr>
              <w:instrText xml:space="preserve"> MERGEFIELD Año </w:instrText>
            </w:r>
            <w:r w:rsidRPr="00337086">
              <w:rPr>
                <w:rFonts w:ascii="Century Gothic" w:hAnsi="Century Gothic" w:cs="Tahoma"/>
                <w:b/>
              </w:rPr>
              <w:fldChar w:fldCharType="separate"/>
            </w:r>
            <w:r w:rsidRPr="00337086">
              <w:rPr>
                <w:rFonts w:ascii="Century Gothic" w:hAnsi="Century Gothic" w:cs="Tahoma"/>
                <w:b/>
              </w:rPr>
              <w:t>2020</w:t>
            </w:r>
            <w:r w:rsidRPr="00337086">
              <w:rPr>
                <w:rFonts w:ascii="Century Gothic" w:hAnsi="Century Gothic" w:cs="Tahoma"/>
                <w:b/>
              </w:rPr>
              <w:fldChar w:fldCharType="end"/>
            </w:r>
            <w:r w:rsidRPr="00337086">
              <w:rPr>
                <w:rFonts w:ascii="Century Gothic" w:hAnsi="Century Gothic" w:cs="Tahoma"/>
                <w:b/>
              </w:rPr>
              <w:t>00</w:t>
            </w:r>
            <w:r w:rsidRPr="00337086">
              <w:rPr>
                <w:rFonts w:ascii="Century Gothic" w:hAnsi="Century Gothic" w:cs="Tahoma"/>
                <w:b/>
              </w:rPr>
              <w:fldChar w:fldCharType="begin"/>
            </w:r>
            <w:r w:rsidRPr="00337086">
              <w:rPr>
                <w:rFonts w:ascii="Century Gothic" w:hAnsi="Century Gothic" w:cs="Tahoma"/>
                <w:b/>
              </w:rPr>
              <w:instrText xml:space="preserve"> MERGEFIELD radicado </w:instrText>
            </w:r>
            <w:r w:rsidRPr="00337086">
              <w:rPr>
                <w:rFonts w:ascii="Century Gothic" w:hAnsi="Century Gothic" w:cs="Tahoma"/>
                <w:b/>
              </w:rPr>
              <w:fldChar w:fldCharType="separate"/>
            </w:r>
            <w:r w:rsidRPr="00337086">
              <w:rPr>
                <w:rFonts w:ascii="Century Gothic" w:hAnsi="Century Gothic" w:cs="Tahoma"/>
                <w:b/>
              </w:rPr>
              <w:t>105</w:t>
            </w:r>
            <w:r w:rsidRPr="00337086">
              <w:rPr>
                <w:rFonts w:ascii="Century Gothic" w:hAnsi="Century Gothic" w:cs="Tahoma"/>
                <w:b/>
              </w:rPr>
              <w:fldChar w:fldCharType="end"/>
            </w:r>
            <w:r w:rsidRPr="00337086">
              <w:rPr>
                <w:rFonts w:ascii="Century Gothic" w:hAnsi="Century Gothic" w:cs="Tahoma"/>
                <w:b/>
              </w:rPr>
              <w:t>00</w:t>
            </w:r>
          </w:p>
        </w:tc>
      </w:tr>
      <w:tr w:rsidR="00CE1215" w:rsidRPr="00337086" w:rsidTr="00DF13CB">
        <w:tc>
          <w:tcPr>
            <w:tcW w:w="2581" w:type="dxa"/>
            <w:vAlign w:val="center"/>
          </w:tcPr>
          <w:p w:rsidR="00CE1215" w:rsidRPr="00337086" w:rsidRDefault="00CE1215" w:rsidP="00DF13CB">
            <w:pPr>
              <w:jc w:val="both"/>
              <w:rPr>
                <w:rFonts w:ascii="Century Gothic" w:hAnsi="Century Gothic" w:cs="Tahoma"/>
              </w:rPr>
            </w:pPr>
            <w:r w:rsidRPr="00337086">
              <w:rPr>
                <w:rFonts w:ascii="Century Gothic" w:hAnsi="Century Gothic" w:cs="Tahoma"/>
              </w:rPr>
              <w:t>DEMANDANTE</w:t>
            </w:r>
          </w:p>
        </w:tc>
        <w:tc>
          <w:tcPr>
            <w:tcW w:w="6350" w:type="dxa"/>
          </w:tcPr>
          <w:p w:rsidR="00CE1215" w:rsidRPr="00337086" w:rsidRDefault="00CE1215" w:rsidP="00DF13CB">
            <w:pPr>
              <w:jc w:val="both"/>
              <w:rPr>
                <w:rFonts w:ascii="Century Gothic" w:hAnsi="Century Gothic" w:cs="Tahoma"/>
                <w:b/>
              </w:rPr>
            </w:pPr>
            <w:r w:rsidRPr="00337086">
              <w:rPr>
                <w:rFonts w:ascii="Century Gothic" w:hAnsi="Century Gothic" w:cs="Tahoma"/>
                <w:b/>
              </w:rPr>
              <w:fldChar w:fldCharType="begin"/>
            </w:r>
            <w:r w:rsidRPr="00337086">
              <w:rPr>
                <w:rFonts w:ascii="Century Gothic" w:hAnsi="Century Gothic" w:cs="Tahoma"/>
                <w:b/>
              </w:rPr>
              <w:instrText xml:space="preserve"> MERGEFIELD Demandante_ </w:instrText>
            </w:r>
            <w:r w:rsidRPr="00337086">
              <w:rPr>
                <w:rFonts w:ascii="Century Gothic" w:hAnsi="Century Gothic" w:cs="Tahoma"/>
                <w:b/>
              </w:rPr>
              <w:fldChar w:fldCharType="separate"/>
            </w:r>
            <w:r w:rsidR="00B93637">
              <w:rPr>
                <w:rFonts w:ascii="Century Gothic" w:hAnsi="Century Gothic" w:cs="Tahoma"/>
                <w:b/>
              </w:rPr>
              <w:t>Jairo Rendón Valdé</w:t>
            </w:r>
            <w:r w:rsidRPr="00337086">
              <w:rPr>
                <w:rFonts w:ascii="Century Gothic" w:hAnsi="Century Gothic" w:cs="Tahoma"/>
                <w:b/>
              </w:rPr>
              <w:t xml:space="preserve">s </w:t>
            </w:r>
            <w:r w:rsidRPr="00337086">
              <w:rPr>
                <w:rFonts w:ascii="Century Gothic" w:hAnsi="Century Gothic" w:cs="Tahoma"/>
                <w:b/>
              </w:rPr>
              <w:fldChar w:fldCharType="end"/>
            </w:r>
          </w:p>
        </w:tc>
      </w:tr>
      <w:tr w:rsidR="00CE1215" w:rsidRPr="00337086" w:rsidTr="00DF13CB">
        <w:tc>
          <w:tcPr>
            <w:tcW w:w="2581" w:type="dxa"/>
            <w:vAlign w:val="center"/>
          </w:tcPr>
          <w:p w:rsidR="00CE1215" w:rsidRPr="00337086" w:rsidRDefault="00CE1215" w:rsidP="00DF13CB">
            <w:pPr>
              <w:jc w:val="both"/>
              <w:rPr>
                <w:rFonts w:ascii="Century Gothic" w:hAnsi="Century Gothic" w:cs="Tahoma"/>
              </w:rPr>
            </w:pPr>
            <w:r w:rsidRPr="00337086">
              <w:rPr>
                <w:rFonts w:ascii="Century Gothic" w:hAnsi="Century Gothic" w:cs="Tahoma"/>
              </w:rPr>
              <w:t>DEMANDADO</w:t>
            </w:r>
          </w:p>
        </w:tc>
        <w:tc>
          <w:tcPr>
            <w:tcW w:w="6350" w:type="dxa"/>
          </w:tcPr>
          <w:p w:rsidR="00CE1215" w:rsidRPr="00337086" w:rsidRDefault="00CE1215" w:rsidP="00DF13CB">
            <w:pPr>
              <w:jc w:val="both"/>
              <w:rPr>
                <w:rFonts w:ascii="Century Gothic" w:hAnsi="Century Gothic" w:cs="Tahoma"/>
                <w:b/>
              </w:rPr>
            </w:pPr>
            <w:r w:rsidRPr="00337086">
              <w:rPr>
                <w:rFonts w:ascii="Century Gothic" w:hAnsi="Century Gothic" w:cs="Tahoma"/>
                <w:b/>
              </w:rPr>
              <w:fldChar w:fldCharType="begin"/>
            </w:r>
            <w:r w:rsidRPr="00337086">
              <w:rPr>
                <w:rFonts w:ascii="Century Gothic" w:hAnsi="Century Gothic" w:cs="Tahoma"/>
                <w:b/>
              </w:rPr>
              <w:instrText xml:space="preserve"> MERGEFIELD Demandado </w:instrText>
            </w:r>
            <w:r w:rsidRPr="00337086">
              <w:rPr>
                <w:rFonts w:ascii="Century Gothic" w:hAnsi="Century Gothic" w:cs="Tahoma"/>
                <w:b/>
              </w:rPr>
              <w:fldChar w:fldCharType="separate"/>
            </w:r>
            <w:r w:rsidRPr="00337086">
              <w:rPr>
                <w:rFonts w:ascii="Century Gothic" w:hAnsi="Century Gothic" w:cs="Tahoma"/>
                <w:b/>
              </w:rPr>
              <w:t>Colpensiones</w:t>
            </w:r>
            <w:r w:rsidRPr="00337086">
              <w:rPr>
                <w:rFonts w:ascii="Century Gothic" w:hAnsi="Century Gothic" w:cs="Tahoma"/>
                <w:b/>
              </w:rPr>
              <w:fldChar w:fldCharType="end"/>
            </w:r>
          </w:p>
        </w:tc>
      </w:tr>
      <w:tr w:rsidR="00CE1215" w:rsidRPr="00337086" w:rsidTr="00DF13CB">
        <w:tc>
          <w:tcPr>
            <w:tcW w:w="2581" w:type="dxa"/>
            <w:vAlign w:val="center"/>
          </w:tcPr>
          <w:p w:rsidR="00CE1215" w:rsidRPr="00337086" w:rsidRDefault="00CE1215" w:rsidP="00DF13CB">
            <w:pPr>
              <w:jc w:val="both"/>
              <w:rPr>
                <w:rFonts w:ascii="Century Gothic" w:hAnsi="Century Gothic" w:cs="Tahoma"/>
              </w:rPr>
            </w:pPr>
            <w:r w:rsidRPr="00337086">
              <w:rPr>
                <w:rFonts w:ascii="Century Gothic" w:hAnsi="Century Gothic" w:cs="Tahoma"/>
              </w:rPr>
              <w:t>MEDIO DE CONTROL</w:t>
            </w:r>
          </w:p>
        </w:tc>
        <w:tc>
          <w:tcPr>
            <w:tcW w:w="6350" w:type="dxa"/>
          </w:tcPr>
          <w:p w:rsidR="00CE1215" w:rsidRPr="00337086" w:rsidRDefault="00CE1215" w:rsidP="00DF13CB">
            <w:pPr>
              <w:jc w:val="both"/>
              <w:rPr>
                <w:rFonts w:ascii="Century Gothic" w:hAnsi="Century Gothic" w:cs="Tahoma"/>
                <w:b/>
              </w:rPr>
            </w:pPr>
            <w:r w:rsidRPr="00337086">
              <w:rPr>
                <w:rFonts w:ascii="Century Gothic" w:hAnsi="Century Gothic" w:cs="Tahoma"/>
                <w:b/>
              </w:rPr>
              <w:t>Tutela</w:t>
            </w:r>
          </w:p>
        </w:tc>
      </w:tr>
      <w:tr w:rsidR="00CE1215" w:rsidRPr="00337086" w:rsidTr="00DF13CB">
        <w:tc>
          <w:tcPr>
            <w:tcW w:w="2581" w:type="dxa"/>
            <w:vAlign w:val="center"/>
          </w:tcPr>
          <w:p w:rsidR="00CE1215" w:rsidRPr="00337086" w:rsidRDefault="00CE1215" w:rsidP="00DF13CB">
            <w:pPr>
              <w:jc w:val="both"/>
              <w:rPr>
                <w:rFonts w:ascii="Century Gothic" w:hAnsi="Century Gothic" w:cs="Tahoma"/>
              </w:rPr>
            </w:pPr>
            <w:r w:rsidRPr="00337086">
              <w:rPr>
                <w:rFonts w:ascii="Century Gothic" w:hAnsi="Century Gothic" w:cs="Tahoma"/>
              </w:rPr>
              <w:t>ASUNTO</w:t>
            </w:r>
          </w:p>
        </w:tc>
        <w:tc>
          <w:tcPr>
            <w:tcW w:w="6350" w:type="dxa"/>
          </w:tcPr>
          <w:p w:rsidR="00CE1215" w:rsidRPr="00337086" w:rsidRDefault="00CE1215" w:rsidP="00CE1215">
            <w:pPr>
              <w:jc w:val="both"/>
              <w:rPr>
                <w:rFonts w:ascii="Century Gothic" w:hAnsi="Century Gothic" w:cs="Tahoma"/>
                <w:b/>
              </w:rPr>
            </w:pPr>
            <w:r w:rsidRPr="00337086">
              <w:rPr>
                <w:rFonts w:ascii="Century Gothic" w:hAnsi="Century Gothic" w:cs="Tahoma"/>
                <w:b/>
              </w:rPr>
              <w:t xml:space="preserve">Sentencia de primera instancia </w:t>
            </w:r>
          </w:p>
        </w:tc>
      </w:tr>
    </w:tbl>
    <w:p w:rsidR="00CE1215" w:rsidRPr="00337086" w:rsidRDefault="00CE1215" w:rsidP="00CE1215">
      <w:pPr>
        <w:spacing w:line="360" w:lineRule="auto"/>
        <w:jc w:val="both"/>
        <w:rPr>
          <w:rFonts w:ascii="Century Gothic" w:hAnsi="Century Gothic"/>
        </w:rPr>
      </w:pPr>
    </w:p>
    <w:p w:rsidR="00CE1215" w:rsidRPr="00337086" w:rsidRDefault="00CE1215" w:rsidP="00CE1215">
      <w:pPr>
        <w:spacing w:line="360" w:lineRule="auto"/>
        <w:contextualSpacing/>
        <w:jc w:val="center"/>
        <w:rPr>
          <w:rFonts w:ascii="Century Gothic" w:hAnsi="Century Gothic"/>
          <w:b/>
        </w:rPr>
      </w:pPr>
      <w:r w:rsidRPr="00337086">
        <w:rPr>
          <w:rFonts w:ascii="Century Gothic" w:hAnsi="Century Gothic"/>
          <w:b/>
        </w:rPr>
        <w:t xml:space="preserve">SENTENCIA </w:t>
      </w:r>
    </w:p>
    <w:p w:rsidR="00CE1215" w:rsidRPr="00337086" w:rsidRDefault="00CE1215" w:rsidP="00CE1215">
      <w:pPr>
        <w:spacing w:line="360" w:lineRule="auto"/>
        <w:jc w:val="both"/>
        <w:rPr>
          <w:rFonts w:ascii="Century Gothic" w:hAnsi="Century Gothic"/>
        </w:rPr>
      </w:pPr>
    </w:p>
    <w:p w:rsidR="00CE1215" w:rsidRPr="00337086" w:rsidRDefault="00CE1215" w:rsidP="00CE1215">
      <w:pPr>
        <w:spacing w:line="360" w:lineRule="auto"/>
        <w:jc w:val="both"/>
        <w:rPr>
          <w:rFonts w:ascii="Century Gothic" w:hAnsi="Century Gothic"/>
        </w:rPr>
      </w:pPr>
      <w:r w:rsidRPr="00337086">
        <w:rPr>
          <w:rFonts w:ascii="Century Gothic" w:hAnsi="Century Gothic"/>
        </w:rPr>
        <w:t xml:space="preserve">El despacho decide la acción de tutela que presentó el señor Jairo Rendón </w:t>
      </w:r>
      <w:r w:rsidR="00B93637" w:rsidRPr="00337086">
        <w:rPr>
          <w:rFonts w:ascii="Century Gothic" w:hAnsi="Century Gothic"/>
        </w:rPr>
        <w:t>Valdés</w:t>
      </w:r>
      <w:r w:rsidRPr="00337086">
        <w:rPr>
          <w:rFonts w:ascii="Century Gothic" w:hAnsi="Century Gothic"/>
        </w:rPr>
        <w:t xml:space="preserve"> contra Colpensiones, con el fin de proteger sus derechos fundamentales de petición, seguridad social, mínimo vital y vida, que considera afectados ante la falta de respuesta del accionado a la petición radicada el 7 de noviembre de 2019.</w:t>
      </w:r>
    </w:p>
    <w:p w:rsidR="00CE1215" w:rsidRPr="00337086" w:rsidRDefault="00CE1215" w:rsidP="00CE1215">
      <w:pPr>
        <w:spacing w:line="360" w:lineRule="auto"/>
        <w:contextualSpacing/>
        <w:jc w:val="both"/>
        <w:rPr>
          <w:rFonts w:ascii="Century Gothic" w:hAnsi="Century Gothic"/>
        </w:rPr>
      </w:pPr>
    </w:p>
    <w:p w:rsidR="00CE1215" w:rsidRPr="00337086" w:rsidRDefault="00CE1215" w:rsidP="00CE1215">
      <w:pPr>
        <w:tabs>
          <w:tab w:val="left" w:pos="5474"/>
        </w:tabs>
        <w:spacing w:line="360" w:lineRule="auto"/>
        <w:contextualSpacing/>
        <w:jc w:val="center"/>
        <w:rPr>
          <w:rFonts w:ascii="Century Gothic" w:hAnsi="Century Gothic" w:cs="Arial"/>
          <w:b/>
        </w:rPr>
      </w:pPr>
      <w:r w:rsidRPr="00337086">
        <w:rPr>
          <w:rFonts w:ascii="Century Gothic" w:hAnsi="Century Gothic" w:cs="Arial"/>
          <w:b/>
        </w:rPr>
        <w:t>I. ANTECEDENTES</w:t>
      </w:r>
    </w:p>
    <w:p w:rsidR="00CE1215" w:rsidRPr="00337086" w:rsidRDefault="00CE1215" w:rsidP="00CE1215">
      <w:pPr>
        <w:pStyle w:val="Prrafodelista"/>
        <w:tabs>
          <w:tab w:val="left" w:pos="5474"/>
        </w:tabs>
        <w:spacing w:line="360" w:lineRule="auto"/>
        <w:ind w:left="1080"/>
        <w:rPr>
          <w:rFonts w:ascii="Century Gothic" w:hAnsi="Century Gothic" w:cs="Arial"/>
          <w:szCs w:val="24"/>
        </w:rPr>
      </w:pPr>
    </w:p>
    <w:p w:rsidR="00CE1215" w:rsidRPr="00337086" w:rsidRDefault="00CE1215" w:rsidP="00CE1215">
      <w:pPr>
        <w:pStyle w:val="Textoindependiente"/>
        <w:tabs>
          <w:tab w:val="left" w:pos="0"/>
          <w:tab w:val="left" w:pos="5474"/>
        </w:tabs>
        <w:spacing w:after="0" w:line="360" w:lineRule="auto"/>
        <w:contextualSpacing/>
        <w:rPr>
          <w:rFonts w:ascii="Century Gothic" w:hAnsi="Century Gothic" w:cs="Arial"/>
          <w:b/>
          <w:szCs w:val="24"/>
          <w:lang w:val="es-CO"/>
        </w:rPr>
      </w:pPr>
      <w:r w:rsidRPr="00337086">
        <w:rPr>
          <w:rFonts w:ascii="Century Gothic" w:hAnsi="Century Gothic" w:cs="Arial"/>
          <w:b/>
          <w:szCs w:val="24"/>
          <w:lang w:val="es-CO"/>
        </w:rPr>
        <w:t xml:space="preserve">1. Síntesis del caso </w:t>
      </w:r>
    </w:p>
    <w:p w:rsidR="00CE1215" w:rsidRPr="00337086" w:rsidRDefault="00CE1215" w:rsidP="00CE1215">
      <w:pPr>
        <w:pStyle w:val="Textoindependiente"/>
        <w:tabs>
          <w:tab w:val="left" w:pos="0"/>
          <w:tab w:val="left" w:pos="5474"/>
        </w:tabs>
        <w:spacing w:after="0" w:line="360" w:lineRule="auto"/>
        <w:contextualSpacing/>
        <w:rPr>
          <w:rFonts w:ascii="Century Gothic" w:hAnsi="Century Gothic" w:cs="Arial"/>
          <w:szCs w:val="24"/>
          <w:highlight w:val="green"/>
          <w:lang w:val="es-CO"/>
        </w:rPr>
      </w:pPr>
    </w:p>
    <w:p w:rsidR="00B61B7C" w:rsidRPr="00337086" w:rsidRDefault="00CE1215" w:rsidP="00CE1215">
      <w:pPr>
        <w:spacing w:line="360" w:lineRule="auto"/>
        <w:contextualSpacing/>
        <w:jc w:val="both"/>
        <w:rPr>
          <w:rFonts w:ascii="Century Gothic" w:hAnsi="Century Gothic" w:cs="Tahoma"/>
        </w:rPr>
      </w:pPr>
      <w:r w:rsidRPr="00337086">
        <w:rPr>
          <w:rFonts w:ascii="Century Gothic" w:hAnsi="Century Gothic" w:cs="Tahoma"/>
        </w:rPr>
        <w:t xml:space="preserve">1. </w:t>
      </w:r>
      <w:r w:rsidR="005E5F1B" w:rsidRPr="00337086">
        <w:rPr>
          <w:rFonts w:ascii="Century Gothic" w:hAnsi="Century Gothic" w:cs="Tahoma"/>
        </w:rPr>
        <w:t>Manifestó</w:t>
      </w:r>
      <w:r w:rsidR="00C91A01" w:rsidRPr="00337086">
        <w:rPr>
          <w:rFonts w:ascii="Century Gothic" w:hAnsi="Century Gothic" w:cs="Tahoma"/>
        </w:rPr>
        <w:t xml:space="preserve"> el ac</w:t>
      </w:r>
      <w:r w:rsidR="005E5F1B" w:rsidRPr="00337086">
        <w:rPr>
          <w:rFonts w:ascii="Century Gothic" w:hAnsi="Century Gothic" w:cs="Tahoma"/>
        </w:rPr>
        <w:t>cionante que recibe pensión de vejez, a cargo de Colpensiones</w:t>
      </w:r>
      <w:r w:rsidR="004B77D4" w:rsidRPr="00337086">
        <w:rPr>
          <w:rFonts w:ascii="Century Gothic" w:hAnsi="Century Gothic" w:cs="Tahoma"/>
        </w:rPr>
        <w:t xml:space="preserve"> que, </w:t>
      </w:r>
      <w:r w:rsidR="005E5F1B" w:rsidRPr="00337086">
        <w:rPr>
          <w:rFonts w:ascii="Century Gothic" w:hAnsi="Century Gothic" w:cs="Tahoma"/>
        </w:rPr>
        <w:t>mediante sentencia del 12 de diciembre de 2013, el Juzgado 26 Laboral del Circuito de Bogotá, ordenó reliquidar la pensión del actor conforme lo dispone e</w:t>
      </w:r>
      <w:r w:rsidR="004C7CC1">
        <w:rPr>
          <w:rFonts w:ascii="Century Gothic" w:hAnsi="Century Gothic" w:cs="Tahoma"/>
        </w:rPr>
        <w:t>l</w:t>
      </w:r>
      <w:r w:rsidR="005E5F1B" w:rsidRPr="00337086">
        <w:rPr>
          <w:rFonts w:ascii="Century Gothic" w:hAnsi="Century Gothic" w:cs="Tahoma"/>
        </w:rPr>
        <w:t xml:space="preserve"> Decreto 758 de 1990, </w:t>
      </w:r>
      <w:r w:rsidR="00B61B7C" w:rsidRPr="00337086">
        <w:rPr>
          <w:rFonts w:ascii="Century Gothic" w:hAnsi="Century Gothic" w:cs="Tahoma"/>
        </w:rPr>
        <w:t>decisión que</w:t>
      </w:r>
      <w:r w:rsidR="005E5F1B" w:rsidRPr="00337086">
        <w:rPr>
          <w:rFonts w:ascii="Century Gothic" w:hAnsi="Century Gothic" w:cs="Tahoma"/>
        </w:rPr>
        <w:t xml:space="preserve"> fue confirmada mediante pro</w:t>
      </w:r>
      <w:r w:rsidR="002658F9">
        <w:rPr>
          <w:rFonts w:ascii="Century Gothic" w:hAnsi="Century Gothic" w:cs="Tahoma"/>
        </w:rPr>
        <w:t>videncia del 19 de junio de 2014</w:t>
      </w:r>
      <w:r w:rsidR="005E5F1B" w:rsidRPr="00337086">
        <w:rPr>
          <w:rFonts w:ascii="Century Gothic" w:hAnsi="Century Gothic" w:cs="Tahoma"/>
        </w:rPr>
        <w:t xml:space="preserve"> por el Tribunal Superior de Bogotá. Igualmente, </w:t>
      </w:r>
      <w:r w:rsidR="00B61B7C" w:rsidRPr="00337086">
        <w:rPr>
          <w:rFonts w:ascii="Century Gothic" w:hAnsi="Century Gothic" w:cs="Tahoma"/>
        </w:rPr>
        <w:t xml:space="preserve">indicó que, </w:t>
      </w:r>
      <w:r w:rsidR="005E5F1B" w:rsidRPr="00337086">
        <w:rPr>
          <w:rFonts w:ascii="Century Gothic" w:hAnsi="Century Gothic" w:cs="Tahoma"/>
        </w:rPr>
        <w:t>mediante providencia del 19 de agosto de 2019 la S</w:t>
      </w:r>
      <w:r w:rsidR="00B61B7C" w:rsidRPr="00337086">
        <w:rPr>
          <w:rFonts w:ascii="Century Gothic" w:hAnsi="Century Gothic" w:cs="Tahoma"/>
        </w:rPr>
        <w:t>ala L</w:t>
      </w:r>
      <w:r w:rsidR="005E5F1B" w:rsidRPr="00337086">
        <w:rPr>
          <w:rFonts w:ascii="Century Gothic" w:hAnsi="Century Gothic" w:cs="Tahoma"/>
        </w:rPr>
        <w:t xml:space="preserve">aboral de la Corte Suprema de Justicia decidió el recurso extraordinario de casación que interpuso </w:t>
      </w:r>
      <w:r w:rsidR="00B61B7C" w:rsidRPr="00337086">
        <w:rPr>
          <w:rFonts w:ascii="Century Gothic" w:hAnsi="Century Gothic" w:cs="Tahoma"/>
        </w:rPr>
        <w:t xml:space="preserve">Colpensiones, en la cual </w:t>
      </w:r>
      <w:r w:rsidR="0077413C">
        <w:rPr>
          <w:rFonts w:ascii="Century Gothic" w:hAnsi="Century Gothic" w:cs="Tahoma"/>
        </w:rPr>
        <w:t>resolvió no</w:t>
      </w:r>
      <w:r w:rsidR="007C111F">
        <w:rPr>
          <w:rFonts w:ascii="Century Gothic" w:hAnsi="Century Gothic" w:cs="Tahoma"/>
        </w:rPr>
        <w:t xml:space="preserve"> casar </w:t>
      </w:r>
      <w:r w:rsidR="005E5F1B" w:rsidRPr="00337086">
        <w:rPr>
          <w:rFonts w:ascii="Century Gothic" w:hAnsi="Century Gothic" w:cs="Tahoma"/>
        </w:rPr>
        <w:t xml:space="preserve">la sentencia del Tribunal Superior de Bogotá. </w:t>
      </w:r>
    </w:p>
    <w:p w:rsidR="00B61B7C" w:rsidRPr="00337086" w:rsidRDefault="00B61B7C" w:rsidP="00CE1215">
      <w:pPr>
        <w:spacing w:line="360" w:lineRule="auto"/>
        <w:contextualSpacing/>
        <w:jc w:val="both"/>
        <w:rPr>
          <w:rFonts w:ascii="Century Gothic" w:hAnsi="Century Gothic" w:cs="Tahoma"/>
        </w:rPr>
      </w:pPr>
    </w:p>
    <w:p w:rsidR="00CE1215" w:rsidRPr="00337086" w:rsidRDefault="00806444" w:rsidP="00CE1215">
      <w:pPr>
        <w:spacing w:line="360" w:lineRule="auto"/>
        <w:contextualSpacing/>
        <w:jc w:val="both"/>
        <w:rPr>
          <w:rFonts w:ascii="Century Gothic" w:hAnsi="Century Gothic" w:cs="Tahoma"/>
        </w:rPr>
      </w:pPr>
      <w:r w:rsidRPr="00337086">
        <w:rPr>
          <w:rFonts w:ascii="Century Gothic" w:hAnsi="Century Gothic" w:cs="Tahoma"/>
        </w:rPr>
        <w:t xml:space="preserve">2. </w:t>
      </w:r>
      <w:r w:rsidR="00B61B7C" w:rsidRPr="00337086">
        <w:rPr>
          <w:rFonts w:ascii="Century Gothic" w:hAnsi="Century Gothic" w:cs="Tahoma"/>
        </w:rPr>
        <w:t xml:space="preserve">Por lo anterior, radicó derecho de petición el 7 de noviembre de 2019 ante Colpensiones solicitando el cumplimiento de la sentencia, proferida el 12 de diciembre de 2013 por el Juzgado 26 Laboral del Circuito de Bogotá y confirmada por el Tribunal Superior de Bogotá – Sala Laboral. Sin embargo, </w:t>
      </w:r>
      <w:r w:rsidR="00B61B7C" w:rsidRPr="00337086">
        <w:rPr>
          <w:rFonts w:ascii="Century Gothic" w:hAnsi="Century Gothic" w:cs="Tahoma"/>
        </w:rPr>
        <w:lastRenderedPageBreak/>
        <w:t>manifestó que ha trascurrido más de seis meses y la entidad no ha dado respuesta a su solicitud, razón por la cual, interpone la presente acción, con el fin de que se proteja sus derechos fundamentales y, en consecuencia, se ordene a la entidad</w:t>
      </w:r>
      <w:r w:rsidR="006D1BD7" w:rsidRPr="00337086">
        <w:rPr>
          <w:rFonts w:ascii="Century Gothic" w:hAnsi="Century Gothic" w:cs="Tahoma"/>
        </w:rPr>
        <w:t xml:space="preserve"> contestar el derecho de petición y </w:t>
      </w:r>
      <w:r w:rsidR="00B61B7C" w:rsidRPr="00337086">
        <w:rPr>
          <w:rFonts w:ascii="Century Gothic" w:hAnsi="Century Gothic" w:cs="Tahoma"/>
        </w:rPr>
        <w:t>dar cumplimiento a la sentencia que ordenó a la reliquidación de su pensión de vejez</w:t>
      </w:r>
      <w:r w:rsidR="00CE1215" w:rsidRPr="00337086">
        <w:rPr>
          <w:rStyle w:val="Refdenotaalpie"/>
          <w:rFonts w:ascii="Century Gothic" w:hAnsi="Century Gothic" w:cs="Arial"/>
        </w:rPr>
        <w:footnoteReference w:id="1"/>
      </w:r>
      <w:r w:rsidR="00CE1215" w:rsidRPr="00337086">
        <w:rPr>
          <w:rFonts w:ascii="Century Gothic" w:hAnsi="Century Gothic" w:cs="Tahoma"/>
        </w:rPr>
        <w:t>.</w:t>
      </w:r>
    </w:p>
    <w:p w:rsidR="00CE1215" w:rsidRPr="00337086" w:rsidRDefault="00CE1215" w:rsidP="00CE1215">
      <w:pPr>
        <w:spacing w:line="360" w:lineRule="auto"/>
        <w:contextualSpacing/>
        <w:jc w:val="both"/>
        <w:rPr>
          <w:rFonts w:ascii="Century Gothic" w:hAnsi="Century Gothic" w:cs="Arial"/>
        </w:rPr>
      </w:pPr>
    </w:p>
    <w:p w:rsidR="00CE1215" w:rsidRPr="00337086" w:rsidRDefault="00CE1215" w:rsidP="00CE1215">
      <w:pPr>
        <w:pStyle w:val="Textoindependiente"/>
        <w:tabs>
          <w:tab w:val="left" w:pos="0"/>
          <w:tab w:val="left" w:pos="5474"/>
        </w:tabs>
        <w:spacing w:after="0" w:line="360" w:lineRule="auto"/>
        <w:contextualSpacing/>
        <w:jc w:val="both"/>
        <w:rPr>
          <w:rFonts w:ascii="Century Gothic" w:hAnsi="Century Gothic" w:cs="Arial"/>
          <w:b/>
          <w:szCs w:val="24"/>
          <w:lang w:val="es-CO"/>
        </w:rPr>
      </w:pPr>
      <w:r w:rsidRPr="00337086">
        <w:rPr>
          <w:rFonts w:ascii="Century Gothic" w:hAnsi="Century Gothic" w:cs="Arial"/>
          <w:b/>
          <w:szCs w:val="24"/>
          <w:lang w:val="es-CO"/>
        </w:rPr>
        <w:t>2. Contestación de la accionada</w:t>
      </w:r>
    </w:p>
    <w:p w:rsidR="00CE1215" w:rsidRPr="00337086" w:rsidRDefault="00CE1215" w:rsidP="00CE1215">
      <w:pPr>
        <w:pStyle w:val="Textoindependiente"/>
        <w:tabs>
          <w:tab w:val="left" w:pos="0"/>
          <w:tab w:val="left" w:pos="5474"/>
        </w:tabs>
        <w:spacing w:line="360" w:lineRule="auto"/>
        <w:contextualSpacing/>
        <w:jc w:val="both"/>
        <w:rPr>
          <w:rFonts w:ascii="Century Gothic" w:hAnsi="Century Gothic" w:cs="Arial"/>
          <w:bCs/>
          <w:szCs w:val="24"/>
          <w:lang w:val="es-CO"/>
        </w:rPr>
      </w:pPr>
    </w:p>
    <w:p w:rsidR="00FF0049" w:rsidRPr="00337086" w:rsidRDefault="00806444" w:rsidP="00CE1215">
      <w:pPr>
        <w:pStyle w:val="Textoindependiente"/>
        <w:tabs>
          <w:tab w:val="left" w:pos="0"/>
          <w:tab w:val="left" w:pos="5474"/>
        </w:tabs>
        <w:spacing w:line="360" w:lineRule="auto"/>
        <w:contextualSpacing/>
        <w:jc w:val="both"/>
        <w:rPr>
          <w:rFonts w:ascii="Century Gothic" w:hAnsi="Century Gothic" w:cs="Arial"/>
          <w:bCs/>
          <w:szCs w:val="24"/>
          <w:lang w:val="es-CO"/>
        </w:rPr>
      </w:pPr>
      <w:r w:rsidRPr="00337086">
        <w:rPr>
          <w:rFonts w:ascii="Century Gothic" w:hAnsi="Century Gothic" w:cs="Arial"/>
          <w:bCs/>
          <w:szCs w:val="24"/>
          <w:lang w:val="es-CO"/>
        </w:rPr>
        <w:t>3</w:t>
      </w:r>
      <w:r w:rsidR="00CE1215" w:rsidRPr="00337086">
        <w:rPr>
          <w:rFonts w:ascii="Century Gothic" w:hAnsi="Century Gothic" w:cs="Arial"/>
          <w:bCs/>
          <w:szCs w:val="24"/>
          <w:lang w:val="es-CO"/>
        </w:rPr>
        <w:t xml:space="preserve">. La accionada solicitó declarar improcedente la tutela, pues </w:t>
      </w:r>
      <w:r w:rsidR="00FF0049" w:rsidRPr="00337086">
        <w:rPr>
          <w:rFonts w:ascii="Century Gothic" w:hAnsi="Century Gothic" w:cs="Arial"/>
          <w:bCs/>
          <w:szCs w:val="24"/>
          <w:lang w:val="es-CO"/>
        </w:rPr>
        <w:t>indicó que el accionante cuenta con otros mecanismos judiciales para ejecutar la sentencia que ordenó la reliquidación pensional. Adicionalmente, manifestó que las entidades públicas cuentas con un término de 10 meses (art 307 C.G</w:t>
      </w:r>
      <w:r w:rsidR="00AC3B07">
        <w:rPr>
          <w:rFonts w:ascii="Century Gothic" w:hAnsi="Century Gothic" w:cs="Arial"/>
          <w:bCs/>
          <w:szCs w:val="24"/>
          <w:lang w:val="es-CO"/>
        </w:rPr>
        <w:t>.</w:t>
      </w:r>
      <w:r w:rsidR="00FF0049" w:rsidRPr="00337086">
        <w:rPr>
          <w:rFonts w:ascii="Century Gothic" w:hAnsi="Century Gothic" w:cs="Arial"/>
          <w:bCs/>
          <w:szCs w:val="24"/>
          <w:lang w:val="es-CO"/>
        </w:rPr>
        <w:t>P), para dar cumplimiento a las sentencias judici</w:t>
      </w:r>
      <w:r w:rsidR="003D283C">
        <w:rPr>
          <w:rFonts w:ascii="Century Gothic" w:hAnsi="Century Gothic" w:cs="Arial"/>
          <w:bCs/>
          <w:szCs w:val="24"/>
          <w:lang w:val="es-CO"/>
        </w:rPr>
        <w:t>ales, lo anterior, en razón a lo</w:t>
      </w:r>
      <w:r w:rsidR="00FF0049" w:rsidRPr="00337086">
        <w:rPr>
          <w:rFonts w:ascii="Century Gothic" w:hAnsi="Century Gothic" w:cs="Arial"/>
          <w:bCs/>
          <w:szCs w:val="24"/>
          <w:lang w:val="es-CO"/>
        </w:rPr>
        <w:t xml:space="preserve">s procedimientos presupuestales y contables que debe realizar las entidades públicas. </w:t>
      </w:r>
    </w:p>
    <w:p w:rsidR="00FF0049" w:rsidRPr="00337086" w:rsidRDefault="00FF0049" w:rsidP="00CE1215">
      <w:pPr>
        <w:pStyle w:val="Textoindependiente"/>
        <w:tabs>
          <w:tab w:val="left" w:pos="0"/>
          <w:tab w:val="left" w:pos="5474"/>
        </w:tabs>
        <w:spacing w:line="360" w:lineRule="auto"/>
        <w:contextualSpacing/>
        <w:jc w:val="both"/>
        <w:rPr>
          <w:rFonts w:ascii="Century Gothic" w:hAnsi="Century Gothic" w:cs="Arial"/>
          <w:bCs/>
          <w:szCs w:val="24"/>
          <w:lang w:val="es-CO"/>
        </w:rPr>
      </w:pPr>
    </w:p>
    <w:p w:rsidR="001A011E" w:rsidRPr="00337086" w:rsidRDefault="00806444" w:rsidP="00CE1215">
      <w:pPr>
        <w:pStyle w:val="Textoindependiente"/>
        <w:tabs>
          <w:tab w:val="left" w:pos="0"/>
          <w:tab w:val="left" w:pos="5474"/>
        </w:tabs>
        <w:spacing w:line="360" w:lineRule="auto"/>
        <w:contextualSpacing/>
        <w:jc w:val="both"/>
        <w:rPr>
          <w:rFonts w:ascii="Century Gothic" w:hAnsi="Century Gothic" w:cs="Arial"/>
          <w:bCs/>
          <w:szCs w:val="24"/>
          <w:lang w:val="es-CO"/>
        </w:rPr>
      </w:pPr>
      <w:r w:rsidRPr="00337086">
        <w:rPr>
          <w:rFonts w:ascii="Century Gothic" w:hAnsi="Century Gothic" w:cs="Arial"/>
          <w:bCs/>
          <w:szCs w:val="24"/>
          <w:lang w:val="es-CO"/>
        </w:rPr>
        <w:t xml:space="preserve">4. </w:t>
      </w:r>
      <w:r w:rsidR="00FF0049" w:rsidRPr="00337086">
        <w:rPr>
          <w:rFonts w:ascii="Century Gothic" w:hAnsi="Century Gothic" w:cs="Arial"/>
          <w:bCs/>
          <w:szCs w:val="24"/>
          <w:lang w:val="es-CO"/>
        </w:rPr>
        <w:t xml:space="preserve">Ahora, agregó </w:t>
      </w:r>
      <w:proofErr w:type="gramStart"/>
      <w:r w:rsidR="001A011E" w:rsidRPr="00337086">
        <w:rPr>
          <w:rFonts w:ascii="Century Gothic" w:hAnsi="Century Gothic" w:cs="Arial"/>
          <w:bCs/>
          <w:szCs w:val="24"/>
          <w:lang w:val="es-CO"/>
        </w:rPr>
        <w:t>que</w:t>
      </w:r>
      <w:proofErr w:type="gramEnd"/>
      <w:r w:rsidR="00FF0049" w:rsidRPr="00337086">
        <w:rPr>
          <w:rFonts w:ascii="Century Gothic" w:hAnsi="Century Gothic" w:cs="Arial"/>
          <w:bCs/>
          <w:szCs w:val="24"/>
          <w:lang w:val="es-CO"/>
        </w:rPr>
        <w:t xml:space="preserve"> en el presente caso</w:t>
      </w:r>
      <w:r w:rsidR="001A011E" w:rsidRPr="00337086">
        <w:rPr>
          <w:rFonts w:ascii="Century Gothic" w:hAnsi="Century Gothic" w:cs="Arial"/>
          <w:bCs/>
          <w:szCs w:val="24"/>
          <w:lang w:val="es-CO"/>
        </w:rPr>
        <w:t xml:space="preserve">, la sentencia ordinaria proferida por la Corte Suprema de Justicia </w:t>
      </w:r>
      <w:r w:rsidR="00F00DDE">
        <w:rPr>
          <w:rFonts w:ascii="Century Gothic" w:hAnsi="Century Gothic" w:cs="Arial"/>
          <w:bCs/>
          <w:szCs w:val="24"/>
          <w:lang w:val="es-CO"/>
        </w:rPr>
        <w:t>en</w:t>
      </w:r>
      <w:r w:rsidR="001A011E" w:rsidRPr="00337086">
        <w:rPr>
          <w:rFonts w:ascii="Century Gothic" w:hAnsi="Century Gothic" w:cs="Arial"/>
          <w:bCs/>
          <w:szCs w:val="24"/>
          <w:lang w:val="es-CO"/>
        </w:rPr>
        <w:t xml:space="preserve"> agosto de 2019, quedó ejecutoriada el día 05 de septiembre de 2019, por lo que, no ha trascurrido el término de los 10 meses que contempla el sistema normativo. </w:t>
      </w:r>
    </w:p>
    <w:p w:rsidR="00FF0049" w:rsidRPr="00337086" w:rsidRDefault="00FF0049" w:rsidP="00CE1215">
      <w:pPr>
        <w:pStyle w:val="Textoindependiente"/>
        <w:tabs>
          <w:tab w:val="left" w:pos="0"/>
          <w:tab w:val="left" w:pos="5474"/>
        </w:tabs>
        <w:spacing w:line="360" w:lineRule="auto"/>
        <w:contextualSpacing/>
        <w:jc w:val="both"/>
        <w:rPr>
          <w:rFonts w:ascii="Century Gothic" w:hAnsi="Century Gothic" w:cs="Arial"/>
          <w:bCs/>
          <w:szCs w:val="24"/>
          <w:lang w:val="es-CO"/>
        </w:rPr>
      </w:pPr>
    </w:p>
    <w:p w:rsidR="00CE1215" w:rsidRPr="00337086" w:rsidRDefault="00CE1215" w:rsidP="00CE1215">
      <w:pPr>
        <w:pStyle w:val="Textoindependiente"/>
        <w:tabs>
          <w:tab w:val="left" w:pos="5474"/>
        </w:tabs>
        <w:spacing w:after="0" w:line="360" w:lineRule="auto"/>
        <w:contextualSpacing/>
        <w:jc w:val="both"/>
        <w:rPr>
          <w:rFonts w:ascii="Century Gothic" w:hAnsi="Century Gothic" w:cs="Arial"/>
          <w:b/>
          <w:szCs w:val="24"/>
          <w:lang w:val="es-CO"/>
        </w:rPr>
      </w:pPr>
      <w:r w:rsidRPr="00337086">
        <w:rPr>
          <w:rFonts w:ascii="Century Gothic" w:hAnsi="Century Gothic" w:cs="Arial"/>
          <w:b/>
          <w:szCs w:val="24"/>
          <w:lang w:val="es-CO"/>
        </w:rPr>
        <w:t>3. Pruebas</w:t>
      </w:r>
    </w:p>
    <w:p w:rsidR="00CE1215" w:rsidRPr="00337086" w:rsidRDefault="00CE1215" w:rsidP="00CE1215">
      <w:pPr>
        <w:pStyle w:val="Textoindependiente"/>
        <w:tabs>
          <w:tab w:val="left" w:pos="5474"/>
        </w:tabs>
        <w:spacing w:after="0" w:line="360" w:lineRule="auto"/>
        <w:contextualSpacing/>
        <w:jc w:val="both"/>
        <w:rPr>
          <w:rFonts w:ascii="Century Gothic" w:hAnsi="Century Gothic" w:cs="Arial"/>
          <w:b/>
          <w:szCs w:val="24"/>
          <w:highlight w:val="green"/>
          <w:lang w:val="es-CO"/>
        </w:rPr>
      </w:pPr>
    </w:p>
    <w:p w:rsidR="00622CA6" w:rsidRPr="00337086" w:rsidRDefault="00622CA6" w:rsidP="00622CA6">
      <w:pPr>
        <w:pStyle w:val="Prrafodelista"/>
        <w:numPr>
          <w:ilvl w:val="0"/>
          <w:numId w:val="2"/>
        </w:numPr>
        <w:spacing w:line="360" w:lineRule="auto"/>
        <w:jc w:val="both"/>
        <w:rPr>
          <w:rFonts w:ascii="Century Gothic" w:hAnsi="Century Gothic" w:cs="Arial"/>
        </w:rPr>
      </w:pPr>
      <w:r w:rsidRPr="00337086">
        <w:rPr>
          <w:rFonts w:ascii="Century Gothic" w:hAnsi="Century Gothic" w:cs="Arial"/>
        </w:rPr>
        <w:t xml:space="preserve">Poder especial otorgado </w:t>
      </w:r>
      <w:r w:rsidR="00E701CF" w:rsidRPr="00337086">
        <w:rPr>
          <w:rFonts w:ascii="Century Gothic" w:hAnsi="Century Gothic" w:cs="Arial"/>
        </w:rPr>
        <w:t xml:space="preserve">por el accionante </w:t>
      </w:r>
      <w:r w:rsidRPr="00337086">
        <w:rPr>
          <w:rFonts w:ascii="Century Gothic" w:hAnsi="Century Gothic" w:cs="Arial"/>
        </w:rPr>
        <w:t xml:space="preserve">al abogado Nixon Alejandro </w:t>
      </w:r>
      <w:r w:rsidRPr="00337086">
        <w:rPr>
          <w:rFonts w:cs="Arial"/>
        </w:rPr>
        <w:t>‎</w:t>
      </w:r>
      <w:r w:rsidRPr="00337086">
        <w:rPr>
          <w:rFonts w:ascii="Century Gothic" w:hAnsi="Century Gothic" w:cs="Arial"/>
        </w:rPr>
        <w:t>Navarrete Garzón</w:t>
      </w:r>
      <w:r w:rsidR="00E701CF" w:rsidRPr="00337086">
        <w:rPr>
          <w:rFonts w:ascii="Century Gothic" w:hAnsi="Century Gothic" w:cs="Arial"/>
        </w:rPr>
        <w:t xml:space="preserve"> para iniciar acción de tutela. </w:t>
      </w:r>
    </w:p>
    <w:p w:rsidR="00E701CF" w:rsidRPr="00337086" w:rsidRDefault="00E701CF" w:rsidP="00622CA6">
      <w:pPr>
        <w:pStyle w:val="Prrafodelista"/>
        <w:numPr>
          <w:ilvl w:val="0"/>
          <w:numId w:val="2"/>
        </w:numPr>
        <w:spacing w:line="360" w:lineRule="auto"/>
        <w:jc w:val="both"/>
        <w:rPr>
          <w:rFonts w:ascii="Century Gothic" w:hAnsi="Century Gothic" w:cs="Arial"/>
        </w:rPr>
      </w:pPr>
      <w:r w:rsidRPr="00337086">
        <w:rPr>
          <w:rFonts w:ascii="Century Gothic" w:hAnsi="Century Gothic" w:cs="Arial"/>
        </w:rPr>
        <w:lastRenderedPageBreak/>
        <w:t xml:space="preserve">Copia del derecho de petición radicado el 7 de noviembre de 2019 por el actor ante Colpensiones. </w:t>
      </w:r>
    </w:p>
    <w:p w:rsidR="00CE1215" w:rsidRPr="00337086" w:rsidRDefault="00CE1215" w:rsidP="00CE1215">
      <w:pPr>
        <w:spacing w:line="360" w:lineRule="auto"/>
        <w:jc w:val="both"/>
        <w:rPr>
          <w:rFonts w:ascii="Century Gothic" w:hAnsi="Century Gothic" w:cs="Arial"/>
        </w:rPr>
      </w:pPr>
    </w:p>
    <w:p w:rsidR="00CE1215" w:rsidRPr="00337086" w:rsidRDefault="00CE1215" w:rsidP="00CE1215">
      <w:pPr>
        <w:tabs>
          <w:tab w:val="left" w:pos="5474"/>
        </w:tabs>
        <w:spacing w:line="360" w:lineRule="auto"/>
        <w:contextualSpacing/>
        <w:jc w:val="center"/>
        <w:rPr>
          <w:rFonts w:ascii="Century Gothic" w:hAnsi="Century Gothic" w:cs="Arial"/>
        </w:rPr>
      </w:pPr>
      <w:r w:rsidRPr="00337086">
        <w:rPr>
          <w:rFonts w:ascii="Century Gothic" w:hAnsi="Century Gothic" w:cs="Arial"/>
          <w:b/>
        </w:rPr>
        <w:t>II. CONSIDERACIONES</w:t>
      </w:r>
    </w:p>
    <w:p w:rsidR="00CE1215" w:rsidRPr="00337086" w:rsidRDefault="00CE1215" w:rsidP="00CE1215">
      <w:pPr>
        <w:pStyle w:val="Sangra2detindependiente"/>
        <w:widowControl/>
        <w:tabs>
          <w:tab w:val="left" w:pos="5474"/>
        </w:tabs>
        <w:spacing w:line="360" w:lineRule="auto"/>
        <w:ind w:firstLine="0"/>
        <w:contextualSpacing/>
        <w:rPr>
          <w:rFonts w:ascii="Century Gothic" w:hAnsi="Century Gothic" w:cs="Arial"/>
          <w:b/>
          <w:szCs w:val="24"/>
          <w:lang w:val="es-CO"/>
        </w:rPr>
      </w:pPr>
    </w:p>
    <w:p w:rsidR="00CE1215" w:rsidRPr="00337086" w:rsidRDefault="00CE1215" w:rsidP="00CE1215">
      <w:pPr>
        <w:pStyle w:val="Sangra2detindependiente"/>
        <w:widowControl/>
        <w:tabs>
          <w:tab w:val="left" w:pos="5474"/>
        </w:tabs>
        <w:spacing w:line="360" w:lineRule="auto"/>
        <w:ind w:firstLine="0"/>
        <w:contextualSpacing/>
        <w:rPr>
          <w:rFonts w:ascii="Century Gothic" w:hAnsi="Century Gothic" w:cs="Arial"/>
          <w:b/>
          <w:szCs w:val="24"/>
          <w:lang w:val="es-CO"/>
        </w:rPr>
      </w:pPr>
      <w:r w:rsidRPr="00337086">
        <w:rPr>
          <w:rFonts w:ascii="Century Gothic" w:hAnsi="Century Gothic" w:cs="Arial"/>
          <w:b/>
          <w:szCs w:val="24"/>
          <w:lang w:val="es-CO"/>
        </w:rPr>
        <w:t>4. Competencia</w:t>
      </w:r>
    </w:p>
    <w:p w:rsidR="00CE1215" w:rsidRPr="00337086" w:rsidRDefault="00CE1215" w:rsidP="00CE1215">
      <w:pPr>
        <w:pStyle w:val="Sangra2detindependiente"/>
        <w:widowControl/>
        <w:spacing w:line="360" w:lineRule="auto"/>
        <w:ind w:firstLine="0"/>
        <w:contextualSpacing/>
        <w:rPr>
          <w:rFonts w:ascii="Century Gothic" w:eastAsia="Calibri" w:hAnsi="Century Gothic" w:cs="Arial"/>
          <w:szCs w:val="24"/>
          <w:lang w:val="es-CO"/>
        </w:rPr>
      </w:pPr>
    </w:p>
    <w:p w:rsidR="00CE1215" w:rsidRPr="00337086" w:rsidRDefault="00806444" w:rsidP="00CE1215">
      <w:pPr>
        <w:pStyle w:val="Sangra2detindependiente"/>
        <w:widowControl/>
        <w:spacing w:line="360" w:lineRule="auto"/>
        <w:ind w:firstLine="0"/>
        <w:contextualSpacing/>
        <w:rPr>
          <w:rFonts w:ascii="Century Gothic" w:eastAsia="Calibri" w:hAnsi="Century Gothic" w:cs="Arial"/>
          <w:szCs w:val="24"/>
          <w:lang w:val="es-CO"/>
        </w:rPr>
      </w:pPr>
      <w:r w:rsidRPr="00337086">
        <w:rPr>
          <w:rFonts w:ascii="Century Gothic" w:eastAsia="Calibri" w:hAnsi="Century Gothic" w:cs="Arial"/>
          <w:szCs w:val="24"/>
          <w:lang w:val="es-CO"/>
        </w:rPr>
        <w:t>5</w:t>
      </w:r>
      <w:r w:rsidR="00CE1215" w:rsidRPr="00337086">
        <w:rPr>
          <w:rFonts w:ascii="Century Gothic" w:eastAsia="Calibri" w:hAnsi="Century Gothic" w:cs="Arial"/>
          <w:szCs w:val="24"/>
          <w:lang w:val="es-CO"/>
        </w:rPr>
        <w:t>. De conformidad con lo dispuesto en el artículo 86 de la Constitución Política, en el articulado general y, en particular, en los Artículos 1°, 5° y 8° del Decreto – Ley 2591 de 1991 “</w:t>
      </w:r>
      <w:r w:rsidR="00CE1215" w:rsidRPr="00E614E2">
        <w:rPr>
          <w:rFonts w:ascii="Century Gothic" w:eastAsia="Calibri" w:hAnsi="Century Gothic" w:cs="Arial"/>
          <w:i/>
          <w:sz w:val="22"/>
          <w:szCs w:val="24"/>
          <w:lang w:val="es-CO"/>
        </w:rPr>
        <w:t>Por el cual se reglamenta la acción de tutela consagrada en el artículo 86 de la Constitución Política”,</w:t>
      </w:r>
      <w:r w:rsidR="00CE1215" w:rsidRPr="00337086">
        <w:rPr>
          <w:rFonts w:ascii="Century Gothic" w:eastAsia="Calibri" w:hAnsi="Century Gothic" w:cs="Arial"/>
          <w:szCs w:val="24"/>
          <w:lang w:val="es-CO"/>
        </w:rPr>
        <w:t xml:space="preserve"> la acción de tutela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rsidR="00CE1215" w:rsidRPr="00337086" w:rsidRDefault="00CE1215" w:rsidP="00CE1215">
      <w:pPr>
        <w:pStyle w:val="Sangra2detindependiente"/>
        <w:widowControl/>
        <w:spacing w:line="360" w:lineRule="auto"/>
        <w:ind w:firstLine="0"/>
        <w:contextualSpacing/>
        <w:rPr>
          <w:rFonts w:ascii="Century Gothic" w:eastAsia="Calibri" w:hAnsi="Century Gothic" w:cs="Arial"/>
          <w:szCs w:val="24"/>
          <w:lang w:val="es-CO"/>
        </w:rPr>
      </w:pPr>
    </w:p>
    <w:p w:rsidR="007E0D61" w:rsidRPr="00337086" w:rsidRDefault="00806444" w:rsidP="007E0D61">
      <w:pPr>
        <w:spacing w:line="360" w:lineRule="auto"/>
        <w:jc w:val="both"/>
        <w:rPr>
          <w:rFonts w:ascii="Century Gothic" w:eastAsia="Calibri" w:hAnsi="Century Gothic" w:cs="Arial"/>
        </w:rPr>
      </w:pPr>
      <w:r w:rsidRPr="00337086">
        <w:rPr>
          <w:rFonts w:ascii="Century Gothic" w:hAnsi="Century Gothic" w:cs="Arial"/>
        </w:rPr>
        <w:t>6</w:t>
      </w:r>
      <w:r w:rsidR="00CE1215" w:rsidRPr="00337086">
        <w:rPr>
          <w:rFonts w:ascii="Century Gothic" w:hAnsi="Century Gothic" w:cs="Arial"/>
        </w:rPr>
        <w:t xml:space="preserve">. </w:t>
      </w:r>
      <w:r w:rsidR="002B6A7F">
        <w:rPr>
          <w:rFonts w:ascii="Century Gothic" w:eastAsia="Calibri" w:hAnsi="Century Gothic" w:cs="Arial"/>
        </w:rPr>
        <w:t>E</w:t>
      </w:r>
      <w:r w:rsidR="007E0D61" w:rsidRPr="00337086">
        <w:rPr>
          <w:rFonts w:ascii="Century Gothic" w:eastAsia="Calibri" w:hAnsi="Century Gothic" w:cs="Arial"/>
        </w:rPr>
        <w:t xml:space="preserve">l Despacho </w:t>
      </w:r>
      <w:r w:rsidR="002B6A7F">
        <w:rPr>
          <w:rFonts w:ascii="Century Gothic" w:eastAsia="Calibri" w:hAnsi="Century Gothic" w:cs="Arial"/>
        </w:rPr>
        <w:t>o</w:t>
      </w:r>
      <w:r w:rsidR="002B6A7F" w:rsidRPr="00337086">
        <w:rPr>
          <w:rFonts w:ascii="Century Gothic" w:eastAsia="Calibri" w:hAnsi="Century Gothic" w:cs="Arial"/>
        </w:rPr>
        <w:t xml:space="preserve">bserva </w:t>
      </w:r>
      <w:r w:rsidR="007E0D61" w:rsidRPr="00337086">
        <w:rPr>
          <w:rFonts w:ascii="Century Gothic" w:eastAsia="Calibri" w:hAnsi="Century Gothic" w:cs="Arial"/>
        </w:rPr>
        <w:t>que en el presente caso la acción de tutela es procedente en virtud de lo dispuesto en el artículo 1</w:t>
      </w:r>
      <w:r w:rsidR="00F873C4">
        <w:rPr>
          <w:rFonts w:ascii="Century Gothic" w:eastAsia="Calibri" w:hAnsi="Century Gothic" w:cs="Arial"/>
        </w:rPr>
        <w:t xml:space="preserve">0 y 37 de Decreto 2591 de 1991, </w:t>
      </w:r>
      <w:r w:rsidR="007E0D61" w:rsidRPr="00337086">
        <w:rPr>
          <w:rFonts w:ascii="Century Gothic" w:eastAsia="Calibri" w:hAnsi="Century Gothic" w:cs="Arial"/>
        </w:rPr>
        <w:t>teniendo en cuenta que quien instaura la acción es el apoderado del directamente afectado, es decir, está legitimada en la causa para actuar en la presente acción.</w:t>
      </w:r>
    </w:p>
    <w:p w:rsidR="00CE1215" w:rsidRPr="00337086" w:rsidRDefault="00CE1215" w:rsidP="00CE1215">
      <w:pPr>
        <w:pStyle w:val="Sangra2detindependiente"/>
        <w:widowControl/>
        <w:spacing w:line="360" w:lineRule="auto"/>
        <w:ind w:firstLine="0"/>
        <w:contextualSpacing/>
        <w:rPr>
          <w:rFonts w:ascii="Century Gothic" w:hAnsi="Century Gothic" w:cs="Arial"/>
          <w:b/>
          <w:szCs w:val="24"/>
          <w:lang w:val="es-CO"/>
        </w:rPr>
      </w:pPr>
    </w:p>
    <w:p w:rsidR="00CE1215" w:rsidRPr="00337086" w:rsidRDefault="00CE1215" w:rsidP="00CE1215">
      <w:pPr>
        <w:tabs>
          <w:tab w:val="left" w:pos="0"/>
          <w:tab w:val="left" w:pos="284"/>
          <w:tab w:val="left" w:pos="426"/>
        </w:tabs>
        <w:spacing w:line="360" w:lineRule="auto"/>
        <w:contextualSpacing/>
        <w:jc w:val="both"/>
        <w:rPr>
          <w:rFonts w:ascii="Century Gothic" w:eastAsia="Calibri" w:hAnsi="Century Gothic" w:cs="Arial"/>
          <w:b/>
        </w:rPr>
      </w:pPr>
      <w:r w:rsidRPr="00337086">
        <w:rPr>
          <w:rFonts w:ascii="Century Gothic" w:eastAsia="Calibri" w:hAnsi="Century Gothic" w:cs="Arial"/>
          <w:b/>
        </w:rPr>
        <w:t xml:space="preserve">5. Asunto a resolver </w:t>
      </w:r>
    </w:p>
    <w:p w:rsidR="00486552" w:rsidRPr="00337086" w:rsidRDefault="00486552" w:rsidP="00486552">
      <w:pPr>
        <w:tabs>
          <w:tab w:val="left" w:pos="0"/>
          <w:tab w:val="left" w:pos="284"/>
          <w:tab w:val="left" w:pos="426"/>
        </w:tabs>
        <w:spacing w:line="360" w:lineRule="auto"/>
        <w:jc w:val="both"/>
        <w:rPr>
          <w:rFonts w:ascii="Century Gothic" w:eastAsia="Calibri" w:hAnsi="Century Gothic" w:cs="Arial"/>
        </w:rPr>
      </w:pPr>
    </w:p>
    <w:p w:rsidR="00FC608C" w:rsidRPr="00337086" w:rsidRDefault="00806444" w:rsidP="00486552">
      <w:pPr>
        <w:tabs>
          <w:tab w:val="left" w:pos="0"/>
          <w:tab w:val="left" w:pos="284"/>
          <w:tab w:val="left" w:pos="426"/>
        </w:tabs>
        <w:spacing w:line="360" w:lineRule="auto"/>
        <w:jc w:val="both"/>
        <w:rPr>
          <w:rFonts w:ascii="Century Gothic" w:eastAsia="Calibri" w:hAnsi="Century Gothic" w:cs="Arial"/>
        </w:rPr>
      </w:pPr>
      <w:r w:rsidRPr="00337086">
        <w:rPr>
          <w:rFonts w:ascii="Century Gothic" w:eastAsia="Calibri" w:hAnsi="Century Gothic" w:cs="Arial"/>
        </w:rPr>
        <w:t xml:space="preserve">7. </w:t>
      </w:r>
      <w:r w:rsidR="00486552" w:rsidRPr="00337086">
        <w:rPr>
          <w:rFonts w:ascii="Century Gothic" w:eastAsia="Calibri" w:hAnsi="Century Gothic" w:cs="Arial"/>
        </w:rPr>
        <w:t xml:space="preserve">El despacho debe establecer si Colpensiones </w:t>
      </w:r>
      <w:r w:rsidR="00FC608C" w:rsidRPr="00337086">
        <w:rPr>
          <w:rFonts w:ascii="Century Gothic" w:eastAsia="Calibri" w:hAnsi="Century Gothic" w:cs="Arial"/>
        </w:rPr>
        <w:t xml:space="preserve">vulneró los </w:t>
      </w:r>
      <w:r w:rsidR="00486552" w:rsidRPr="00337086">
        <w:rPr>
          <w:rFonts w:ascii="Century Gothic" w:eastAsia="Calibri" w:hAnsi="Century Gothic" w:cs="Arial"/>
        </w:rPr>
        <w:t>derecho</w:t>
      </w:r>
      <w:r w:rsidR="00FC608C" w:rsidRPr="00337086">
        <w:rPr>
          <w:rFonts w:ascii="Century Gothic" w:eastAsia="Calibri" w:hAnsi="Century Gothic" w:cs="Arial"/>
        </w:rPr>
        <w:t>s</w:t>
      </w:r>
      <w:r w:rsidR="00486552" w:rsidRPr="00337086">
        <w:rPr>
          <w:rFonts w:ascii="Century Gothic" w:eastAsia="Calibri" w:hAnsi="Century Gothic" w:cs="Arial"/>
        </w:rPr>
        <w:t xml:space="preserve"> fundamental</w:t>
      </w:r>
      <w:r w:rsidR="00FC608C" w:rsidRPr="00337086">
        <w:rPr>
          <w:rFonts w:ascii="Century Gothic" w:eastAsia="Calibri" w:hAnsi="Century Gothic" w:cs="Arial"/>
        </w:rPr>
        <w:t>es de accionante al no dar respuesta a la petición radicada el 7 de noviembre de 2019, por medio del cual solicita se dé cumplimento a la sentencia proferida por el 12 de diciembre de 2013</w:t>
      </w:r>
      <w:r w:rsidR="00C24126">
        <w:rPr>
          <w:rFonts w:ascii="Century Gothic" w:eastAsia="Calibri" w:hAnsi="Century Gothic" w:cs="Arial"/>
        </w:rPr>
        <w:t>,</w:t>
      </w:r>
      <w:r w:rsidR="00FC608C" w:rsidRPr="00337086">
        <w:rPr>
          <w:rFonts w:ascii="Century Gothic" w:eastAsia="Calibri" w:hAnsi="Century Gothic" w:cs="Arial"/>
        </w:rPr>
        <w:t xml:space="preserve"> por el Juzgado 26 </w:t>
      </w:r>
      <w:r w:rsidR="00C24126">
        <w:rPr>
          <w:rFonts w:ascii="Century Gothic" w:eastAsia="Calibri" w:hAnsi="Century Gothic" w:cs="Arial"/>
        </w:rPr>
        <w:t xml:space="preserve">Laboral del Circuito de Bogotá y su confirmatoria. </w:t>
      </w:r>
    </w:p>
    <w:p w:rsidR="00486552" w:rsidRPr="00337086" w:rsidRDefault="00486552" w:rsidP="00486552">
      <w:pPr>
        <w:pStyle w:val="Sangra2detindependiente"/>
        <w:widowControl/>
        <w:spacing w:line="360" w:lineRule="auto"/>
        <w:ind w:firstLine="0"/>
        <w:rPr>
          <w:rFonts w:ascii="Century Gothic" w:hAnsi="Century Gothic" w:cs="Arial"/>
          <w:b/>
          <w:szCs w:val="24"/>
          <w:lang w:val="es-CO"/>
        </w:rPr>
      </w:pPr>
    </w:p>
    <w:p w:rsidR="00486552" w:rsidRPr="00337086" w:rsidRDefault="00486552" w:rsidP="00486552">
      <w:pPr>
        <w:pStyle w:val="Sangra2detindependiente"/>
        <w:widowControl/>
        <w:spacing w:line="360" w:lineRule="auto"/>
        <w:ind w:firstLine="0"/>
        <w:rPr>
          <w:rFonts w:ascii="Century Gothic" w:hAnsi="Century Gothic" w:cs="Arial"/>
          <w:b/>
          <w:szCs w:val="24"/>
          <w:lang w:val="es-CO"/>
        </w:rPr>
      </w:pPr>
      <w:r w:rsidRPr="00337086">
        <w:rPr>
          <w:rFonts w:ascii="Century Gothic" w:hAnsi="Century Gothic" w:cs="Arial"/>
          <w:b/>
          <w:szCs w:val="24"/>
          <w:lang w:val="es-CO"/>
        </w:rPr>
        <w:t>7. Derecho de Petición</w:t>
      </w:r>
    </w:p>
    <w:p w:rsidR="00486552" w:rsidRPr="00337086" w:rsidRDefault="00486552" w:rsidP="00486552">
      <w:pPr>
        <w:pStyle w:val="Sangra2detindependiente"/>
        <w:widowControl/>
        <w:spacing w:line="360" w:lineRule="auto"/>
        <w:ind w:firstLine="0"/>
        <w:rPr>
          <w:rFonts w:ascii="Century Gothic" w:hAnsi="Century Gothic" w:cs="Arial"/>
          <w:b/>
          <w:szCs w:val="24"/>
          <w:lang w:val="es-CO"/>
        </w:rPr>
      </w:pPr>
    </w:p>
    <w:p w:rsidR="00486552" w:rsidRPr="00E614E2" w:rsidRDefault="00486552" w:rsidP="00486552">
      <w:pPr>
        <w:pStyle w:val="Sangra2detindependiente"/>
        <w:widowControl/>
        <w:spacing w:line="360" w:lineRule="auto"/>
        <w:ind w:firstLine="0"/>
        <w:rPr>
          <w:rFonts w:ascii="Century Gothic" w:hAnsi="Century Gothic" w:cs="Arial"/>
          <w:i/>
          <w:sz w:val="22"/>
          <w:szCs w:val="24"/>
          <w:lang w:val="es-CO"/>
        </w:rPr>
      </w:pPr>
      <w:r w:rsidRPr="00337086">
        <w:rPr>
          <w:rFonts w:ascii="Century Gothic" w:hAnsi="Century Gothic" w:cs="Arial"/>
          <w:szCs w:val="24"/>
          <w:lang w:val="es-CO"/>
        </w:rPr>
        <w:t xml:space="preserve">8. El artículo 23 de la Constitución Política consagra </w:t>
      </w:r>
      <w:r w:rsidRPr="00E614E2">
        <w:rPr>
          <w:rFonts w:ascii="Century Gothic" w:hAnsi="Century Gothic" w:cs="Arial"/>
          <w:i/>
          <w:sz w:val="22"/>
          <w:szCs w:val="24"/>
          <w:lang w:val="es-CO"/>
        </w:rPr>
        <w:t xml:space="preserve">“Toda persona tiene derecho a presentar peticiones respetuosas a las autoridades por motivos de </w:t>
      </w:r>
      <w:r w:rsidRPr="00E614E2">
        <w:rPr>
          <w:rFonts w:ascii="Century Gothic" w:hAnsi="Century Gothic" w:cs="Arial"/>
          <w:i/>
          <w:sz w:val="22"/>
          <w:szCs w:val="24"/>
          <w:lang w:val="es-CO"/>
        </w:rPr>
        <w:lastRenderedPageBreak/>
        <w:t>interés general o particular y a obtener pronta resolución. El legislador podrá reglamentar su ejercicio ante organizaciones privadas para garantizar los derechos fundamentales.</w:t>
      </w:r>
      <w:r w:rsidRPr="00E614E2">
        <w:rPr>
          <w:rFonts w:ascii="Century Gothic" w:hAnsi="Century Gothic" w:cs="Arial"/>
          <w:i/>
          <w:szCs w:val="24"/>
          <w:lang w:val="es-CO"/>
        </w:rPr>
        <w:t>”</w:t>
      </w:r>
    </w:p>
    <w:p w:rsidR="00486552" w:rsidRPr="00337086" w:rsidRDefault="00486552" w:rsidP="00486552">
      <w:pPr>
        <w:pStyle w:val="Sangra2detindependiente"/>
        <w:widowControl/>
        <w:spacing w:line="360" w:lineRule="auto"/>
        <w:ind w:firstLine="0"/>
        <w:rPr>
          <w:rFonts w:ascii="Century Gothic" w:hAnsi="Century Gothic" w:cs="Arial"/>
          <w:b/>
          <w:szCs w:val="24"/>
          <w:lang w:val="es-CO"/>
        </w:rPr>
      </w:pPr>
    </w:p>
    <w:p w:rsidR="00486552" w:rsidRPr="00337086" w:rsidRDefault="00486552" w:rsidP="00486552">
      <w:pPr>
        <w:pStyle w:val="Sangradetextonormal"/>
        <w:spacing w:line="360" w:lineRule="auto"/>
        <w:ind w:left="0"/>
        <w:rPr>
          <w:rFonts w:ascii="Century Gothic" w:hAnsi="Century Gothic" w:cs="Arial"/>
          <w:szCs w:val="24"/>
          <w:lang w:val="es-CO"/>
        </w:rPr>
      </w:pPr>
      <w:r w:rsidRPr="00337086">
        <w:rPr>
          <w:rFonts w:ascii="Century Gothic" w:hAnsi="Century Gothic" w:cs="Arial"/>
          <w:szCs w:val="24"/>
          <w:lang w:val="es-CO"/>
        </w:rPr>
        <w:t>9. 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337086">
        <w:rPr>
          <w:rStyle w:val="Refdenotaalpie"/>
          <w:rFonts w:ascii="Century Gothic" w:hAnsi="Century Gothic" w:cs="Arial"/>
          <w:szCs w:val="24"/>
          <w:lang w:val="es-CO"/>
        </w:rPr>
        <w:footnoteReference w:id="2"/>
      </w:r>
      <w:r w:rsidRPr="00337086">
        <w:rPr>
          <w:rFonts w:ascii="Century Gothic" w:hAnsi="Century Gothic" w:cs="Arial"/>
          <w:szCs w:val="24"/>
          <w:lang w:val="es-CO"/>
        </w:rPr>
        <w:t>, estableciendo las reglas básicas que rigen el derecho de petición:</w:t>
      </w:r>
    </w:p>
    <w:p w:rsidR="00486552" w:rsidRPr="00337086" w:rsidRDefault="00486552" w:rsidP="00486552">
      <w:pPr>
        <w:pStyle w:val="Sangradetextonormal"/>
        <w:spacing w:line="360" w:lineRule="auto"/>
        <w:ind w:left="0"/>
        <w:rPr>
          <w:rFonts w:ascii="Century Gothic" w:hAnsi="Century Gothic" w:cs="Arial"/>
          <w:szCs w:val="24"/>
          <w:lang w:val="es-CO"/>
        </w:rPr>
      </w:pPr>
    </w:p>
    <w:p w:rsidR="00486552" w:rsidRPr="00337086" w:rsidRDefault="00486552" w:rsidP="00486552">
      <w:pPr>
        <w:pStyle w:val="Sangradetextonormal"/>
        <w:spacing w:line="360" w:lineRule="auto"/>
        <w:ind w:left="0"/>
        <w:rPr>
          <w:rFonts w:ascii="Century Gothic" w:hAnsi="Century Gothic" w:cs="Arial"/>
          <w:szCs w:val="24"/>
          <w:lang w:val="es-CO"/>
        </w:rPr>
      </w:pPr>
      <w:r w:rsidRPr="00337086">
        <w:rPr>
          <w:rFonts w:ascii="Century Gothic" w:hAnsi="Century Gothic" w:cs="Arial"/>
          <w:szCs w:val="24"/>
          <w:lang w:val="es-CO"/>
        </w:rPr>
        <w:t xml:space="preserve">10. El derecho de petición es fundamental y determinante para la efectividad de los mecanismos de la democracia participativa. El núcleo esencial del derecho de petición reside en la resolución pronta y oportuna de la cuestión. La respuesta debe cumplir con estos requisitos: i) Debe ser oportuna, ii) Debe resolverse de fondo, clara, precisa y de manera congruente con lo solicitado y, iii) </w:t>
      </w:r>
      <w:r w:rsidRPr="00337086">
        <w:rPr>
          <w:rFonts w:ascii="Century Gothic" w:hAnsi="Century Gothic" w:cs="Arial"/>
          <w:szCs w:val="24"/>
          <w:u w:val="single"/>
          <w:lang w:val="es-CO"/>
        </w:rPr>
        <w:t>debe ser puesta en conocimiento del peticionario</w:t>
      </w:r>
      <w:r w:rsidRPr="00337086">
        <w:rPr>
          <w:rFonts w:ascii="Century Gothic" w:hAnsi="Century Gothic" w:cs="Arial"/>
          <w:szCs w:val="24"/>
          <w:lang w:val="es-CO"/>
        </w:rPr>
        <w:t>. Si no cumple con estos requisitos se incurre en una violación al derecho constitucional fundamental de petición.</w:t>
      </w:r>
    </w:p>
    <w:p w:rsidR="00486552" w:rsidRPr="00337086" w:rsidRDefault="00486552" w:rsidP="00486552">
      <w:pPr>
        <w:pStyle w:val="Sangradetextonormal"/>
        <w:spacing w:line="360" w:lineRule="auto"/>
        <w:ind w:left="0"/>
        <w:rPr>
          <w:rFonts w:ascii="Century Gothic" w:hAnsi="Century Gothic" w:cs="Arial"/>
          <w:szCs w:val="24"/>
          <w:lang w:val="es-CO"/>
        </w:rPr>
      </w:pPr>
    </w:p>
    <w:p w:rsidR="00486552" w:rsidRPr="00337086" w:rsidRDefault="00486552" w:rsidP="00486552">
      <w:pPr>
        <w:pStyle w:val="Sangradetextonormal"/>
        <w:spacing w:line="360" w:lineRule="auto"/>
        <w:ind w:left="0"/>
        <w:rPr>
          <w:rFonts w:ascii="Century Gothic" w:hAnsi="Century Gothic" w:cs="Arial"/>
          <w:szCs w:val="24"/>
          <w:lang w:val="es-CO"/>
        </w:rPr>
      </w:pPr>
      <w:r w:rsidRPr="00337086">
        <w:rPr>
          <w:rFonts w:ascii="Century Gothic" w:hAnsi="Century Gothic" w:cs="Arial"/>
          <w:szCs w:val="24"/>
          <w:lang w:val="es-CO"/>
        </w:rPr>
        <w:t>11. La respuesta no implica la aceptación de lo solicitado ni tampoco se concreta siempre en una respuesta escrita. 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w:t>
      </w:r>
      <w:r w:rsidR="00226533">
        <w:rPr>
          <w:rFonts w:ascii="Century Gothic" w:hAnsi="Century Gothic" w:cs="Arial"/>
          <w:szCs w:val="24"/>
          <w:lang w:val="es-CO"/>
        </w:rPr>
        <w:t>é</w:t>
      </w:r>
      <w:r w:rsidRPr="00337086">
        <w:rPr>
          <w:rFonts w:ascii="Century Gothic" w:hAnsi="Century Gothic" w:cs="Arial"/>
          <w:szCs w:val="24"/>
          <w:lang w:val="es-CO"/>
        </w:rPr>
        <w:t>rmino</w:t>
      </w:r>
      <w:r w:rsidR="00226533">
        <w:rPr>
          <w:rFonts w:ascii="Century Gothic" w:hAnsi="Century Gothic" w:cs="Arial"/>
          <w:szCs w:val="24"/>
          <w:lang w:val="es-CO"/>
        </w:rPr>
        <w:t>s</w:t>
      </w:r>
      <w:r w:rsidRPr="00337086">
        <w:rPr>
          <w:rFonts w:ascii="Century Gothic" w:hAnsi="Century Gothic" w:cs="Arial"/>
          <w:szCs w:val="24"/>
          <w:lang w:val="es-CO"/>
        </w:rPr>
        <w:t xml:space="preserve"> para resolver</w:t>
      </w:r>
      <w:r w:rsidRPr="00337086">
        <w:rPr>
          <w:rStyle w:val="Refdenotaalpie"/>
          <w:rFonts w:ascii="Century Gothic" w:hAnsi="Century Gothic" w:cs="Arial"/>
          <w:szCs w:val="24"/>
          <w:lang w:val="es-CO"/>
        </w:rPr>
        <w:footnoteReference w:id="3"/>
      </w:r>
      <w:r w:rsidRPr="00337086">
        <w:rPr>
          <w:rFonts w:ascii="Century Gothic" w:hAnsi="Century Gothic" w:cs="Arial"/>
          <w:szCs w:val="24"/>
          <w:lang w:val="es-CO"/>
        </w:rPr>
        <w:t xml:space="preserve">. </w:t>
      </w:r>
    </w:p>
    <w:p w:rsidR="00486552" w:rsidRPr="00337086" w:rsidRDefault="00486552" w:rsidP="00486552">
      <w:pPr>
        <w:pStyle w:val="Sangradetextonormal"/>
        <w:spacing w:line="360" w:lineRule="auto"/>
        <w:ind w:left="0"/>
        <w:rPr>
          <w:rFonts w:ascii="Century Gothic" w:hAnsi="Century Gothic" w:cs="Arial"/>
          <w:szCs w:val="24"/>
          <w:lang w:val="es-CO"/>
        </w:rPr>
      </w:pPr>
    </w:p>
    <w:p w:rsidR="00486552" w:rsidRPr="00337086" w:rsidRDefault="00486552" w:rsidP="00486552">
      <w:pPr>
        <w:spacing w:line="360" w:lineRule="auto"/>
        <w:jc w:val="both"/>
        <w:rPr>
          <w:rFonts w:ascii="Century Gothic" w:hAnsi="Century Gothic" w:cs="Arial"/>
        </w:rPr>
      </w:pPr>
      <w:r w:rsidRPr="00337086">
        <w:rPr>
          <w:rFonts w:ascii="Century Gothic" w:hAnsi="Century Gothic" w:cs="Arial"/>
        </w:rPr>
        <w:t>12. 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 Pronta resolución quiere decir que la autoridad está obligada a contestar la solicitud de manera oportuna, aunque el sentido de la decisión dependerá de las circunstancias de cada caso en particular.</w:t>
      </w:r>
    </w:p>
    <w:p w:rsidR="00486552" w:rsidRPr="00337086" w:rsidRDefault="00486552" w:rsidP="00486552">
      <w:pPr>
        <w:spacing w:line="360" w:lineRule="auto"/>
        <w:jc w:val="both"/>
        <w:rPr>
          <w:rFonts w:ascii="Century Gothic" w:hAnsi="Century Gothic" w:cs="Arial"/>
        </w:rPr>
      </w:pPr>
    </w:p>
    <w:p w:rsidR="00486552" w:rsidRPr="00337086" w:rsidRDefault="00486552" w:rsidP="00486552">
      <w:pPr>
        <w:spacing w:line="360" w:lineRule="auto"/>
        <w:jc w:val="both"/>
        <w:rPr>
          <w:rFonts w:ascii="Century Gothic" w:hAnsi="Century Gothic" w:cs="Arial"/>
        </w:rPr>
      </w:pPr>
      <w:r w:rsidRPr="00337086">
        <w:rPr>
          <w:rFonts w:ascii="Century Gothic" w:hAnsi="Century Gothic" w:cs="Arial"/>
        </w:rPr>
        <w:t>13. Transcurridos los términos que la ley contempla sin que se reciba respuesta alguna de la administración, el derecho de petición resulta vulnerado por cuanto se desconoce el mandato constitucional de la prontitud en la contestación oficial al peticionario</w:t>
      </w:r>
      <w:r w:rsidRPr="00337086">
        <w:rPr>
          <w:rStyle w:val="Refdenotaalpie"/>
          <w:rFonts w:ascii="Century Gothic" w:hAnsi="Century Gothic" w:cs="Arial"/>
        </w:rPr>
        <w:footnoteReference w:id="4"/>
      </w:r>
      <w:r w:rsidRPr="00337086">
        <w:rPr>
          <w:rFonts w:ascii="Century Gothic" w:hAnsi="Century Gothic" w:cs="Arial"/>
        </w:rPr>
        <w:t>.</w:t>
      </w:r>
    </w:p>
    <w:p w:rsidR="00486552" w:rsidRPr="00337086" w:rsidRDefault="00486552" w:rsidP="00486552">
      <w:pPr>
        <w:spacing w:line="360" w:lineRule="auto"/>
        <w:jc w:val="both"/>
        <w:rPr>
          <w:rFonts w:ascii="Century Gothic" w:hAnsi="Century Gothic" w:cs="Arial"/>
          <w:b/>
        </w:rPr>
      </w:pPr>
    </w:p>
    <w:p w:rsidR="00486552" w:rsidRPr="00337086" w:rsidRDefault="00486552" w:rsidP="00486552">
      <w:pPr>
        <w:spacing w:line="360" w:lineRule="auto"/>
        <w:jc w:val="both"/>
        <w:rPr>
          <w:rFonts w:ascii="Century Gothic" w:hAnsi="Century Gothic" w:cs="Arial"/>
          <w:b/>
        </w:rPr>
      </w:pPr>
      <w:r w:rsidRPr="00337086">
        <w:rPr>
          <w:rFonts w:ascii="Century Gothic" w:hAnsi="Century Gothic" w:cs="Arial"/>
          <w:b/>
        </w:rPr>
        <w:t>8. Caso en concreto</w:t>
      </w:r>
    </w:p>
    <w:p w:rsidR="00486552" w:rsidRPr="00337086" w:rsidRDefault="00486552" w:rsidP="00486552">
      <w:pPr>
        <w:spacing w:line="360" w:lineRule="auto"/>
        <w:jc w:val="both"/>
        <w:rPr>
          <w:rFonts w:ascii="Century Gothic" w:hAnsi="Century Gothic" w:cs="Arial"/>
          <w:sz w:val="18"/>
        </w:rPr>
      </w:pPr>
    </w:p>
    <w:p w:rsidR="00FC608C" w:rsidRPr="00337086" w:rsidRDefault="00486552" w:rsidP="00FC608C">
      <w:pPr>
        <w:spacing w:line="360" w:lineRule="auto"/>
        <w:jc w:val="both"/>
        <w:rPr>
          <w:rFonts w:ascii="Century Gothic" w:hAnsi="Century Gothic" w:cs="Arial"/>
        </w:rPr>
      </w:pPr>
      <w:r w:rsidRPr="00337086">
        <w:rPr>
          <w:rFonts w:ascii="Century Gothic" w:hAnsi="Century Gothic" w:cs="Arial"/>
        </w:rPr>
        <w:t xml:space="preserve">14. De los documentos aportados consta que </w:t>
      </w:r>
      <w:r w:rsidR="005D184E" w:rsidRPr="00337086">
        <w:rPr>
          <w:rFonts w:ascii="Century Gothic" w:hAnsi="Century Gothic" w:cs="Arial"/>
        </w:rPr>
        <w:t xml:space="preserve">el señor </w:t>
      </w:r>
      <w:r w:rsidR="00FC608C" w:rsidRPr="00337086">
        <w:rPr>
          <w:rFonts w:ascii="Century Gothic" w:hAnsi="Century Gothic" w:cs="Arial"/>
        </w:rPr>
        <w:t>Jairo Rendón Valdés presentó petición ante Colpensiones</w:t>
      </w:r>
      <w:r w:rsidR="002C68C6">
        <w:rPr>
          <w:rFonts w:ascii="Century Gothic" w:hAnsi="Century Gothic" w:cs="Arial"/>
        </w:rPr>
        <w:t xml:space="preserve"> el 7 de noviembre de 2019, </w:t>
      </w:r>
      <w:r w:rsidR="005D184E" w:rsidRPr="00337086">
        <w:rPr>
          <w:rFonts w:ascii="Century Gothic" w:hAnsi="Century Gothic" w:cs="Arial"/>
        </w:rPr>
        <w:t xml:space="preserve">bajo </w:t>
      </w:r>
      <w:r w:rsidR="00FC608C" w:rsidRPr="00337086">
        <w:rPr>
          <w:rFonts w:ascii="Century Gothic" w:hAnsi="Century Gothic" w:cs="Arial"/>
        </w:rPr>
        <w:t>el radicado N° 2019_14988454, a través de</w:t>
      </w:r>
      <w:r w:rsidR="005D184E" w:rsidRPr="00337086">
        <w:rPr>
          <w:rFonts w:ascii="Century Gothic" w:hAnsi="Century Gothic" w:cs="Arial"/>
        </w:rPr>
        <w:t>l</w:t>
      </w:r>
      <w:r w:rsidR="00596B27" w:rsidRPr="00337086">
        <w:rPr>
          <w:rFonts w:ascii="Century Gothic" w:hAnsi="Century Gothic" w:cs="Arial"/>
        </w:rPr>
        <w:t xml:space="preserve"> cual solicitó cumplimiento de </w:t>
      </w:r>
      <w:r w:rsidR="00FC608C" w:rsidRPr="00337086">
        <w:rPr>
          <w:rFonts w:ascii="Century Gothic" w:hAnsi="Century Gothic" w:cs="Arial"/>
        </w:rPr>
        <w:t>la sentencia proferida por el Juzgado 26 Labo</w:t>
      </w:r>
      <w:r w:rsidR="00831F98" w:rsidRPr="00337086">
        <w:rPr>
          <w:rFonts w:ascii="Century Gothic" w:hAnsi="Century Gothic" w:cs="Arial"/>
        </w:rPr>
        <w:t xml:space="preserve">ral del Circuito de Bogotá </w:t>
      </w:r>
      <w:r w:rsidR="00B57D02" w:rsidRPr="00337086">
        <w:rPr>
          <w:rFonts w:ascii="Century Gothic" w:hAnsi="Century Gothic" w:cs="Arial"/>
        </w:rPr>
        <w:t>el</w:t>
      </w:r>
      <w:r w:rsidR="00831F98" w:rsidRPr="00337086">
        <w:rPr>
          <w:rFonts w:ascii="Century Gothic" w:hAnsi="Century Gothic" w:cs="Arial"/>
        </w:rPr>
        <w:t xml:space="preserve"> 1</w:t>
      </w:r>
      <w:r w:rsidR="00FC608C" w:rsidRPr="00337086">
        <w:rPr>
          <w:rFonts w:ascii="Century Gothic" w:hAnsi="Century Gothic" w:cs="Arial"/>
        </w:rPr>
        <w:t xml:space="preserve">2 de diciembre de 2013, confirmada por el Tribunal Superior de Bogotá – Sala Laboral </w:t>
      </w:r>
      <w:r w:rsidR="00831F98" w:rsidRPr="00337086">
        <w:rPr>
          <w:rFonts w:ascii="Century Gothic" w:hAnsi="Century Gothic" w:cs="Arial"/>
        </w:rPr>
        <w:t xml:space="preserve">mediante </w:t>
      </w:r>
      <w:r w:rsidR="00FC608C" w:rsidRPr="00337086">
        <w:rPr>
          <w:rFonts w:ascii="Century Gothic" w:hAnsi="Century Gothic" w:cs="Arial"/>
        </w:rPr>
        <w:t>providencia del 19 de junio de 2014.</w:t>
      </w:r>
      <w:r w:rsidR="005D184E" w:rsidRPr="00337086">
        <w:rPr>
          <w:rFonts w:ascii="Century Gothic" w:hAnsi="Century Gothic" w:cs="Arial"/>
        </w:rPr>
        <w:t xml:space="preserve"> </w:t>
      </w:r>
    </w:p>
    <w:p w:rsidR="00767813" w:rsidRPr="00337086" w:rsidRDefault="00767813" w:rsidP="00486552">
      <w:pPr>
        <w:spacing w:line="360" w:lineRule="auto"/>
        <w:jc w:val="both"/>
        <w:rPr>
          <w:rFonts w:ascii="Century Gothic" w:hAnsi="Century Gothic" w:cs="Arial"/>
        </w:rPr>
      </w:pPr>
    </w:p>
    <w:p w:rsidR="00767813" w:rsidRPr="00337086" w:rsidRDefault="00806444" w:rsidP="00486552">
      <w:pPr>
        <w:spacing w:line="360" w:lineRule="auto"/>
        <w:jc w:val="both"/>
        <w:rPr>
          <w:rFonts w:ascii="Century Gothic" w:hAnsi="Century Gothic" w:cs="Arial"/>
        </w:rPr>
      </w:pPr>
      <w:r w:rsidRPr="00337086">
        <w:rPr>
          <w:rFonts w:ascii="Century Gothic" w:hAnsi="Century Gothic" w:cs="Arial"/>
        </w:rPr>
        <w:t xml:space="preserve">15. </w:t>
      </w:r>
      <w:r w:rsidR="00DF13CB" w:rsidRPr="00337086">
        <w:rPr>
          <w:rFonts w:ascii="Century Gothic" w:hAnsi="Century Gothic" w:cs="Arial"/>
        </w:rPr>
        <w:t>Notificado el accionado</w:t>
      </w:r>
      <w:r w:rsidR="00B57D02" w:rsidRPr="00337086">
        <w:rPr>
          <w:rFonts w:ascii="Century Gothic" w:hAnsi="Century Gothic" w:cs="Arial"/>
        </w:rPr>
        <w:t xml:space="preserve"> de la presente acción</w:t>
      </w:r>
      <w:r w:rsidR="00DF13CB" w:rsidRPr="00337086">
        <w:rPr>
          <w:rFonts w:ascii="Century Gothic" w:hAnsi="Century Gothic" w:cs="Arial"/>
        </w:rPr>
        <w:t xml:space="preserve">, </w:t>
      </w:r>
      <w:r w:rsidR="00831F98" w:rsidRPr="00337086">
        <w:rPr>
          <w:rFonts w:ascii="Century Gothic" w:hAnsi="Century Gothic" w:cs="Arial"/>
        </w:rPr>
        <w:t xml:space="preserve">este </w:t>
      </w:r>
      <w:r w:rsidR="00DF13CB" w:rsidRPr="00337086">
        <w:rPr>
          <w:rFonts w:ascii="Century Gothic" w:hAnsi="Century Gothic" w:cs="Arial"/>
        </w:rPr>
        <w:t xml:space="preserve">no demostró que </w:t>
      </w:r>
      <w:r w:rsidR="00516E3F">
        <w:rPr>
          <w:rFonts w:ascii="Century Gothic" w:hAnsi="Century Gothic" w:cs="Arial"/>
        </w:rPr>
        <w:t xml:space="preserve">dio </w:t>
      </w:r>
      <w:r w:rsidR="00DF13CB" w:rsidRPr="00337086">
        <w:rPr>
          <w:rFonts w:ascii="Century Gothic" w:hAnsi="Century Gothic" w:cs="Arial"/>
        </w:rPr>
        <w:t xml:space="preserve">respuesta a la solicitud del </w:t>
      </w:r>
      <w:r w:rsidR="00831F98" w:rsidRPr="00337086">
        <w:rPr>
          <w:rFonts w:ascii="Century Gothic" w:hAnsi="Century Gothic" w:cs="Arial"/>
        </w:rPr>
        <w:t>actor</w:t>
      </w:r>
      <w:r w:rsidR="00516E3F">
        <w:rPr>
          <w:rFonts w:ascii="Century Gothic" w:hAnsi="Century Gothic" w:cs="Arial"/>
        </w:rPr>
        <w:t>. S</w:t>
      </w:r>
      <w:r w:rsidR="00831F98" w:rsidRPr="00337086">
        <w:rPr>
          <w:rFonts w:ascii="Century Gothic" w:hAnsi="Century Gothic" w:cs="Arial"/>
        </w:rPr>
        <w:t>in</w:t>
      </w:r>
      <w:r w:rsidR="00DF13CB" w:rsidRPr="00337086">
        <w:rPr>
          <w:rFonts w:ascii="Century Gothic" w:hAnsi="Century Gothic" w:cs="Arial"/>
        </w:rPr>
        <w:t xml:space="preserve"> embargo,</w:t>
      </w:r>
      <w:r w:rsidR="00D12F7C" w:rsidRPr="00337086">
        <w:rPr>
          <w:rFonts w:ascii="Century Gothic" w:hAnsi="Century Gothic" w:cs="Arial"/>
        </w:rPr>
        <w:t xml:space="preserve"> indicó que a la fecha no ha vencido </w:t>
      </w:r>
      <w:r w:rsidR="00DF13CB" w:rsidRPr="00337086">
        <w:rPr>
          <w:rFonts w:ascii="Century Gothic" w:hAnsi="Century Gothic" w:cs="Arial"/>
        </w:rPr>
        <w:t xml:space="preserve">el término que tiene la entidad para dar cumplimiento a las </w:t>
      </w:r>
      <w:r w:rsidR="00DF13CB" w:rsidRPr="00337086">
        <w:rPr>
          <w:rFonts w:ascii="Century Gothic" w:hAnsi="Century Gothic" w:cs="Arial"/>
        </w:rPr>
        <w:lastRenderedPageBreak/>
        <w:t xml:space="preserve">sentencias </w:t>
      </w:r>
      <w:r w:rsidR="00831F98" w:rsidRPr="00337086">
        <w:rPr>
          <w:rFonts w:ascii="Century Gothic" w:hAnsi="Century Gothic" w:cs="Arial"/>
        </w:rPr>
        <w:t>judiciales, de conformidad con el artículo 307 del C.G.P.</w:t>
      </w:r>
      <w:r w:rsidR="00DF13CB" w:rsidRPr="00337086">
        <w:rPr>
          <w:rFonts w:ascii="Century Gothic" w:hAnsi="Century Gothic" w:cs="Arial"/>
        </w:rPr>
        <w:t xml:space="preserve"> Al respecto, cabe mencionar l</w:t>
      </w:r>
      <w:r w:rsidR="008F1889" w:rsidRPr="00337086">
        <w:rPr>
          <w:rFonts w:ascii="Century Gothic" w:hAnsi="Century Gothic" w:cs="Arial"/>
        </w:rPr>
        <w:t xml:space="preserve">o dispuesto, sobre este asunto, por la Corte Constitucional en sentencia T-048 de 2019, donde indicó: </w:t>
      </w:r>
    </w:p>
    <w:p w:rsidR="00B724A1" w:rsidRPr="00337086" w:rsidRDefault="00B724A1" w:rsidP="00B724A1">
      <w:pPr>
        <w:ind w:left="708"/>
        <w:jc w:val="both"/>
        <w:rPr>
          <w:rFonts w:ascii="Century Gothic" w:hAnsi="Century Gothic" w:cs="Arial"/>
          <w:sz w:val="22"/>
        </w:rPr>
      </w:pPr>
    </w:p>
    <w:p w:rsidR="00B724A1" w:rsidRPr="00337086" w:rsidRDefault="00B724A1" w:rsidP="00B724A1">
      <w:pPr>
        <w:ind w:left="708"/>
        <w:jc w:val="both"/>
        <w:rPr>
          <w:rFonts w:ascii="Century Gothic" w:hAnsi="Century Gothic" w:cs="Arial"/>
        </w:rPr>
      </w:pPr>
      <w:r w:rsidRPr="00337086">
        <w:rPr>
          <w:rFonts w:ascii="Century Gothic" w:hAnsi="Century Gothic" w:cs="Arial"/>
          <w:sz w:val="22"/>
        </w:rPr>
        <w:t xml:space="preserve">“En el caso concreto, el término de 10 meses previsto en el artículo 307 del Código General del proceso e invocado por Colpensiones, es irrazonable, pues no era aplicable para el efectivo cumplimiento de la orden proferida por los jueces ordinarios laborales para el debido reconocimiento y pago de la pensión de vejez del señor Eduardo González Madera. </w:t>
      </w:r>
      <w:r w:rsidRPr="00337086">
        <w:rPr>
          <w:rFonts w:ascii="Century Gothic" w:hAnsi="Century Gothic" w:cs="Arial"/>
          <w:b/>
          <w:sz w:val="22"/>
        </w:rPr>
        <w:t>Lo anterior, comoquiera que dicha norma, se encuentra dirigida a la Nación o a las entidades territoriales y no a otro tipo de autoridades administrativas, como Colpensiones que es una empresa industrial y comercial del Estado del orden nacional</w:t>
      </w:r>
      <w:r w:rsidRPr="00337086">
        <w:rPr>
          <w:rFonts w:ascii="Century Gothic" w:hAnsi="Century Gothic" w:cs="Arial"/>
          <w:sz w:val="22"/>
        </w:rPr>
        <w:t xml:space="preserve"> (artículo 1º del Decreto 4121 de 2011), con autonomía </w:t>
      </w:r>
      <w:r w:rsidRPr="00337086">
        <w:rPr>
          <w:rFonts w:ascii="Century Gothic" w:hAnsi="Century Gothic" w:cs="Arial"/>
          <w:b/>
          <w:sz w:val="22"/>
        </w:rPr>
        <w:t>administrativa, personería jurídica y patrimonio independiente</w:t>
      </w:r>
      <w:r w:rsidRPr="00337086">
        <w:rPr>
          <w:rFonts w:ascii="Century Gothic" w:hAnsi="Century Gothic" w:cs="Arial"/>
          <w:sz w:val="22"/>
        </w:rPr>
        <w:t>.”</w:t>
      </w:r>
    </w:p>
    <w:p w:rsidR="00B724A1" w:rsidRPr="00337086" w:rsidRDefault="00B724A1" w:rsidP="00486552">
      <w:pPr>
        <w:spacing w:line="360" w:lineRule="auto"/>
        <w:jc w:val="both"/>
        <w:rPr>
          <w:rFonts w:ascii="Century Gothic" w:hAnsi="Century Gothic" w:cs="Arial"/>
        </w:rPr>
      </w:pPr>
    </w:p>
    <w:p w:rsidR="008F1889" w:rsidRPr="00337086" w:rsidRDefault="0031245A" w:rsidP="0031245A">
      <w:pPr>
        <w:ind w:left="708"/>
        <w:jc w:val="both"/>
        <w:rPr>
          <w:rFonts w:ascii="Century Gothic" w:hAnsi="Century Gothic" w:cs="Arial"/>
          <w:sz w:val="22"/>
        </w:rPr>
      </w:pPr>
      <w:r w:rsidRPr="00337086">
        <w:rPr>
          <w:rFonts w:ascii="Century Gothic" w:hAnsi="Century Gothic" w:cs="Arial"/>
          <w:sz w:val="22"/>
        </w:rPr>
        <w:t>(…) la Sala constata que Colpensiones vulneró los derechos fundamentales del actor, al dilatar el reconocimiento y pago oportuno de la pensión vejez bajo el argumento de que el artículo 307 del Código General del Proceso dispone un plazo de diez (10) meses para el cumplimiento de condenas en contra de la Nación. En contraste</w:t>
      </w:r>
      <w:r w:rsidRPr="00337086">
        <w:rPr>
          <w:rFonts w:ascii="Century Gothic" w:hAnsi="Century Gothic" w:cs="Arial"/>
          <w:b/>
          <w:sz w:val="22"/>
        </w:rPr>
        <w:t>, la Sala evidenció que dicha norma no es aplicable en el caso pues está dirigida al cumplimiento de condenas en contra de la Nación y de las Entidades Territoriales</w:t>
      </w:r>
      <w:r w:rsidRPr="00337086">
        <w:rPr>
          <w:rFonts w:ascii="Century Gothic" w:hAnsi="Century Gothic" w:cs="Arial"/>
          <w:sz w:val="22"/>
        </w:rPr>
        <w:t>. En el caso de Colpensiones la orden emitida por los jueces del proceso ordinario laboral debía cumplirse de manera oportuna</w:t>
      </w:r>
      <w:r w:rsidRPr="00337086">
        <w:rPr>
          <w:rFonts w:ascii="Century Gothic" w:hAnsi="Century Gothic" w:cs="Arial"/>
          <w:b/>
          <w:sz w:val="22"/>
        </w:rPr>
        <w:t>.</w:t>
      </w:r>
      <w:r w:rsidRPr="00337086">
        <w:rPr>
          <w:rFonts w:ascii="Century Gothic" w:hAnsi="Century Gothic" w:cs="Arial"/>
          <w:sz w:val="22"/>
        </w:rPr>
        <w:t>”</w:t>
      </w:r>
      <w:r w:rsidR="00831F98" w:rsidRPr="00337086">
        <w:rPr>
          <w:rFonts w:ascii="Century Gothic" w:hAnsi="Century Gothic" w:cs="Arial"/>
          <w:sz w:val="22"/>
        </w:rPr>
        <w:t xml:space="preserve"> (negrilla fuera de texto)</w:t>
      </w:r>
    </w:p>
    <w:p w:rsidR="00767813" w:rsidRPr="00337086" w:rsidRDefault="00767813" w:rsidP="00486552">
      <w:pPr>
        <w:spacing w:line="360" w:lineRule="auto"/>
        <w:jc w:val="both"/>
        <w:rPr>
          <w:rFonts w:ascii="Century Gothic" w:hAnsi="Century Gothic" w:cs="Arial"/>
        </w:rPr>
      </w:pPr>
    </w:p>
    <w:p w:rsidR="00DF13CB" w:rsidRPr="00337086" w:rsidRDefault="00806444" w:rsidP="00DF13CB">
      <w:pPr>
        <w:spacing w:line="360" w:lineRule="auto"/>
        <w:jc w:val="both"/>
        <w:rPr>
          <w:rFonts w:ascii="Century Gothic" w:hAnsi="Century Gothic" w:cs="Arial"/>
        </w:rPr>
      </w:pPr>
      <w:r w:rsidRPr="00337086">
        <w:rPr>
          <w:rFonts w:ascii="Century Gothic" w:hAnsi="Century Gothic" w:cs="Arial"/>
        </w:rPr>
        <w:t xml:space="preserve">16. </w:t>
      </w:r>
      <w:r w:rsidR="00831F98" w:rsidRPr="00337086">
        <w:rPr>
          <w:rFonts w:ascii="Century Gothic" w:hAnsi="Century Gothic" w:cs="Arial"/>
        </w:rPr>
        <w:t>En la parte resolutiva de esa misma providencia, la</w:t>
      </w:r>
      <w:r w:rsidR="0031245A" w:rsidRPr="00337086">
        <w:rPr>
          <w:rFonts w:ascii="Century Gothic" w:hAnsi="Century Gothic" w:cs="Arial"/>
        </w:rPr>
        <w:t xml:space="preserve"> Corte Constitucional advierte a Colpensiones que se abstenga de dilatar el reconocimie</w:t>
      </w:r>
      <w:r w:rsidR="00831F98" w:rsidRPr="00337086">
        <w:rPr>
          <w:rFonts w:ascii="Century Gothic" w:hAnsi="Century Gothic" w:cs="Arial"/>
        </w:rPr>
        <w:t>nto de prestaciones pensionales</w:t>
      </w:r>
      <w:r w:rsidR="0031245A" w:rsidRPr="00337086">
        <w:rPr>
          <w:rFonts w:ascii="Century Gothic" w:hAnsi="Century Gothic" w:cs="Arial"/>
        </w:rPr>
        <w:t xml:space="preserve"> co</w:t>
      </w:r>
      <w:r w:rsidR="00E2562B" w:rsidRPr="00337086">
        <w:rPr>
          <w:rFonts w:ascii="Century Gothic" w:hAnsi="Century Gothic" w:cs="Arial"/>
        </w:rPr>
        <w:t>n</w:t>
      </w:r>
      <w:r w:rsidR="0031245A" w:rsidRPr="00337086">
        <w:rPr>
          <w:rFonts w:ascii="Century Gothic" w:hAnsi="Century Gothic" w:cs="Arial"/>
        </w:rPr>
        <w:t xml:space="preserve"> base en el término establecido en el artículo 307 del C.G.P. </w:t>
      </w:r>
      <w:r w:rsidR="00516E3F">
        <w:rPr>
          <w:rFonts w:ascii="Century Gothic" w:hAnsi="Century Gothic" w:cs="Arial"/>
        </w:rPr>
        <w:t xml:space="preserve"> Así, este d</w:t>
      </w:r>
      <w:r w:rsidR="00DF13CB" w:rsidRPr="00337086">
        <w:rPr>
          <w:rFonts w:ascii="Century Gothic" w:hAnsi="Century Gothic" w:cs="Arial"/>
        </w:rPr>
        <w:t>espacho no comparte los argumentos del accionado, pues</w:t>
      </w:r>
      <w:r w:rsidR="00831F98" w:rsidRPr="00337086">
        <w:rPr>
          <w:rFonts w:ascii="Century Gothic" w:hAnsi="Century Gothic" w:cs="Arial"/>
        </w:rPr>
        <w:t>,</w:t>
      </w:r>
      <w:r w:rsidR="00DF13CB" w:rsidRPr="00337086">
        <w:rPr>
          <w:rFonts w:ascii="Century Gothic" w:hAnsi="Century Gothic" w:cs="Arial"/>
        </w:rPr>
        <w:t xml:space="preserve"> como lo indicó la Corte Constitucional</w:t>
      </w:r>
      <w:r w:rsidR="00831F98" w:rsidRPr="00337086">
        <w:rPr>
          <w:rFonts w:ascii="Century Gothic" w:hAnsi="Century Gothic" w:cs="Arial"/>
        </w:rPr>
        <w:t>,</w:t>
      </w:r>
      <w:r w:rsidR="00DF13CB" w:rsidRPr="00337086">
        <w:rPr>
          <w:rFonts w:ascii="Century Gothic" w:hAnsi="Century Gothic" w:cs="Arial"/>
        </w:rPr>
        <w:t xml:space="preserve"> los términos establecido</w:t>
      </w:r>
      <w:r w:rsidR="00831F98" w:rsidRPr="00337086">
        <w:rPr>
          <w:rFonts w:ascii="Century Gothic" w:hAnsi="Century Gothic" w:cs="Arial"/>
        </w:rPr>
        <w:t>s</w:t>
      </w:r>
      <w:r w:rsidR="00DF13CB" w:rsidRPr="00337086">
        <w:rPr>
          <w:rFonts w:ascii="Century Gothic" w:hAnsi="Century Gothic" w:cs="Arial"/>
        </w:rPr>
        <w:t xml:space="preserve"> e</w:t>
      </w:r>
      <w:r w:rsidR="00831F98" w:rsidRPr="00337086">
        <w:rPr>
          <w:rFonts w:ascii="Century Gothic" w:hAnsi="Century Gothic" w:cs="Arial"/>
        </w:rPr>
        <w:t xml:space="preserve">n el artículo 307 del C.G.P no le </w:t>
      </w:r>
      <w:r w:rsidR="00DF13CB" w:rsidRPr="00337086">
        <w:rPr>
          <w:rFonts w:ascii="Century Gothic" w:hAnsi="Century Gothic" w:cs="Arial"/>
        </w:rPr>
        <w:t xml:space="preserve">son aplicables.  </w:t>
      </w:r>
    </w:p>
    <w:p w:rsidR="00DF13CB" w:rsidRPr="00337086" w:rsidRDefault="00DF13CB" w:rsidP="00DF13CB">
      <w:pPr>
        <w:spacing w:line="360" w:lineRule="auto"/>
        <w:jc w:val="both"/>
        <w:rPr>
          <w:rFonts w:ascii="Century Gothic" w:hAnsi="Century Gothic" w:cs="Arial"/>
        </w:rPr>
      </w:pPr>
    </w:p>
    <w:p w:rsidR="00DF13CB" w:rsidRPr="00337086" w:rsidRDefault="00806444" w:rsidP="00DF13CB">
      <w:pPr>
        <w:spacing w:line="360" w:lineRule="auto"/>
        <w:jc w:val="both"/>
        <w:rPr>
          <w:rFonts w:ascii="Century Gothic" w:hAnsi="Century Gothic" w:cs="Arial"/>
        </w:rPr>
      </w:pPr>
      <w:r w:rsidRPr="00337086">
        <w:rPr>
          <w:rFonts w:ascii="Century Gothic" w:hAnsi="Century Gothic" w:cs="Arial"/>
        </w:rPr>
        <w:t xml:space="preserve">17. </w:t>
      </w:r>
      <w:r w:rsidR="004C1ABD" w:rsidRPr="00337086">
        <w:rPr>
          <w:rFonts w:ascii="Century Gothic" w:hAnsi="Century Gothic" w:cs="Arial"/>
        </w:rPr>
        <w:t xml:space="preserve">Por tanto, el </w:t>
      </w:r>
      <w:r w:rsidR="00516E3F">
        <w:rPr>
          <w:rFonts w:ascii="Century Gothic" w:hAnsi="Century Gothic" w:cs="Arial"/>
        </w:rPr>
        <w:t>d</w:t>
      </w:r>
      <w:r w:rsidR="00DF13CB" w:rsidRPr="00337086">
        <w:rPr>
          <w:rFonts w:ascii="Century Gothic" w:hAnsi="Century Gothic" w:cs="Arial"/>
        </w:rPr>
        <w:t xml:space="preserve">espacho considera que en el presente caso Colpensiones </w:t>
      </w:r>
      <w:r w:rsidR="00516E3F">
        <w:rPr>
          <w:rFonts w:ascii="Century Gothic" w:hAnsi="Century Gothic" w:cs="Arial"/>
        </w:rPr>
        <w:t xml:space="preserve">transgredió </w:t>
      </w:r>
      <w:r w:rsidR="004C1ABD" w:rsidRPr="00337086">
        <w:rPr>
          <w:rFonts w:ascii="Century Gothic" w:hAnsi="Century Gothic" w:cs="Arial"/>
        </w:rPr>
        <w:t>el derecho fundamental de petición de</w:t>
      </w:r>
      <w:r w:rsidR="00831F98" w:rsidRPr="00337086">
        <w:rPr>
          <w:rFonts w:ascii="Century Gothic" w:hAnsi="Century Gothic" w:cs="Arial"/>
        </w:rPr>
        <w:t>l</w:t>
      </w:r>
      <w:r w:rsidR="004C1ABD" w:rsidRPr="00337086">
        <w:rPr>
          <w:rFonts w:ascii="Century Gothic" w:hAnsi="Century Gothic" w:cs="Arial"/>
        </w:rPr>
        <w:t xml:space="preserve"> actor, al incumplir su</w:t>
      </w:r>
      <w:r w:rsidR="00DF13CB" w:rsidRPr="00337086">
        <w:rPr>
          <w:rFonts w:ascii="Century Gothic" w:hAnsi="Century Gothic" w:cs="Arial"/>
        </w:rPr>
        <w:t xml:space="preserve"> deber legal </w:t>
      </w:r>
      <w:r w:rsidR="004C1ABD" w:rsidRPr="00337086">
        <w:rPr>
          <w:rFonts w:ascii="Century Gothic" w:hAnsi="Century Gothic" w:cs="Arial"/>
        </w:rPr>
        <w:t xml:space="preserve">de </w:t>
      </w:r>
      <w:r w:rsidR="00DF13CB" w:rsidRPr="00337086">
        <w:rPr>
          <w:rFonts w:ascii="Century Gothic" w:hAnsi="Century Gothic" w:cs="Arial"/>
        </w:rPr>
        <w:t xml:space="preserve">contestar la solicitud radicada el 7 de noviembre de 2019, pues </w:t>
      </w:r>
      <w:r w:rsidR="004C1ABD" w:rsidRPr="00337086">
        <w:rPr>
          <w:rFonts w:ascii="Century Gothic" w:hAnsi="Century Gothic" w:cs="Arial"/>
        </w:rPr>
        <w:t xml:space="preserve">a la fecha </w:t>
      </w:r>
      <w:r w:rsidR="00DF13CB" w:rsidRPr="00337086">
        <w:rPr>
          <w:rFonts w:ascii="Century Gothic" w:hAnsi="Century Gothic" w:cs="Arial"/>
        </w:rPr>
        <w:t>el términ</w:t>
      </w:r>
      <w:r w:rsidR="004C1ABD" w:rsidRPr="00337086">
        <w:rPr>
          <w:rFonts w:ascii="Century Gothic" w:hAnsi="Century Gothic" w:cs="Arial"/>
        </w:rPr>
        <w:t>o para dar repuesta ha vencido</w:t>
      </w:r>
      <w:r w:rsidR="00831F98" w:rsidRPr="00337086">
        <w:rPr>
          <w:rFonts w:ascii="Century Gothic" w:hAnsi="Century Gothic" w:cs="Arial"/>
        </w:rPr>
        <w:t>,</w:t>
      </w:r>
      <w:r w:rsidR="004C1ABD" w:rsidRPr="00337086">
        <w:rPr>
          <w:rFonts w:ascii="Century Gothic" w:hAnsi="Century Gothic" w:cs="Arial"/>
        </w:rPr>
        <w:t xml:space="preserve"> </w:t>
      </w:r>
      <w:r w:rsidR="00831F98" w:rsidRPr="00337086">
        <w:rPr>
          <w:rFonts w:ascii="Century Gothic" w:hAnsi="Century Gothic" w:cs="Arial"/>
        </w:rPr>
        <w:t xml:space="preserve">y sus argumentos </w:t>
      </w:r>
      <w:r w:rsidR="00F86F05">
        <w:rPr>
          <w:rFonts w:ascii="Century Gothic" w:hAnsi="Century Gothic" w:cs="Arial"/>
        </w:rPr>
        <w:t xml:space="preserve">respecto del </w:t>
      </w:r>
      <w:r w:rsidR="00831F98" w:rsidRPr="00337086">
        <w:rPr>
          <w:rFonts w:ascii="Century Gothic" w:hAnsi="Century Gothic" w:cs="Arial"/>
        </w:rPr>
        <w:t>artículo</w:t>
      </w:r>
      <w:r w:rsidR="004C1ABD" w:rsidRPr="00337086">
        <w:rPr>
          <w:rFonts w:ascii="Century Gothic" w:hAnsi="Century Gothic" w:cs="Arial"/>
        </w:rPr>
        <w:t xml:space="preserve"> 307</w:t>
      </w:r>
      <w:r w:rsidR="00831F98" w:rsidRPr="00337086">
        <w:rPr>
          <w:rFonts w:ascii="Century Gothic" w:hAnsi="Century Gothic" w:cs="Arial"/>
        </w:rPr>
        <w:t xml:space="preserve"> del C.G.P </w:t>
      </w:r>
      <w:r w:rsidR="00F86F05">
        <w:rPr>
          <w:rFonts w:ascii="Century Gothic" w:hAnsi="Century Gothic" w:cs="Arial"/>
        </w:rPr>
        <w:t>no se comparte</w:t>
      </w:r>
      <w:r w:rsidR="00B66D01">
        <w:rPr>
          <w:rFonts w:ascii="Century Gothic" w:hAnsi="Century Gothic" w:cs="Arial"/>
        </w:rPr>
        <w:t>n</w:t>
      </w:r>
      <w:r w:rsidR="004C1ABD" w:rsidRPr="00337086">
        <w:rPr>
          <w:rFonts w:ascii="Century Gothic" w:hAnsi="Century Gothic" w:cs="Arial"/>
        </w:rPr>
        <w:t xml:space="preserve">. </w:t>
      </w:r>
    </w:p>
    <w:p w:rsidR="00DF13CB" w:rsidRPr="00337086" w:rsidRDefault="00DF13CB" w:rsidP="00486552">
      <w:pPr>
        <w:spacing w:line="360" w:lineRule="auto"/>
        <w:jc w:val="both"/>
        <w:rPr>
          <w:rFonts w:ascii="Century Gothic" w:hAnsi="Century Gothic" w:cs="Arial"/>
        </w:rPr>
      </w:pPr>
    </w:p>
    <w:p w:rsidR="00DF13CB" w:rsidRPr="00337086" w:rsidRDefault="00806444" w:rsidP="00DF13CB">
      <w:pPr>
        <w:spacing w:line="360" w:lineRule="auto"/>
        <w:jc w:val="both"/>
        <w:rPr>
          <w:rFonts w:ascii="Century Gothic" w:hAnsi="Century Gothic" w:cs="Arial"/>
        </w:rPr>
      </w:pPr>
      <w:r w:rsidRPr="00337086">
        <w:rPr>
          <w:rFonts w:ascii="Century Gothic" w:hAnsi="Century Gothic" w:cs="Arial"/>
        </w:rPr>
        <w:t xml:space="preserve">18. </w:t>
      </w:r>
      <w:r w:rsidR="00DF13CB" w:rsidRPr="00337086">
        <w:rPr>
          <w:rFonts w:ascii="Century Gothic" w:hAnsi="Century Gothic" w:cs="Arial"/>
        </w:rPr>
        <w:t>Ahor</w:t>
      </w:r>
      <w:r w:rsidR="00831F98" w:rsidRPr="00337086">
        <w:rPr>
          <w:rFonts w:ascii="Century Gothic" w:hAnsi="Century Gothic" w:cs="Arial"/>
        </w:rPr>
        <w:t xml:space="preserve">a, con relación a la solicitud del actor de </w:t>
      </w:r>
      <w:r w:rsidR="00DF13CB" w:rsidRPr="00337086">
        <w:rPr>
          <w:rFonts w:ascii="Century Gothic" w:hAnsi="Century Gothic" w:cs="Arial"/>
        </w:rPr>
        <w:t>que se ordené el pago de la reliquidación pensional, del retroactivo y de los intereses morat</w:t>
      </w:r>
      <w:r w:rsidR="00F86F05">
        <w:rPr>
          <w:rFonts w:ascii="Century Gothic" w:hAnsi="Century Gothic" w:cs="Arial"/>
        </w:rPr>
        <w:t>orios causados, el despacho considera q</w:t>
      </w:r>
      <w:r w:rsidR="00DF13CB" w:rsidRPr="00337086">
        <w:rPr>
          <w:rFonts w:ascii="Century Gothic" w:hAnsi="Century Gothic" w:cs="Arial"/>
        </w:rPr>
        <w:t>ue no</w:t>
      </w:r>
      <w:r w:rsidR="00831F98" w:rsidRPr="00337086">
        <w:rPr>
          <w:rFonts w:ascii="Century Gothic" w:hAnsi="Century Gothic" w:cs="Arial"/>
        </w:rPr>
        <w:t xml:space="preserve"> es</w:t>
      </w:r>
      <w:r w:rsidR="00DF13CB" w:rsidRPr="00337086">
        <w:rPr>
          <w:rFonts w:ascii="Century Gothic" w:hAnsi="Century Gothic" w:cs="Arial"/>
        </w:rPr>
        <w:t xml:space="preserve"> posible acceder a dicha pretensión, dado que no se agota el requisito de subsidiariedad de la acción de tutela, pues existe</w:t>
      </w:r>
      <w:r w:rsidR="00831F98" w:rsidRPr="00337086">
        <w:rPr>
          <w:rFonts w:ascii="Century Gothic" w:hAnsi="Century Gothic" w:cs="Arial"/>
        </w:rPr>
        <w:t xml:space="preserve"> otro mecanismo judicial para solicitar el cumplimiento </w:t>
      </w:r>
      <w:r w:rsidR="00831F98" w:rsidRPr="00337086">
        <w:rPr>
          <w:rFonts w:ascii="Century Gothic" w:hAnsi="Century Gothic" w:cs="Arial"/>
        </w:rPr>
        <w:lastRenderedPageBreak/>
        <w:t>de la sentencia judicial,</w:t>
      </w:r>
      <w:r w:rsidR="00DF13CB" w:rsidRPr="00337086">
        <w:rPr>
          <w:rFonts w:ascii="Century Gothic" w:hAnsi="Century Gothic" w:cs="Arial"/>
        </w:rPr>
        <w:t xml:space="preserve"> el proceso ejecutivo</w:t>
      </w:r>
      <w:r w:rsidR="00831F98" w:rsidRPr="00337086">
        <w:rPr>
          <w:rFonts w:ascii="Century Gothic" w:hAnsi="Century Gothic" w:cs="Arial"/>
        </w:rPr>
        <w:t xml:space="preserve">. </w:t>
      </w:r>
      <w:r w:rsidR="00DF13CB" w:rsidRPr="00337086">
        <w:rPr>
          <w:rFonts w:ascii="Century Gothic" w:hAnsi="Century Gothic" w:cs="Arial"/>
        </w:rPr>
        <w:t>Además, no se demostró que en el presente caso exista una afectación al mínimo vital, pues lo que se está reclamando es una reliquidación y no el reconocimiento de la pensión, y tampoco se evidencia de las pruebas aportadas que</w:t>
      </w:r>
      <w:r w:rsidR="003F0D6F">
        <w:rPr>
          <w:rFonts w:ascii="Century Gothic" w:hAnsi="Century Gothic" w:cs="Arial"/>
        </w:rPr>
        <w:t>,</w:t>
      </w:r>
      <w:r w:rsidR="00DF13CB" w:rsidRPr="00337086">
        <w:rPr>
          <w:rFonts w:ascii="Century Gothic" w:hAnsi="Century Gothic" w:cs="Arial"/>
        </w:rPr>
        <w:t xml:space="preserve"> </w:t>
      </w:r>
      <w:r w:rsidR="00831F98" w:rsidRPr="00337086">
        <w:rPr>
          <w:rFonts w:ascii="Century Gothic" w:hAnsi="Century Gothic" w:cs="Arial"/>
        </w:rPr>
        <w:t xml:space="preserve">el accionante </w:t>
      </w:r>
      <w:r w:rsidR="00DF13CB" w:rsidRPr="00337086">
        <w:rPr>
          <w:rFonts w:ascii="Century Gothic" w:hAnsi="Century Gothic" w:cs="Arial"/>
        </w:rPr>
        <w:t>est</w:t>
      </w:r>
      <w:r w:rsidR="00831F98" w:rsidRPr="00337086">
        <w:rPr>
          <w:rFonts w:ascii="Century Gothic" w:hAnsi="Century Gothic" w:cs="Arial"/>
        </w:rPr>
        <w:t>é</w:t>
      </w:r>
      <w:r w:rsidR="00DF13CB" w:rsidRPr="00337086">
        <w:rPr>
          <w:rFonts w:ascii="Century Gothic" w:hAnsi="Century Gothic" w:cs="Arial"/>
        </w:rPr>
        <w:t xml:space="preserve"> ante un perjuicio irremediable que haga </w:t>
      </w:r>
      <w:r w:rsidR="00831F98" w:rsidRPr="00337086">
        <w:rPr>
          <w:rFonts w:ascii="Century Gothic" w:hAnsi="Century Gothic" w:cs="Arial"/>
        </w:rPr>
        <w:t>el mecanismo ordinario ineficaz.</w:t>
      </w:r>
    </w:p>
    <w:p w:rsidR="00DF13CB" w:rsidRPr="00337086" w:rsidRDefault="00DF13CB" w:rsidP="00486552">
      <w:pPr>
        <w:spacing w:line="360" w:lineRule="auto"/>
        <w:jc w:val="both"/>
        <w:rPr>
          <w:rFonts w:ascii="Century Gothic" w:hAnsi="Century Gothic" w:cs="Arial"/>
        </w:rPr>
      </w:pPr>
    </w:p>
    <w:p w:rsidR="009E6F5C" w:rsidRPr="00337086" w:rsidRDefault="00806444" w:rsidP="009E6F5C">
      <w:pPr>
        <w:spacing w:line="360" w:lineRule="auto"/>
        <w:jc w:val="both"/>
        <w:rPr>
          <w:rFonts w:ascii="Century Gothic" w:hAnsi="Century Gothic" w:cs="Arial"/>
        </w:rPr>
      </w:pPr>
      <w:r w:rsidRPr="00337086">
        <w:rPr>
          <w:rFonts w:ascii="Century Gothic" w:hAnsi="Century Gothic" w:cs="Arial"/>
        </w:rPr>
        <w:t xml:space="preserve">19. </w:t>
      </w:r>
      <w:r w:rsidR="009E6F5C" w:rsidRPr="00337086">
        <w:rPr>
          <w:rFonts w:ascii="Century Gothic" w:hAnsi="Century Gothic" w:cs="Arial"/>
        </w:rPr>
        <w:t xml:space="preserve">En consecuencia, se tutelará el derecho fundamental de petición del actor y se ordenará al accionado que, dentro del menor tiempo posible, proceda a </w:t>
      </w:r>
      <w:r w:rsidR="00D13AF3" w:rsidRPr="00337086">
        <w:rPr>
          <w:rFonts w:ascii="Century Gothic" w:hAnsi="Century Gothic" w:cs="Arial"/>
        </w:rPr>
        <w:t xml:space="preserve">contestar de forma y de fondo </w:t>
      </w:r>
      <w:r w:rsidR="009E6F5C" w:rsidRPr="00337086">
        <w:rPr>
          <w:rFonts w:ascii="Century Gothic" w:hAnsi="Century Gothic" w:cs="Arial"/>
        </w:rPr>
        <w:t xml:space="preserve">la petición radicada el </w:t>
      </w:r>
      <w:r w:rsidR="00D13AF3" w:rsidRPr="00337086">
        <w:rPr>
          <w:rFonts w:ascii="Century Gothic" w:hAnsi="Century Gothic" w:cs="Arial"/>
        </w:rPr>
        <w:t>7 de noviembre de 2019 con</w:t>
      </w:r>
      <w:r w:rsidR="009E6F5C" w:rsidRPr="00337086">
        <w:rPr>
          <w:rFonts w:ascii="Century Gothic" w:hAnsi="Century Gothic" w:cs="Arial"/>
        </w:rPr>
        <w:t xml:space="preserve"> N° </w:t>
      </w:r>
      <w:r w:rsidR="00D13AF3" w:rsidRPr="00337086">
        <w:rPr>
          <w:rFonts w:ascii="Century Gothic" w:hAnsi="Century Gothic" w:cs="Arial"/>
        </w:rPr>
        <w:t>2019_14988454</w:t>
      </w:r>
      <w:r w:rsidR="009E6F5C" w:rsidRPr="00337086">
        <w:rPr>
          <w:rFonts w:ascii="Century Gothic" w:hAnsi="Century Gothic" w:cs="Arial"/>
        </w:rPr>
        <w:t xml:space="preserve">. </w:t>
      </w:r>
    </w:p>
    <w:p w:rsidR="00E2562B" w:rsidRPr="00337086" w:rsidRDefault="00E2562B" w:rsidP="0031245A">
      <w:pPr>
        <w:rPr>
          <w:rFonts w:ascii="Century Gothic" w:hAnsi="Century Gothic" w:cs="Arial"/>
        </w:rPr>
      </w:pPr>
    </w:p>
    <w:p w:rsidR="00CE1215" w:rsidRPr="00337086" w:rsidRDefault="00CE1215" w:rsidP="00CE1215">
      <w:pPr>
        <w:shd w:val="clear" w:color="auto" w:fill="FFFFFF"/>
        <w:tabs>
          <w:tab w:val="left" w:pos="5474"/>
        </w:tabs>
        <w:spacing w:line="360" w:lineRule="auto"/>
        <w:contextualSpacing/>
        <w:jc w:val="both"/>
        <w:rPr>
          <w:rFonts w:ascii="Century Gothic" w:hAnsi="Century Gothic" w:cs="Arial"/>
        </w:rPr>
      </w:pPr>
      <w:r w:rsidRPr="00337086">
        <w:rPr>
          <w:rFonts w:ascii="Century Gothic" w:hAnsi="Century Gothic" w:cs="Arial"/>
        </w:rPr>
        <w:t xml:space="preserve">En mérito de lo expuesto, el </w:t>
      </w:r>
      <w:r w:rsidRPr="00337086">
        <w:rPr>
          <w:rFonts w:ascii="Century Gothic" w:hAnsi="Century Gothic" w:cs="Arial"/>
          <w:b/>
        </w:rPr>
        <w:t>JUZGADO TREINTA Y CUATRO (34) ADMINISTRATIVO DEL CIRCUITO DE BOGOTÁ</w:t>
      </w:r>
      <w:r w:rsidRPr="00337086">
        <w:rPr>
          <w:rFonts w:ascii="Century Gothic" w:hAnsi="Century Gothic" w:cs="Arial"/>
        </w:rPr>
        <w:t xml:space="preserve">, administrando justicia en nombre de la República de Colombia y por autoridad de la Ley, </w:t>
      </w:r>
    </w:p>
    <w:p w:rsidR="00CE1215" w:rsidRPr="00337086" w:rsidRDefault="00CE1215" w:rsidP="00CE1215">
      <w:pPr>
        <w:pStyle w:val="Sangradetextonormal"/>
        <w:tabs>
          <w:tab w:val="left" w:pos="5474"/>
        </w:tabs>
        <w:spacing w:line="360" w:lineRule="auto"/>
        <w:ind w:left="0"/>
        <w:contextualSpacing/>
        <w:jc w:val="center"/>
        <w:rPr>
          <w:rFonts w:ascii="Century Gothic" w:hAnsi="Century Gothic" w:cs="Arial"/>
          <w:b/>
          <w:szCs w:val="24"/>
          <w:lang w:val="es-CO"/>
        </w:rPr>
      </w:pPr>
    </w:p>
    <w:p w:rsidR="00CE1215" w:rsidRPr="00337086" w:rsidRDefault="00CE1215" w:rsidP="00CE1215">
      <w:pPr>
        <w:pStyle w:val="Sangradetextonormal"/>
        <w:tabs>
          <w:tab w:val="left" w:pos="5474"/>
        </w:tabs>
        <w:spacing w:line="360" w:lineRule="auto"/>
        <w:ind w:left="0"/>
        <w:contextualSpacing/>
        <w:jc w:val="center"/>
        <w:rPr>
          <w:rFonts w:ascii="Century Gothic" w:hAnsi="Century Gothic" w:cs="Arial"/>
          <w:b/>
          <w:szCs w:val="24"/>
          <w:lang w:val="es-CO"/>
        </w:rPr>
      </w:pPr>
      <w:r w:rsidRPr="00337086">
        <w:rPr>
          <w:rFonts w:ascii="Century Gothic" w:hAnsi="Century Gothic" w:cs="Arial"/>
          <w:b/>
          <w:szCs w:val="24"/>
          <w:lang w:val="es-CO"/>
        </w:rPr>
        <w:t>FALLA</w:t>
      </w:r>
    </w:p>
    <w:p w:rsidR="00CE1215" w:rsidRPr="00337086" w:rsidRDefault="00CE1215" w:rsidP="00CE1215">
      <w:pPr>
        <w:pStyle w:val="Sangradetextonormal"/>
        <w:tabs>
          <w:tab w:val="left" w:pos="5474"/>
        </w:tabs>
        <w:spacing w:line="360" w:lineRule="auto"/>
        <w:ind w:left="0"/>
        <w:contextualSpacing/>
        <w:rPr>
          <w:rFonts w:ascii="Century Gothic" w:hAnsi="Century Gothic" w:cs="Arial"/>
          <w:szCs w:val="24"/>
          <w:highlight w:val="green"/>
          <w:lang w:val="es-CO"/>
        </w:rPr>
      </w:pPr>
    </w:p>
    <w:p w:rsidR="00D13AF3" w:rsidRPr="00337086" w:rsidRDefault="00D13AF3" w:rsidP="00D13AF3">
      <w:pPr>
        <w:tabs>
          <w:tab w:val="left" w:pos="0"/>
          <w:tab w:val="left" w:pos="142"/>
          <w:tab w:val="left" w:pos="284"/>
        </w:tabs>
        <w:spacing w:line="360" w:lineRule="auto"/>
        <w:jc w:val="both"/>
        <w:rPr>
          <w:rFonts w:ascii="Century Gothic" w:hAnsi="Century Gothic" w:cs="Arial"/>
        </w:rPr>
      </w:pPr>
      <w:r w:rsidRPr="00337086">
        <w:rPr>
          <w:rFonts w:ascii="Century Gothic" w:hAnsi="Century Gothic" w:cs="Arial"/>
          <w:b/>
        </w:rPr>
        <w:t>PRIMERO. -</w:t>
      </w:r>
      <w:r w:rsidRPr="00337086">
        <w:rPr>
          <w:rFonts w:ascii="Century Gothic" w:hAnsi="Century Gothic" w:cs="Arial"/>
        </w:rPr>
        <w:t xml:space="preserve"> </w:t>
      </w:r>
      <w:r w:rsidRPr="00337086">
        <w:rPr>
          <w:rFonts w:ascii="Century Gothic" w:hAnsi="Century Gothic" w:cs="Arial"/>
          <w:b/>
        </w:rPr>
        <w:t>TUTELAR</w:t>
      </w:r>
      <w:r w:rsidRPr="00337086">
        <w:rPr>
          <w:rFonts w:ascii="Century Gothic" w:hAnsi="Century Gothic" w:cs="Arial"/>
        </w:rPr>
        <w:t xml:space="preserve"> el derecho fundamental de petición de Jairo Rendón Valdés, por lo expuesto en la parte motiva.</w:t>
      </w:r>
    </w:p>
    <w:p w:rsidR="00D13AF3" w:rsidRPr="00337086" w:rsidRDefault="00D13AF3" w:rsidP="00D13AF3">
      <w:pPr>
        <w:tabs>
          <w:tab w:val="left" w:pos="0"/>
          <w:tab w:val="left" w:pos="142"/>
          <w:tab w:val="left" w:pos="284"/>
        </w:tabs>
        <w:spacing w:line="360" w:lineRule="auto"/>
        <w:jc w:val="both"/>
        <w:rPr>
          <w:rFonts w:ascii="Century Gothic" w:hAnsi="Century Gothic" w:cs="Arial"/>
        </w:rPr>
      </w:pPr>
    </w:p>
    <w:p w:rsidR="00D13AF3" w:rsidRPr="00337086" w:rsidRDefault="00D13AF3" w:rsidP="00D13AF3">
      <w:pPr>
        <w:tabs>
          <w:tab w:val="left" w:pos="0"/>
          <w:tab w:val="left" w:pos="142"/>
          <w:tab w:val="left" w:pos="284"/>
        </w:tabs>
        <w:spacing w:line="360" w:lineRule="auto"/>
        <w:jc w:val="both"/>
        <w:rPr>
          <w:rFonts w:ascii="Century Gothic" w:hAnsi="Century Gothic" w:cs="Arial"/>
        </w:rPr>
      </w:pPr>
      <w:r w:rsidRPr="00337086">
        <w:rPr>
          <w:rFonts w:ascii="Century Gothic" w:hAnsi="Century Gothic" w:cs="Arial"/>
          <w:b/>
        </w:rPr>
        <w:t>SEGUNDO. -</w:t>
      </w:r>
      <w:r w:rsidRPr="00337086">
        <w:rPr>
          <w:rFonts w:ascii="Century Gothic" w:hAnsi="Century Gothic" w:cs="Arial"/>
        </w:rPr>
        <w:t xml:space="preserve"> </w:t>
      </w:r>
      <w:r w:rsidRPr="00337086">
        <w:rPr>
          <w:rFonts w:ascii="Century Gothic" w:hAnsi="Century Gothic" w:cs="Arial"/>
          <w:b/>
        </w:rPr>
        <w:t>ORDENAR</w:t>
      </w:r>
      <w:r w:rsidRPr="00337086">
        <w:rPr>
          <w:rFonts w:ascii="Century Gothic" w:hAnsi="Century Gothic" w:cs="Arial"/>
        </w:rPr>
        <w:t xml:space="preserve"> a MALKY KATRINA FERRO AHCAR Directora de Acciones Constitucionales de la Administradora Colombiana de Pensiones. Colpensiones</w:t>
      </w:r>
      <w:r w:rsidRPr="00337086">
        <w:rPr>
          <w:rFonts w:ascii="Century Gothic" w:hAnsi="Century Gothic" w:cs="Arial"/>
          <w:i/>
        </w:rPr>
        <w:t>,</w:t>
      </w:r>
      <w:r w:rsidRPr="00337086">
        <w:rPr>
          <w:rFonts w:ascii="Century Gothic" w:hAnsi="Century Gothic" w:cs="Arial"/>
        </w:rPr>
        <w:t xml:space="preserve"> o a quien haga sus veces, que en el término perentorio de cuarenta y ocho (48) horas contadas a partir de la notificación de la presente providencia, proceda a contestar de fondo el derecho de petición radicado el 7 de noviembre de 2019 N° 2019_14988454</w:t>
      </w:r>
      <w:r w:rsidR="00381251" w:rsidRPr="00337086">
        <w:rPr>
          <w:rFonts w:ascii="Century Gothic" w:hAnsi="Century Gothic" w:cs="Arial"/>
        </w:rPr>
        <w:t xml:space="preserve"> por el</w:t>
      </w:r>
      <w:r w:rsidRPr="00337086">
        <w:rPr>
          <w:rFonts w:ascii="Century Gothic" w:hAnsi="Century Gothic" w:cs="Arial"/>
        </w:rPr>
        <w:t xml:space="preserve"> accionante, de conformidad con lo expuesto.</w:t>
      </w:r>
    </w:p>
    <w:p w:rsidR="00D13AF3" w:rsidRPr="00337086" w:rsidRDefault="00D13AF3" w:rsidP="00D13AF3">
      <w:pPr>
        <w:tabs>
          <w:tab w:val="left" w:pos="0"/>
          <w:tab w:val="left" w:pos="142"/>
          <w:tab w:val="left" w:pos="284"/>
        </w:tabs>
        <w:spacing w:line="360" w:lineRule="auto"/>
        <w:jc w:val="both"/>
        <w:rPr>
          <w:rFonts w:ascii="Century Gothic" w:hAnsi="Century Gothic" w:cs="Arial"/>
        </w:rPr>
      </w:pPr>
    </w:p>
    <w:p w:rsidR="00D13AF3" w:rsidRPr="00337086" w:rsidRDefault="00D13AF3" w:rsidP="00D13AF3">
      <w:pPr>
        <w:tabs>
          <w:tab w:val="left" w:pos="0"/>
          <w:tab w:val="left" w:pos="142"/>
          <w:tab w:val="left" w:pos="284"/>
        </w:tabs>
        <w:spacing w:line="360" w:lineRule="auto"/>
        <w:jc w:val="both"/>
        <w:rPr>
          <w:rFonts w:ascii="Century Gothic" w:hAnsi="Century Gothic" w:cs="Arial"/>
        </w:rPr>
      </w:pPr>
      <w:r w:rsidRPr="00337086">
        <w:rPr>
          <w:rFonts w:ascii="Century Gothic" w:hAnsi="Century Gothic" w:cs="Arial"/>
          <w:b/>
        </w:rPr>
        <w:t xml:space="preserve">TERCERO. -  COMUNICAR </w:t>
      </w:r>
      <w:r w:rsidRPr="00337086">
        <w:rPr>
          <w:rFonts w:ascii="Century Gothic" w:hAnsi="Century Gothic" w:cs="Arial"/>
        </w:rPr>
        <w:t xml:space="preserve">por el medio más expedito la presente providencia al accionante </w:t>
      </w:r>
      <w:r w:rsidRPr="00337086">
        <w:rPr>
          <w:rFonts w:ascii="Century Gothic" w:hAnsi="Century Gothic" w:cs="Arial"/>
          <w:b/>
        </w:rPr>
        <w:t xml:space="preserve">Jairo Rendón Valdés </w:t>
      </w:r>
      <w:r w:rsidRPr="00337086">
        <w:rPr>
          <w:rFonts w:ascii="Century Gothic" w:hAnsi="Century Gothic" w:cs="Arial"/>
        </w:rPr>
        <w:t xml:space="preserve">y a MALKY KATRINA FERRO AHCAR Directora de Acciones Constitucionales de la Administradora Colombiana de Pensiones – Colpensiones-, o a quien haga sus veces. </w:t>
      </w:r>
    </w:p>
    <w:p w:rsidR="00D13AF3" w:rsidRPr="00337086" w:rsidRDefault="00D13AF3" w:rsidP="00D13AF3">
      <w:pPr>
        <w:tabs>
          <w:tab w:val="left" w:pos="0"/>
          <w:tab w:val="left" w:pos="142"/>
          <w:tab w:val="left" w:pos="284"/>
        </w:tabs>
        <w:spacing w:line="360" w:lineRule="auto"/>
        <w:jc w:val="both"/>
        <w:rPr>
          <w:rFonts w:ascii="Century Gothic" w:hAnsi="Century Gothic" w:cs="Arial"/>
        </w:rPr>
      </w:pPr>
    </w:p>
    <w:p w:rsidR="00D13AF3" w:rsidRPr="00337086" w:rsidRDefault="00D13AF3" w:rsidP="00D13AF3">
      <w:pPr>
        <w:spacing w:line="360" w:lineRule="auto"/>
        <w:jc w:val="both"/>
        <w:rPr>
          <w:rFonts w:ascii="Century Gothic" w:hAnsi="Century Gothic" w:cs="Arial"/>
        </w:rPr>
      </w:pPr>
      <w:r w:rsidRPr="00337086">
        <w:rPr>
          <w:rFonts w:ascii="Century Gothic" w:hAnsi="Century Gothic" w:cs="Arial"/>
          <w:b/>
        </w:rPr>
        <w:t xml:space="preserve">CUARTO. - </w:t>
      </w:r>
      <w:r w:rsidRPr="00337086">
        <w:rPr>
          <w:rFonts w:ascii="Century Gothic" w:hAnsi="Century Gothic" w:cs="Arial"/>
        </w:rPr>
        <w:t xml:space="preserve">En caso de que la presente providencia no fuere impugnada, remítase, para efectos de su eventual revisión, a la Honorable Corte Constitucional, en los términos del Artículo 31 del Decreto – Ley 2591 de 1991.  </w:t>
      </w:r>
    </w:p>
    <w:p w:rsidR="00CE1215" w:rsidRPr="00337086" w:rsidRDefault="00CE1215" w:rsidP="00CE1215">
      <w:pPr>
        <w:tabs>
          <w:tab w:val="left" w:pos="5474"/>
        </w:tabs>
        <w:spacing w:line="360" w:lineRule="auto"/>
        <w:contextualSpacing/>
        <w:jc w:val="both"/>
        <w:rPr>
          <w:rFonts w:ascii="Century Gothic" w:hAnsi="Century Gothic" w:cs="Arial"/>
          <w:b/>
        </w:rPr>
      </w:pPr>
    </w:p>
    <w:p w:rsidR="00CE1215" w:rsidRPr="00337086" w:rsidRDefault="00CE1215" w:rsidP="00CE1215">
      <w:pPr>
        <w:pStyle w:val="Sangra2detindependiente"/>
        <w:tabs>
          <w:tab w:val="left" w:pos="5474"/>
        </w:tabs>
        <w:spacing w:line="360" w:lineRule="auto"/>
        <w:ind w:firstLine="0"/>
        <w:contextualSpacing/>
        <w:rPr>
          <w:rFonts w:ascii="Century Gothic" w:hAnsi="Century Gothic" w:cs="Arial"/>
          <w:b/>
          <w:szCs w:val="24"/>
          <w:lang w:val="es-CO"/>
        </w:rPr>
      </w:pPr>
      <w:r w:rsidRPr="00337086">
        <w:rPr>
          <w:rFonts w:ascii="Century Gothic" w:hAnsi="Century Gothic" w:cs="Arial"/>
          <w:b/>
          <w:szCs w:val="24"/>
          <w:lang w:val="es-CO"/>
        </w:rPr>
        <w:t>CÓPIESE, NOTIFÍQUESE y CÚMPLASE,</w:t>
      </w:r>
    </w:p>
    <w:p w:rsidR="00CE1215" w:rsidRPr="00337086" w:rsidRDefault="00CE1215" w:rsidP="00CE1215">
      <w:pPr>
        <w:pStyle w:val="Sangra2detindependiente"/>
        <w:tabs>
          <w:tab w:val="left" w:pos="5474"/>
        </w:tabs>
        <w:spacing w:line="360" w:lineRule="auto"/>
        <w:ind w:firstLine="0"/>
        <w:contextualSpacing/>
        <w:rPr>
          <w:rFonts w:ascii="Century Gothic" w:hAnsi="Century Gothic" w:cs="Arial"/>
          <w:b/>
          <w:szCs w:val="24"/>
          <w:lang w:val="es-CO"/>
        </w:rPr>
      </w:pPr>
    </w:p>
    <w:p w:rsidR="00CE1215" w:rsidRPr="00337086" w:rsidRDefault="00CE1215" w:rsidP="00CE1215">
      <w:pPr>
        <w:tabs>
          <w:tab w:val="left" w:pos="5474"/>
        </w:tabs>
        <w:spacing w:line="360" w:lineRule="auto"/>
        <w:contextualSpacing/>
        <w:jc w:val="center"/>
        <w:rPr>
          <w:rFonts w:ascii="Century Gothic" w:hAnsi="Century Gothic" w:cs="Arial"/>
          <w:b/>
        </w:rPr>
      </w:pPr>
      <w:r w:rsidRPr="00337086">
        <w:rPr>
          <w:rFonts w:ascii="Century Gothic" w:hAnsi="Century Gothic" w:cs="Arial"/>
          <w:b/>
        </w:rPr>
        <w:t xml:space="preserve">LUIS GABRIEL AHUMADA PERDOMO </w:t>
      </w:r>
    </w:p>
    <w:p w:rsidR="00CE1215" w:rsidRPr="00337086" w:rsidRDefault="00CE1215" w:rsidP="00CE1215">
      <w:pPr>
        <w:tabs>
          <w:tab w:val="left" w:pos="5474"/>
        </w:tabs>
        <w:spacing w:line="360" w:lineRule="auto"/>
        <w:contextualSpacing/>
        <w:jc w:val="center"/>
        <w:rPr>
          <w:rFonts w:ascii="Century Gothic" w:hAnsi="Century Gothic" w:cs="Arial"/>
        </w:rPr>
      </w:pPr>
      <w:r w:rsidRPr="00337086">
        <w:rPr>
          <w:rFonts w:ascii="Century Gothic" w:hAnsi="Century Gothic" w:cs="Arial"/>
        </w:rPr>
        <w:t>Juez</w:t>
      </w:r>
    </w:p>
    <w:p w:rsidR="00CE1215" w:rsidRPr="00337086" w:rsidRDefault="00CE1215" w:rsidP="00CE1215">
      <w:pPr>
        <w:tabs>
          <w:tab w:val="left" w:pos="5474"/>
        </w:tabs>
        <w:spacing w:line="360" w:lineRule="auto"/>
        <w:contextualSpacing/>
        <w:rPr>
          <w:rFonts w:ascii="Century Gothic" w:hAnsi="Century Gothic"/>
          <w:sz w:val="18"/>
        </w:rPr>
      </w:pPr>
      <w:r w:rsidRPr="00337086">
        <w:rPr>
          <w:rFonts w:ascii="Century Gothic" w:hAnsi="Century Gothic" w:cs="Arial"/>
          <w:sz w:val="18"/>
        </w:rPr>
        <w:t>JBR</w:t>
      </w:r>
    </w:p>
    <w:p w:rsidR="00CE1215" w:rsidRPr="00337086" w:rsidRDefault="00CE1215" w:rsidP="00CE1215">
      <w:pPr>
        <w:spacing w:line="360" w:lineRule="auto"/>
        <w:contextualSpacing/>
        <w:rPr>
          <w:rFonts w:ascii="Century Gothic" w:hAnsi="Century Gothic"/>
        </w:rPr>
      </w:pPr>
    </w:p>
    <w:p w:rsidR="00B93976" w:rsidRPr="00337086" w:rsidRDefault="00B93976"/>
    <w:sectPr w:rsidR="00B93976" w:rsidRPr="00337086" w:rsidSect="00DF13CB">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283" w:rsidRDefault="002C1283" w:rsidP="00CE1215">
      <w:r>
        <w:separator/>
      </w:r>
    </w:p>
  </w:endnote>
  <w:endnote w:type="continuationSeparator" w:id="0">
    <w:p w:rsidR="002C1283" w:rsidRDefault="002C1283" w:rsidP="00CE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283" w:rsidRDefault="002C1283" w:rsidP="00CE1215">
      <w:r>
        <w:separator/>
      </w:r>
    </w:p>
  </w:footnote>
  <w:footnote w:type="continuationSeparator" w:id="0">
    <w:p w:rsidR="002C1283" w:rsidRDefault="002C1283" w:rsidP="00CE1215">
      <w:r>
        <w:continuationSeparator/>
      </w:r>
    </w:p>
  </w:footnote>
  <w:footnote w:id="1">
    <w:p w:rsidR="00DF13CB" w:rsidRPr="004927E0" w:rsidRDefault="00DF13CB" w:rsidP="00CE1215">
      <w:pPr>
        <w:pStyle w:val="Textonotapie"/>
        <w:jc w:val="both"/>
        <w:rPr>
          <w:rFonts w:ascii="Century Gothic" w:hAnsi="Century Gothic"/>
        </w:rPr>
      </w:pPr>
      <w:r w:rsidRPr="004927E0">
        <w:rPr>
          <w:rStyle w:val="Refdenotaalpie"/>
          <w:rFonts w:ascii="Century Gothic" w:hAnsi="Century Gothic"/>
        </w:rPr>
        <w:footnoteRef/>
      </w:r>
      <w:r w:rsidRPr="004927E0">
        <w:rPr>
          <w:rFonts w:ascii="Century Gothic" w:hAnsi="Century Gothic"/>
          <w:lang w:val="es-CO"/>
        </w:rPr>
        <w:t xml:space="preserve"> </w:t>
      </w:r>
      <w:r w:rsidRPr="004927E0">
        <w:rPr>
          <w:rFonts w:ascii="Century Gothic" w:hAnsi="Century Gothic"/>
        </w:rPr>
        <w:t>En el escrito de tutela se solicitó lo siguiente:</w:t>
      </w:r>
    </w:p>
    <w:p w:rsidR="00DF13CB" w:rsidRPr="004927E0" w:rsidRDefault="00DF13CB" w:rsidP="00CE1215">
      <w:pPr>
        <w:pStyle w:val="Textonotapie"/>
        <w:jc w:val="both"/>
        <w:rPr>
          <w:rFonts w:ascii="Century Gothic" w:hAnsi="Century Gothic"/>
        </w:rPr>
      </w:pPr>
    </w:p>
    <w:p w:rsidR="00DF13CB" w:rsidRDefault="00DF13CB" w:rsidP="00CE1215">
      <w:pPr>
        <w:pStyle w:val="Textonotapie"/>
        <w:jc w:val="both"/>
        <w:rPr>
          <w:rFonts w:ascii="Century Gothic" w:hAnsi="Century Gothic"/>
          <w:i/>
        </w:rPr>
      </w:pPr>
      <w:r w:rsidRPr="004927E0">
        <w:rPr>
          <w:rFonts w:ascii="Century Gothic" w:hAnsi="Century Gothic"/>
          <w:i/>
        </w:rPr>
        <w:t>“</w:t>
      </w:r>
      <w:r>
        <w:rPr>
          <w:rFonts w:ascii="Century Gothic" w:hAnsi="Century Gothic"/>
          <w:i/>
        </w:rPr>
        <w:t xml:space="preserve">1. Que dentro de las 48 horas siguientes al fallo de tutela que ponga fin a la instancia, se ordene a COLPENSIONES contestar de fondo el derecho de petición que se encuentra inmerso en la reclamación administrativa presentada por el señor JAIRO RENDON VALDES </w:t>
      </w:r>
      <w:r w:rsidR="001F6DF8">
        <w:rPr>
          <w:rFonts w:ascii="Century Gothic" w:hAnsi="Century Gothic"/>
          <w:i/>
        </w:rPr>
        <w:t>el</w:t>
      </w:r>
      <w:r>
        <w:rPr>
          <w:rFonts w:ascii="Century Gothic" w:hAnsi="Century Gothic"/>
          <w:i/>
        </w:rPr>
        <w:t xml:space="preserve"> 7 de noviembre de 2019, para lo cual debe emitir el acto administrativo y</w:t>
      </w:r>
      <w:r w:rsidR="00972BCE">
        <w:rPr>
          <w:rFonts w:ascii="Century Gothic" w:hAnsi="Century Gothic"/>
          <w:i/>
        </w:rPr>
        <w:t>/</w:t>
      </w:r>
      <w:r>
        <w:rPr>
          <w:rFonts w:ascii="Century Gothic" w:hAnsi="Century Gothic"/>
          <w:i/>
        </w:rPr>
        <w:t>o resolución de la reliquidación de la pensión de vejez, tal como lo ordenó el Juzgado 26 Laboral del Circuito de Bogotá.</w:t>
      </w:r>
    </w:p>
    <w:p w:rsidR="00DF13CB" w:rsidRDefault="00DF13CB" w:rsidP="00CE1215">
      <w:pPr>
        <w:pStyle w:val="Textonotapie"/>
        <w:jc w:val="both"/>
        <w:rPr>
          <w:rFonts w:ascii="Century Gothic" w:hAnsi="Century Gothic"/>
          <w:i/>
        </w:rPr>
      </w:pPr>
      <w:r>
        <w:rPr>
          <w:rFonts w:ascii="Century Gothic" w:hAnsi="Century Gothic"/>
          <w:i/>
        </w:rPr>
        <w:t xml:space="preserve">2. Que se ordene a COLPENSIONES que en el mes inmediatamente siguiente al reconocimiento solicitado por el señor Rendón Valdés, lo incluya en nómina y realice el pago efectivo de la prestación. </w:t>
      </w:r>
    </w:p>
    <w:p w:rsidR="00DF13CB" w:rsidRPr="004927E0" w:rsidRDefault="00DF13CB" w:rsidP="00CE1215">
      <w:pPr>
        <w:pStyle w:val="Textonotapie"/>
        <w:jc w:val="both"/>
        <w:rPr>
          <w:rFonts w:ascii="Century Gothic" w:hAnsi="Century Gothic"/>
          <w:i/>
        </w:rPr>
      </w:pPr>
      <w:r>
        <w:rPr>
          <w:rFonts w:ascii="Century Gothic" w:hAnsi="Century Gothic"/>
          <w:i/>
        </w:rPr>
        <w:t xml:space="preserve">3. Que se ordene a COLPENSIONES que en el término máximo de (15) días hábiles siguientes a la notificación de la providencia que ponga fin a este trámite, en favor de señor Jairo Rendón Valdés, realice el pago del retroactivo, de los intereses moratorios (calculados a la tasa máxima fijada en </w:t>
      </w:r>
      <w:r w:rsidR="00110BDA">
        <w:rPr>
          <w:rFonts w:ascii="Century Gothic" w:hAnsi="Century Gothic"/>
          <w:i/>
        </w:rPr>
        <w:t>el</w:t>
      </w:r>
      <w:r>
        <w:rPr>
          <w:rFonts w:ascii="Century Gothic" w:hAnsi="Century Gothic"/>
          <w:i/>
        </w:rPr>
        <w:t xml:space="preserve"> Artículo 141 de la Ley 100 de 1993) y de las costas judiciales.”</w:t>
      </w:r>
    </w:p>
  </w:footnote>
  <w:footnote w:id="2">
    <w:p w:rsidR="00DF13CB" w:rsidRPr="00E54EF1" w:rsidRDefault="00DF13CB" w:rsidP="00486552">
      <w:pPr>
        <w:pStyle w:val="Textonotapie"/>
        <w:jc w:val="both"/>
        <w:rPr>
          <w:rFonts w:ascii="Century Gothic" w:hAnsi="Century Gothic" w:cs="Arial"/>
          <w:i/>
          <w:lang w:val="fr-FR"/>
        </w:rPr>
      </w:pPr>
      <w:r w:rsidRPr="00E54EF1">
        <w:rPr>
          <w:rStyle w:val="Refdenotaalpie"/>
          <w:rFonts w:ascii="Century Gothic" w:hAnsi="Century Gothic" w:cs="Arial"/>
          <w:i/>
          <w:lang w:val="es-CO"/>
        </w:rPr>
        <w:footnoteRef/>
      </w:r>
      <w:r w:rsidRPr="00E54EF1">
        <w:rPr>
          <w:rFonts w:ascii="Century Gothic" w:hAnsi="Century Gothic" w:cs="Arial"/>
          <w:i/>
          <w:lang w:val="fr-FR"/>
        </w:rPr>
        <w:t xml:space="preserve"> Corte Constitucional, Sentencias T-1160 A de 2001, T-1089 de 2001, T-377 de 2000, T-294 de 1997, T-457 de 1994, T-1006 de 2001 y T-077 de 2008. </w:t>
      </w:r>
    </w:p>
  </w:footnote>
  <w:footnote w:id="3">
    <w:p w:rsidR="00DF13CB" w:rsidRPr="00E54EF1" w:rsidRDefault="00DF13CB" w:rsidP="00486552">
      <w:pPr>
        <w:pStyle w:val="Textonotapie"/>
        <w:jc w:val="both"/>
        <w:rPr>
          <w:rFonts w:ascii="Century Gothic" w:hAnsi="Century Gothic" w:cs="Arial"/>
          <w:i/>
          <w:lang w:val="es-CO"/>
        </w:rPr>
      </w:pPr>
      <w:r w:rsidRPr="00E54EF1">
        <w:rPr>
          <w:rStyle w:val="Refdenotaalpie"/>
          <w:rFonts w:ascii="Century Gothic" w:hAnsi="Century Gothic" w:cs="Arial"/>
          <w:i/>
          <w:lang w:val="es-CO"/>
        </w:rPr>
        <w:footnoteRef/>
      </w:r>
      <w:r w:rsidRPr="00E54EF1">
        <w:rPr>
          <w:rFonts w:ascii="Century Gothic" w:hAnsi="Century Gothic" w:cs="Arial"/>
          <w:i/>
          <w:lang w:val="es-CO"/>
        </w:rPr>
        <w:t xml:space="preserve"> </w:t>
      </w:r>
      <w:r w:rsidRPr="00E54EF1">
        <w:rPr>
          <w:rFonts w:ascii="Century Gothic" w:hAnsi="Century Gothic" w:cs="Arial"/>
          <w:b/>
          <w:i/>
          <w:lang w:val="es-CO"/>
        </w:rPr>
        <w:t>Artículo 14:</w:t>
      </w:r>
      <w:r w:rsidRPr="00E54EF1">
        <w:rPr>
          <w:rFonts w:ascii="Century Gothic" w:hAnsi="Century Gothic" w:cs="Arial"/>
          <w:i/>
          <w:lang w:val="es-CO"/>
        </w:rPr>
        <w:t xml:space="preserve"> Salvo norma legal especial y so pena de sanción disciplinaria, toda petición deberá resolverse dentro de los quince (15) días siguientes a su recepción. Estará sometida a término especial la resolución de las siguientes peticiones:</w:t>
      </w:r>
    </w:p>
    <w:p w:rsidR="00DF13CB" w:rsidRPr="00E54EF1" w:rsidRDefault="00DF13CB" w:rsidP="00486552">
      <w:pPr>
        <w:pStyle w:val="Textonotapie"/>
        <w:jc w:val="both"/>
        <w:rPr>
          <w:rFonts w:ascii="Century Gothic" w:hAnsi="Century Gothic" w:cs="Arial"/>
          <w:i/>
          <w:lang w:val="es-CO"/>
        </w:rPr>
      </w:pPr>
      <w:r w:rsidRPr="00E54EF1">
        <w:rPr>
          <w:rFonts w:ascii="Century Gothic" w:hAnsi="Century Gothic" w:cs="Arial"/>
          <w:i/>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DF13CB" w:rsidRPr="00E54EF1" w:rsidRDefault="00DF13CB" w:rsidP="00486552">
      <w:pPr>
        <w:pStyle w:val="Textonotapie"/>
        <w:jc w:val="both"/>
        <w:rPr>
          <w:rFonts w:ascii="Century Gothic" w:hAnsi="Century Gothic" w:cs="Arial"/>
          <w:i/>
          <w:lang w:val="es-CO"/>
        </w:rPr>
      </w:pPr>
      <w:r w:rsidRPr="00E54EF1">
        <w:rPr>
          <w:rFonts w:ascii="Century Gothic" w:hAnsi="Century Gothic" w:cs="Arial"/>
          <w:i/>
          <w:lang w:val="es-CO"/>
        </w:rPr>
        <w:t>2. Las peticiones mediante las cuales se eleva una consulta a las autoridades en relación con las materias a su cargo deberán resolverse dentro de los treinta (30) días siguientes a su recepción.</w:t>
      </w:r>
    </w:p>
    <w:p w:rsidR="00DF13CB" w:rsidRPr="00E54EF1" w:rsidRDefault="00DF13CB" w:rsidP="00486552">
      <w:pPr>
        <w:pStyle w:val="Textonotapie"/>
        <w:jc w:val="both"/>
        <w:rPr>
          <w:rFonts w:ascii="Century Gothic" w:hAnsi="Century Gothic" w:cs="Arial"/>
          <w:i/>
          <w:lang w:val="es-CO"/>
        </w:rPr>
      </w:pPr>
      <w:r w:rsidRPr="00E54EF1">
        <w:rPr>
          <w:rFonts w:ascii="Century Gothic" w:hAnsi="Century Gothic" w:cs="Arial"/>
          <w:i/>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4">
    <w:p w:rsidR="00DF13CB" w:rsidRPr="00E54EF1" w:rsidRDefault="00DF13CB" w:rsidP="00486552">
      <w:pPr>
        <w:jc w:val="both"/>
        <w:rPr>
          <w:rFonts w:ascii="Century Gothic" w:hAnsi="Century Gothic" w:cs="Arial"/>
          <w:i/>
          <w:sz w:val="20"/>
          <w:szCs w:val="20"/>
        </w:rPr>
      </w:pPr>
      <w:r w:rsidRPr="00E54EF1">
        <w:rPr>
          <w:rStyle w:val="Refdenotaalpie"/>
          <w:rFonts w:ascii="Century Gothic" w:hAnsi="Century Gothic" w:cs="Arial"/>
          <w:i/>
          <w:sz w:val="20"/>
          <w:szCs w:val="20"/>
        </w:rPr>
        <w:footnoteRef/>
      </w:r>
      <w:r w:rsidRPr="00E54EF1">
        <w:rPr>
          <w:rFonts w:ascii="Century Gothic" w:hAnsi="Century Gothic" w:cs="Arial"/>
          <w:i/>
          <w:sz w:val="20"/>
          <w:szCs w:val="20"/>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3CB" w:rsidRPr="00E90537" w:rsidRDefault="00DF13CB" w:rsidP="00DF13CB">
    <w:pPr>
      <w:pStyle w:val="Encabezado"/>
      <w:tabs>
        <w:tab w:val="left" w:pos="8789"/>
      </w:tabs>
      <w:ind w:right="51"/>
      <w:jc w:val="right"/>
      <w:rPr>
        <w:rFonts w:ascii="Century Gothic" w:hAnsi="Century Gothic" w:cs="Tahoma"/>
        <w:i/>
        <w:smallCaps/>
        <w:sz w:val="16"/>
        <w:szCs w:val="16"/>
        <w:lang w:val="es-MX"/>
      </w:rPr>
    </w:pPr>
    <w:r>
      <w:rPr>
        <w:rFonts w:ascii="Century Gothic" w:hAnsi="Century Gothic" w:cs="Tahoma"/>
        <w:i/>
        <w:smallCaps/>
        <w:sz w:val="16"/>
        <w:szCs w:val="16"/>
        <w:lang w:val="es-MX"/>
      </w:rPr>
      <w:t>Expediente No. 2020-105</w:t>
    </w:r>
  </w:p>
  <w:p w:rsidR="00DF13CB" w:rsidRPr="00E90537" w:rsidRDefault="00DF13CB" w:rsidP="00DF13CB">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FALLO DE PRIMERA INSTANCIA</w:t>
    </w:r>
  </w:p>
  <w:p w:rsidR="00DF13CB" w:rsidRPr="00E90537" w:rsidRDefault="00DF13CB" w:rsidP="00DF13CB">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ACCIÓN DE TUTELA</w:t>
    </w:r>
  </w:p>
  <w:p w:rsidR="00DF13CB" w:rsidRPr="00E90537" w:rsidRDefault="00DF13CB" w:rsidP="00DF13CB">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 xml:space="preserve">Página </w:t>
    </w:r>
    <w:r w:rsidRPr="00E90537">
      <w:rPr>
        <w:rFonts w:ascii="Century Gothic" w:hAnsi="Century Gothic" w:cs="Tahoma"/>
        <w:i/>
        <w:smallCaps/>
        <w:sz w:val="16"/>
        <w:szCs w:val="16"/>
        <w:lang w:val="es-MX"/>
      </w:rPr>
      <w:fldChar w:fldCharType="begin"/>
    </w:r>
    <w:r w:rsidRPr="00E90537">
      <w:rPr>
        <w:rFonts w:ascii="Century Gothic" w:hAnsi="Century Gothic" w:cs="Tahoma"/>
        <w:i/>
        <w:smallCaps/>
        <w:sz w:val="16"/>
        <w:szCs w:val="16"/>
        <w:lang w:val="es-MX"/>
      </w:rPr>
      <w:instrText xml:space="preserve"> PAGE </w:instrText>
    </w:r>
    <w:r w:rsidRPr="00E90537">
      <w:rPr>
        <w:rFonts w:ascii="Century Gothic" w:hAnsi="Century Gothic" w:cs="Tahoma"/>
        <w:i/>
        <w:smallCaps/>
        <w:sz w:val="16"/>
        <w:szCs w:val="16"/>
        <w:lang w:val="es-MX"/>
      </w:rPr>
      <w:fldChar w:fldCharType="separate"/>
    </w:r>
    <w:r w:rsidR="00F57B1E">
      <w:rPr>
        <w:rFonts w:ascii="Century Gothic" w:hAnsi="Century Gothic" w:cs="Tahoma"/>
        <w:i/>
        <w:smallCaps/>
        <w:noProof/>
        <w:sz w:val="16"/>
        <w:szCs w:val="16"/>
        <w:lang w:val="es-MX"/>
      </w:rPr>
      <w:t>7</w:t>
    </w:r>
    <w:r w:rsidRPr="00E90537">
      <w:rPr>
        <w:rFonts w:ascii="Century Gothic" w:hAnsi="Century Gothic" w:cs="Tahoma"/>
        <w:i/>
        <w:smallCaps/>
        <w:sz w:val="16"/>
        <w:szCs w:val="16"/>
        <w:lang w:val="es-MX"/>
      </w:rPr>
      <w:fldChar w:fldCharType="end"/>
    </w:r>
    <w:r w:rsidRPr="00E90537">
      <w:rPr>
        <w:rFonts w:ascii="Century Gothic" w:hAnsi="Century Gothic" w:cs="Tahoma"/>
        <w:i/>
        <w:smallCaps/>
        <w:sz w:val="16"/>
        <w:szCs w:val="16"/>
        <w:lang w:val="es-MX"/>
      </w:rPr>
      <w:t xml:space="preserve"> de </w:t>
    </w:r>
    <w:r w:rsidRPr="00E90537">
      <w:rPr>
        <w:rFonts w:ascii="Century Gothic" w:hAnsi="Century Gothic" w:cs="Tahoma"/>
        <w:i/>
        <w:smallCaps/>
        <w:sz w:val="16"/>
        <w:szCs w:val="16"/>
        <w:lang w:val="es-MX"/>
      </w:rPr>
      <w:fldChar w:fldCharType="begin"/>
    </w:r>
    <w:r w:rsidRPr="00E90537">
      <w:rPr>
        <w:rFonts w:ascii="Century Gothic" w:hAnsi="Century Gothic" w:cs="Tahoma"/>
        <w:i/>
        <w:smallCaps/>
        <w:sz w:val="16"/>
        <w:szCs w:val="16"/>
        <w:lang w:val="es-MX"/>
      </w:rPr>
      <w:instrText xml:space="preserve"> NUMPAGES </w:instrText>
    </w:r>
    <w:r w:rsidRPr="00E90537">
      <w:rPr>
        <w:rFonts w:ascii="Century Gothic" w:hAnsi="Century Gothic" w:cs="Tahoma"/>
        <w:i/>
        <w:smallCaps/>
        <w:sz w:val="16"/>
        <w:szCs w:val="16"/>
        <w:lang w:val="es-MX"/>
      </w:rPr>
      <w:fldChar w:fldCharType="separate"/>
    </w:r>
    <w:r w:rsidR="00F57B1E">
      <w:rPr>
        <w:rFonts w:ascii="Century Gothic" w:hAnsi="Century Gothic" w:cs="Tahoma"/>
        <w:i/>
        <w:smallCaps/>
        <w:noProof/>
        <w:sz w:val="16"/>
        <w:szCs w:val="16"/>
        <w:lang w:val="es-MX"/>
      </w:rPr>
      <w:t>8</w:t>
    </w:r>
    <w:r w:rsidRPr="00E90537">
      <w:rPr>
        <w:rFonts w:ascii="Century Gothic" w:hAnsi="Century Gothic" w:cs="Tahoma"/>
        <w:i/>
        <w:smallCaps/>
        <w:sz w:val="16"/>
        <w:szCs w:val="16"/>
        <w:lang w:val="es-MX"/>
      </w:rPr>
      <w:fldChar w:fldCharType="end"/>
    </w:r>
  </w:p>
  <w:p w:rsidR="00DF13CB" w:rsidRPr="00B37A33" w:rsidRDefault="00DF13CB">
    <w:pPr>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3CB" w:rsidRPr="00E4766A" w:rsidRDefault="00DF13CB" w:rsidP="00DF13CB">
    <w:pPr>
      <w:tabs>
        <w:tab w:val="center" w:pos="4419"/>
        <w:tab w:val="right" w:pos="8838"/>
      </w:tabs>
      <w:jc w:val="center"/>
      <w:rPr>
        <w:rFonts w:ascii="Century Gothic" w:eastAsiaTheme="minorHAnsi" w:hAnsi="Century Gothic" w:cs="Tahoma"/>
        <w:sz w:val="20"/>
        <w:szCs w:val="20"/>
        <w:lang w:eastAsia="en-US"/>
      </w:rPr>
    </w:pPr>
    <w:r w:rsidRPr="00E4766A">
      <w:rPr>
        <w:rFonts w:ascii="Century Gothic" w:hAnsi="Century Gothic" w:cs="Tahoma"/>
        <w:noProof/>
        <w:sz w:val="20"/>
        <w:szCs w:val="20"/>
        <w:lang w:eastAsia="es-CO"/>
      </w:rPr>
      <w:drawing>
        <wp:inline distT="0" distB="0" distL="0" distR="0" wp14:anchorId="0846626F" wp14:editId="0F3AE0D1">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DF13CB" w:rsidRPr="00E4766A" w:rsidRDefault="00DF13CB" w:rsidP="00DF13CB">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JUZGADO TREINTA Y CUATRO ADMINISTRATIVO</w:t>
    </w:r>
  </w:p>
  <w:p w:rsidR="00DF13CB" w:rsidRPr="00E4766A" w:rsidRDefault="00DF13CB" w:rsidP="00DF13CB">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ORAL DEL CIRCUITO DE BOGOTÁ</w:t>
    </w:r>
  </w:p>
  <w:p w:rsidR="00DF13CB" w:rsidRPr="00E4766A" w:rsidRDefault="00DF13CB" w:rsidP="00DF13CB">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Sección Tercera</w:t>
    </w:r>
  </w:p>
  <w:p w:rsidR="00DF13CB" w:rsidRPr="00F71C2D" w:rsidRDefault="00DF13CB">
    <w:pPr>
      <w:pStyle w:val="Encabezado"/>
      <w:rPr>
        <w:rFonts w:ascii="Century Gothic" w:hAnsi="Century Gothic"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A6010"/>
    <w:multiLevelType w:val="hybridMultilevel"/>
    <w:tmpl w:val="031A7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AB079D3"/>
    <w:multiLevelType w:val="hybridMultilevel"/>
    <w:tmpl w:val="B0485B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215"/>
    <w:rsid w:val="00022F52"/>
    <w:rsid w:val="00076EE7"/>
    <w:rsid w:val="000847E9"/>
    <w:rsid w:val="000A0847"/>
    <w:rsid w:val="00110BDA"/>
    <w:rsid w:val="00166D47"/>
    <w:rsid w:val="001A011E"/>
    <w:rsid w:val="001E5020"/>
    <w:rsid w:val="001E7B97"/>
    <w:rsid w:val="001F6DF8"/>
    <w:rsid w:val="00226533"/>
    <w:rsid w:val="00230C4E"/>
    <w:rsid w:val="002658F9"/>
    <w:rsid w:val="00273874"/>
    <w:rsid w:val="002B6A7F"/>
    <w:rsid w:val="002C1283"/>
    <w:rsid w:val="002C68C6"/>
    <w:rsid w:val="002D282E"/>
    <w:rsid w:val="002E2813"/>
    <w:rsid w:val="0031245A"/>
    <w:rsid w:val="0033052F"/>
    <w:rsid w:val="00337086"/>
    <w:rsid w:val="00365C80"/>
    <w:rsid w:val="00381251"/>
    <w:rsid w:val="003D004B"/>
    <w:rsid w:val="003D283C"/>
    <w:rsid w:val="003F0D6F"/>
    <w:rsid w:val="00440C89"/>
    <w:rsid w:val="004422A3"/>
    <w:rsid w:val="00452190"/>
    <w:rsid w:val="00485D6F"/>
    <w:rsid w:val="00486552"/>
    <w:rsid w:val="004B77D4"/>
    <w:rsid w:val="004C1ABD"/>
    <w:rsid w:val="004C7CC1"/>
    <w:rsid w:val="00516E3F"/>
    <w:rsid w:val="00596B27"/>
    <w:rsid w:val="005D184E"/>
    <w:rsid w:val="005E5F1B"/>
    <w:rsid w:val="006134CE"/>
    <w:rsid w:val="00622CA6"/>
    <w:rsid w:val="006503C3"/>
    <w:rsid w:val="006D1BD7"/>
    <w:rsid w:val="006E7208"/>
    <w:rsid w:val="007028A3"/>
    <w:rsid w:val="00737B03"/>
    <w:rsid w:val="00767813"/>
    <w:rsid w:val="0077413C"/>
    <w:rsid w:val="00785C70"/>
    <w:rsid w:val="007C111F"/>
    <w:rsid w:val="007E0D61"/>
    <w:rsid w:val="00806444"/>
    <w:rsid w:val="00831F98"/>
    <w:rsid w:val="0086562B"/>
    <w:rsid w:val="008A0EB9"/>
    <w:rsid w:val="008F1889"/>
    <w:rsid w:val="00972BCE"/>
    <w:rsid w:val="009E6F5C"/>
    <w:rsid w:val="00A15544"/>
    <w:rsid w:val="00AC3B07"/>
    <w:rsid w:val="00B57D02"/>
    <w:rsid w:val="00B61B7C"/>
    <w:rsid w:val="00B66D01"/>
    <w:rsid w:val="00B724A1"/>
    <w:rsid w:val="00B93637"/>
    <w:rsid w:val="00B93976"/>
    <w:rsid w:val="00C24126"/>
    <w:rsid w:val="00C56766"/>
    <w:rsid w:val="00C865FC"/>
    <w:rsid w:val="00C91A01"/>
    <w:rsid w:val="00CC091E"/>
    <w:rsid w:val="00CD6081"/>
    <w:rsid w:val="00CE1215"/>
    <w:rsid w:val="00D12F7C"/>
    <w:rsid w:val="00D13AF3"/>
    <w:rsid w:val="00D938C5"/>
    <w:rsid w:val="00DF13CB"/>
    <w:rsid w:val="00E2562B"/>
    <w:rsid w:val="00E614E2"/>
    <w:rsid w:val="00E701CF"/>
    <w:rsid w:val="00EB6721"/>
    <w:rsid w:val="00EC585D"/>
    <w:rsid w:val="00ED4AA9"/>
    <w:rsid w:val="00F00DDE"/>
    <w:rsid w:val="00F57B1E"/>
    <w:rsid w:val="00F86F05"/>
    <w:rsid w:val="00F873C4"/>
    <w:rsid w:val="00FC608C"/>
    <w:rsid w:val="00FF00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FCCA7-6074-43B6-A1DE-B2E890E8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1215"/>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CE1215"/>
    <w:pPr>
      <w:ind w:left="708"/>
      <w:jc w:val="both"/>
    </w:pPr>
    <w:rPr>
      <w:rFonts w:ascii="Arial" w:hAnsi="Arial"/>
      <w:szCs w:val="20"/>
      <w:lang w:val="es-MX" w:eastAsia="es-ES"/>
    </w:rPr>
  </w:style>
  <w:style w:type="character" w:customStyle="1" w:styleId="SangradetextonormalCar">
    <w:name w:val="Sangría de texto normal Car"/>
    <w:basedOn w:val="Fuentedeprrafopredeter"/>
    <w:link w:val="Sangradetextonormal"/>
    <w:rsid w:val="00CE121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CE1215"/>
    <w:pPr>
      <w:widowControl w:val="0"/>
      <w:ind w:firstLine="708"/>
      <w:jc w:val="both"/>
    </w:pPr>
    <w:rPr>
      <w:rFonts w:ascii="Arial" w:hAnsi="Arial"/>
      <w:snapToGrid w:val="0"/>
      <w:szCs w:val="20"/>
      <w:lang w:val="es-ES_tradnl" w:eastAsia="es-ES"/>
    </w:rPr>
  </w:style>
  <w:style w:type="character" w:customStyle="1" w:styleId="Sangra2detindependienteCar">
    <w:name w:val="Sangría 2 de t. independiente Car"/>
    <w:basedOn w:val="Fuentedeprrafopredeter"/>
    <w:link w:val="Sangra2detindependiente"/>
    <w:rsid w:val="00CE1215"/>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CE1215"/>
    <w:pPr>
      <w:spacing w:after="120"/>
    </w:pPr>
    <w:rPr>
      <w:rFonts w:ascii="Arial" w:hAnsi="Arial"/>
      <w:szCs w:val="20"/>
      <w:lang w:val="x-none" w:eastAsia="es-ES"/>
    </w:rPr>
  </w:style>
  <w:style w:type="character" w:customStyle="1" w:styleId="TextoindependienteCar">
    <w:name w:val="Texto independiente Car"/>
    <w:basedOn w:val="Fuentedeprrafopredeter"/>
    <w:link w:val="Textoindependiente"/>
    <w:rsid w:val="00CE1215"/>
    <w:rPr>
      <w:rFonts w:ascii="Arial" w:eastAsia="Times New Roman" w:hAnsi="Arial" w:cs="Times New Roman"/>
      <w:sz w:val="24"/>
      <w:szCs w:val="20"/>
      <w:lang w:val="x-none" w:eastAsia="es-ES"/>
    </w:rPr>
  </w:style>
  <w:style w:type="paragraph" w:styleId="Encabezado">
    <w:name w:val="header"/>
    <w:basedOn w:val="Normal"/>
    <w:link w:val="EncabezadoCar"/>
    <w:unhideWhenUsed/>
    <w:rsid w:val="00CE1215"/>
    <w:pPr>
      <w:tabs>
        <w:tab w:val="center" w:pos="4419"/>
        <w:tab w:val="right" w:pos="8838"/>
      </w:tabs>
    </w:pPr>
    <w:rPr>
      <w:lang w:val="es-ES" w:eastAsia="es-ES"/>
    </w:rPr>
  </w:style>
  <w:style w:type="character" w:customStyle="1" w:styleId="EncabezadoCar">
    <w:name w:val="Encabezado Car"/>
    <w:basedOn w:val="Fuentedeprrafopredeter"/>
    <w:link w:val="Encabezado"/>
    <w:rsid w:val="00CE1215"/>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qFormat/>
    <w:rsid w:val="00CE1215"/>
    <w:rPr>
      <w:sz w:val="20"/>
      <w:szCs w:val="20"/>
      <w:lang w:val="es-ES" w:eastAsia="es-ES"/>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CE1215"/>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uiPriority w:val="99"/>
    <w:unhideWhenUsed/>
    <w:qFormat/>
    <w:rsid w:val="00CE1215"/>
    <w:rPr>
      <w:vertAlign w:val="superscript"/>
    </w:rPr>
  </w:style>
  <w:style w:type="paragraph" w:styleId="Prrafodelista">
    <w:name w:val="List Paragraph"/>
    <w:basedOn w:val="Normal"/>
    <w:uiPriority w:val="1"/>
    <w:qFormat/>
    <w:rsid w:val="00CE1215"/>
    <w:pPr>
      <w:ind w:left="720"/>
      <w:contextualSpacing/>
    </w:pPr>
    <w:rPr>
      <w:rFonts w:ascii="Arial" w:hAnsi="Arial"/>
      <w:szCs w:val="20"/>
      <w:lang w:eastAsia="es-ES"/>
    </w:rPr>
  </w:style>
  <w:style w:type="character" w:styleId="Hipervnculo">
    <w:name w:val="Hyperlink"/>
    <w:basedOn w:val="Fuentedeprrafopredeter"/>
    <w:uiPriority w:val="99"/>
    <w:unhideWhenUsed/>
    <w:rsid w:val="00CE1215"/>
    <w:rPr>
      <w:color w:val="0000FF"/>
      <w:u w:val="single"/>
    </w:rPr>
  </w:style>
  <w:style w:type="paragraph" w:styleId="NormalWeb">
    <w:name w:val="Normal (Web)"/>
    <w:basedOn w:val="Normal"/>
    <w:uiPriority w:val="99"/>
    <w:unhideWhenUsed/>
    <w:rsid w:val="00CE1215"/>
    <w:pPr>
      <w:spacing w:before="100" w:beforeAutospacing="1" w:after="100" w:afterAutospacing="1"/>
    </w:pPr>
  </w:style>
  <w:style w:type="character" w:customStyle="1" w:styleId="baj">
    <w:name w:val="b_aj"/>
    <w:basedOn w:val="Fuentedeprrafopredeter"/>
    <w:rsid w:val="00CE1215"/>
  </w:style>
  <w:style w:type="character" w:customStyle="1" w:styleId="apple-converted-space">
    <w:name w:val="apple-converted-space"/>
    <w:basedOn w:val="Fuentedeprrafopredeter"/>
    <w:rsid w:val="00CE1215"/>
  </w:style>
  <w:style w:type="paragraph" w:styleId="Piedepgina">
    <w:name w:val="footer"/>
    <w:basedOn w:val="Normal"/>
    <w:link w:val="PiedepginaCar"/>
    <w:uiPriority w:val="99"/>
    <w:unhideWhenUsed/>
    <w:rsid w:val="00622CA6"/>
    <w:pPr>
      <w:tabs>
        <w:tab w:val="center" w:pos="4419"/>
        <w:tab w:val="right" w:pos="8838"/>
      </w:tabs>
    </w:pPr>
  </w:style>
  <w:style w:type="character" w:customStyle="1" w:styleId="PiedepginaCar">
    <w:name w:val="Pie de página Car"/>
    <w:basedOn w:val="Fuentedeprrafopredeter"/>
    <w:link w:val="Piedepgina"/>
    <w:uiPriority w:val="99"/>
    <w:rsid w:val="00622CA6"/>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1922</Words>
  <Characters>10573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2020-06-10T23:56:00Z</dcterms:created>
  <dcterms:modified xsi:type="dcterms:W3CDTF">2020-06-10T23:56:00Z</dcterms:modified>
</cp:coreProperties>
</file>