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5B0" w:rsidRDefault="00B965B0" w:rsidP="00B965B0">
      <w:pPr>
        <w:spacing w:line="360" w:lineRule="auto"/>
        <w:jc w:val="both"/>
        <w:rPr>
          <w:rFonts w:ascii="Century Gothic" w:hAnsi="Century Gothic"/>
          <w:highlight w:val="green"/>
          <w:lang w:val="es-MX"/>
        </w:rPr>
      </w:pPr>
      <w:bookmarkStart w:id="0" w:name="_GoBack"/>
      <w:bookmarkEnd w:id="0"/>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50"/>
      </w:tblGrid>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sz w:val="22"/>
                <w:szCs w:val="22"/>
                <w:lang w:val="es-MX"/>
              </w:rPr>
            </w:pPr>
            <w:r>
              <w:rPr>
                <w:rFonts w:ascii="Century Gothic" w:eastAsia="Calibri" w:hAnsi="Century Gothic" w:cs="Tahoma"/>
                <w:color w:val="000000"/>
                <w:lang w:val="es-MX"/>
              </w:rPr>
              <w:t>CIUDAD Y FECHA</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114A43" w:rsidP="00FE01C3">
            <w:pPr>
              <w:spacing w:line="276" w:lineRule="auto"/>
              <w:jc w:val="both"/>
              <w:rPr>
                <w:rFonts w:ascii="Century Gothic" w:eastAsia="Calibri" w:hAnsi="Century Gothic" w:cs="Tahoma"/>
                <w:b/>
                <w:color w:val="000000"/>
                <w:lang w:val="es-MX"/>
              </w:rPr>
            </w:pPr>
            <w:r>
              <w:rPr>
                <w:rFonts w:ascii="Century Gothic" w:eastAsia="Calibri" w:hAnsi="Century Gothic" w:cs="Tahoma"/>
                <w:b/>
                <w:color w:val="000000"/>
                <w:lang w:val="es-MX"/>
              </w:rPr>
              <w:t xml:space="preserve">Bogotá, D.C., </w:t>
            </w:r>
            <w:r w:rsidR="00C838E9">
              <w:rPr>
                <w:rFonts w:ascii="Century Gothic" w:eastAsia="Calibri" w:hAnsi="Century Gothic" w:cs="Tahoma"/>
                <w:b/>
                <w:color w:val="000000"/>
                <w:lang w:val="es-MX"/>
              </w:rPr>
              <w:t xml:space="preserve">ocho </w:t>
            </w:r>
            <w:r w:rsidR="00FE01C3">
              <w:rPr>
                <w:rFonts w:ascii="Century Gothic" w:eastAsia="Calibri" w:hAnsi="Century Gothic" w:cs="Tahoma"/>
                <w:b/>
                <w:color w:val="000000"/>
                <w:lang w:val="es-MX"/>
              </w:rPr>
              <w:t>(8) de junio de dos mil veinte (2020)</w:t>
            </w:r>
          </w:p>
        </w:tc>
      </w:tr>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lang w:val="es-MX"/>
              </w:rPr>
            </w:pPr>
            <w:r>
              <w:rPr>
                <w:rFonts w:ascii="Century Gothic" w:eastAsia="Calibri" w:hAnsi="Century Gothic" w:cs="Tahoma"/>
                <w:color w:val="000000"/>
                <w:lang w:val="es-MX"/>
              </w:rPr>
              <w:t>REFERENCIA</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114A43">
            <w:pPr>
              <w:spacing w:line="276" w:lineRule="auto"/>
              <w:jc w:val="both"/>
              <w:rPr>
                <w:rFonts w:ascii="Century Gothic" w:eastAsia="Calibri" w:hAnsi="Century Gothic" w:cs="Tahoma"/>
                <w:b/>
                <w:color w:val="000000"/>
                <w:lang w:val="es-MX"/>
              </w:rPr>
            </w:pPr>
            <w:r>
              <w:rPr>
                <w:rFonts w:ascii="Century Gothic" w:eastAsia="Calibri" w:hAnsi="Century Gothic" w:cs="Tahoma"/>
                <w:b/>
                <w:color w:val="000000"/>
                <w:lang w:val="es-MX"/>
              </w:rPr>
              <w:t>Expediente No. 110013336034</w:t>
            </w:r>
            <w:r>
              <w:rPr>
                <w:rFonts w:ascii="Century Gothic" w:eastAsia="Calibri" w:hAnsi="Century Gothic" w:cs="Tahoma"/>
                <w:b/>
                <w:color w:val="000000"/>
                <w:lang w:val="es-MX"/>
              </w:rPr>
              <w:fldChar w:fldCharType="begin"/>
            </w:r>
            <w:r>
              <w:rPr>
                <w:rFonts w:ascii="Century Gothic" w:eastAsia="Calibri" w:hAnsi="Century Gothic" w:cs="Tahoma"/>
                <w:b/>
                <w:color w:val="000000"/>
                <w:lang w:val="es-MX"/>
              </w:rPr>
              <w:instrText xml:space="preserve"> MERGEFIELD Año </w:instrText>
            </w:r>
            <w:r>
              <w:rPr>
                <w:rFonts w:ascii="Century Gothic" w:eastAsia="Calibri" w:hAnsi="Century Gothic" w:cs="Tahoma"/>
                <w:b/>
                <w:color w:val="000000"/>
                <w:lang w:val="es-MX"/>
              </w:rPr>
              <w:fldChar w:fldCharType="separate"/>
            </w:r>
            <w:r>
              <w:rPr>
                <w:rFonts w:ascii="Century Gothic" w:eastAsia="Calibri" w:hAnsi="Century Gothic" w:cs="Tahoma"/>
                <w:b/>
                <w:noProof/>
                <w:color w:val="000000"/>
                <w:lang w:val="es-MX"/>
              </w:rPr>
              <w:t>2020</w:t>
            </w:r>
            <w:r>
              <w:rPr>
                <w:rFonts w:ascii="Century Gothic" w:eastAsia="Calibri" w:hAnsi="Century Gothic" w:cs="Tahoma"/>
                <w:b/>
                <w:color w:val="000000"/>
                <w:lang w:val="es-MX"/>
              </w:rPr>
              <w:fldChar w:fldCharType="end"/>
            </w:r>
            <w:r>
              <w:rPr>
                <w:rFonts w:ascii="Century Gothic" w:eastAsia="Calibri" w:hAnsi="Century Gothic" w:cs="Tahoma"/>
                <w:b/>
                <w:color w:val="000000"/>
                <w:lang w:val="es-MX"/>
              </w:rPr>
              <w:t>0010300</w:t>
            </w:r>
          </w:p>
        </w:tc>
      </w:tr>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lang w:val="es-MX"/>
              </w:rPr>
            </w:pPr>
            <w:r>
              <w:rPr>
                <w:rFonts w:ascii="Century Gothic" w:eastAsia="Calibri" w:hAnsi="Century Gothic" w:cs="Tahoma"/>
                <w:color w:val="000000"/>
                <w:lang w:val="es-MX"/>
              </w:rPr>
              <w:t>DEMANDANTE</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114A43">
            <w:pPr>
              <w:spacing w:line="276" w:lineRule="auto"/>
              <w:jc w:val="both"/>
              <w:rPr>
                <w:rFonts w:ascii="Century Gothic" w:eastAsia="Calibri" w:hAnsi="Century Gothic" w:cs="Tahoma"/>
                <w:b/>
                <w:color w:val="000000"/>
                <w:lang w:val="es-MX"/>
              </w:rPr>
            </w:pPr>
            <w:r>
              <w:rPr>
                <w:rFonts w:ascii="Century Gothic" w:eastAsia="Calibri" w:hAnsi="Century Gothic" w:cs="Tahoma"/>
                <w:b/>
                <w:color w:val="000000"/>
                <w:lang w:val="es-MX"/>
              </w:rPr>
              <w:t xml:space="preserve">Jair Laurian Caballero Hio </w:t>
            </w:r>
          </w:p>
        </w:tc>
      </w:tr>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lang w:val="es-MX"/>
              </w:rPr>
            </w:pPr>
            <w:r>
              <w:rPr>
                <w:rFonts w:ascii="Century Gothic" w:eastAsia="Calibri" w:hAnsi="Century Gothic" w:cs="Tahoma"/>
                <w:color w:val="000000"/>
                <w:lang w:val="es-MX"/>
              </w:rPr>
              <w:t>DEMANDADO</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114A43">
            <w:pPr>
              <w:spacing w:line="276" w:lineRule="auto"/>
              <w:jc w:val="both"/>
              <w:rPr>
                <w:rFonts w:ascii="Century Gothic" w:eastAsia="Calibri" w:hAnsi="Century Gothic" w:cs="Tahoma"/>
                <w:b/>
                <w:color w:val="000000"/>
              </w:rPr>
            </w:pPr>
            <w:r>
              <w:rPr>
                <w:rFonts w:ascii="Century Gothic" w:eastAsia="Calibri" w:hAnsi="Century Gothic" w:cs="Tahoma"/>
                <w:b/>
                <w:color w:val="000000"/>
              </w:rPr>
              <w:t>Complejo Carcelario y Penitenciario Metropolitano de Bogotá “COMEB”- La Picota</w:t>
            </w:r>
          </w:p>
        </w:tc>
      </w:tr>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lang w:val="es-MX"/>
              </w:rPr>
            </w:pPr>
            <w:r>
              <w:rPr>
                <w:rFonts w:ascii="Century Gothic" w:eastAsia="Calibri" w:hAnsi="Century Gothic" w:cs="Tahoma"/>
                <w:color w:val="000000"/>
                <w:lang w:val="es-MX"/>
              </w:rPr>
              <w:t>MEDIO DE CONTROL</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114A43">
            <w:pPr>
              <w:spacing w:line="276" w:lineRule="auto"/>
              <w:jc w:val="both"/>
              <w:rPr>
                <w:rFonts w:ascii="Century Gothic" w:eastAsia="Calibri" w:hAnsi="Century Gothic" w:cs="Tahoma"/>
                <w:b/>
                <w:color w:val="000000"/>
                <w:lang w:val="es-MX"/>
              </w:rPr>
            </w:pPr>
            <w:r>
              <w:rPr>
                <w:rFonts w:ascii="Century Gothic" w:eastAsia="Calibri" w:hAnsi="Century Gothic" w:cs="Tahoma"/>
                <w:b/>
                <w:color w:val="000000"/>
                <w:lang w:val="es-MX"/>
              </w:rPr>
              <w:t>Tutela</w:t>
            </w:r>
          </w:p>
        </w:tc>
      </w:tr>
      <w:tr w:rsidR="00114A43" w:rsidTr="00114A43">
        <w:tc>
          <w:tcPr>
            <w:tcW w:w="2694" w:type="dxa"/>
            <w:tcBorders>
              <w:top w:val="single" w:sz="4" w:space="0" w:color="auto"/>
              <w:left w:val="single" w:sz="4" w:space="0" w:color="auto"/>
              <w:bottom w:val="single" w:sz="4" w:space="0" w:color="auto"/>
              <w:right w:val="single" w:sz="4" w:space="0" w:color="auto"/>
            </w:tcBorders>
            <w:vAlign w:val="center"/>
            <w:hideMark/>
          </w:tcPr>
          <w:p w:rsidR="00114A43" w:rsidRDefault="00114A43">
            <w:pPr>
              <w:spacing w:line="276" w:lineRule="auto"/>
              <w:jc w:val="both"/>
              <w:rPr>
                <w:rFonts w:ascii="Century Gothic" w:eastAsia="Calibri" w:hAnsi="Century Gothic" w:cs="Tahoma"/>
                <w:color w:val="000000"/>
                <w:lang w:val="es-MX"/>
              </w:rPr>
            </w:pPr>
            <w:r>
              <w:rPr>
                <w:rFonts w:ascii="Century Gothic" w:eastAsia="Calibri" w:hAnsi="Century Gothic" w:cs="Tahoma"/>
                <w:color w:val="000000"/>
                <w:lang w:val="es-MX"/>
              </w:rPr>
              <w:t>ASUNTO</w:t>
            </w:r>
          </w:p>
        </w:tc>
        <w:tc>
          <w:tcPr>
            <w:tcW w:w="6350" w:type="dxa"/>
            <w:tcBorders>
              <w:top w:val="single" w:sz="4" w:space="0" w:color="auto"/>
              <w:left w:val="single" w:sz="4" w:space="0" w:color="auto"/>
              <w:bottom w:val="single" w:sz="4" w:space="0" w:color="auto"/>
              <w:right w:val="single" w:sz="4" w:space="0" w:color="auto"/>
            </w:tcBorders>
            <w:hideMark/>
          </w:tcPr>
          <w:p w:rsidR="00114A43" w:rsidRDefault="00BB0C6D" w:rsidP="00BB0C6D">
            <w:pPr>
              <w:spacing w:line="276" w:lineRule="auto"/>
              <w:jc w:val="both"/>
              <w:rPr>
                <w:rFonts w:ascii="Century Gothic" w:eastAsia="Calibri" w:hAnsi="Century Gothic" w:cs="Tahoma"/>
                <w:b/>
                <w:color w:val="000000"/>
                <w:lang w:val="es-MX"/>
              </w:rPr>
            </w:pPr>
            <w:r>
              <w:rPr>
                <w:rFonts w:ascii="Century Gothic" w:eastAsia="Calibri" w:hAnsi="Century Gothic" w:cs="Tahoma"/>
                <w:b/>
                <w:color w:val="000000"/>
                <w:lang w:val="es-MX"/>
              </w:rPr>
              <w:t xml:space="preserve">Sentencia </w:t>
            </w:r>
            <w:r w:rsidR="00114A43">
              <w:rPr>
                <w:rFonts w:ascii="Century Gothic" w:eastAsia="Calibri" w:hAnsi="Century Gothic" w:cs="Tahoma"/>
                <w:b/>
                <w:color w:val="000000"/>
                <w:lang w:val="es-MX"/>
              </w:rPr>
              <w:t>de primera instancia</w:t>
            </w:r>
          </w:p>
        </w:tc>
      </w:tr>
    </w:tbl>
    <w:p w:rsidR="00114A43" w:rsidRDefault="00114A43" w:rsidP="00B965B0">
      <w:pPr>
        <w:spacing w:line="360" w:lineRule="auto"/>
        <w:jc w:val="both"/>
        <w:rPr>
          <w:rFonts w:ascii="Century Gothic" w:hAnsi="Century Gothic"/>
          <w:highlight w:val="green"/>
          <w:lang w:val="es-MX"/>
        </w:rPr>
      </w:pPr>
    </w:p>
    <w:p w:rsidR="00B965B0" w:rsidRPr="00114A43" w:rsidRDefault="00B965B0" w:rsidP="00B965B0">
      <w:pPr>
        <w:spacing w:line="360" w:lineRule="auto"/>
        <w:jc w:val="center"/>
        <w:rPr>
          <w:rFonts w:ascii="Century Gothic" w:hAnsi="Century Gothic" w:cs="Arial"/>
          <w:b/>
        </w:rPr>
      </w:pPr>
      <w:r w:rsidRPr="00114A43">
        <w:rPr>
          <w:rFonts w:ascii="Century Gothic" w:hAnsi="Century Gothic" w:cs="Arial"/>
          <w:b/>
        </w:rPr>
        <w:t xml:space="preserve">SENTENCIA </w:t>
      </w:r>
    </w:p>
    <w:p w:rsidR="00B965B0" w:rsidRPr="00114A43" w:rsidRDefault="00B965B0" w:rsidP="00B965B0">
      <w:pPr>
        <w:spacing w:line="360" w:lineRule="auto"/>
        <w:jc w:val="both"/>
        <w:rPr>
          <w:rFonts w:ascii="Century Gothic" w:hAnsi="Century Gothic"/>
          <w:lang w:val="es-MX"/>
        </w:rPr>
      </w:pPr>
    </w:p>
    <w:p w:rsidR="00B965B0" w:rsidRPr="00BB0C6D" w:rsidRDefault="00B965B0" w:rsidP="00B965B0">
      <w:pPr>
        <w:spacing w:line="360" w:lineRule="auto"/>
        <w:jc w:val="both"/>
        <w:rPr>
          <w:rFonts w:ascii="Century Gothic" w:hAnsi="Century Gothic" w:cs="Arial"/>
        </w:rPr>
      </w:pPr>
      <w:r w:rsidRPr="00114A43">
        <w:rPr>
          <w:rFonts w:ascii="Century Gothic" w:hAnsi="Century Gothic" w:cs="Arial"/>
        </w:rPr>
        <w:t xml:space="preserve">El despacho decide la acción de tutela que presentó </w:t>
      </w:r>
      <w:r w:rsidR="00114A43" w:rsidRPr="00114A43">
        <w:rPr>
          <w:rFonts w:ascii="Century Gothic" w:eastAsia="Calibri" w:hAnsi="Century Gothic" w:cs="Arial"/>
          <w:bCs/>
          <w:color w:val="000000"/>
          <w:lang w:val="es-MX"/>
        </w:rPr>
        <w:t>Jair Laurian Caballero Hio</w:t>
      </w:r>
      <w:r w:rsidRPr="00114A43">
        <w:rPr>
          <w:rFonts w:ascii="Century Gothic" w:hAnsi="Century Gothic" w:cs="Arial"/>
        </w:rPr>
        <w:t xml:space="preserve"> en contra de </w:t>
      </w:r>
      <w:r w:rsidR="00114A43" w:rsidRPr="00BB0C6D">
        <w:rPr>
          <w:rFonts w:ascii="Century Gothic" w:eastAsia="Calibri" w:hAnsi="Century Gothic" w:cs="Tahoma"/>
          <w:color w:val="000000"/>
        </w:rPr>
        <w:t>Complejo Carcelario y Penitenciario Metropolitano de Bogotá “COMEB”- La Picota</w:t>
      </w:r>
      <w:r w:rsidRPr="00BB0C6D">
        <w:rPr>
          <w:rFonts w:ascii="Century Gothic" w:hAnsi="Century Gothic" w:cs="Arial"/>
        </w:rPr>
        <w:t xml:space="preserve">, </w:t>
      </w:r>
      <w:r w:rsidR="00BB0C6D" w:rsidRPr="00BB0C6D">
        <w:rPr>
          <w:rFonts w:ascii="Century Gothic" w:eastAsia="Calibri" w:hAnsi="Century Gothic" w:cs="Arial"/>
          <w:color w:val="000000"/>
          <w:lang w:val="es-MX"/>
        </w:rPr>
        <w:t>con el fin de proteger sus derechos fundamentales de petición y debido proceso</w:t>
      </w:r>
      <w:r w:rsidRPr="00BB0C6D">
        <w:rPr>
          <w:rFonts w:ascii="Century Gothic" w:hAnsi="Century Gothic" w:cs="Arial"/>
        </w:rPr>
        <w:t xml:space="preserve">. </w:t>
      </w:r>
    </w:p>
    <w:p w:rsidR="00114A43" w:rsidRPr="00B965B0" w:rsidRDefault="00114A43" w:rsidP="00B965B0">
      <w:pPr>
        <w:spacing w:line="360" w:lineRule="auto"/>
        <w:jc w:val="both"/>
        <w:rPr>
          <w:rFonts w:ascii="Century Gothic" w:hAnsi="Century Gothic" w:cs="Arial"/>
          <w:highlight w:val="green"/>
        </w:rPr>
      </w:pPr>
    </w:p>
    <w:p w:rsidR="00B965B0" w:rsidRPr="00F624EA" w:rsidRDefault="00B965B0" w:rsidP="00B965B0">
      <w:pPr>
        <w:spacing w:line="360" w:lineRule="auto"/>
        <w:jc w:val="center"/>
        <w:rPr>
          <w:rFonts w:ascii="Century Gothic" w:hAnsi="Century Gothic" w:cs="Arial"/>
          <w:b/>
        </w:rPr>
      </w:pPr>
      <w:r w:rsidRPr="00F624EA">
        <w:rPr>
          <w:rFonts w:ascii="Century Gothic" w:hAnsi="Century Gothic" w:cs="Arial"/>
          <w:b/>
        </w:rPr>
        <w:t>I. ANTECEDENTES</w:t>
      </w:r>
    </w:p>
    <w:p w:rsidR="00B965B0" w:rsidRPr="00F624EA" w:rsidRDefault="00B965B0" w:rsidP="00B965B0">
      <w:pPr>
        <w:spacing w:line="360" w:lineRule="auto"/>
        <w:jc w:val="center"/>
        <w:rPr>
          <w:rFonts w:ascii="Century Gothic" w:hAnsi="Century Gothic" w:cs="Arial"/>
          <w:b/>
        </w:rPr>
      </w:pPr>
    </w:p>
    <w:p w:rsidR="00B965B0" w:rsidRPr="00F624EA" w:rsidRDefault="00B965B0" w:rsidP="00B965B0">
      <w:pPr>
        <w:spacing w:line="360" w:lineRule="auto"/>
        <w:rPr>
          <w:rFonts w:ascii="Century Gothic" w:hAnsi="Century Gothic"/>
          <w:lang w:val="es-MX"/>
        </w:rPr>
      </w:pPr>
      <w:r w:rsidRPr="00F624EA">
        <w:rPr>
          <w:rFonts w:ascii="Century Gothic" w:hAnsi="Century Gothic" w:cs="Arial"/>
          <w:b/>
        </w:rPr>
        <w:t>1. Síntesis del caso</w:t>
      </w:r>
    </w:p>
    <w:p w:rsidR="00B965B0" w:rsidRPr="00F624EA" w:rsidRDefault="00B965B0" w:rsidP="00B965B0">
      <w:pPr>
        <w:pStyle w:val="Textoindependiente"/>
        <w:tabs>
          <w:tab w:val="left" w:pos="0"/>
        </w:tabs>
        <w:spacing w:after="0" w:line="360" w:lineRule="auto"/>
        <w:jc w:val="both"/>
        <w:rPr>
          <w:rFonts w:ascii="Century Gothic" w:hAnsi="Century Gothic" w:cs="Arial"/>
          <w:szCs w:val="24"/>
          <w:lang w:val="es-ES"/>
        </w:rPr>
      </w:pPr>
    </w:p>
    <w:p w:rsidR="00B965B0" w:rsidRPr="00B965B0" w:rsidRDefault="009E63BD" w:rsidP="00B965B0">
      <w:pPr>
        <w:pStyle w:val="Textoindependiente"/>
        <w:tabs>
          <w:tab w:val="left" w:pos="0"/>
        </w:tabs>
        <w:spacing w:after="0" w:line="360" w:lineRule="auto"/>
        <w:jc w:val="both"/>
        <w:rPr>
          <w:rFonts w:ascii="Century Gothic" w:hAnsi="Century Gothic" w:cs="Arial"/>
          <w:szCs w:val="24"/>
          <w:highlight w:val="green"/>
          <w:lang w:val="es-ES"/>
        </w:rPr>
      </w:pPr>
      <w:r>
        <w:rPr>
          <w:rFonts w:ascii="Century Gothic" w:hAnsi="Century Gothic" w:cs="Arial"/>
          <w:szCs w:val="24"/>
          <w:lang w:val="es-ES"/>
        </w:rPr>
        <w:t xml:space="preserve">1. </w:t>
      </w:r>
      <w:r w:rsidR="00872A1F" w:rsidRPr="00872A1F">
        <w:rPr>
          <w:rFonts w:ascii="Century Gothic" w:hAnsi="Century Gothic" w:cs="Arial"/>
          <w:szCs w:val="24"/>
          <w:lang w:val="es-ES"/>
        </w:rPr>
        <w:t xml:space="preserve">El señor </w:t>
      </w:r>
      <w:r w:rsidR="00F624EA" w:rsidRPr="00872A1F">
        <w:rPr>
          <w:rFonts w:ascii="Century Gothic" w:hAnsi="Century Gothic" w:cs="Arial"/>
          <w:szCs w:val="24"/>
          <w:lang w:val="es-ES"/>
        </w:rPr>
        <w:t xml:space="preserve">Jair Laurian Caballero Hio </w:t>
      </w:r>
      <w:r w:rsidR="00950AB2">
        <w:rPr>
          <w:rFonts w:ascii="Century Gothic" w:hAnsi="Century Gothic" w:cs="Arial"/>
          <w:szCs w:val="24"/>
          <w:lang w:val="es-ES"/>
        </w:rPr>
        <w:t>manifestó que p</w:t>
      </w:r>
      <w:r w:rsidR="00872A1F" w:rsidRPr="00872A1F">
        <w:rPr>
          <w:rFonts w:ascii="Century Gothic" w:hAnsi="Century Gothic" w:cs="Arial"/>
          <w:szCs w:val="24"/>
          <w:lang w:val="es-ES"/>
        </w:rPr>
        <w:t xml:space="preserve">resentó </w:t>
      </w:r>
      <w:r w:rsidR="00F624EA" w:rsidRPr="00872A1F">
        <w:rPr>
          <w:rFonts w:ascii="Century Gothic" w:hAnsi="Century Gothic" w:cs="Arial"/>
          <w:szCs w:val="24"/>
          <w:lang w:val="es-ES"/>
        </w:rPr>
        <w:t xml:space="preserve">el 27 de abril de 2020 </w:t>
      </w:r>
      <w:r w:rsidR="00872A1F" w:rsidRPr="00872A1F">
        <w:rPr>
          <w:rFonts w:ascii="Century Gothic" w:hAnsi="Century Gothic" w:cs="Arial"/>
          <w:szCs w:val="24"/>
          <w:lang w:val="es-ES"/>
        </w:rPr>
        <w:t>derecho de petición ante el Complejo Metropolitano de Bogotá,</w:t>
      </w:r>
      <w:r w:rsidR="00872A1F">
        <w:rPr>
          <w:rFonts w:ascii="Century Gothic" w:hAnsi="Century Gothic" w:cs="Arial"/>
          <w:szCs w:val="24"/>
          <w:lang w:val="es-ES"/>
        </w:rPr>
        <w:t xml:space="preserve"> </w:t>
      </w:r>
      <w:r w:rsidR="008C3294">
        <w:rPr>
          <w:rFonts w:ascii="Century Gothic" w:hAnsi="Century Gothic" w:cs="Arial"/>
          <w:szCs w:val="24"/>
          <w:lang w:val="es-ES"/>
        </w:rPr>
        <w:t xml:space="preserve">en </w:t>
      </w:r>
      <w:r w:rsidR="00872A1F">
        <w:rPr>
          <w:rFonts w:ascii="Century Gothic" w:hAnsi="Century Gothic" w:cs="Arial"/>
          <w:szCs w:val="24"/>
          <w:lang w:val="es-ES"/>
        </w:rPr>
        <w:t>el cual solicitó el reconocimiento de redención d</w:t>
      </w:r>
      <w:r w:rsidR="00950AB2">
        <w:rPr>
          <w:rFonts w:ascii="Century Gothic" w:hAnsi="Century Gothic" w:cs="Arial"/>
          <w:szCs w:val="24"/>
          <w:lang w:val="es-ES"/>
        </w:rPr>
        <w:t xml:space="preserve">e penas y la remisión de esa redención </w:t>
      </w:r>
      <w:r w:rsidR="00872A1F">
        <w:rPr>
          <w:rFonts w:ascii="Century Gothic" w:hAnsi="Century Gothic" w:cs="Arial"/>
          <w:szCs w:val="24"/>
          <w:lang w:val="es-ES"/>
        </w:rPr>
        <w:t>al Juzgado 16 EPMS de Bogotá. Sin embargo, advierte que a la fecha el</w:t>
      </w:r>
      <w:r w:rsidR="00950AB2">
        <w:rPr>
          <w:rFonts w:ascii="Century Gothic" w:hAnsi="Century Gothic" w:cs="Arial"/>
          <w:szCs w:val="24"/>
          <w:lang w:val="es-ES"/>
        </w:rPr>
        <w:t xml:space="preserve"> accionado no ha dado respuesta, razón por la cual interpone la presente tutela, con el fin que se proteja su derecho fundamental de petición y, en consecuencia, se ordene a la entidad que proceda a dar respuesta a los solicitado el 27 de abril de </w:t>
      </w:r>
      <w:r w:rsidR="00950AB2" w:rsidRPr="003576EB">
        <w:rPr>
          <w:rFonts w:ascii="Century Gothic" w:hAnsi="Century Gothic" w:cs="Arial"/>
          <w:szCs w:val="24"/>
          <w:lang w:val="es-ES"/>
        </w:rPr>
        <w:t>2020</w:t>
      </w:r>
      <w:r w:rsidR="00B965B0" w:rsidRPr="003576EB">
        <w:rPr>
          <w:rStyle w:val="Refdenotaalpie"/>
          <w:rFonts w:ascii="Century Gothic" w:hAnsi="Century Gothic" w:cs="Arial"/>
          <w:szCs w:val="24"/>
          <w:lang w:val="es-ES"/>
        </w:rPr>
        <w:footnoteReference w:id="1"/>
      </w:r>
      <w:r w:rsidR="00B965B0" w:rsidRPr="003576EB">
        <w:rPr>
          <w:rFonts w:ascii="Century Gothic" w:hAnsi="Century Gothic" w:cs="Arial"/>
          <w:szCs w:val="24"/>
          <w:lang w:val="es-ES"/>
        </w:rPr>
        <w:t xml:space="preserve">. </w:t>
      </w:r>
    </w:p>
    <w:p w:rsidR="00B965B0" w:rsidRPr="003576EB" w:rsidRDefault="00B965B0" w:rsidP="00B965B0">
      <w:pPr>
        <w:pStyle w:val="Textoindependiente"/>
        <w:tabs>
          <w:tab w:val="left" w:pos="0"/>
        </w:tabs>
        <w:spacing w:after="0" w:line="360" w:lineRule="auto"/>
        <w:jc w:val="both"/>
        <w:rPr>
          <w:rFonts w:ascii="Century Gothic" w:hAnsi="Century Gothic" w:cs="Arial"/>
          <w:b/>
          <w:szCs w:val="24"/>
          <w:lang w:val="es-ES"/>
        </w:rPr>
      </w:pPr>
      <w:r w:rsidRPr="003576EB">
        <w:rPr>
          <w:rFonts w:ascii="Century Gothic" w:hAnsi="Century Gothic" w:cs="Arial"/>
          <w:b/>
          <w:szCs w:val="24"/>
          <w:lang w:val="es-ES"/>
        </w:rPr>
        <w:lastRenderedPageBreak/>
        <w:t xml:space="preserve">2. Contestación de la tutela </w:t>
      </w:r>
    </w:p>
    <w:p w:rsidR="00B965B0" w:rsidRDefault="00B965B0" w:rsidP="00B965B0">
      <w:pPr>
        <w:pStyle w:val="Textoindependiente"/>
        <w:tabs>
          <w:tab w:val="left" w:pos="0"/>
        </w:tabs>
        <w:spacing w:after="0" w:line="360" w:lineRule="auto"/>
        <w:jc w:val="both"/>
        <w:rPr>
          <w:rFonts w:ascii="Century Gothic" w:hAnsi="Century Gothic" w:cs="Arial"/>
          <w:bCs/>
          <w:highlight w:val="green"/>
          <w:lang w:val="es-ES"/>
        </w:rPr>
      </w:pPr>
    </w:p>
    <w:p w:rsidR="004F0519" w:rsidRDefault="000F6F26" w:rsidP="00B921A6">
      <w:pPr>
        <w:pStyle w:val="Textoindependiente"/>
        <w:spacing w:after="0" w:line="360" w:lineRule="auto"/>
        <w:jc w:val="both"/>
        <w:rPr>
          <w:rFonts w:cs="Arial"/>
          <w:sz w:val="22"/>
          <w:szCs w:val="22"/>
          <w:lang w:val="es-CO"/>
        </w:rPr>
      </w:pPr>
      <w:r>
        <w:rPr>
          <w:rFonts w:ascii="Century Gothic" w:hAnsi="Century Gothic" w:cs="Arial"/>
          <w:bCs/>
          <w:szCs w:val="24"/>
          <w:lang w:val="es-CO"/>
        </w:rPr>
        <w:t xml:space="preserve">2. </w:t>
      </w:r>
      <w:r w:rsidR="00701DCA">
        <w:rPr>
          <w:rFonts w:ascii="Century Gothic" w:hAnsi="Century Gothic" w:cs="Arial"/>
          <w:bCs/>
          <w:szCs w:val="24"/>
          <w:lang w:val="es-CO"/>
        </w:rPr>
        <w:t>E</w:t>
      </w:r>
      <w:r w:rsidR="00701DCA" w:rsidRPr="00701DCA">
        <w:rPr>
          <w:rFonts w:ascii="Century Gothic" w:hAnsi="Century Gothic" w:cs="Arial"/>
          <w:bCs/>
          <w:szCs w:val="24"/>
          <w:lang w:val="es-CO"/>
        </w:rPr>
        <w:t>l día 28 de mayo de 2020</w:t>
      </w:r>
      <w:r w:rsidR="00701DCA">
        <w:rPr>
          <w:rFonts w:ascii="Century Gothic" w:hAnsi="Century Gothic" w:cs="Arial"/>
          <w:bCs/>
          <w:szCs w:val="24"/>
          <w:lang w:val="es-CO"/>
        </w:rPr>
        <w:t xml:space="preserve"> se notificó al </w:t>
      </w:r>
      <w:r w:rsidR="004F0519" w:rsidRPr="00B921A6">
        <w:rPr>
          <w:rFonts w:ascii="Century Gothic" w:hAnsi="Century Gothic" w:cs="Arial"/>
          <w:b/>
          <w:szCs w:val="24"/>
          <w:lang w:val="es-MX"/>
        </w:rPr>
        <w:t xml:space="preserve">Director General del Instituto Nacional Penitenciario y Carcelario-INPEC </w:t>
      </w:r>
      <w:r w:rsidR="004F0519" w:rsidRPr="00701DCA">
        <w:rPr>
          <w:rFonts w:ascii="Century Gothic" w:hAnsi="Century Gothic" w:cs="Arial"/>
          <w:szCs w:val="24"/>
          <w:lang w:val="es-MX"/>
        </w:rPr>
        <w:t xml:space="preserve">y </w:t>
      </w:r>
      <w:r w:rsidR="00105325" w:rsidRPr="00701DCA">
        <w:rPr>
          <w:rFonts w:ascii="Century Gothic" w:hAnsi="Century Gothic" w:cs="Arial"/>
          <w:szCs w:val="24"/>
          <w:lang w:val="es-MX"/>
        </w:rPr>
        <w:t>el</w:t>
      </w:r>
      <w:r w:rsidR="00105325">
        <w:rPr>
          <w:rFonts w:ascii="Century Gothic" w:hAnsi="Century Gothic" w:cs="Arial"/>
          <w:b/>
          <w:szCs w:val="24"/>
          <w:lang w:val="es-MX"/>
        </w:rPr>
        <w:t xml:space="preserve"> </w:t>
      </w:r>
      <w:r w:rsidR="004F0519" w:rsidRPr="00B921A6">
        <w:rPr>
          <w:rFonts w:ascii="Century Gothic" w:hAnsi="Century Gothic" w:cs="Arial"/>
          <w:b/>
          <w:szCs w:val="24"/>
          <w:lang w:val="es-MX"/>
        </w:rPr>
        <w:t>Director del Complejo Carcelario y Penitenciario Metropolitano de Bogotá, “COMEB” – La Picota</w:t>
      </w:r>
      <w:r w:rsidR="004F0519" w:rsidRPr="00B921A6">
        <w:rPr>
          <w:rFonts w:ascii="Century Gothic" w:hAnsi="Century Gothic" w:cs="Arial"/>
          <w:szCs w:val="24"/>
          <w:lang w:val="es-CO"/>
        </w:rPr>
        <w:t xml:space="preserve">, </w:t>
      </w:r>
      <w:r w:rsidR="00701DCA">
        <w:rPr>
          <w:rFonts w:ascii="Century Gothic" w:hAnsi="Century Gothic" w:cs="Arial"/>
          <w:szCs w:val="24"/>
          <w:lang w:val="es-CO"/>
        </w:rPr>
        <w:t>para que contestaran la presente acción. Sin embargo, guardaron</w:t>
      </w:r>
      <w:r w:rsidR="00105325">
        <w:rPr>
          <w:rFonts w:ascii="Century Gothic" w:hAnsi="Century Gothic" w:cs="Arial"/>
          <w:szCs w:val="24"/>
          <w:lang w:val="es-CO"/>
        </w:rPr>
        <w:t xml:space="preserve"> </w:t>
      </w:r>
      <w:r w:rsidR="00105325" w:rsidRPr="00B921A6">
        <w:rPr>
          <w:rFonts w:ascii="Century Gothic" w:hAnsi="Century Gothic" w:cs="Arial"/>
          <w:szCs w:val="24"/>
          <w:lang w:val="es-CO"/>
        </w:rPr>
        <w:t>silencio</w:t>
      </w:r>
      <w:r w:rsidR="00B921A6">
        <w:rPr>
          <w:rFonts w:ascii="Century Gothic" w:hAnsi="Century Gothic" w:cs="Arial"/>
          <w:szCs w:val="24"/>
          <w:lang w:val="es-CO"/>
        </w:rPr>
        <w:t xml:space="preserve">. </w:t>
      </w:r>
    </w:p>
    <w:p w:rsidR="004F0519" w:rsidRDefault="004F0519" w:rsidP="004F0519">
      <w:pPr>
        <w:pStyle w:val="Textoindependiente"/>
        <w:spacing w:after="0" w:line="276" w:lineRule="auto"/>
        <w:jc w:val="both"/>
        <w:rPr>
          <w:rFonts w:cs="Arial"/>
          <w:sz w:val="22"/>
          <w:szCs w:val="22"/>
          <w:lang w:val="es-CO"/>
        </w:rPr>
      </w:pPr>
    </w:p>
    <w:p w:rsidR="00B965B0" w:rsidRPr="00105325" w:rsidRDefault="00B965B0" w:rsidP="00B965B0">
      <w:pPr>
        <w:pStyle w:val="Textoindependiente"/>
        <w:spacing w:after="0" w:line="360" w:lineRule="auto"/>
        <w:jc w:val="both"/>
        <w:rPr>
          <w:rFonts w:ascii="Century Gothic" w:hAnsi="Century Gothic" w:cs="Arial"/>
          <w:b/>
          <w:szCs w:val="24"/>
          <w:lang w:val="es-ES"/>
        </w:rPr>
      </w:pPr>
      <w:r w:rsidRPr="00105325">
        <w:rPr>
          <w:rFonts w:ascii="Century Gothic" w:hAnsi="Century Gothic" w:cs="Arial"/>
          <w:b/>
          <w:bCs/>
          <w:szCs w:val="24"/>
          <w:lang w:val="es-ES"/>
        </w:rPr>
        <w:t>3</w:t>
      </w:r>
      <w:r w:rsidRPr="00105325">
        <w:rPr>
          <w:rFonts w:ascii="Century Gothic" w:hAnsi="Century Gothic" w:cs="Arial"/>
          <w:bCs/>
          <w:szCs w:val="24"/>
          <w:lang w:val="es-ES"/>
        </w:rPr>
        <w:t xml:space="preserve">. </w:t>
      </w:r>
      <w:r w:rsidRPr="00105325">
        <w:rPr>
          <w:rFonts w:ascii="Century Gothic" w:hAnsi="Century Gothic" w:cs="Arial"/>
          <w:b/>
          <w:szCs w:val="24"/>
          <w:lang w:val="es-ES"/>
        </w:rPr>
        <w:t>Pruebas</w:t>
      </w:r>
    </w:p>
    <w:p w:rsidR="00B965B0" w:rsidRPr="00105325" w:rsidRDefault="00B965B0" w:rsidP="00B965B0">
      <w:pPr>
        <w:pStyle w:val="Textoindependiente"/>
        <w:spacing w:after="0" w:line="360" w:lineRule="auto"/>
        <w:ind w:left="720"/>
        <w:jc w:val="both"/>
        <w:rPr>
          <w:rFonts w:ascii="Century Gothic" w:hAnsi="Century Gothic" w:cs="Arial"/>
          <w:b/>
          <w:sz w:val="8"/>
          <w:szCs w:val="24"/>
          <w:lang w:val="es-ES"/>
        </w:rPr>
      </w:pPr>
    </w:p>
    <w:p w:rsidR="00105325" w:rsidRDefault="00105325" w:rsidP="00B965B0">
      <w:pPr>
        <w:pStyle w:val="Prrafodelista"/>
        <w:numPr>
          <w:ilvl w:val="0"/>
          <w:numId w:val="1"/>
        </w:numPr>
        <w:spacing w:line="360" w:lineRule="auto"/>
        <w:ind w:left="426" w:hanging="426"/>
        <w:jc w:val="both"/>
        <w:rPr>
          <w:rFonts w:ascii="Century Gothic" w:hAnsi="Century Gothic" w:cs="Arial"/>
        </w:rPr>
      </w:pPr>
      <w:r w:rsidRPr="00105325">
        <w:rPr>
          <w:rFonts w:ascii="Century Gothic" w:hAnsi="Century Gothic" w:cs="Arial"/>
        </w:rPr>
        <w:t xml:space="preserve">Copia del derecho de petición radicado el 27 de abril de 2020 ante el Complejo Metropolitano de Bogotá. </w:t>
      </w:r>
    </w:p>
    <w:p w:rsidR="00105325" w:rsidRPr="00105325" w:rsidRDefault="00C838E9" w:rsidP="00B965B0">
      <w:pPr>
        <w:pStyle w:val="Prrafodelista"/>
        <w:numPr>
          <w:ilvl w:val="0"/>
          <w:numId w:val="1"/>
        </w:numPr>
        <w:spacing w:line="360" w:lineRule="auto"/>
        <w:ind w:left="426" w:hanging="426"/>
        <w:jc w:val="both"/>
        <w:rPr>
          <w:rFonts w:ascii="Century Gothic" w:hAnsi="Century Gothic" w:cs="Arial"/>
        </w:rPr>
      </w:pPr>
      <w:r>
        <w:rPr>
          <w:rFonts w:ascii="Century Gothic" w:hAnsi="Century Gothic" w:cs="Arial"/>
        </w:rPr>
        <w:t>Copia de solicitud de liberta</w:t>
      </w:r>
      <w:r w:rsidR="003B454B">
        <w:rPr>
          <w:rFonts w:ascii="Century Gothic" w:hAnsi="Century Gothic" w:cs="Arial"/>
        </w:rPr>
        <w:t>d</w:t>
      </w:r>
      <w:r w:rsidR="00105325">
        <w:rPr>
          <w:rFonts w:ascii="Century Gothic" w:hAnsi="Century Gothic" w:cs="Arial"/>
        </w:rPr>
        <w:t xml:space="preserve"> condicional del 20 de abril de 2020. </w:t>
      </w:r>
    </w:p>
    <w:p w:rsidR="00B965B0" w:rsidRPr="00B965B0" w:rsidRDefault="00B965B0" w:rsidP="00B965B0">
      <w:pPr>
        <w:pStyle w:val="Sangra2detindependiente"/>
        <w:widowControl/>
        <w:spacing w:line="360" w:lineRule="auto"/>
        <w:ind w:firstLine="0"/>
        <w:jc w:val="center"/>
        <w:rPr>
          <w:rFonts w:ascii="Century Gothic" w:hAnsi="Century Gothic" w:cs="Arial"/>
          <w:b/>
          <w:szCs w:val="24"/>
          <w:highlight w:val="green"/>
          <w:lang w:val="es-ES"/>
        </w:rPr>
      </w:pPr>
    </w:p>
    <w:p w:rsidR="00B965B0" w:rsidRPr="00105325" w:rsidRDefault="00B965B0" w:rsidP="00B965B0">
      <w:pPr>
        <w:pStyle w:val="Sangra2detindependiente"/>
        <w:widowControl/>
        <w:spacing w:line="360" w:lineRule="auto"/>
        <w:ind w:firstLine="0"/>
        <w:jc w:val="center"/>
        <w:rPr>
          <w:rFonts w:ascii="Century Gothic" w:hAnsi="Century Gothic" w:cs="Arial"/>
          <w:b/>
          <w:szCs w:val="24"/>
          <w:lang w:val="es-ES"/>
        </w:rPr>
      </w:pPr>
      <w:r w:rsidRPr="00105325">
        <w:rPr>
          <w:rFonts w:ascii="Century Gothic" w:hAnsi="Century Gothic" w:cs="Arial"/>
          <w:b/>
          <w:szCs w:val="24"/>
          <w:lang w:val="es-ES"/>
        </w:rPr>
        <w:t>II. CONSIDERACIONES</w:t>
      </w:r>
    </w:p>
    <w:p w:rsidR="00B965B0" w:rsidRPr="00105325" w:rsidRDefault="00B965B0" w:rsidP="00B965B0">
      <w:pPr>
        <w:pStyle w:val="Sangra2detindependiente"/>
        <w:widowControl/>
        <w:spacing w:line="360" w:lineRule="auto"/>
        <w:ind w:firstLine="0"/>
        <w:rPr>
          <w:rFonts w:ascii="Century Gothic" w:hAnsi="Century Gothic" w:cs="Arial"/>
          <w:b/>
          <w:sz w:val="14"/>
          <w:szCs w:val="24"/>
          <w:lang w:val="es-ES"/>
        </w:rPr>
      </w:pPr>
    </w:p>
    <w:p w:rsidR="00B965B0" w:rsidRPr="00105325" w:rsidRDefault="00B965B0" w:rsidP="00B965B0">
      <w:pPr>
        <w:pStyle w:val="Sangra2detindependiente"/>
        <w:widowControl/>
        <w:spacing w:line="360" w:lineRule="auto"/>
        <w:ind w:firstLine="0"/>
        <w:rPr>
          <w:rFonts w:ascii="Century Gothic" w:hAnsi="Century Gothic" w:cs="Arial"/>
          <w:b/>
          <w:szCs w:val="24"/>
          <w:lang w:val="es-ES"/>
        </w:rPr>
      </w:pPr>
      <w:r w:rsidRPr="00105325">
        <w:rPr>
          <w:rFonts w:ascii="Century Gothic" w:hAnsi="Century Gothic" w:cs="Arial"/>
          <w:b/>
          <w:szCs w:val="24"/>
          <w:lang w:val="es-ES"/>
        </w:rPr>
        <w:t>4. Competencia</w:t>
      </w:r>
    </w:p>
    <w:p w:rsidR="00B965B0" w:rsidRPr="00105325" w:rsidRDefault="00B965B0" w:rsidP="00B965B0">
      <w:pPr>
        <w:pStyle w:val="Sangra2detindependiente"/>
        <w:widowControl/>
        <w:spacing w:line="360" w:lineRule="auto"/>
        <w:ind w:firstLine="0"/>
        <w:rPr>
          <w:rFonts w:ascii="Century Gothic" w:eastAsia="Calibri" w:hAnsi="Century Gothic" w:cs="Arial"/>
          <w:szCs w:val="24"/>
          <w:lang w:val="es-ES"/>
        </w:rPr>
      </w:pPr>
    </w:p>
    <w:p w:rsidR="00B965B0" w:rsidRPr="00105325" w:rsidRDefault="00B965B0" w:rsidP="00B965B0">
      <w:pPr>
        <w:tabs>
          <w:tab w:val="left" w:pos="0"/>
          <w:tab w:val="left" w:pos="284"/>
          <w:tab w:val="left" w:pos="426"/>
        </w:tabs>
        <w:spacing w:line="360" w:lineRule="auto"/>
        <w:jc w:val="both"/>
        <w:rPr>
          <w:rFonts w:ascii="Century Gothic" w:eastAsia="Calibri" w:hAnsi="Century Gothic" w:cs="Arial"/>
        </w:rPr>
      </w:pPr>
      <w:r w:rsidRPr="00105325">
        <w:rPr>
          <w:rFonts w:ascii="Century Gothic" w:eastAsia="Calibri" w:hAnsi="Century Gothic" w:cs="Arial"/>
        </w:rPr>
        <w:t>3. De conformidad con lo dispuesto en el artículo 86 de la Constitución Política, en el articulado general y, en particular, en los Artículos 1°, 5° y 8° del Decreto – Ley 2591 de 1991 “</w:t>
      </w:r>
      <w:r w:rsidRPr="00105325">
        <w:rPr>
          <w:rFonts w:ascii="Century Gothic" w:eastAsia="Calibri" w:hAnsi="Century Gothic" w:cs="Arial"/>
          <w:i/>
        </w:rPr>
        <w:t>Por el cual se reglamenta la acción de tutela consagrada en el artículo 86 de la Constitución Política”</w:t>
      </w:r>
      <w:r w:rsidRPr="00105325">
        <w:rPr>
          <w:rFonts w:ascii="Century Gothic" w:eastAsia="Calibri" w:hAnsi="Century Gothic" w:cs="Arial"/>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B965B0" w:rsidRPr="00105325" w:rsidRDefault="00B965B0" w:rsidP="00B965B0">
      <w:pPr>
        <w:tabs>
          <w:tab w:val="left" w:pos="0"/>
          <w:tab w:val="left" w:pos="284"/>
          <w:tab w:val="left" w:pos="426"/>
        </w:tabs>
        <w:spacing w:line="360" w:lineRule="auto"/>
        <w:jc w:val="both"/>
        <w:rPr>
          <w:rFonts w:ascii="Century Gothic" w:eastAsia="Calibri" w:hAnsi="Century Gothic" w:cs="Arial"/>
        </w:rPr>
      </w:pPr>
    </w:p>
    <w:p w:rsidR="00B965B0" w:rsidRPr="00105325" w:rsidRDefault="00B965B0" w:rsidP="00B965B0">
      <w:pPr>
        <w:spacing w:line="360" w:lineRule="auto"/>
        <w:jc w:val="both"/>
        <w:rPr>
          <w:rFonts w:ascii="Century Gothic" w:eastAsia="Calibri" w:hAnsi="Century Gothic" w:cs="Arial"/>
        </w:rPr>
      </w:pPr>
      <w:r w:rsidRPr="00105325">
        <w:rPr>
          <w:rFonts w:ascii="Century Gothic" w:eastAsia="Calibri" w:hAnsi="Century Gothic" w:cs="Arial"/>
        </w:rPr>
        <w:t xml:space="preserve">4. 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w:t>
      </w:r>
      <w:r w:rsidRPr="00105325">
        <w:rPr>
          <w:rFonts w:ascii="Century Gothic" w:eastAsia="Calibri" w:hAnsi="Century Gothic" w:cs="Arial"/>
        </w:rPr>
        <w:lastRenderedPageBreak/>
        <w:t>subsidiario y residual, en tanto que, al momento de resolver los conflictos, primero debe recurrirse a los mecanismos judiciales que el legislador previamente ha regulado.</w:t>
      </w:r>
    </w:p>
    <w:p w:rsidR="00B965B0" w:rsidRPr="00105325" w:rsidRDefault="00B965B0" w:rsidP="00B965B0">
      <w:pPr>
        <w:spacing w:line="360" w:lineRule="auto"/>
        <w:ind w:left="708"/>
        <w:jc w:val="both"/>
        <w:rPr>
          <w:rFonts w:ascii="Century Gothic" w:eastAsia="Calibri" w:hAnsi="Century Gothic" w:cs="Arial"/>
        </w:rPr>
      </w:pPr>
    </w:p>
    <w:p w:rsidR="00B965B0" w:rsidRPr="00105325" w:rsidRDefault="00B965B0" w:rsidP="00B965B0">
      <w:pPr>
        <w:spacing w:line="360" w:lineRule="auto"/>
        <w:jc w:val="both"/>
        <w:rPr>
          <w:rFonts w:ascii="Century Gothic" w:eastAsia="Calibri" w:hAnsi="Century Gothic" w:cs="Arial"/>
        </w:rPr>
      </w:pPr>
      <w:r w:rsidRPr="00105325">
        <w:rPr>
          <w:rFonts w:ascii="Century Gothic" w:eastAsia="Calibri" w:hAnsi="Century Gothic" w:cs="Arial"/>
        </w:rPr>
        <w:t xml:space="preserve">5. 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r w:rsidRPr="00105325">
        <w:rPr>
          <w:rFonts w:ascii="Century Gothic" w:hAnsi="Century Gothic" w:cs="Arial"/>
        </w:rPr>
        <w:t>En este caso, la acción de tutela es procedente, comoquiera que se busca la protección del juez constitucional frente vulneración del derecho fundamental de petición.</w:t>
      </w:r>
    </w:p>
    <w:p w:rsidR="00B965B0" w:rsidRPr="00105325" w:rsidRDefault="00B965B0" w:rsidP="00B965B0">
      <w:pPr>
        <w:spacing w:line="360" w:lineRule="auto"/>
        <w:jc w:val="both"/>
        <w:rPr>
          <w:rFonts w:ascii="Century Gothic" w:eastAsia="Calibri" w:hAnsi="Century Gothic" w:cs="Arial"/>
          <w:lang w:val="es-CO"/>
        </w:rPr>
      </w:pPr>
    </w:p>
    <w:p w:rsidR="00B965B0" w:rsidRPr="00105325" w:rsidRDefault="00B965B0" w:rsidP="00B965B0">
      <w:pPr>
        <w:spacing w:line="360" w:lineRule="auto"/>
        <w:jc w:val="both"/>
        <w:rPr>
          <w:rFonts w:ascii="Century Gothic" w:eastAsia="Calibri" w:hAnsi="Century Gothic" w:cs="Arial"/>
        </w:rPr>
      </w:pPr>
      <w:r w:rsidRPr="00105325">
        <w:rPr>
          <w:rFonts w:ascii="Century Gothic" w:eastAsia="Calibri" w:hAnsi="Century Gothic" w:cs="Arial"/>
        </w:rPr>
        <w:t>6. Observa el Despacho que en el presente caso la acción de tutela es procedente en virtud de lo dispuesto en el artículo 10 y 37 de Decreto 2591 de 1991, teniendo en cuenta que quien instaura la acción es la directamente afectada, es decir, está legitimad</w:t>
      </w:r>
      <w:r w:rsidR="001E4937">
        <w:rPr>
          <w:rFonts w:ascii="Century Gothic" w:eastAsia="Calibri" w:hAnsi="Century Gothic" w:cs="Arial"/>
        </w:rPr>
        <w:t>o</w:t>
      </w:r>
      <w:r w:rsidRPr="00105325">
        <w:rPr>
          <w:rFonts w:ascii="Century Gothic" w:eastAsia="Calibri" w:hAnsi="Century Gothic" w:cs="Arial"/>
        </w:rPr>
        <w:t xml:space="preserve"> en la causa para actuar en la acción.</w:t>
      </w:r>
    </w:p>
    <w:p w:rsidR="00B965B0" w:rsidRPr="00FD4069" w:rsidRDefault="00B965B0" w:rsidP="00B965B0">
      <w:pPr>
        <w:spacing w:line="360" w:lineRule="auto"/>
        <w:jc w:val="both"/>
        <w:rPr>
          <w:rFonts w:ascii="Arial" w:eastAsia="Calibri" w:hAnsi="Arial" w:cs="Arial"/>
        </w:rPr>
      </w:pPr>
    </w:p>
    <w:p w:rsidR="00B965B0" w:rsidRPr="00FD4069" w:rsidRDefault="00B965B0" w:rsidP="00B965B0">
      <w:pPr>
        <w:spacing w:line="360" w:lineRule="auto"/>
        <w:jc w:val="both"/>
        <w:rPr>
          <w:rFonts w:ascii="Century Gothic" w:eastAsia="Calibri" w:hAnsi="Century Gothic" w:cs="Arial"/>
          <w:b/>
        </w:rPr>
      </w:pPr>
      <w:r w:rsidRPr="00FD4069">
        <w:rPr>
          <w:rFonts w:ascii="Arial" w:eastAsia="Calibri" w:hAnsi="Arial" w:cs="Arial"/>
        </w:rPr>
        <w:t xml:space="preserve"> </w:t>
      </w:r>
      <w:r w:rsidRPr="00FD4069">
        <w:rPr>
          <w:rFonts w:ascii="Century Gothic" w:eastAsia="Calibri" w:hAnsi="Century Gothic" w:cs="Arial"/>
          <w:b/>
        </w:rPr>
        <w:t>6. Asunto a resolver</w:t>
      </w:r>
    </w:p>
    <w:p w:rsidR="00B965B0" w:rsidRPr="00FD4069" w:rsidRDefault="00B965B0" w:rsidP="00B965B0">
      <w:pPr>
        <w:tabs>
          <w:tab w:val="left" w:pos="0"/>
          <w:tab w:val="left" w:pos="284"/>
          <w:tab w:val="left" w:pos="426"/>
        </w:tabs>
        <w:spacing w:line="360" w:lineRule="auto"/>
        <w:jc w:val="both"/>
        <w:rPr>
          <w:rFonts w:ascii="Century Gothic" w:eastAsia="Calibri" w:hAnsi="Century Gothic" w:cs="Arial"/>
        </w:rPr>
      </w:pPr>
    </w:p>
    <w:p w:rsidR="00B965B0" w:rsidRPr="00FD4069" w:rsidRDefault="00B965B0" w:rsidP="00B965B0">
      <w:pPr>
        <w:tabs>
          <w:tab w:val="left" w:pos="0"/>
          <w:tab w:val="left" w:pos="284"/>
          <w:tab w:val="left" w:pos="426"/>
        </w:tabs>
        <w:spacing w:line="360" w:lineRule="auto"/>
        <w:jc w:val="both"/>
        <w:rPr>
          <w:rFonts w:ascii="Century Gothic" w:eastAsia="Calibri" w:hAnsi="Century Gothic" w:cs="Arial"/>
          <w:b/>
        </w:rPr>
      </w:pPr>
      <w:r w:rsidRPr="00FD4069">
        <w:rPr>
          <w:rFonts w:ascii="Century Gothic" w:eastAsia="Calibri" w:hAnsi="Century Gothic" w:cs="Arial"/>
        </w:rPr>
        <w:t xml:space="preserve">7. El despacho debe establecer si </w:t>
      </w:r>
      <w:r w:rsidR="00FD4069" w:rsidRPr="00FD4069">
        <w:rPr>
          <w:rFonts w:ascii="Century Gothic" w:eastAsia="Calibri" w:hAnsi="Century Gothic" w:cs="Tahoma"/>
          <w:b/>
          <w:color w:val="000000"/>
        </w:rPr>
        <w:t>Complejo Carcelario y Penitenciario Metropolitano de Bogotá “COMEB”- La Picota</w:t>
      </w:r>
      <w:r w:rsidR="00640FDA">
        <w:rPr>
          <w:rFonts w:ascii="Century Gothic" w:eastAsia="Calibri" w:hAnsi="Century Gothic" w:cs="Arial"/>
        </w:rPr>
        <w:t xml:space="preserve"> vulneró los</w:t>
      </w:r>
      <w:r w:rsidRPr="00FD4069">
        <w:rPr>
          <w:rFonts w:ascii="Century Gothic" w:eastAsia="Calibri" w:hAnsi="Century Gothic" w:cs="Arial"/>
        </w:rPr>
        <w:t xml:space="preserve"> </w:t>
      </w:r>
      <w:r w:rsidR="00640FDA">
        <w:rPr>
          <w:rFonts w:ascii="Century Gothic" w:eastAsia="Calibri" w:hAnsi="Century Gothic" w:cs="Arial"/>
        </w:rPr>
        <w:t xml:space="preserve">derechos fundamentales </w:t>
      </w:r>
      <w:r w:rsidRPr="00FD4069">
        <w:rPr>
          <w:rFonts w:ascii="Century Gothic" w:eastAsia="Calibri" w:hAnsi="Century Gothic" w:cs="Arial"/>
        </w:rPr>
        <w:t xml:space="preserve">de </w:t>
      </w:r>
      <w:r w:rsidR="00FD4069" w:rsidRPr="00794DE8">
        <w:rPr>
          <w:rFonts w:ascii="Century Gothic" w:eastAsia="Calibri" w:hAnsi="Century Gothic" w:cs="Arial"/>
          <w:b/>
        </w:rPr>
        <w:t>Jair Laurian Caballero Hio</w:t>
      </w:r>
      <w:r w:rsidR="00FD4069" w:rsidRPr="00FD4069">
        <w:rPr>
          <w:rFonts w:ascii="Century Gothic" w:eastAsia="Calibri" w:hAnsi="Century Gothic" w:cs="Arial"/>
        </w:rPr>
        <w:t xml:space="preserve"> </w:t>
      </w:r>
      <w:r w:rsidRPr="00FD4069">
        <w:rPr>
          <w:rFonts w:ascii="Century Gothic" w:hAnsi="Century Gothic" w:cs="Arial"/>
        </w:rPr>
        <w:t xml:space="preserve">al no contestar </w:t>
      </w:r>
      <w:r w:rsidR="00FD4069" w:rsidRPr="00FD4069">
        <w:rPr>
          <w:rFonts w:ascii="Century Gothic" w:hAnsi="Century Gothic" w:cs="Arial"/>
        </w:rPr>
        <w:t>la petición del 27 de abril de 2020</w:t>
      </w:r>
      <w:r w:rsidRPr="00FD4069">
        <w:rPr>
          <w:rFonts w:ascii="Century Gothic" w:hAnsi="Century Gothic" w:cs="Arial"/>
        </w:rPr>
        <w:t>.</w:t>
      </w:r>
    </w:p>
    <w:p w:rsidR="00B965B0" w:rsidRDefault="00B965B0" w:rsidP="00B965B0">
      <w:pPr>
        <w:pStyle w:val="Sangra2detindependiente"/>
        <w:widowControl/>
        <w:spacing w:line="360" w:lineRule="auto"/>
        <w:ind w:firstLine="0"/>
        <w:rPr>
          <w:rFonts w:ascii="Century Gothic" w:hAnsi="Century Gothic" w:cs="Arial"/>
          <w:b/>
          <w:szCs w:val="24"/>
          <w:lang w:val="es-ES"/>
        </w:rPr>
      </w:pPr>
    </w:p>
    <w:p w:rsidR="00640FDA" w:rsidRDefault="00640FDA" w:rsidP="00640FDA">
      <w:pPr>
        <w:pStyle w:val="Sangra2detindependiente"/>
        <w:widowControl/>
        <w:spacing w:line="276" w:lineRule="auto"/>
        <w:ind w:firstLine="0"/>
        <w:rPr>
          <w:rFonts w:ascii="Century Gothic" w:hAnsi="Century Gothic" w:cs="Arial"/>
          <w:b/>
          <w:szCs w:val="24"/>
          <w:lang w:val="es-ES"/>
        </w:rPr>
      </w:pPr>
      <w:r>
        <w:rPr>
          <w:rFonts w:ascii="Century Gothic" w:hAnsi="Century Gothic" w:cs="Arial"/>
          <w:b/>
          <w:szCs w:val="24"/>
          <w:lang w:val="es-ES"/>
        </w:rPr>
        <w:t>7. Debido proceso.</w:t>
      </w:r>
    </w:p>
    <w:p w:rsidR="004E2DE0" w:rsidRDefault="004E2DE0" w:rsidP="00640FDA">
      <w:pPr>
        <w:pStyle w:val="Sangra2detindependiente"/>
        <w:widowControl/>
        <w:spacing w:line="276" w:lineRule="auto"/>
        <w:ind w:firstLine="0"/>
        <w:rPr>
          <w:rFonts w:ascii="Century Gothic" w:hAnsi="Century Gothic" w:cs="Arial"/>
          <w:b/>
          <w:szCs w:val="24"/>
          <w:lang w:val="es-ES"/>
        </w:rPr>
      </w:pPr>
    </w:p>
    <w:p w:rsidR="00640FDA" w:rsidRDefault="00640FDA" w:rsidP="00640FDA">
      <w:pPr>
        <w:pStyle w:val="Sangra2detindependiente"/>
        <w:widowControl/>
        <w:spacing w:line="276" w:lineRule="auto"/>
        <w:ind w:left="1080" w:firstLine="0"/>
        <w:rPr>
          <w:rFonts w:ascii="Century Gothic" w:hAnsi="Century Gothic" w:cs="Arial"/>
          <w:b/>
          <w:sz w:val="12"/>
          <w:szCs w:val="24"/>
          <w:lang w:val="es-ES"/>
        </w:rPr>
      </w:pPr>
    </w:p>
    <w:p w:rsidR="00640FDA" w:rsidRPr="004E2DE0" w:rsidRDefault="00640FDA" w:rsidP="004E2DE0">
      <w:pPr>
        <w:pStyle w:val="Sangra2detindependiente"/>
        <w:widowControl/>
        <w:spacing w:line="360" w:lineRule="auto"/>
        <w:ind w:firstLine="0"/>
        <w:rPr>
          <w:rFonts w:ascii="Century Gothic" w:hAnsi="Century Gothic" w:cs="Arial"/>
          <w:szCs w:val="24"/>
          <w:lang w:val="es-ES"/>
        </w:rPr>
      </w:pPr>
      <w:r w:rsidRPr="004E2DE0">
        <w:rPr>
          <w:rFonts w:ascii="Century Gothic" w:hAnsi="Century Gothic" w:cs="Arial"/>
          <w:szCs w:val="24"/>
          <w:lang w:val="es-ES"/>
        </w:rPr>
        <w:t xml:space="preserve">8. El artículo 29 de la Constitución Política establece que el </w:t>
      </w:r>
      <w:r w:rsidRPr="004E2DE0">
        <w:rPr>
          <w:rFonts w:ascii="Century Gothic" w:hAnsi="Century Gothic" w:cs="Arial"/>
          <w:b/>
          <w:szCs w:val="24"/>
          <w:lang w:val="es-ES"/>
        </w:rPr>
        <w:t>debido proceso</w:t>
      </w:r>
      <w:r w:rsidRPr="004E2DE0">
        <w:rPr>
          <w:rFonts w:ascii="Century Gothic" w:hAnsi="Century Gothic" w:cs="Arial"/>
          <w:szCs w:val="24"/>
          <w:lang w:val="es-ES"/>
        </w:rPr>
        <w:t xml:space="preserve"> se aplicará a toda clase de actuaciones judiciales y administrativas.</w:t>
      </w:r>
    </w:p>
    <w:p w:rsidR="00640FDA" w:rsidRPr="004E2DE0" w:rsidRDefault="00640FDA" w:rsidP="004E2DE0">
      <w:pPr>
        <w:pStyle w:val="Sangradetextonormal"/>
        <w:spacing w:line="360" w:lineRule="auto"/>
        <w:ind w:left="0"/>
        <w:rPr>
          <w:rFonts w:ascii="Century Gothic" w:hAnsi="Century Gothic" w:cs="Arial"/>
          <w:szCs w:val="24"/>
          <w:lang w:val="es-ES"/>
        </w:rPr>
      </w:pPr>
    </w:p>
    <w:p w:rsidR="00640FDA" w:rsidRPr="004E2DE0" w:rsidRDefault="00640FDA" w:rsidP="004E2DE0">
      <w:pPr>
        <w:pStyle w:val="Sangradetextonormal"/>
        <w:spacing w:line="360" w:lineRule="auto"/>
        <w:ind w:left="0"/>
        <w:rPr>
          <w:rFonts w:ascii="Century Gothic" w:hAnsi="Century Gothic" w:cs="Arial"/>
          <w:i/>
          <w:szCs w:val="24"/>
          <w:lang w:val="es-ES"/>
        </w:rPr>
      </w:pPr>
      <w:r w:rsidRPr="004E2DE0">
        <w:rPr>
          <w:rFonts w:ascii="Century Gothic" w:hAnsi="Century Gothic" w:cs="Arial"/>
          <w:szCs w:val="24"/>
          <w:lang w:val="es-ES"/>
        </w:rPr>
        <w:t xml:space="preserve">9. Sobre el debido proceso, la jurisprudencia constitucional ha establecido que consiste en el conjunto de garantías que tiene el ordenamiento jurídico, para proteger los derechos de las personas que se encuentran dentro de un trámite administrativo o judicial, esas garantías son: </w:t>
      </w:r>
      <w:r w:rsidRPr="009A5FBC">
        <w:rPr>
          <w:rFonts w:ascii="Century Gothic" w:hAnsi="Century Gothic" w:cs="Arial"/>
          <w:i/>
          <w:sz w:val="22"/>
          <w:szCs w:val="24"/>
          <w:lang w:val="es-ES"/>
        </w:rPr>
        <w:t>“(i)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r w:rsidRPr="004E2DE0">
        <w:rPr>
          <w:rFonts w:ascii="Century Gothic" w:hAnsi="Century Gothic" w:cs="Arial"/>
          <w:i/>
          <w:szCs w:val="24"/>
          <w:lang w:val="es-ES"/>
        </w:rPr>
        <w:t xml:space="preserve">.” </w:t>
      </w:r>
      <w:r w:rsidRPr="004E2DE0">
        <w:rPr>
          <w:rFonts w:ascii="Century Gothic" w:hAnsi="Century Gothic" w:cs="Arial"/>
          <w:i/>
          <w:szCs w:val="24"/>
          <w:vertAlign w:val="superscript"/>
          <w:lang w:val="es-ES"/>
        </w:rPr>
        <w:footnoteReference w:id="2"/>
      </w:r>
    </w:p>
    <w:p w:rsidR="00640FDA" w:rsidRDefault="00640FDA" w:rsidP="00640FDA">
      <w:pPr>
        <w:pStyle w:val="Sangradetextonormal"/>
        <w:spacing w:line="276" w:lineRule="auto"/>
        <w:ind w:left="0"/>
        <w:rPr>
          <w:rFonts w:ascii="Century Gothic" w:hAnsi="Century Gothic" w:cs="Arial"/>
          <w:i/>
          <w:sz w:val="22"/>
          <w:szCs w:val="24"/>
          <w:lang w:val="es-ES"/>
        </w:rPr>
      </w:pPr>
    </w:p>
    <w:p w:rsidR="00B965B0" w:rsidRPr="00FD4069" w:rsidRDefault="00640FDA" w:rsidP="00B965B0">
      <w:pPr>
        <w:pStyle w:val="Sangra2detindependiente"/>
        <w:widowControl/>
        <w:spacing w:line="360" w:lineRule="auto"/>
        <w:ind w:firstLine="0"/>
        <w:rPr>
          <w:rFonts w:ascii="Century Gothic" w:hAnsi="Century Gothic" w:cs="Arial"/>
          <w:b/>
          <w:szCs w:val="24"/>
          <w:lang w:val="es-ES"/>
        </w:rPr>
      </w:pPr>
      <w:r>
        <w:rPr>
          <w:rFonts w:ascii="Century Gothic" w:hAnsi="Century Gothic" w:cs="Arial"/>
          <w:b/>
          <w:szCs w:val="24"/>
          <w:lang w:val="es-ES"/>
        </w:rPr>
        <w:t>8</w:t>
      </w:r>
      <w:r w:rsidR="00B965B0" w:rsidRPr="00FD4069">
        <w:rPr>
          <w:rFonts w:ascii="Century Gothic" w:hAnsi="Century Gothic" w:cs="Arial"/>
          <w:b/>
          <w:szCs w:val="24"/>
          <w:lang w:val="es-ES"/>
        </w:rPr>
        <w:t>. Derecho de Petición</w:t>
      </w:r>
    </w:p>
    <w:p w:rsidR="00B965B0" w:rsidRPr="00FD4069" w:rsidRDefault="00B965B0" w:rsidP="00B965B0">
      <w:pPr>
        <w:pStyle w:val="Sangra2detindependiente"/>
        <w:widowControl/>
        <w:spacing w:line="360" w:lineRule="auto"/>
        <w:ind w:firstLine="0"/>
        <w:rPr>
          <w:rFonts w:ascii="Century Gothic" w:hAnsi="Century Gothic" w:cs="Arial"/>
          <w:b/>
          <w:szCs w:val="24"/>
          <w:lang w:val="es-ES"/>
        </w:rPr>
      </w:pPr>
    </w:p>
    <w:p w:rsidR="00B965B0" w:rsidRPr="00562620" w:rsidRDefault="00640FDA" w:rsidP="00B965B0">
      <w:pPr>
        <w:pStyle w:val="Sangra2detindependiente"/>
        <w:widowControl/>
        <w:spacing w:line="360" w:lineRule="auto"/>
        <w:ind w:firstLine="0"/>
        <w:rPr>
          <w:rFonts w:ascii="Century Gothic" w:hAnsi="Century Gothic" w:cs="Arial"/>
          <w:sz w:val="20"/>
          <w:szCs w:val="24"/>
          <w:lang w:val="es-ES"/>
        </w:rPr>
      </w:pPr>
      <w:r>
        <w:rPr>
          <w:rFonts w:ascii="Century Gothic" w:hAnsi="Century Gothic" w:cs="Arial"/>
          <w:szCs w:val="24"/>
          <w:lang w:val="es-ES"/>
        </w:rPr>
        <w:t>10.</w:t>
      </w:r>
      <w:r w:rsidR="00B965B0" w:rsidRPr="00FD4069">
        <w:rPr>
          <w:rFonts w:ascii="Century Gothic" w:hAnsi="Century Gothic" w:cs="Arial"/>
          <w:szCs w:val="24"/>
          <w:lang w:val="es-ES"/>
        </w:rPr>
        <w:t xml:space="preserve">. El artículo 23 de la Constitución Política consagra </w:t>
      </w:r>
      <w:r w:rsidR="00B965B0" w:rsidRPr="00562620">
        <w:rPr>
          <w:rFonts w:ascii="Century Gothic" w:hAnsi="Century Gothic" w:cs="Arial"/>
          <w:i/>
          <w:sz w:val="22"/>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B965B0" w:rsidRPr="00FD4069" w:rsidRDefault="00B965B0" w:rsidP="00B965B0">
      <w:pPr>
        <w:pStyle w:val="Sangra2detindependiente"/>
        <w:widowControl/>
        <w:spacing w:line="360" w:lineRule="auto"/>
        <w:ind w:firstLine="0"/>
        <w:rPr>
          <w:rFonts w:ascii="Century Gothic" w:hAnsi="Century Gothic" w:cs="Arial"/>
          <w:b/>
          <w:szCs w:val="24"/>
          <w:lang w:val="es-ES"/>
        </w:rPr>
      </w:pPr>
    </w:p>
    <w:p w:rsidR="00B965B0" w:rsidRPr="00FD4069" w:rsidRDefault="00640FDA" w:rsidP="00B965B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11</w:t>
      </w:r>
      <w:r w:rsidR="00B965B0" w:rsidRPr="00FD4069">
        <w:rPr>
          <w:rFonts w:ascii="Century Gothic" w:hAnsi="Century Gothic" w:cs="Arial"/>
          <w:szCs w:val="24"/>
          <w:lang w:val="es-ES"/>
        </w:rPr>
        <w:t>. 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00B965B0" w:rsidRPr="00FD4069">
        <w:rPr>
          <w:rStyle w:val="Refdenotaalpie"/>
          <w:rFonts w:ascii="Century Gothic" w:hAnsi="Century Gothic" w:cs="Arial"/>
          <w:szCs w:val="24"/>
          <w:lang w:val="es-ES"/>
        </w:rPr>
        <w:footnoteReference w:id="3"/>
      </w:r>
      <w:r w:rsidR="00B965B0" w:rsidRPr="00FD4069">
        <w:rPr>
          <w:rFonts w:ascii="Century Gothic" w:hAnsi="Century Gothic" w:cs="Arial"/>
          <w:szCs w:val="24"/>
          <w:lang w:val="es-ES"/>
        </w:rPr>
        <w:t>, estableciendo las reglas básicas que rigen el derecho de petición:</w:t>
      </w:r>
    </w:p>
    <w:p w:rsidR="00B965B0" w:rsidRPr="002F28D4" w:rsidRDefault="00B965B0" w:rsidP="00B965B0">
      <w:pPr>
        <w:pStyle w:val="Sangradetextonormal"/>
        <w:spacing w:line="360" w:lineRule="auto"/>
        <w:ind w:left="0"/>
        <w:rPr>
          <w:rFonts w:ascii="Century Gothic" w:hAnsi="Century Gothic" w:cs="Arial"/>
          <w:sz w:val="14"/>
          <w:szCs w:val="24"/>
          <w:lang w:val="es-ES"/>
        </w:rPr>
      </w:pPr>
    </w:p>
    <w:p w:rsidR="00B965B0" w:rsidRPr="00FD4069" w:rsidRDefault="00B965B0" w:rsidP="00B965B0">
      <w:pPr>
        <w:pStyle w:val="Sangradetextonormal"/>
        <w:spacing w:line="360" w:lineRule="auto"/>
        <w:ind w:left="0"/>
        <w:rPr>
          <w:rFonts w:ascii="Century Gothic" w:hAnsi="Century Gothic" w:cs="Arial"/>
          <w:szCs w:val="24"/>
          <w:lang w:val="es-ES"/>
        </w:rPr>
      </w:pPr>
      <w:r w:rsidRPr="00FD4069">
        <w:rPr>
          <w:rFonts w:ascii="Century Gothic" w:hAnsi="Century Gothic" w:cs="Arial"/>
          <w:szCs w:val="24"/>
          <w:lang w:val="es-ES"/>
        </w:rPr>
        <w:t>1</w:t>
      </w:r>
      <w:r w:rsidR="00640FDA">
        <w:rPr>
          <w:rFonts w:ascii="Century Gothic" w:hAnsi="Century Gothic" w:cs="Arial"/>
          <w:szCs w:val="24"/>
          <w:lang w:val="es-ES"/>
        </w:rPr>
        <w:t>2</w:t>
      </w:r>
      <w:r w:rsidRPr="00FD4069">
        <w:rPr>
          <w:rFonts w:ascii="Century Gothic" w:hAnsi="Century Gothic" w:cs="Arial"/>
          <w:szCs w:val="24"/>
          <w:lang w:val="es-ES"/>
        </w:rPr>
        <w:t xml:space="preserve">. El derecho de petición es fundamental y determinante para la efectividad de los mecanismos de la democracia participativa. El núcleo esencial del derecho de petición reside en la resolución pronta y oportuna de la cuestión. La respuesta debe cumplir con estos requisitos: i) </w:t>
      </w:r>
      <w:r w:rsidRPr="00FD4069">
        <w:rPr>
          <w:rFonts w:ascii="Century Gothic" w:hAnsi="Century Gothic" w:cs="Arial"/>
          <w:szCs w:val="24"/>
          <w:u w:val="single"/>
          <w:lang w:val="es-ES"/>
        </w:rPr>
        <w:t>Debe ser oportuna</w:t>
      </w:r>
      <w:r w:rsidRPr="00FD4069">
        <w:rPr>
          <w:rFonts w:ascii="Century Gothic" w:hAnsi="Century Gothic" w:cs="Arial"/>
          <w:szCs w:val="24"/>
          <w:lang w:val="es-ES"/>
        </w:rPr>
        <w:t xml:space="preserve">, ii) Debe resolverse de fondo, clara, precisa y de manera congruente con lo solicitado y, iii) </w:t>
      </w:r>
      <w:r w:rsidRPr="00FD4069">
        <w:rPr>
          <w:rFonts w:ascii="Century Gothic" w:hAnsi="Century Gothic" w:cs="Arial"/>
          <w:szCs w:val="24"/>
          <w:u w:val="single"/>
          <w:lang w:val="es-ES"/>
        </w:rPr>
        <w:t>debe ser puesta en conocimiento del peticionario</w:t>
      </w:r>
      <w:r w:rsidRPr="00FD4069">
        <w:rPr>
          <w:rFonts w:ascii="Century Gothic" w:hAnsi="Century Gothic" w:cs="Arial"/>
          <w:szCs w:val="24"/>
          <w:lang w:val="es-ES"/>
        </w:rPr>
        <w:t>. Si no cumple con estos requisitos se incurre en una violación al derecho constitucional fundamental de petición.</w:t>
      </w:r>
    </w:p>
    <w:p w:rsidR="00B965B0" w:rsidRPr="002F28D4" w:rsidRDefault="00B965B0" w:rsidP="00B965B0">
      <w:pPr>
        <w:pStyle w:val="Sangradetextonormal"/>
        <w:spacing w:line="360" w:lineRule="auto"/>
        <w:ind w:left="0"/>
        <w:rPr>
          <w:rFonts w:ascii="Century Gothic" w:hAnsi="Century Gothic" w:cs="Arial"/>
          <w:sz w:val="10"/>
          <w:szCs w:val="24"/>
          <w:lang w:val="es-ES"/>
        </w:rPr>
      </w:pPr>
    </w:p>
    <w:p w:rsidR="000F6F26" w:rsidRDefault="00640FDA" w:rsidP="00B965B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13</w:t>
      </w:r>
      <w:r w:rsidR="00B965B0" w:rsidRPr="00FD4069">
        <w:rPr>
          <w:rFonts w:ascii="Century Gothic" w:hAnsi="Century Gothic" w:cs="Arial"/>
          <w:szCs w:val="24"/>
          <w:lang w:val="es-ES"/>
        </w:rPr>
        <w:t>. La respuesta no implica la aceptación de lo solicitado ni tampoco se concreta siempre en una respuesta escrita. 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w:t>
      </w:r>
      <w:r w:rsidR="00A91FAA">
        <w:rPr>
          <w:rFonts w:ascii="Century Gothic" w:hAnsi="Century Gothic" w:cs="Arial"/>
          <w:szCs w:val="24"/>
          <w:lang w:val="es-ES"/>
        </w:rPr>
        <w:t xml:space="preserve"> 1755 de 2015 que señala  los términos </w:t>
      </w:r>
      <w:r w:rsidR="00B965B0" w:rsidRPr="00FD4069">
        <w:rPr>
          <w:rFonts w:ascii="Century Gothic" w:hAnsi="Century Gothic" w:cs="Arial"/>
          <w:szCs w:val="24"/>
          <w:lang w:val="es-ES"/>
        </w:rPr>
        <w:t xml:space="preserve"> para resolver</w:t>
      </w:r>
      <w:r w:rsidR="00B965B0" w:rsidRPr="00FD4069">
        <w:rPr>
          <w:rStyle w:val="Refdenotaalpie"/>
          <w:rFonts w:ascii="Century Gothic" w:hAnsi="Century Gothic" w:cs="Arial"/>
          <w:szCs w:val="24"/>
          <w:lang w:val="es-ES"/>
        </w:rPr>
        <w:footnoteReference w:id="4"/>
      </w:r>
      <w:r w:rsidR="00B965B0" w:rsidRPr="00FD4069">
        <w:rPr>
          <w:rFonts w:ascii="Century Gothic" w:hAnsi="Century Gothic" w:cs="Arial"/>
          <w:szCs w:val="24"/>
          <w:lang w:val="es-ES"/>
        </w:rPr>
        <w:t xml:space="preserve">. </w:t>
      </w:r>
    </w:p>
    <w:p w:rsidR="00640FDA" w:rsidRPr="002F28D4" w:rsidRDefault="00640FDA" w:rsidP="00B965B0">
      <w:pPr>
        <w:pStyle w:val="Sangradetextonormal"/>
        <w:spacing w:line="360" w:lineRule="auto"/>
        <w:ind w:left="0"/>
        <w:rPr>
          <w:rFonts w:ascii="Century Gothic" w:hAnsi="Century Gothic" w:cs="Arial"/>
          <w:sz w:val="14"/>
          <w:szCs w:val="24"/>
          <w:lang w:val="es-ES"/>
        </w:rPr>
      </w:pPr>
    </w:p>
    <w:p w:rsidR="00B965B0" w:rsidRPr="00FD4069" w:rsidRDefault="00B965B0" w:rsidP="00B965B0">
      <w:pPr>
        <w:spacing w:line="360" w:lineRule="auto"/>
        <w:jc w:val="both"/>
        <w:rPr>
          <w:rFonts w:ascii="Century Gothic" w:hAnsi="Century Gothic" w:cs="Arial"/>
        </w:rPr>
      </w:pPr>
      <w:r w:rsidRPr="00FD4069">
        <w:rPr>
          <w:rFonts w:ascii="Century Gothic" w:hAnsi="Century Gothic" w:cs="Arial"/>
        </w:rPr>
        <w:t>1</w:t>
      </w:r>
      <w:r w:rsidR="00640FDA">
        <w:rPr>
          <w:rFonts w:ascii="Century Gothic" w:hAnsi="Century Gothic" w:cs="Arial"/>
        </w:rPr>
        <w:t>4</w:t>
      </w:r>
      <w:r w:rsidRPr="00FD4069">
        <w:rPr>
          <w:rFonts w:ascii="Century Gothic" w:hAnsi="Century Gothic" w:cs="Arial"/>
        </w:rPr>
        <w:t>. 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 Pronta resolución quiere decir que la autoridad está obligada a contestar la solicitud de manera oportuna, aunque el sentido de la decisión dependerá de las circunstancias de cada caso en particular.</w:t>
      </w:r>
    </w:p>
    <w:p w:rsidR="00B965B0" w:rsidRPr="00FD4069" w:rsidRDefault="00B965B0" w:rsidP="00B965B0">
      <w:pPr>
        <w:spacing w:line="360" w:lineRule="auto"/>
        <w:jc w:val="both"/>
        <w:rPr>
          <w:rFonts w:ascii="Century Gothic" w:hAnsi="Century Gothic" w:cs="Arial"/>
        </w:rPr>
      </w:pPr>
    </w:p>
    <w:p w:rsidR="00B965B0" w:rsidRPr="00FD4069" w:rsidRDefault="00BC007D" w:rsidP="00B965B0">
      <w:pPr>
        <w:spacing w:line="360" w:lineRule="auto"/>
        <w:jc w:val="both"/>
        <w:rPr>
          <w:rFonts w:ascii="Century Gothic" w:hAnsi="Century Gothic" w:cs="Arial"/>
        </w:rPr>
      </w:pPr>
      <w:r>
        <w:rPr>
          <w:rFonts w:ascii="Century Gothic" w:hAnsi="Century Gothic" w:cs="Arial"/>
        </w:rPr>
        <w:t>15.</w:t>
      </w:r>
      <w:r w:rsidR="00B965B0" w:rsidRPr="00FD4069">
        <w:rPr>
          <w:rFonts w:ascii="Century Gothic" w:hAnsi="Century Gothic" w:cs="Arial"/>
        </w:rPr>
        <w:t xml:space="preserve"> Transcurridos los términos que la ley contempla sin que se reciba respuesta alguna de la administración, el derecho de petición resulta vulnerado por cuanto se desconoce el mandato constitucional de la prontitud en la contestación oficial al peticionario</w:t>
      </w:r>
      <w:r w:rsidR="00B965B0" w:rsidRPr="00FD4069">
        <w:rPr>
          <w:rStyle w:val="Refdenotaalpie"/>
          <w:rFonts w:ascii="Century Gothic" w:hAnsi="Century Gothic" w:cs="Arial"/>
        </w:rPr>
        <w:footnoteReference w:id="5"/>
      </w:r>
      <w:r w:rsidR="00B965B0" w:rsidRPr="00FD4069">
        <w:rPr>
          <w:rFonts w:ascii="Century Gothic" w:hAnsi="Century Gothic" w:cs="Arial"/>
        </w:rPr>
        <w:t>.</w:t>
      </w:r>
    </w:p>
    <w:p w:rsidR="00B965B0" w:rsidRPr="00FD4069" w:rsidRDefault="00B965B0" w:rsidP="00B965B0">
      <w:pPr>
        <w:spacing w:line="360" w:lineRule="auto"/>
        <w:jc w:val="both"/>
        <w:rPr>
          <w:rFonts w:ascii="Century Gothic" w:hAnsi="Century Gothic" w:cs="Arial"/>
          <w:b/>
        </w:rPr>
      </w:pPr>
    </w:p>
    <w:p w:rsidR="00B965B0" w:rsidRPr="00FD4069" w:rsidRDefault="005F69CD" w:rsidP="00B965B0">
      <w:pPr>
        <w:spacing w:line="360" w:lineRule="auto"/>
        <w:jc w:val="both"/>
        <w:rPr>
          <w:rFonts w:ascii="Century Gothic" w:hAnsi="Century Gothic" w:cs="Arial"/>
          <w:b/>
        </w:rPr>
      </w:pPr>
      <w:r>
        <w:rPr>
          <w:rFonts w:ascii="Century Gothic" w:hAnsi="Century Gothic" w:cs="Arial"/>
          <w:b/>
        </w:rPr>
        <w:t>9</w:t>
      </w:r>
      <w:r w:rsidR="00B965B0" w:rsidRPr="00FD4069">
        <w:rPr>
          <w:rFonts w:ascii="Century Gothic" w:hAnsi="Century Gothic" w:cs="Arial"/>
          <w:b/>
        </w:rPr>
        <w:t>. Caso en concreto</w:t>
      </w:r>
    </w:p>
    <w:p w:rsidR="00B965B0" w:rsidRPr="009C2B3C" w:rsidRDefault="00B965B0" w:rsidP="00B965B0">
      <w:pPr>
        <w:spacing w:line="360" w:lineRule="auto"/>
        <w:jc w:val="both"/>
        <w:rPr>
          <w:rFonts w:ascii="Century Gothic" w:hAnsi="Century Gothic" w:cs="Arial"/>
          <w:sz w:val="18"/>
        </w:rPr>
      </w:pPr>
    </w:p>
    <w:p w:rsidR="00203208" w:rsidRDefault="00203208" w:rsidP="00545D9A">
      <w:pPr>
        <w:spacing w:line="360" w:lineRule="auto"/>
        <w:jc w:val="both"/>
        <w:rPr>
          <w:rFonts w:ascii="Century Gothic" w:hAnsi="Century Gothic" w:cs="Arial"/>
        </w:rPr>
      </w:pPr>
      <w:r>
        <w:rPr>
          <w:rFonts w:ascii="Century Gothic" w:hAnsi="Century Gothic" w:cs="Arial"/>
        </w:rPr>
        <w:t>1</w:t>
      </w:r>
      <w:r w:rsidR="00BC007D">
        <w:rPr>
          <w:rFonts w:ascii="Century Gothic" w:hAnsi="Century Gothic" w:cs="Arial"/>
        </w:rPr>
        <w:t>6</w:t>
      </w:r>
      <w:r>
        <w:rPr>
          <w:rFonts w:ascii="Century Gothic" w:hAnsi="Century Gothic" w:cs="Arial"/>
        </w:rPr>
        <w:t xml:space="preserve">. </w:t>
      </w:r>
      <w:r w:rsidR="00B965B0" w:rsidRPr="009C2B3C">
        <w:rPr>
          <w:rFonts w:ascii="Century Gothic" w:hAnsi="Century Gothic" w:cs="Arial"/>
        </w:rPr>
        <w:t xml:space="preserve">De los documentos aportados consta que </w:t>
      </w:r>
      <w:r w:rsidR="009C2B3C" w:rsidRPr="009C2B3C">
        <w:rPr>
          <w:rFonts w:ascii="Century Gothic" w:hAnsi="Century Gothic" w:cs="Arial"/>
        </w:rPr>
        <w:t>Jair Laurian Caballero Hio</w:t>
      </w:r>
      <w:r w:rsidR="00B965B0" w:rsidRPr="009C2B3C">
        <w:rPr>
          <w:rFonts w:ascii="Century Gothic" w:hAnsi="Century Gothic" w:cs="Arial"/>
        </w:rPr>
        <w:t xml:space="preserve"> presentó petición el </w:t>
      </w:r>
      <w:r w:rsidR="009C2B3C" w:rsidRPr="009C2B3C">
        <w:rPr>
          <w:rFonts w:ascii="Century Gothic" w:hAnsi="Century Gothic" w:cs="Arial"/>
        </w:rPr>
        <w:t>27 de abril de 2020</w:t>
      </w:r>
      <w:r w:rsidR="002F3C82">
        <w:rPr>
          <w:rFonts w:ascii="Century Gothic" w:hAnsi="Century Gothic" w:cs="Arial"/>
        </w:rPr>
        <w:t>, p</w:t>
      </w:r>
      <w:r w:rsidR="001F2A12">
        <w:rPr>
          <w:rFonts w:ascii="Century Gothic" w:hAnsi="Century Gothic" w:cs="Arial"/>
        </w:rPr>
        <w:t>or lo que, la entidad tenia para contestar la soli</w:t>
      </w:r>
      <w:r w:rsidR="00875786">
        <w:rPr>
          <w:rFonts w:ascii="Century Gothic" w:hAnsi="Century Gothic" w:cs="Arial"/>
        </w:rPr>
        <w:t>ci</w:t>
      </w:r>
      <w:r w:rsidR="001F2A12">
        <w:rPr>
          <w:rFonts w:ascii="Century Gothic" w:hAnsi="Century Gothic" w:cs="Arial"/>
        </w:rPr>
        <w:t xml:space="preserve">tud hasta </w:t>
      </w:r>
      <w:r w:rsidR="005C1CD9">
        <w:rPr>
          <w:rFonts w:ascii="Century Gothic" w:hAnsi="Century Gothic" w:cs="Arial"/>
        </w:rPr>
        <w:t>19</w:t>
      </w:r>
      <w:r w:rsidR="001F2A12">
        <w:rPr>
          <w:rFonts w:ascii="Century Gothic" w:hAnsi="Century Gothic" w:cs="Arial"/>
        </w:rPr>
        <w:t xml:space="preserve"> de mayo</w:t>
      </w:r>
      <w:r w:rsidR="003B454B">
        <w:rPr>
          <w:rFonts w:ascii="Century Gothic" w:hAnsi="Century Gothic" w:cs="Arial"/>
        </w:rPr>
        <w:t xml:space="preserve"> del mismo año</w:t>
      </w:r>
      <w:r w:rsidR="001F2A12">
        <w:rPr>
          <w:rFonts w:ascii="Century Gothic" w:hAnsi="Century Gothic" w:cs="Arial"/>
        </w:rPr>
        <w:t>,</w:t>
      </w:r>
      <w:r w:rsidR="008975C5">
        <w:rPr>
          <w:rFonts w:ascii="Century Gothic" w:hAnsi="Century Gothic" w:cs="Arial"/>
        </w:rPr>
        <w:t xml:space="preserve"> según los términos establecidos en </w:t>
      </w:r>
      <w:r w:rsidR="00041A66">
        <w:rPr>
          <w:rFonts w:ascii="Century Gothic" w:hAnsi="Century Gothic" w:cs="Arial"/>
        </w:rPr>
        <w:t xml:space="preserve">artículo 14 de </w:t>
      </w:r>
      <w:r w:rsidR="008975C5">
        <w:rPr>
          <w:rFonts w:ascii="Century Gothic" w:hAnsi="Century Gothic" w:cs="Arial"/>
        </w:rPr>
        <w:t>la L</w:t>
      </w:r>
      <w:r w:rsidR="00041A66">
        <w:rPr>
          <w:rFonts w:ascii="Century Gothic" w:hAnsi="Century Gothic" w:cs="Arial"/>
        </w:rPr>
        <w:t xml:space="preserve">ey 1437 de 2011 y en concordancia con los dispuesto en el </w:t>
      </w:r>
      <w:r w:rsidR="001F2A12">
        <w:rPr>
          <w:rFonts w:ascii="Century Gothic" w:hAnsi="Century Gothic" w:cs="Arial"/>
        </w:rPr>
        <w:t xml:space="preserve"> </w:t>
      </w:r>
      <w:r w:rsidR="00041A66">
        <w:rPr>
          <w:rFonts w:ascii="Century Gothic" w:hAnsi="Century Gothic" w:cs="Arial"/>
        </w:rPr>
        <w:t xml:space="preserve">parágrafo del </w:t>
      </w:r>
      <w:r w:rsidR="001F2A12">
        <w:rPr>
          <w:rFonts w:ascii="Century Gothic" w:hAnsi="Century Gothic" w:cs="Arial"/>
        </w:rPr>
        <w:t xml:space="preserve">artículo 5 del Decreto </w:t>
      </w:r>
      <w:r w:rsidR="00041A66">
        <w:rPr>
          <w:rFonts w:ascii="Century Gothic" w:hAnsi="Century Gothic" w:cs="Arial"/>
        </w:rPr>
        <w:t xml:space="preserve">Legislativo </w:t>
      </w:r>
      <w:r w:rsidR="001F2A12">
        <w:rPr>
          <w:rFonts w:ascii="Century Gothic" w:hAnsi="Century Gothic" w:cs="Arial"/>
        </w:rPr>
        <w:t>491 de 2020</w:t>
      </w:r>
      <w:r w:rsidR="001F2A12" w:rsidRPr="00AC04AF">
        <w:rPr>
          <w:rStyle w:val="Refdenotaalpie"/>
          <w:rFonts w:ascii="Century Gothic" w:hAnsi="Century Gothic" w:cs="Arial"/>
          <w:i/>
        </w:rPr>
        <w:footnoteReference w:id="6"/>
      </w:r>
      <w:r w:rsidR="001F2A12" w:rsidRPr="00AC04AF">
        <w:rPr>
          <w:rFonts w:ascii="Century Gothic" w:hAnsi="Century Gothic" w:cs="Arial"/>
          <w:i/>
        </w:rPr>
        <w:t>.</w:t>
      </w:r>
      <w:r w:rsidR="001F2A12">
        <w:rPr>
          <w:rFonts w:ascii="Century Gothic" w:hAnsi="Century Gothic" w:cs="Arial"/>
        </w:rPr>
        <w:t xml:space="preserve"> </w:t>
      </w:r>
      <w:r>
        <w:rPr>
          <w:rFonts w:ascii="Century Gothic" w:hAnsi="Century Gothic" w:cs="Arial"/>
        </w:rPr>
        <w:t xml:space="preserve">No obstante, indicó el actor que, transcurrido el término para contestar, la entidad no dio respuesta. </w:t>
      </w:r>
    </w:p>
    <w:p w:rsidR="00203208" w:rsidRPr="002F28D4" w:rsidRDefault="00203208" w:rsidP="00545D9A">
      <w:pPr>
        <w:spacing w:line="360" w:lineRule="auto"/>
        <w:jc w:val="both"/>
        <w:rPr>
          <w:rFonts w:ascii="Century Gothic" w:hAnsi="Century Gothic" w:cs="Arial"/>
          <w:sz w:val="12"/>
        </w:rPr>
      </w:pPr>
    </w:p>
    <w:p w:rsidR="00B85F69" w:rsidRPr="00C839A9" w:rsidRDefault="00BC007D" w:rsidP="00545D9A">
      <w:pPr>
        <w:spacing w:line="360" w:lineRule="auto"/>
        <w:jc w:val="both"/>
        <w:rPr>
          <w:rFonts w:ascii="Century Gothic" w:hAnsi="Century Gothic" w:cs="Arial"/>
        </w:rPr>
      </w:pPr>
      <w:r>
        <w:rPr>
          <w:rFonts w:ascii="Century Gothic" w:hAnsi="Century Gothic" w:cs="Arial"/>
        </w:rPr>
        <w:t>17</w:t>
      </w:r>
      <w:r w:rsidR="00203208">
        <w:rPr>
          <w:rFonts w:ascii="Century Gothic" w:hAnsi="Century Gothic" w:cs="Arial"/>
        </w:rPr>
        <w:t xml:space="preserve">. Igualmente, el accionado guardó silencio frente a la presente acción, pues, </w:t>
      </w:r>
      <w:r w:rsidR="00D77FFD">
        <w:rPr>
          <w:rFonts w:ascii="Century Gothic" w:hAnsi="Century Gothic" w:cs="Arial"/>
        </w:rPr>
        <w:t>a</w:t>
      </w:r>
      <w:r w:rsidR="00E114DD">
        <w:rPr>
          <w:rFonts w:ascii="Century Gothic" w:hAnsi="Century Gothic" w:cs="Arial"/>
        </w:rPr>
        <w:t xml:space="preserve"> pesar que</w:t>
      </w:r>
      <w:r w:rsidR="00B85F69">
        <w:rPr>
          <w:rFonts w:ascii="Century Gothic" w:hAnsi="Century Gothic" w:cs="Arial"/>
        </w:rPr>
        <w:t>,</w:t>
      </w:r>
      <w:r w:rsidR="00203208">
        <w:rPr>
          <w:rFonts w:ascii="Century Gothic" w:hAnsi="Century Gothic" w:cs="Arial"/>
        </w:rPr>
        <w:t xml:space="preserve"> </w:t>
      </w:r>
      <w:r w:rsidR="00B85F69">
        <w:rPr>
          <w:rFonts w:ascii="Century Gothic" w:hAnsi="Century Gothic" w:cs="Arial"/>
        </w:rPr>
        <w:t>fue n</w:t>
      </w:r>
      <w:r w:rsidR="00203208">
        <w:rPr>
          <w:rFonts w:ascii="Century Gothic" w:hAnsi="Century Gothic" w:cs="Arial"/>
        </w:rPr>
        <w:t>otificado el 28 de mayo de 2020</w:t>
      </w:r>
      <w:r w:rsidR="00B85F69">
        <w:rPr>
          <w:rFonts w:ascii="Century Gothic" w:hAnsi="Century Gothic" w:cs="Arial"/>
        </w:rPr>
        <w:t xml:space="preserve"> para </w:t>
      </w:r>
      <w:r w:rsidR="00E114DD">
        <w:rPr>
          <w:rFonts w:ascii="Century Gothic" w:hAnsi="Century Gothic" w:cs="Arial"/>
        </w:rPr>
        <w:t xml:space="preserve">que </w:t>
      </w:r>
      <w:r w:rsidR="009106E1">
        <w:rPr>
          <w:rFonts w:ascii="Century Gothic" w:hAnsi="Century Gothic" w:cs="Arial"/>
        </w:rPr>
        <w:t>contestara</w:t>
      </w:r>
      <w:r w:rsidR="00203208">
        <w:rPr>
          <w:rFonts w:ascii="Century Gothic" w:hAnsi="Century Gothic" w:cs="Arial"/>
        </w:rPr>
        <w:t xml:space="preserve">, omitió su deber de pronunciarse. </w:t>
      </w:r>
    </w:p>
    <w:p w:rsidR="00B85F69" w:rsidRPr="00C839A9" w:rsidRDefault="00B85F69" w:rsidP="00B965B0">
      <w:pPr>
        <w:spacing w:line="360" w:lineRule="auto"/>
        <w:jc w:val="both"/>
        <w:rPr>
          <w:rFonts w:ascii="Century Gothic" w:hAnsi="Century Gothic" w:cs="Arial"/>
        </w:rPr>
      </w:pPr>
    </w:p>
    <w:p w:rsidR="00C839A9" w:rsidRPr="00C839A9" w:rsidRDefault="00234E69" w:rsidP="00C839A9">
      <w:pPr>
        <w:spacing w:line="360" w:lineRule="auto"/>
        <w:jc w:val="both"/>
        <w:rPr>
          <w:rFonts w:ascii="Century Gothic" w:hAnsi="Century Gothic" w:cs="Arial"/>
          <w:highlight w:val="green"/>
        </w:rPr>
      </w:pPr>
      <w:r>
        <w:rPr>
          <w:rFonts w:ascii="Century Gothic" w:hAnsi="Century Gothic" w:cs="Arial"/>
        </w:rPr>
        <w:t>1</w:t>
      </w:r>
      <w:r w:rsidR="00BC007D">
        <w:rPr>
          <w:rFonts w:ascii="Century Gothic" w:hAnsi="Century Gothic" w:cs="Arial"/>
        </w:rPr>
        <w:t>8</w:t>
      </w:r>
      <w:r w:rsidR="00B965B0" w:rsidRPr="00C839A9">
        <w:rPr>
          <w:rFonts w:ascii="Century Gothic" w:hAnsi="Century Gothic" w:cs="Arial"/>
        </w:rPr>
        <w:t xml:space="preserve">. </w:t>
      </w:r>
      <w:r w:rsidR="00C839A9" w:rsidRPr="00C839A9">
        <w:rPr>
          <w:rFonts w:ascii="Century Gothic" w:hAnsi="Century Gothic" w:cs="Arial"/>
        </w:rPr>
        <w:t xml:space="preserve">En consecuencia, </w:t>
      </w:r>
      <w:r>
        <w:rPr>
          <w:rFonts w:ascii="Century Gothic" w:hAnsi="Century Gothic" w:cs="Arial"/>
        </w:rPr>
        <w:t xml:space="preserve">ante </w:t>
      </w:r>
      <w:r w:rsidR="00C839A9" w:rsidRPr="00C839A9">
        <w:rPr>
          <w:rFonts w:ascii="Century Gothic" w:hAnsi="Century Gothic" w:cs="Arial"/>
        </w:rPr>
        <w:t>la omisión por parte de la entidad accionada, esto es, el deber legal incumplido,</w:t>
      </w:r>
      <w:r w:rsidR="00C839A9">
        <w:rPr>
          <w:rFonts w:ascii="Century Gothic" w:hAnsi="Century Gothic" w:cs="Arial"/>
        </w:rPr>
        <w:t xml:space="preserve"> al no contestar la petición del accionante</w:t>
      </w:r>
      <w:r w:rsidR="00B57D07">
        <w:rPr>
          <w:rFonts w:ascii="Century Gothic" w:hAnsi="Century Gothic" w:cs="Arial"/>
        </w:rPr>
        <w:t xml:space="preserve"> ni </w:t>
      </w:r>
      <w:r w:rsidR="00C839A9">
        <w:rPr>
          <w:rFonts w:ascii="Century Gothic" w:hAnsi="Century Gothic" w:cs="Arial"/>
        </w:rPr>
        <w:t xml:space="preserve">la acción de </w:t>
      </w:r>
      <w:r>
        <w:rPr>
          <w:rFonts w:ascii="Century Gothic" w:hAnsi="Century Gothic" w:cs="Arial"/>
        </w:rPr>
        <w:t xml:space="preserve">tutela, procederá el Despacho a tutelar </w:t>
      </w:r>
      <w:r w:rsidR="00C839A9">
        <w:rPr>
          <w:rFonts w:ascii="Century Gothic" w:hAnsi="Century Gothic" w:cs="Arial"/>
        </w:rPr>
        <w:t>el derecho fundamental de petición del accionante, a fin que la entidad en un término mínimo</w:t>
      </w:r>
      <w:r w:rsidR="00704332">
        <w:rPr>
          <w:rFonts w:ascii="Century Gothic" w:hAnsi="Century Gothic" w:cs="Arial"/>
        </w:rPr>
        <w:t>, dé</w:t>
      </w:r>
      <w:r w:rsidR="00C839A9">
        <w:rPr>
          <w:rFonts w:ascii="Century Gothic" w:hAnsi="Century Gothic" w:cs="Arial"/>
        </w:rPr>
        <w:t xml:space="preserve"> respuesta a la petición radicada el 27 de abril de 2020 por </w:t>
      </w:r>
      <w:r w:rsidR="00C839A9" w:rsidRPr="00C839A9">
        <w:rPr>
          <w:rFonts w:ascii="Century Gothic" w:hAnsi="Century Gothic" w:cs="Arial"/>
        </w:rPr>
        <w:t>Jair Laurian Caballero Hio</w:t>
      </w:r>
      <w:r w:rsidR="00C839A9">
        <w:rPr>
          <w:rFonts w:ascii="Century Gothic" w:hAnsi="Century Gothic" w:cs="Arial"/>
        </w:rPr>
        <w:t xml:space="preserve">. </w:t>
      </w:r>
    </w:p>
    <w:p w:rsidR="00B965B0" w:rsidRPr="00704332" w:rsidRDefault="00B965B0" w:rsidP="00B965B0">
      <w:pPr>
        <w:spacing w:line="360" w:lineRule="auto"/>
        <w:jc w:val="both"/>
        <w:rPr>
          <w:rFonts w:ascii="Century Gothic" w:hAnsi="Century Gothic" w:cs="Arial"/>
        </w:rPr>
      </w:pPr>
    </w:p>
    <w:p w:rsidR="00B965B0" w:rsidRPr="00704332" w:rsidRDefault="00B965B0" w:rsidP="00B965B0">
      <w:pPr>
        <w:spacing w:line="360" w:lineRule="auto"/>
        <w:jc w:val="both"/>
        <w:rPr>
          <w:rFonts w:ascii="Century Gothic" w:hAnsi="Century Gothic" w:cs="Arial"/>
          <w:lang w:val="es-CO"/>
        </w:rPr>
      </w:pPr>
      <w:r w:rsidRPr="00704332">
        <w:rPr>
          <w:rFonts w:ascii="Century Gothic" w:hAnsi="Century Gothic" w:cs="Arial"/>
          <w:lang w:val="es-CO"/>
        </w:rPr>
        <w:t xml:space="preserve">En mérito de lo expuesto, el </w:t>
      </w:r>
      <w:r w:rsidRPr="00704332">
        <w:rPr>
          <w:rFonts w:ascii="Century Gothic" w:hAnsi="Century Gothic" w:cs="Arial"/>
          <w:b/>
          <w:lang w:val="es-CO"/>
        </w:rPr>
        <w:t>JUZGADO TREINTA Y CUATRO (34) ADMINISTRATIVO DEL CIRCUITO DE BOGOTÁ</w:t>
      </w:r>
      <w:r w:rsidRPr="00704332">
        <w:rPr>
          <w:rFonts w:ascii="Century Gothic" w:hAnsi="Century Gothic" w:cs="Arial"/>
          <w:lang w:val="es-CO"/>
        </w:rPr>
        <w:t>, administrando justicia en nombre de la República de Colombia y por autoridad de la ley,</w:t>
      </w:r>
    </w:p>
    <w:p w:rsidR="00B965B0" w:rsidRPr="001A3EDE" w:rsidRDefault="00B965B0" w:rsidP="00B965B0">
      <w:pPr>
        <w:spacing w:line="360" w:lineRule="auto"/>
        <w:jc w:val="both"/>
        <w:rPr>
          <w:rFonts w:ascii="Century Gothic" w:hAnsi="Century Gothic" w:cs="Arial"/>
          <w:b/>
          <w:sz w:val="6"/>
          <w:lang w:val="es-CO"/>
        </w:rPr>
      </w:pPr>
      <w:r w:rsidRPr="00704332">
        <w:rPr>
          <w:rFonts w:ascii="Century Gothic" w:hAnsi="Century Gothic" w:cs="Arial"/>
          <w:lang w:val="es-CO"/>
        </w:rPr>
        <w:t xml:space="preserve"> </w:t>
      </w:r>
    </w:p>
    <w:p w:rsidR="00B965B0" w:rsidRPr="00704332" w:rsidRDefault="00B965B0" w:rsidP="00B965B0">
      <w:pPr>
        <w:pStyle w:val="Sangradetextonormal"/>
        <w:spacing w:line="360" w:lineRule="auto"/>
        <w:ind w:left="0"/>
        <w:jc w:val="center"/>
        <w:rPr>
          <w:rFonts w:ascii="Century Gothic" w:hAnsi="Century Gothic" w:cs="Arial"/>
          <w:b/>
          <w:szCs w:val="24"/>
          <w:lang w:val="es-CO"/>
        </w:rPr>
      </w:pPr>
      <w:r w:rsidRPr="00704332">
        <w:rPr>
          <w:rFonts w:ascii="Century Gothic" w:hAnsi="Century Gothic" w:cs="Arial"/>
          <w:b/>
          <w:szCs w:val="24"/>
          <w:lang w:val="es-CO"/>
        </w:rPr>
        <w:t>FALLA</w:t>
      </w:r>
    </w:p>
    <w:p w:rsidR="00B965B0" w:rsidRPr="001A3EDE" w:rsidRDefault="00B965B0" w:rsidP="00B965B0">
      <w:pPr>
        <w:pStyle w:val="Sangradetextonormal"/>
        <w:spacing w:line="360" w:lineRule="auto"/>
        <w:ind w:left="0"/>
        <w:jc w:val="center"/>
        <w:rPr>
          <w:rFonts w:ascii="Century Gothic" w:hAnsi="Century Gothic" w:cs="Arial"/>
          <w:b/>
          <w:sz w:val="8"/>
          <w:szCs w:val="24"/>
          <w:lang w:val="es-CO"/>
        </w:rPr>
      </w:pPr>
    </w:p>
    <w:p w:rsidR="00B965B0" w:rsidRPr="00704332" w:rsidRDefault="00B965B0" w:rsidP="00B965B0">
      <w:pPr>
        <w:tabs>
          <w:tab w:val="left" w:pos="0"/>
          <w:tab w:val="left" w:pos="142"/>
          <w:tab w:val="left" w:pos="284"/>
        </w:tabs>
        <w:spacing w:line="360" w:lineRule="auto"/>
        <w:jc w:val="both"/>
        <w:rPr>
          <w:rFonts w:ascii="Century Gothic" w:hAnsi="Century Gothic" w:cs="Arial"/>
        </w:rPr>
      </w:pPr>
      <w:r w:rsidRPr="00704332">
        <w:rPr>
          <w:rFonts w:ascii="Century Gothic" w:hAnsi="Century Gothic" w:cs="Arial"/>
          <w:b/>
        </w:rPr>
        <w:t>PRIMERO. -</w:t>
      </w:r>
      <w:r w:rsidRPr="00704332">
        <w:rPr>
          <w:rFonts w:ascii="Century Gothic" w:hAnsi="Century Gothic" w:cs="Arial"/>
        </w:rPr>
        <w:t xml:space="preserve"> </w:t>
      </w:r>
      <w:r w:rsidRPr="00704332">
        <w:rPr>
          <w:rFonts w:ascii="Century Gothic" w:hAnsi="Century Gothic" w:cs="Arial"/>
          <w:b/>
        </w:rPr>
        <w:t>TUTELAR</w:t>
      </w:r>
      <w:r w:rsidRPr="00704332">
        <w:rPr>
          <w:rFonts w:ascii="Century Gothic" w:hAnsi="Century Gothic" w:cs="Arial"/>
        </w:rPr>
        <w:t xml:space="preserve"> el derecho fundamental de petición de </w:t>
      </w:r>
      <w:r w:rsidR="00704332" w:rsidRPr="00704332">
        <w:rPr>
          <w:rFonts w:ascii="Century Gothic" w:hAnsi="Century Gothic" w:cs="Arial"/>
        </w:rPr>
        <w:t>Jair Laurian Caballero Hio</w:t>
      </w:r>
      <w:r w:rsidRPr="00704332">
        <w:rPr>
          <w:rFonts w:ascii="Century Gothic" w:hAnsi="Century Gothic" w:cs="Arial"/>
        </w:rPr>
        <w:t>, por lo expuesto en la parte motiva.</w:t>
      </w:r>
    </w:p>
    <w:p w:rsidR="00B965B0" w:rsidRPr="00741CC1" w:rsidRDefault="00B965B0" w:rsidP="00B965B0">
      <w:pPr>
        <w:tabs>
          <w:tab w:val="left" w:pos="0"/>
          <w:tab w:val="left" w:pos="142"/>
          <w:tab w:val="left" w:pos="284"/>
        </w:tabs>
        <w:spacing w:line="360" w:lineRule="auto"/>
        <w:jc w:val="both"/>
        <w:rPr>
          <w:rFonts w:ascii="Century Gothic" w:hAnsi="Century Gothic" w:cs="Arial"/>
          <w:sz w:val="12"/>
        </w:rPr>
      </w:pPr>
    </w:p>
    <w:p w:rsidR="00B965B0" w:rsidRPr="00704332" w:rsidRDefault="00B965B0" w:rsidP="00B965B0">
      <w:pPr>
        <w:tabs>
          <w:tab w:val="left" w:pos="0"/>
          <w:tab w:val="left" w:pos="142"/>
          <w:tab w:val="left" w:pos="284"/>
        </w:tabs>
        <w:spacing w:line="360" w:lineRule="auto"/>
        <w:jc w:val="both"/>
        <w:rPr>
          <w:rFonts w:ascii="Century Gothic" w:hAnsi="Century Gothic" w:cs="Arial"/>
        </w:rPr>
      </w:pPr>
      <w:r w:rsidRPr="00704332">
        <w:rPr>
          <w:rFonts w:ascii="Century Gothic" w:hAnsi="Century Gothic" w:cs="Arial"/>
          <w:b/>
        </w:rPr>
        <w:t>SEGUNDO. -</w:t>
      </w:r>
      <w:r w:rsidRPr="00704332">
        <w:rPr>
          <w:rFonts w:ascii="Century Gothic" w:hAnsi="Century Gothic" w:cs="Arial"/>
        </w:rPr>
        <w:t xml:space="preserve"> </w:t>
      </w:r>
      <w:r w:rsidRPr="00704332">
        <w:rPr>
          <w:rFonts w:ascii="Century Gothic" w:hAnsi="Century Gothic" w:cs="Arial"/>
          <w:b/>
        </w:rPr>
        <w:t>ORDENAR</w:t>
      </w:r>
      <w:r w:rsidRPr="00704332">
        <w:rPr>
          <w:rFonts w:ascii="Century Gothic" w:hAnsi="Century Gothic" w:cs="Arial"/>
        </w:rPr>
        <w:t xml:space="preserve"> a</w:t>
      </w:r>
      <w:r w:rsidR="00E2082B">
        <w:rPr>
          <w:rFonts w:ascii="Century Gothic" w:hAnsi="Century Gothic" w:cs="Arial"/>
        </w:rPr>
        <w:t>l</w:t>
      </w:r>
      <w:r w:rsidRPr="00704332">
        <w:rPr>
          <w:rFonts w:ascii="Century Gothic" w:hAnsi="Century Gothic" w:cs="Arial"/>
        </w:rPr>
        <w:t xml:space="preserve"> </w:t>
      </w:r>
      <w:r w:rsidR="00704332" w:rsidRPr="00704332">
        <w:rPr>
          <w:rFonts w:ascii="Century Gothic" w:hAnsi="Century Gothic" w:cs="Arial"/>
        </w:rPr>
        <w:t xml:space="preserve">Director General del Instituto Nacional Penitenciario y Carcelario-INPEC y al Director del Complejo Carcelario y Penitenciario Metropolitano de Bogotá, “COMEB”, </w:t>
      </w:r>
      <w:r w:rsidRPr="00704332">
        <w:rPr>
          <w:rFonts w:ascii="Century Gothic" w:hAnsi="Century Gothic" w:cs="Arial"/>
        </w:rPr>
        <w:t xml:space="preserve">o a quien haga sus veces, que en el término perentorio de cuarenta y ocho (48) horas contadas a partir de la notificación de la presente providencia, proceda a notificar la respuesta del derecho de petición radicado el </w:t>
      </w:r>
      <w:r w:rsidR="00704332" w:rsidRPr="00704332">
        <w:rPr>
          <w:rFonts w:ascii="Century Gothic" w:hAnsi="Century Gothic" w:cs="Arial"/>
        </w:rPr>
        <w:t>27 de abril de 2020</w:t>
      </w:r>
      <w:r w:rsidRPr="00704332">
        <w:rPr>
          <w:rFonts w:ascii="Century Gothic" w:hAnsi="Century Gothic" w:cs="Arial"/>
        </w:rPr>
        <w:t xml:space="preserve"> por </w:t>
      </w:r>
      <w:r w:rsidR="00704332" w:rsidRPr="00704332">
        <w:rPr>
          <w:rFonts w:ascii="Century Gothic" w:hAnsi="Century Gothic" w:cs="Arial"/>
        </w:rPr>
        <w:t>el</w:t>
      </w:r>
      <w:r w:rsidRPr="00704332">
        <w:rPr>
          <w:rFonts w:ascii="Century Gothic" w:hAnsi="Century Gothic" w:cs="Arial"/>
        </w:rPr>
        <w:t xml:space="preserve"> accionante, de conformidad con lo expuesto.</w:t>
      </w:r>
    </w:p>
    <w:p w:rsidR="00B965B0" w:rsidRPr="001A3EDE" w:rsidRDefault="00B965B0" w:rsidP="00B965B0">
      <w:pPr>
        <w:tabs>
          <w:tab w:val="left" w:pos="0"/>
          <w:tab w:val="left" w:pos="142"/>
          <w:tab w:val="left" w:pos="284"/>
        </w:tabs>
        <w:spacing w:line="360" w:lineRule="auto"/>
        <w:jc w:val="both"/>
        <w:rPr>
          <w:rFonts w:ascii="Century Gothic" w:hAnsi="Century Gothic" w:cs="Arial"/>
          <w:sz w:val="10"/>
        </w:rPr>
      </w:pPr>
    </w:p>
    <w:p w:rsidR="00B965B0" w:rsidRPr="00E2082B" w:rsidRDefault="00B965B0" w:rsidP="00B965B0">
      <w:pPr>
        <w:tabs>
          <w:tab w:val="left" w:pos="0"/>
          <w:tab w:val="left" w:pos="142"/>
          <w:tab w:val="left" w:pos="284"/>
        </w:tabs>
        <w:spacing w:line="360" w:lineRule="auto"/>
        <w:jc w:val="both"/>
        <w:rPr>
          <w:rFonts w:ascii="Century Gothic" w:hAnsi="Century Gothic" w:cs="Arial"/>
        </w:rPr>
      </w:pPr>
      <w:r w:rsidRPr="00E2082B">
        <w:rPr>
          <w:rFonts w:ascii="Century Gothic" w:hAnsi="Century Gothic" w:cs="Arial"/>
          <w:b/>
        </w:rPr>
        <w:t xml:space="preserve">TERCERO. -  COMUNICAR </w:t>
      </w:r>
      <w:r w:rsidRPr="00E2082B">
        <w:rPr>
          <w:rFonts w:ascii="Century Gothic" w:hAnsi="Century Gothic" w:cs="Arial"/>
        </w:rPr>
        <w:t xml:space="preserve">por el medio más expedito la presente providencia al accionante </w:t>
      </w:r>
      <w:r w:rsidR="00E2082B" w:rsidRPr="00E2082B">
        <w:rPr>
          <w:rFonts w:ascii="Century Gothic" w:hAnsi="Century Gothic" w:cs="Arial"/>
          <w:b/>
        </w:rPr>
        <w:t xml:space="preserve">Jair Laurian Caballero Hio </w:t>
      </w:r>
      <w:r w:rsidRPr="00E2082B">
        <w:rPr>
          <w:rFonts w:ascii="Century Gothic" w:hAnsi="Century Gothic" w:cs="Arial"/>
        </w:rPr>
        <w:t xml:space="preserve">y </w:t>
      </w:r>
      <w:r w:rsidR="00E2082B" w:rsidRPr="00E2082B">
        <w:rPr>
          <w:rFonts w:ascii="Century Gothic" w:hAnsi="Century Gothic" w:cs="Arial"/>
        </w:rPr>
        <w:t>Director General del Instituto Nacional Penitenciario y Carcelario-INPEC y al Director del Complejo Carcelario y Penitenciario Metropolitano de Bogotá, “COMEB”</w:t>
      </w:r>
      <w:r w:rsidRPr="00E2082B">
        <w:rPr>
          <w:rFonts w:ascii="Century Gothic" w:hAnsi="Century Gothic" w:cs="Arial"/>
        </w:rPr>
        <w:t xml:space="preserve">, o a quien haga sus veces. </w:t>
      </w:r>
    </w:p>
    <w:p w:rsidR="00B965B0" w:rsidRPr="001A3EDE" w:rsidRDefault="00B965B0" w:rsidP="00B965B0">
      <w:pPr>
        <w:tabs>
          <w:tab w:val="left" w:pos="0"/>
          <w:tab w:val="left" w:pos="142"/>
          <w:tab w:val="left" w:pos="284"/>
        </w:tabs>
        <w:spacing w:line="360" w:lineRule="auto"/>
        <w:jc w:val="both"/>
        <w:rPr>
          <w:rFonts w:ascii="Century Gothic" w:hAnsi="Century Gothic" w:cs="Arial"/>
          <w:sz w:val="12"/>
        </w:rPr>
      </w:pPr>
    </w:p>
    <w:p w:rsidR="00B965B0" w:rsidRPr="00E2082B" w:rsidRDefault="00B965B0" w:rsidP="00B965B0">
      <w:pPr>
        <w:spacing w:line="360" w:lineRule="auto"/>
        <w:jc w:val="both"/>
        <w:rPr>
          <w:rFonts w:ascii="Century Gothic" w:hAnsi="Century Gothic" w:cs="Arial"/>
        </w:rPr>
      </w:pPr>
      <w:r w:rsidRPr="00E2082B">
        <w:rPr>
          <w:rFonts w:ascii="Century Gothic" w:hAnsi="Century Gothic" w:cs="Arial"/>
          <w:b/>
        </w:rPr>
        <w:t xml:space="preserve">CUARTO. - </w:t>
      </w:r>
      <w:r w:rsidRPr="00E2082B">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B965B0" w:rsidRPr="00E2082B" w:rsidRDefault="00B965B0" w:rsidP="00B965B0">
      <w:pPr>
        <w:spacing w:line="360" w:lineRule="auto"/>
        <w:jc w:val="both"/>
        <w:rPr>
          <w:rFonts w:ascii="Century Gothic" w:hAnsi="Century Gothic" w:cs="Arial"/>
        </w:rPr>
      </w:pPr>
    </w:p>
    <w:p w:rsidR="00B965B0" w:rsidRPr="00E2082B" w:rsidRDefault="00B965B0" w:rsidP="00B965B0">
      <w:pPr>
        <w:pStyle w:val="Sangra2detindependiente"/>
        <w:spacing w:line="360" w:lineRule="auto"/>
        <w:ind w:firstLine="0"/>
        <w:rPr>
          <w:rFonts w:ascii="Century Gothic" w:hAnsi="Century Gothic" w:cs="Arial"/>
          <w:b/>
          <w:szCs w:val="24"/>
          <w:lang w:val="es-ES"/>
        </w:rPr>
      </w:pPr>
      <w:r w:rsidRPr="00E2082B">
        <w:rPr>
          <w:rFonts w:ascii="Century Gothic" w:hAnsi="Century Gothic" w:cs="Arial"/>
          <w:b/>
          <w:szCs w:val="24"/>
          <w:lang w:val="es-ES"/>
        </w:rPr>
        <w:t>CÓPIESE, NOTIFÍQUESE y CÚMPLASE,</w:t>
      </w:r>
    </w:p>
    <w:p w:rsidR="00B965B0" w:rsidRPr="00E2082B" w:rsidRDefault="00B965B0" w:rsidP="00B965B0">
      <w:pPr>
        <w:pStyle w:val="Sangra2detindependiente"/>
        <w:spacing w:line="360" w:lineRule="auto"/>
        <w:ind w:firstLine="0"/>
        <w:rPr>
          <w:rFonts w:ascii="Century Gothic" w:hAnsi="Century Gothic" w:cs="Arial"/>
          <w:b/>
          <w:szCs w:val="24"/>
          <w:lang w:val="es-ES"/>
        </w:rPr>
      </w:pPr>
    </w:p>
    <w:p w:rsidR="00B965B0" w:rsidRPr="00E2082B" w:rsidRDefault="00B965B0" w:rsidP="00B965B0">
      <w:pPr>
        <w:spacing w:line="360" w:lineRule="auto"/>
        <w:jc w:val="center"/>
        <w:rPr>
          <w:rFonts w:ascii="Century Gothic" w:hAnsi="Century Gothic" w:cs="Arial"/>
          <w:b/>
        </w:rPr>
      </w:pPr>
      <w:r w:rsidRPr="00E2082B">
        <w:rPr>
          <w:rFonts w:ascii="Century Gothic" w:hAnsi="Century Gothic" w:cs="Arial"/>
          <w:b/>
        </w:rPr>
        <w:t xml:space="preserve">LUIS GABRIEL AHUMADA PERDOMO </w:t>
      </w:r>
    </w:p>
    <w:p w:rsidR="00B965B0" w:rsidRPr="00E2082B" w:rsidRDefault="00B965B0" w:rsidP="00B965B0">
      <w:pPr>
        <w:spacing w:line="360" w:lineRule="auto"/>
        <w:jc w:val="center"/>
        <w:rPr>
          <w:rFonts w:ascii="Century Gothic" w:hAnsi="Century Gothic" w:cs="Arial"/>
        </w:rPr>
      </w:pPr>
      <w:r w:rsidRPr="00E2082B">
        <w:rPr>
          <w:rFonts w:ascii="Century Gothic" w:hAnsi="Century Gothic" w:cs="Arial"/>
        </w:rPr>
        <w:t xml:space="preserve">Juez </w:t>
      </w:r>
    </w:p>
    <w:p w:rsidR="00B965B0" w:rsidRPr="00A56935" w:rsidRDefault="00B965B0" w:rsidP="00B965B0">
      <w:pPr>
        <w:pStyle w:val="Sangradetextonormal"/>
        <w:spacing w:line="360" w:lineRule="auto"/>
        <w:ind w:left="0"/>
        <w:rPr>
          <w:rFonts w:ascii="Century Gothic" w:hAnsi="Century Gothic"/>
          <w:sz w:val="16"/>
          <w:szCs w:val="24"/>
          <w:lang w:val="es-CO"/>
        </w:rPr>
      </w:pPr>
      <w:r w:rsidRPr="00E2082B">
        <w:rPr>
          <w:rFonts w:ascii="Century Gothic" w:hAnsi="Century Gothic"/>
          <w:sz w:val="16"/>
          <w:szCs w:val="24"/>
          <w:lang w:val="es-CO"/>
        </w:rPr>
        <w:t>JBR</w:t>
      </w:r>
    </w:p>
    <w:p w:rsidR="005D6099" w:rsidRDefault="005D6099"/>
    <w:sectPr w:rsidR="005D6099" w:rsidSect="00D94F90">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66F" w:rsidRDefault="00A9666F" w:rsidP="00B965B0">
      <w:r>
        <w:separator/>
      </w:r>
    </w:p>
  </w:endnote>
  <w:endnote w:type="continuationSeparator" w:id="0">
    <w:p w:rsidR="00A9666F" w:rsidRDefault="00A9666F" w:rsidP="00B9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66F" w:rsidRDefault="00A9666F" w:rsidP="00B965B0">
      <w:r>
        <w:separator/>
      </w:r>
    </w:p>
  </w:footnote>
  <w:footnote w:type="continuationSeparator" w:id="0">
    <w:p w:rsidR="00A9666F" w:rsidRDefault="00A9666F" w:rsidP="00B965B0">
      <w:r>
        <w:continuationSeparator/>
      </w:r>
    </w:p>
  </w:footnote>
  <w:footnote w:id="1">
    <w:p w:rsidR="00B965B0" w:rsidRPr="001D6BAB" w:rsidRDefault="00B965B0" w:rsidP="001D6BAB">
      <w:pPr>
        <w:pStyle w:val="Textonotapie"/>
        <w:rPr>
          <w:rFonts w:ascii="Century Gothic" w:hAnsi="Century Gothic"/>
          <w:lang w:val="es-CO"/>
        </w:rPr>
      </w:pPr>
      <w:r w:rsidRPr="001D6BAB">
        <w:rPr>
          <w:rStyle w:val="Refdenotaalpie"/>
          <w:rFonts w:ascii="Century Gothic" w:hAnsi="Century Gothic"/>
        </w:rPr>
        <w:footnoteRef/>
      </w:r>
      <w:r w:rsidRPr="001D6BAB">
        <w:rPr>
          <w:rFonts w:ascii="Century Gothic" w:hAnsi="Century Gothic"/>
          <w:lang w:val="es-CO"/>
        </w:rPr>
        <w:t>En el escrito de tutela se solicitó lo siguiente:</w:t>
      </w:r>
    </w:p>
    <w:p w:rsidR="00B965B0" w:rsidRPr="001D6BAB" w:rsidRDefault="00B965B0" w:rsidP="001D6BAB">
      <w:pPr>
        <w:pStyle w:val="Textonotapie"/>
        <w:jc w:val="both"/>
        <w:rPr>
          <w:rFonts w:ascii="Century Gothic" w:hAnsi="Century Gothic"/>
          <w:lang w:val="es-CO"/>
        </w:rPr>
      </w:pPr>
    </w:p>
    <w:p w:rsidR="00950AB2" w:rsidRPr="001D6BAB" w:rsidRDefault="00950AB2" w:rsidP="001D6BAB">
      <w:pPr>
        <w:pStyle w:val="Textonotapie"/>
        <w:jc w:val="both"/>
        <w:rPr>
          <w:rFonts w:ascii="Century Gothic" w:hAnsi="Century Gothic"/>
          <w:i/>
          <w:lang w:val="es-CO"/>
        </w:rPr>
      </w:pPr>
      <w:r w:rsidRPr="001D6BAB">
        <w:rPr>
          <w:rFonts w:ascii="Century Gothic" w:hAnsi="Century Gothic"/>
          <w:i/>
          <w:lang w:val="es-CO"/>
        </w:rPr>
        <w:t xml:space="preserve">“1. Tutelar los derechos fundamentales al DERECHO DE PETICION, DEBIDO PROCESO, DERECHO A LA IGUALDAD, los cuales han sido vulnerados y amenazados por la misio </w:t>
      </w:r>
      <w:r w:rsidR="00C838E9">
        <w:rPr>
          <w:rFonts w:ascii="Century Gothic" w:hAnsi="Century Gothic"/>
          <w:i/>
          <w:lang w:val="es-CO"/>
        </w:rPr>
        <w:t>(SIC)</w:t>
      </w:r>
      <w:r w:rsidRPr="001D6BAB">
        <w:rPr>
          <w:rFonts w:ascii="Century Gothic" w:hAnsi="Century Gothic"/>
          <w:i/>
          <w:lang w:val="es-CO"/>
        </w:rPr>
        <w:t>cometidas por las partes accionadas.</w:t>
      </w:r>
    </w:p>
    <w:p w:rsidR="00950AB2" w:rsidRPr="001D6BAB" w:rsidRDefault="00950AB2" w:rsidP="001D6BAB">
      <w:pPr>
        <w:pStyle w:val="Textonotapie"/>
        <w:jc w:val="both"/>
        <w:rPr>
          <w:rFonts w:ascii="Century Gothic" w:hAnsi="Century Gothic"/>
          <w:i/>
          <w:lang w:val="es-CO"/>
        </w:rPr>
      </w:pPr>
      <w:r w:rsidRPr="001D6BAB">
        <w:rPr>
          <w:rFonts w:ascii="Century Gothic" w:hAnsi="Century Gothic"/>
          <w:i/>
          <w:lang w:val="es-CO"/>
        </w:rPr>
        <w:t>(…)</w:t>
      </w:r>
    </w:p>
    <w:p w:rsidR="00950AB2" w:rsidRPr="001D6BAB" w:rsidRDefault="00950AB2" w:rsidP="001D6BAB">
      <w:pPr>
        <w:pStyle w:val="Textonotapie"/>
        <w:jc w:val="both"/>
        <w:rPr>
          <w:rFonts w:ascii="Century Gothic" w:hAnsi="Century Gothic"/>
          <w:i/>
          <w:lang w:val="es-CO"/>
        </w:rPr>
      </w:pPr>
      <w:r w:rsidRPr="001D6BAB">
        <w:rPr>
          <w:rFonts w:ascii="Century Gothic" w:hAnsi="Century Gothic"/>
          <w:i/>
          <w:lang w:val="es-CO"/>
        </w:rPr>
        <w:t xml:space="preserve">3. Consecuencia de lo anterior ordenar a quien corresponda que, en el término razonable siguiente a la notificación del fallo de la presente tutela, disponga lo necesario para que se realice EL ENVIO DE LA DOCUMENTACION </w:t>
      </w:r>
      <w:r w:rsidR="008E395A" w:rsidRPr="001D6BAB">
        <w:rPr>
          <w:rFonts w:ascii="Century Gothic" w:hAnsi="Century Gothic"/>
          <w:i/>
          <w:lang w:val="es-CO"/>
        </w:rPr>
        <w:t>PERTINENTE PARA ACCEDER AL BENEFICIO SOLICITADO CON DESTINO AL JUZGADO DIECISÉIS (16) DE EJECUCION DE PENAS Y MEDIDAS DE SEGURIDAD DE BOGOTÁ D.C. sin dilaciones ni trabajas injustificadas.</w:t>
      </w:r>
    </w:p>
    <w:p w:rsidR="008E395A" w:rsidRPr="001D6BAB" w:rsidRDefault="008E395A" w:rsidP="001D6BAB">
      <w:pPr>
        <w:pStyle w:val="Textonotapie"/>
        <w:jc w:val="both"/>
        <w:rPr>
          <w:rFonts w:ascii="Century Gothic" w:hAnsi="Century Gothic"/>
          <w:i/>
          <w:lang w:val="es-CO"/>
        </w:rPr>
      </w:pPr>
      <w:r w:rsidRPr="001D6BAB">
        <w:rPr>
          <w:rFonts w:ascii="Century Gothic" w:hAnsi="Century Gothic"/>
          <w:i/>
          <w:lang w:val="es-CO"/>
        </w:rPr>
        <w:t>(…)</w:t>
      </w:r>
    </w:p>
    <w:p w:rsidR="008E395A" w:rsidRPr="001D6BAB" w:rsidRDefault="008E395A" w:rsidP="001D6BAB">
      <w:pPr>
        <w:pStyle w:val="Textonotapie"/>
        <w:jc w:val="both"/>
        <w:rPr>
          <w:rFonts w:ascii="Century Gothic" w:hAnsi="Century Gothic"/>
          <w:i/>
          <w:lang w:val="es-CO"/>
        </w:rPr>
      </w:pPr>
      <w:r w:rsidRPr="001D6BAB">
        <w:rPr>
          <w:rFonts w:ascii="Century Gothic" w:hAnsi="Century Gothic"/>
          <w:i/>
          <w:lang w:val="es-CO"/>
        </w:rPr>
        <w:t>7. Solicito respetuosamente a su despacho, que de haber lugar se inicie contra los funcionarios responsables una investigación disciplinaria según lo establece en la Ley 734 de 2020, ante la PROCURADURIA GENERAL DE LA NACION, por ser titular de control preferente.</w:t>
      </w:r>
      <w:r w:rsidRPr="001D6BAB">
        <w:rPr>
          <w:rFonts w:ascii="Century Gothic" w:hAnsi="Century Gothic"/>
          <w:lang w:val="es-CO"/>
        </w:rPr>
        <w:t xml:space="preserve"> </w:t>
      </w:r>
    </w:p>
  </w:footnote>
  <w:footnote w:id="2">
    <w:p w:rsidR="00640FDA" w:rsidRDefault="00640FDA" w:rsidP="00640FDA">
      <w:pPr>
        <w:pStyle w:val="Textonotapie"/>
        <w:jc w:val="both"/>
        <w:rPr>
          <w:rFonts w:ascii="Century Gothic" w:hAnsi="Century Gothic" w:cs="Arial"/>
          <w:sz w:val="16"/>
          <w:szCs w:val="16"/>
        </w:rPr>
      </w:pPr>
      <w:r>
        <w:rPr>
          <w:rStyle w:val="Refdenotaalpie"/>
          <w:rFonts w:ascii="Century Gothic" w:hAnsi="Century Gothic" w:cs="Arial"/>
          <w:sz w:val="16"/>
          <w:szCs w:val="16"/>
        </w:rPr>
        <w:footnoteRef/>
      </w:r>
      <w:r>
        <w:rPr>
          <w:rFonts w:ascii="Century Gothic" w:hAnsi="Century Gothic" w:cs="Arial"/>
          <w:sz w:val="16"/>
          <w:szCs w:val="16"/>
        </w:rPr>
        <w:t xml:space="preserve"> Corte Constitucional, Sentencia C-341-2014, M.P. MAURICIO GONZÁLEZ CUERVO.</w:t>
      </w:r>
    </w:p>
    <w:p w:rsidR="00640FDA" w:rsidRDefault="00640FDA" w:rsidP="00640FDA">
      <w:pPr>
        <w:pStyle w:val="Textonotapie"/>
        <w:jc w:val="both"/>
        <w:rPr>
          <w:rFonts w:ascii="Century Gothic" w:hAnsi="Century Gothic" w:cs="Arial"/>
          <w:sz w:val="16"/>
          <w:szCs w:val="16"/>
        </w:rPr>
      </w:pPr>
    </w:p>
  </w:footnote>
  <w:footnote w:id="3">
    <w:p w:rsidR="00B965B0" w:rsidRPr="001D6BAB" w:rsidRDefault="00B965B0" w:rsidP="001D6BAB">
      <w:pPr>
        <w:pStyle w:val="Textonotapie"/>
        <w:jc w:val="both"/>
        <w:rPr>
          <w:rFonts w:ascii="Century Gothic" w:hAnsi="Century Gothic" w:cs="Arial"/>
          <w:i/>
          <w:lang w:val="fr-FR"/>
        </w:rPr>
      </w:pPr>
      <w:r w:rsidRPr="001D6BAB">
        <w:rPr>
          <w:rStyle w:val="Refdenotaalpie"/>
          <w:rFonts w:ascii="Century Gothic" w:hAnsi="Century Gothic" w:cs="Arial"/>
          <w:i/>
          <w:lang w:val="es-CO"/>
        </w:rPr>
        <w:footnoteRef/>
      </w:r>
      <w:r w:rsidRPr="001D6BAB">
        <w:rPr>
          <w:rFonts w:ascii="Century Gothic" w:hAnsi="Century Gothic" w:cs="Arial"/>
          <w:i/>
          <w:lang w:val="fr-FR"/>
        </w:rPr>
        <w:t xml:space="preserve"> Corte Constitucional, Sentencias T-1160 A de 2001, T-1089 de 2001, T-377 de 2000, T-294 de 1997, T-457 de 1994, T-1006 de 2001 y T-077 de 2008. </w:t>
      </w:r>
    </w:p>
  </w:footnote>
  <w:footnote w:id="4">
    <w:p w:rsidR="00B965B0" w:rsidRPr="001D6BAB" w:rsidRDefault="00B965B0" w:rsidP="001D6BAB">
      <w:pPr>
        <w:pStyle w:val="Textonotapie"/>
        <w:jc w:val="both"/>
        <w:rPr>
          <w:rFonts w:ascii="Century Gothic" w:hAnsi="Century Gothic" w:cs="Arial"/>
          <w:i/>
          <w:lang w:val="es-CO"/>
        </w:rPr>
      </w:pPr>
      <w:r w:rsidRPr="001D6BAB">
        <w:rPr>
          <w:rStyle w:val="Refdenotaalpie"/>
          <w:rFonts w:ascii="Century Gothic" w:hAnsi="Century Gothic" w:cs="Arial"/>
          <w:i/>
          <w:lang w:val="es-CO"/>
        </w:rPr>
        <w:footnoteRef/>
      </w:r>
      <w:r w:rsidRPr="001D6BAB">
        <w:rPr>
          <w:rFonts w:ascii="Century Gothic" w:hAnsi="Century Gothic" w:cs="Arial"/>
          <w:i/>
          <w:lang w:val="es-CO"/>
        </w:rPr>
        <w:t xml:space="preserve"> </w:t>
      </w:r>
      <w:r w:rsidRPr="001D6BAB">
        <w:rPr>
          <w:rFonts w:ascii="Century Gothic" w:hAnsi="Century Gothic" w:cs="Arial"/>
          <w:b/>
          <w:i/>
          <w:lang w:val="es-CO"/>
        </w:rPr>
        <w:t>Artículo 14:</w:t>
      </w:r>
      <w:r w:rsidRPr="001D6BAB">
        <w:rPr>
          <w:rFonts w:ascii="Century Gothic" w:hAnsi="Century Gothic" w:cs="Arial"/>
          <w:i/>
          <w:lang w:val="es-CO"/>
        </w:rPr>
        <w:t xml:space="preserve"> Salvo norma legal especial y so pena de sanción disciplinaria, toda petición deberá resolverse dentro de los quince (15) días siguientes a su recepción. Estará sometida a término especial la resolución de las siguientes peticiones:</w:t>
      </w:r>
    </w:p>
    <w:p w:rsidR="00B965B0" w:rsidRPr="001D6BAB" w:rsidRDefault="00B965B0" w:rsidP="001D6BAB">
      <w:pPr>
        <w:pStyle w:val="Textonotapie"/>
        <w:jc w:val="both"/>
        <w:rPr>
          <w:rFonts w:ascii="Century Gothic" w:hAnsi="Century Gothic" w:cs="Arial"/>
          <w:i/>
          <w:lang w:val="es-CO"/>
        </w:rPr>
      </w:pPr>
      <w:r w:rsidRPr="001D6BAB">
        <w:rPr>
          <w:rFonts w:ascii="Century Gothic" w:hAnsi="Century Gothic" w:cs="Arial"/>
          <w:i/>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B965B0" w:rsidRPr="001D6BAB" w:rsidRDefault="00B965B0" w:rsidP="001D6BAB">
      <w:pPr>
        <w:pStyle w:val="Textonotapie"/>
        <w:jc w:val="both"/>
        <w:rPr>
          <w:rFonts w:ascii="Century Gothic" w:hAnsi="Century Gothic" w:cs="Arial"/>
          <w:i/>
          <w:lang w:val="es-CO"/>
        </w:rPr>
      </w:pPr>
      <w:r w:rsidRPr="001D6BAB">
        <w:rPr>
          <w:rFonts w:ascii="Century Gothic" w:hAnsi="Century Gothic" w:cs="Arial"/>
          <w:i/>
          <w:lang w:val="es-CO"/>
        </w:rPr>
        <w:t>2. Las peticiones mediante las cuales se eleva una consulta a las autoridades en relación con las materias a su cargo deberán resolverse dentro de los treinta (30) días siguientes a su recepción.</w:t>
      </w:r>
    </w:p>
    <w:p w:rsidR="00B965B0" w:rsidRPr="001D6BAB" w:rsidRDefault="00B965B0" w:rsidP="001D6BAB">
      <w:pPr>
        <w:pStyle w:val="Textonotapie"/>
        <w:jc w:val="both"/>
        <w:rPr>
          <w:rFonts w:ascii="Century Gothic" w:hAnsi="Century Gothic" w:cs="Arial"/>
          <w:i/>
          <w:lang w:val="es-CO"/>
        </w:rPr>
      </w:pPr>
      <w:r w:rsidRPr="001D6BAB">
        <w:rPr>
          <w:rFonts w:ascii="Century Gothic" w:hAnsi="Century Gothic" w:cs="Arial"/>
          <w:i/>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B965B0" w:rsidRPr="001D6BAB" w:rsidRDefault="00B965B0" w:rsidP="001D6BAB">
      <w:pPr>
        <w:jc w:val="both"/>
        <w:rPr>
          <w:rFonts w:ascii="Century Gothic" w:hAnsi="Century Gothic" w:cs="Arial"/>
          <w:i/>
          <w:sz w:val="20"/>
          <w:szCs w:val="20"/>
          <w:lang w:val="es-CO"/>
        </w:rPr>
      </w:pPr>
      <w:r w:rsidRPr="001D6BAB">
        <w:rPr>
          <w:rStyle w:val="Refdenotaalpie"/>
          <w:rFonts w:ascii="Century Gothic" w:hAnsi="Century Gothic" w:cs="Arial"/>
          <w:i/>
          <w:sz w:val="20"/>
          <w:szCs w:val="20"/>
          <w:lang w:val="es-CO"/>
        </w:rPr>
        <w:footnoteRef/>
      </w:r>
      <w:r w:rsidRPr="001D6BAB">
        <w:rPr>
          <w:rFonts w:ascii="Century Gothic" w:hAnsi="Century Gothic" w:cs="Arial"/>
          <w:i/>
          <w:sz w:val="20"/>
          <w:szCs w:val="20"/>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6">
    <w:p w:rsidR="001F2A12" w:rsidRPr="001D6BAB" w:rsidRDefault="001F2A12" w:rsidP="001D6BAB">
      <w:pPr>
        <w:pStyle w:val="Textonotapie"/>
        <w:jc w:val="both"/>
        <w:rPr>
          <w:rFonts w:ascii="Century Gothic" w:hAnsi="Century Gothic"/>
          <w:i/>
        </w:rPr>
      </w:pPr>
      <w:r w:rsidRPr="001D6BAB">
        <w:rPr>
          <w:rStyle w:val="Refdenotaalpie"/>
          <w:rFonts w:ascii="Century Gothic" w:hAnsi="Century Gothic"/>
        </w:rPr>
        <w:footnoteRef/>
      </w:r>
      <w:r w:rsidR="00AC04AF" w:rsidRPr="001D6BAB">
        <w:rPr>
          <w:rFonts w:ascii="Century Gothic" w:hAnsi="Century Gothic"/>
        </w:rPr>
        <w:t>Este decreto modificó loa términos establecidos en la Ley 1437 de 2011</w:t>
      </w:r>
      <w:r w:rsidRPr="001D6BAB">
        <w:rPr>
          <w:rFonts w:ascii="Century Gothic" w:hAnsi="Century Gothic"/>
        </w:rPr>
        <w:t xml:space="preserve"> </w:t>
      </w:r>
      <w:r w:rsidR="00AC04AF" w:rsidRPr="001D6BAB">
        <w:rPr>
          <w:rFonts w:ascii="Century Gothic" w:hAnsi="Century Gothic"/>
        </w:rPr>
        <w:t>así: “</w:t>
      </w:r>
      <w:r w:rsidRPr="001D6BAB">
        <w:rPr>
          <w:rFonts w:ascii="Century Gothic" w:hAnsi="Century Gothic"/>
          <w:i/>
        </w:rPr>
        <w:t>Artículo 5. Ampliación de términos para atender las peticiones. Para las peticiones que se encuentren en curso o que se radiquen durante la vigencia de la Emergencia Sanitaria, se ampliarán los términos señalados en el artículo 14 de la Ley 1437 de 2011, así:</w:t>
      </w:r>
    </w:p>
    <w:p w:rsidR="001F2A12" w:rsidRPr="001D6BAB" w:rsidRDefault="001F2A12" w:rsidP="001D6BAB">
      <w:pPr>
        <w:pStyle w:val="Textonotapie"/>
        <w:jc w:val="both"/>
        <w:rPr>
          <w:rFonts w:ascii="Century Gothic" w:hAnsi="Century Gothic"/>
          <w:i/>
        </w:rPr>
      </w:pPr>
      <w:r w:rsidRPr="001D6BAB">
        <w:rPr>
          <w:rFonts w:ascii="Century Gothic" w:hAnsi="Century Gothic"/>
          <w:i/>
        </w:rPr>
        <w:t>(…)</w:t>
      </w:r>
    </w:p>
    <w:p w:rsidR="001F2A12" w:rsidRPr="001D6BAB" w:rsidRDefault="001F2A12" w:rsidP="001D6BAB">
      <w:pPr>
        <w:pStyle w:val="Textonotapie"/>
        <w:jc w:val="both"/>
        <w:rPr>
          <w:rFonts w:ascii="Century Gothic" w:hAnsi="Century Gothic"/>
          <w:i/>
          <w:lang w:val="es-CO"/>
        </w:rPr>
      </w:pPr>
      <w:r w:rsidRPr="001D6BAB">
        <w:rPr>
          <w:rFonts w:ascii="Century Gothic" w:hAnsi="Century Gothic"/>
          <w:i/>
          <w:lang w:val="es-CO"/>
        </w:rPr>
        <w:t>Parágrafo. La presente disposición no aplica a las peticiones relativas a la efectividad de otros derechos fundamentales.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BD12AD" w:rsidRDefault="0006494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w:t>
    </w:r>
    <w:r w:rsidR="00105325">
      <w:rPr>
        <w:rFonts w:ascii="Century Gothic" w:hAnsi="Century Gothic" w:cs="Tahoma"/>
        <w:i/>
        <w:smallCaps/>
        <w:sz w:val="16"/>
        <w:szCs w:val="16"/>
        <w:lang w:val="es-MX"/>
      </w:rPr>
      <w:t>103</w:t>
    </w:r>
  </w:p>
  <w:p w:rsidR="00B2549F" w:rsidRPr="00BD12AD" w:rsidRDefault="0006494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B2549F" w:rsidRPr="00BD12AD" w:rsidRDefault="0006494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B2549F" w:rsidRPr="00BD12AD" w:rsidRDefault="0006494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0536CE">
      <w:rPr>
        <w:rFonts w:ascii="Century Gothic" w:hAnsi="Century Gothic" w:cs="Tahoma"/>
        <w:i/>
        <w:smallCaps/>
        <w:noProof/>
        <w:sz w:val="16"/>
        <w:szCs w:val="16"/>
        <w:lang w:val="es-MX"/>
      </w:rPr>
      <w:t>6</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0536CE">
      <w:rPr>
        <w:rFonts w:ascii="Century Gothic" w:hAnsi="Century Gothic" w:cs="Tahoma"/>
        <w:i/>
        <w:smallCaps/>
        <w:noProof/>
        <w:sz w:val="16"/>
        <w:szCs w:val="16"/>
        <w:lang w:val="es-MX"/>
      </w:rPr>
      <w:t>7</w:t>
    </w:r>
    <w:r w:rsidRPr="00BD12AD">
      <w:rPr>
        <w:rFonts w:ascii="Century Gothic" w:hAnsi="Century Gothic" w:cs="Tahoma"/>
        <w:i/>
        <w:smallCaps/>
        <w:sz w:val="16"/>
        <w:szCs w:val="16"/>
        <w:lang w:val="es-MX"/>
      </w:rPr>
      <w:fldChar w:fldCharType="end"/>
    </w:r>
  </w:p>
  <w:p w:rsidR="00B2549F" w:rsidRDefault="00A96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F71C2D" w:rsidRDefault="0006494E" w:rsidP="00D94F90">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7204A5B6" wp14:editId="3756244A">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B2549F" w:rsidRPr="00883000" w:rsidRDefault="0006494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JUZGADO TREINTA Y CUATRO ADMINISTRATIVO</w:t>
    </w:r>
  </w:p>
  <w:p w:rsidR="00B2549F" w:rsidRPr="00883000" w:rsidRDefault="0006494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ORAL DEL CIRCUITO DE BOGOTÁ</w:t>
    </w:r>
  </w:p>
  <w:p w:rsidR="00B2549F" w:rsidRPr="00883000" w:rsidRDefault="0006494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Sección Tercera</w:t>
    </w:r>
  </w:p>
  <w:p w:rsidR="00B2549F" w:rsidRPr="00F71C2D" w:rsidRDefault="00A9666F">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92B4C"/>
    <w:multiLevelType w:val="hybridMultilevel"/>
    <w:tmpl w:val="B39A98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A841FA1"/>
    <w:multiLevelType w:val="hybridMultilevel"/>
    <w:tmpl w:val="16842260"/>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B0"/>
    <w:rsid w:val="00010595"/>
    <w:rsid w:val="00041A66"/>
    <w:rsid w:val="000536CE"/>
    <w:rsid w:val="00057EE3"/>
    <w:rsid w:val="0006494E"/>
    <w:rsid w:val="000E146D"/>
    <w:rsid w:val="000F6F26"/>
    <w:rsid w:val="00105325"/>
    <w:rsid w:val="00114A43"/>
    <w:rsid w:val="001A3EDE"/>
    <w:rsid w:val="001D6BAB"/>
    <w:rsid w:val="001E4937"/>
    <w:rsid w:val="001E6C7C"/>
    <w:rsid w:val="001F2A12"/>
    <w:rsid w:val="00203208"/>
    <w:rsid w:val="00211D36"/>
    <w:rsid w:val="00234E69"/>
    <w:rsid w:val="00282743"/>
    <w:rsid w:val="00292462"/>
    <w:rsid w:val="002F28D4"/>
    <w:rsid w:val="002F3C82"/>
    <w:rsid w:val="00336D62"/>
    <w:rsid w:val="003576EB"/>
    <w:rsid w:val="003B454B"/>
    <w:rsid w:val="003E1AB7"/>
    <w:rsid w:val="004821B6"/>
    <w:rsid w:val="004B6C55"/>
    <w:rsid w:val="004E2DE0"/>
    <w:rsid w:val="004F0519"/>
    <w:rsid w:val="00545D9A"/>
    <w:rsid w:val="00562620"/>
    <w:rsid w:val="00572E96"/>
    <w:rsid w:val="005C1CD9"/>
    <w:rsid w:val="005D6099"/>
    <w:rsid w:val="005F69CD"/>
    <w:rsid w:val="00640FDA"/>
    <w:rsid w:val="006A7D77"/>
    <w:rsid w:val="00701DCA"/>
    <w:rsid w:val="00704332"/>
    <w:rsid w:val="007104D6"/>
    <w:rsid w:val="00741CC1"/>
    <w:rsid w:val="00794DE8"/>
    <w:rsid w:val="0086457F"/>
    <w:rsid w:val="00872A1F"/>
    <w:rsid w:val="00875786"/>
    <w:rsid w:val="008975C5"/>
    <w:rsid w:val="008C3294"/>
    <w:rsid w:val="008E395A"/>
    <w:rsid w:val="009106E1"/>
    <w:rsid w:val="00912146"/>
    <w:rsid w:val="00950AB2"/>
    <w:rsid w:val="009A5FBC"/>
    <w:rsid w:val="009B3903"/>
    <w:rsid w:val="009C2B3C"/>
    <w:rsid w:val="009E63BD"/>
    <w:rsid w:val="00A91FAA"/>
    <w:rsid w:val="00A9666F"/>
    <w:rsid w:val="00AC04AF"/>
    <w:rsid w:val="00B57D07"/>
    <w:rsid w:val="00B65ADF"/>
    <w:rsid w:val="00B8215F"/>
    <w:rsid w:val="00B84B3E"/>
    <w:rsid w:val="00B85F69"/>
    <w:rsid w:val="00B921A6"/>
    <w:rsid w:val="00B965B0"/>
    <w:rsid w:val="00BA4D09"/>
    <w:rsid w:val="00BB0C6D"/>
    <w:rsid w:val="00BB46FC"/>
    <w:rsid w:val="00BC007D"/>
    <w:rsid w:val="00C838E9"/>
    <w:rsid w:val="00C839A9"/>
    <w:rsid w:val="00D77FFD"/>
    <w:rsid w:val="00DB76D6"/>
    <w:rsid w:val="00E114DD"/>
    <w:rsid w:val="00E2082B"/>
    <w:rsid w:val="00F409D8"/>
    <w:rsid w:val="00F624EA"/>
    <w:rsid w:val="00F82A2A"/>
    <w:rsid w:val="00FC28BD"/>
    <w:rsid w:val="00FD00E6"/>
    <w:rsid w:val="00FD4069"/>
    <w:rsid w:val="00FE01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D9263-4352-43D4-BC98-D829430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65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965B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965B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965B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965B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965B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965B0"/>
    <w:rPr>
      <w:rFonts w:ascii="Arial" w:eastAsia="Times New Roman" w:hAnsi="Arial" w:cs="Times New Roman"/>
      <w:sz w:val="24"/>
      <w:szCs w:val="20"/>
      <w:lang w:val="x-none" w:eastAsia="es-ES"/>
    </w:rPr>
  </w:style>
  <w:style w:type="paragraph" w:styleId="Encabezado">
    <w:name w:val="header"/>
    <w:basedOn w:val="Normal"/>
    <w:link w:val="EncabezadoCar"/>
    <w:unhideWhenUsed/>
    <w:rsid w:val="00B965B0"/>
    <w:pPr>
      <w:tabs>
        <w:tab w:val="center" w:pos="4419"/>
        <w:tab w:val="right" w:pos="8838"/>
      </w:tabs>
    </w:pPr>
  </w:style>
  <w:style w:type="character" w:customStyle="1" w:styleId="EncabezadoCar">
    <w:name w:val="Encabezado Car"/>
    <w:basedOn w:val="Fuentedeprrafopredeter"/>
    <w:link w:val="Encabezado"/>
    <w:rsid w:val="00B965B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B965B0"/>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B965B0"/>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B965B0"/>
    <w:rPr>
      <w:vertAlign w:val="superscript"/>
    </w:rPr>
  </w:style>
  <w:style w:type="paragraph" w:styleId="Prrafodelista">
    <w:name w:val="List Paragraph"/>
    <w:basedOn w:val="Normal"/>
    <w:uiPriority w:val="34"/>
    <w:qFormat/>
    <w:rsid w:val="00B965B0"/>
    <w:pPr>
      <w:ind w:left="720"/>
      <w:contextualSpacing/>
    </w:pPr>
    <w:rPr>
      <w:rFonts w:ascii="Arial" w:hAnsi="Arial"/>
      <w:szCs w:val="20"/>
      <w:lang w:val="es-CO"/>
    </w:rPr>
  </w:style>
  <w:style w:type="character" w:styleId="Hipervnculo">
    <w:name w:val="Hyperlink"/>
    <w:basedOn w:val="Fuentedeprrafopredeter"/>
    <w:uiPriority w:val="99"/>
    <w:unhideWhenUsed/>
    <w:rsid w:val="00B965B0"/>
    <w:rPr>
      <w:color w:val="0000FF"/>
      <w:u w:val="single"/>
    </w:rPr>
  </w:style>
  <w:style w:type="paragraph" w:styleId="Piedepgina">
    <w:name w:val="footer"/>
    <w:basedOn w:val="Normal"/>
    <w:link w:val="PiedepginaCar"/>
    <w:uiPriority w:val="99"/>
    <w:unhideWhenUsed/>
    <w:rsid w:val="008E395A"/>
    <w:pPr>
      <w:tabs>
        <w:tab w:val="center" w:pos="4419"/>
        <w:tab w:val="right" w:pos="8838"/>
      </w:tabs>
    </w:pPr>
  </w:style>
  <w:style w:type="character" w:customStyle="1" w:styleId="PiedepginaCar">
    <w:name w:val="Pie de página Car"/>
    <w:basedOn w:val="Fuentedeprrafopredeter"/>
    <w:link w:val="Piedepgina"/>
    <w:uiPriority w:val="99"/>
    <w:rsid w:val="008E395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3115">
      <w:bodyDiv w:val="1"/>
      <w:marLeft w:val="0"/>
      <w:marRight w:val="0"/>
      <w:marTop w:val="0"/>
      <w:marBottom w:val="0"/>
      <w:divBdr>
        <w:top w:val="none" w:sz="0" w:space="0" w:color="auto"/>
        <w:left w:val="none" w:sz="0" w:space="0" w:color="auto"/>
        <w:bottom w:val="none" w:sz="0" w:space="0" w:color="auto"/>
        <w:right w:val="none" w:sz="0" w:space="0" w:color="auto"/>
      </w:divBdr>
    </w:div>
    <w:div w:id="506411631">
      <w:bodyDiv w:val="1"/>
      <w:marLeft w:val="0"/>
      <w:marRight w:val="0"/>
      <w:marTop w:val="0"/>
      <w:marBottom w:val="0"/>
      <w:divBdr>
        <w:top w:val="none" w:sz="0" w:space="0" w:color="auto"/>
        <w:left w:val="none" w:sz="0" w:space="0" w:color="auto"/>
        <w:bottom w:val="none" w:sz="0" w:space="0" w:color="auto"/>
        <w:right w:val="none" w:sz="0" w:space="0" w:color="auto"/>
      </w:divBdr>
    </w:div>
    <w:div w:id="1425688590">
      <w:bodyDiv w:val="1"/>
      <w:marLeft w:val="0"/>
      <w:marRight w:val="0"/>
      <w:marTop w:val="0"/>
      <w:marBottom w:val="0"/>
      <w:divBdr>
        <w:top w:val="none" w:sz="0" w:space="0" w:color="auto"/>
        <w:left w:val="none" w:sz="0" w:space="0" w:color="auto"/>
        <w:bottom w:val="none" w:sz="0" w:space="0" w:color="auto"/>
        <w:right w:val="none" w:sz="0" w:space="0" w:color="auto"/>
      </w:divBdr>
    </w:div>
    <w:div w:id="1690789805">
      <w:bodyDiv w:val="1"/>
      <w:marLeft w:val="0"/>
      <w:marRight w:val="0"/>
      <w:marTop w:val="0"/>
      <w:marBottom w:val="0"/>
      <w:divBdr>
        <w:top w:val="none" w:sz="0" w:space="0" w:color="auto"/>
        <w:left w:val="none" w:sz="0" w:space="0" w:color="auto"/>
        <w:bottom w:val="none" w:sz="0" w:space="0" w:color="auto"/>
        <w:right w:val="none" w:sz="0" w:space="0" w:color="auto"/>
      </w:divBdr>
    </w:div>
    <w:div w:id="1947301195">
      <w:bodyDiv w:val="1"/>
      <w:marLeft w:val="0"/>
      <w:marRight w:val="0"/>
      <w:marTop w:val="0"/>
      <w:marBottom w:val="0"/>
      <w:divBdr>
        <w:top w:val="none" w:sz="0" w:space="0" w:color="auto"/>
        <w:left w:val="none" w:sz="0" w:space="0" w:color="auto"/>
        <w:bottom w:val="none" w:sz="0" w:space="0" w:color="auto"/>
        <w:right w:val="none" w:sz="0" w:space="0" w:color="auto"/>
      </w:divBdr>
    </w:div>
    <w:div w:id="21216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878B-46AA-4C5A-94FC-ED4BFB57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1780</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2020-06-08T20:41:00Z</dcterms:created>
  <dcterms:modified xsi:type="dcterms:W3CDTF">2020-06-08T20:41:00Z</dcterms:modified>
</cp:coreProperties>
</file>