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095"/>
      </w:tblGrid>
      <w:tr w:rsidR="002451DE" w:rsidRPr="00050C33" w14:paraId="149726BD" w14:textId="77777777" w:rsidTr="00AA4868">
        <w:tc>
          <w:tcPr>
            <w:tcW w:w="2297" w:type="dxa"/>
            <w:vAlign w:val="center"/>
          </w:tcPr>
          <w:p w14:paraId="465C690A" w14:textId="77777777" w:rsidR="002451DE" w:rsidRPr="00050C33" w:rsidRDefault="002451DE" w:rsidP="00AA4868">
            <w:pPr>
              <w:spacing w:line="276" w:lineRule="auto"/>
              <w:jc w:val="both"/>
              <w:rPr>
                <w:rFonts w:ascii="Century Gothic" w:eastAsia="Times New Roman" w:hAnsi="Century Gothic" w:cs="Arial"/>
                <w:sz w:val="24"/>
                <w:szCs w:val="24"/>
                <w:lang w:val="es-ES"/>
              </w:rPr>
            </w:pPr>
            <w:bookmarkStart w:id="0" w:name="_GoBack"/>
            <w:bookmarkEnd w:id="0"/>
            <w:r w:rsidRPr="00050C33">
              <w:rPr>
                <w:rFonts w:ascii="Century Gothic" w:eastAsia="Times New Roman" w:hAnsi="Century Gothic" w:cs="Arial"/>
                <w:sz w:val="24"/>
                <w:szCs w:val="24"/>
                <w:lang w:val="es-ES"/>
              </w:rPr>
              <w:t>Ciudad y fecha</w:t>
            </w:r>
          </w:p>
        </w:tc>
        <w:tc>
          <w:tcPr>
            <w:tcW w:w="6095" w:type="dxa"/>
          </w:tcPr>
          <w:p w14:paraId="62367D32" w14:textId="714A4F57" w:rsidR="002451DE" w:rsidRPr="00050C33" w:rsidRDefault="002451DE" w:rsidP="00AA4868">
            <w:pPr>
              <w:spacing w:line="276" w:lineRule="auto"/>
              <w:ind w:right="-427"/>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 xml:space="preserve">Bogotá, D.C., </w:t>
            </w:r>
            <w:r>
              <w:rPr>
                <w:rFonts w:ascii="Century Gothic" w:eastAsia="Times New Roman" w:hAnsi="Century Gothic" w:cs="Arial"/>
                <w:b/>
                <w:sz w:val="24"/>
                <w:szCs w:val="24"/>
                <w:lang w:val="es-ES"/>
              </w:rPr>
              <w:t>seis</w:t>
            </w:r>
            <w:r w:rsidRPr="00050C33">
              <w:rPr>
                <w:rFonts w:ascii="Century Gothic" w:eastAsia="Times New Roman" w:hAnsi="Century Gothic" w:cs="Arial"/>
                <w:b/>
                <w:sz w:val="24"/>
                <w:szCs w:val="24"/>
                <w:lang w:val="es-ES"/>
              </w:rPr>
              <w:t xml:space="preserve"> (</w:t>
            </w:r>
            <w:r>
              <w:rPr>
                <w:rFonts w:ascii="Century Gothic" w:eastAsia="Times New Roman" w:hAnsi="Century Gothic" w:cs="Arial"/>
                <w:b/>
                <w:sz w:val="24"/>
                <w:szCs w:val="24"/>
                <w:lang w:val="es-ES"/>
              </w:rPr>
              <w:t>6</w:t>
            </w:r>
            <w:r w:rsidRPr="00050C33">
              <w:rPr>
                <w:rFonts w:ascii="Century Gothic" w:eastAsia="Times New Roman" w:hAnsi="Century Gothic" w:cs="Arial"/>
                <w:b/>
                <w:sz w:val="24"/>
                <w:szCs w:val="24"/>
                <w:lang w:val="es-ES"/>
              </w:rPr>
              <w:t>) de ju</w:t>
            </w:r>
            <w:r>
              <w:rPr>
                <w:rFonts w:ascii="Century Gothic" w:eastAsia="Times New Roman" w:hAnsi="Century Gothic" w:cs="Arial"/>
                <w:b/>
                <w:sz w:val="24"/>
                <w:szCs w:val="24"/>
                <w:lang w:val="es-ES"/>
              </w:rPr>
              <w:t>l</w:t>
            </w:r>
            <w:r w:rsidRPr="00050C33">
              <w:rPr>
                <w:rFonts w:ascii="Century Gothic" w:eastAsia="Times New Roman" w:hAnsi="Century Gothic" w:cs="Arial"/>
                <w:b/>
                <w:sz w:val="24"/>
                <w:szCs w:val="24"/>
                <w:lang w:val="es-ES"/>
              </w:rPr>
              <w:t xml:space="preserve">io </w:t>
            </w:r>
            <w:r w:rsidRPr="00050C33">
              <w:rPr>
                <w:rFonts w:ascii="Century Gothic" w:eastAsia="Times New Roman" w:hAnsi="Century Gothic" w:cs="Arial"/>
                <w:b/>
                <w:sz w:val="24"/>
                <w:szCs w:val="24"/>
                <w:lang w:val="es-ES"/>
              </w:rPr>
              <w:fldChar w:fldCharType="begin"/>
            </w:r>
            <w:r w:rsidRPr="00050C33">
              <w:rPr>
                <w:rFonts w:ascii="Century Gothic" w:eastAsia="Times New Roman" w:hAnsi="Century Gothic" w:cs="Arial"/>
                <w:b/>
                <w:sz w:val="24"/>
                <w:szCs w:val="24"/>
                <w:lang w:val="es-ES"/>
              </w:rPr>
              <w:instrText xml:space="preserve"> MERGEFIELD FECHA_PROYECTÓ_EL_AUTO_ADMISORIO </w:instrText>
            </w:r>
            <w:r w:rsidRPr="00050C33">
              <w:rPr>
                <w:rFonts w:ascii="Century Gothic" w:eastAsia="Times New Roman" w:hAnsi="Century Gothic" w:cs="Arial"/>
                <w:b/>
                <w:sz w:val="24"/>
                <w:szCs w:val="24"/>
                <w:lang w:val="es-ES"/>
              </w:rPr>
              <w:fldChar w:fldCharType="separate"/>
            </w:r>
            <w:r w:rsidRPr="00050C33">
              <w:rPr>
                <w:rFonts w:ascii="Century Gothic" w:eastAsia="Times New Roman" w:hAnsi="Century Gothic" w:cs="Arial"/>
                <w:b/>
                <w:sz w:val="24"/>
                <w:szCs w:val="24"/>
                <w:lang w:val="es-ES"/>
              </w:rPr>
              <w:t xml:space="preserve">de dos mil </w:t>
            </w:r>
          </w:p>
          <w:p w14:paraId="5F6DDBD3" w14:textId="77777777" w:rsidR="002451DE" w:rsidRPr="00050C33" w:rsidRDefault="002451DE" w:rsidP="00AA4868">
            <w:pPr>
              <w:spacing w:line="276" w:lineRule="auto"/>
              <w:ind w:right="-427"/>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veinte (2020)</w:t>
            </w:r>
            <w:r w:rsidRPr="00050C33">
              <w:rPr>
                <w:rFonts w:ascii="Century Gothic" w:eastAsia="Times New Roman" w:hAnsi="Century Gothic" w:cs="Arial"/>
                <w:b/>
                <w:sz w:val="24"/>
                <w:szCs w:val="24"/>
                <w:lang w:val="es-ES"/>
              </w:rPr>
              <w:fldChar w:fldCharType="end"/>
            </w:r>
          </w:p>
        </w:tc>
      </w:tr>
      <w:tr w:rsidR="002451DE" w:rsidRPr="00050C33" w14:paraId="2F23759E" w14:textId="77777777" w:rsidTr="00AA4868">
        <w:tc>
          <w:tcPr>
            <w:tcW w:w="2297" w:type="dxa"/>
            <w:vAlign w:val="center"/>
          </w:tcPr>
          <w:p w14:paraId="05B5E885" w14:textId="77777777" w:rsidR="002451DE" w:rsidRPr="00050C33" w:rsidRDefault="002451DE" w:rsidP="00AA4868">
            <w:pPr>
              <w:spacing w:line="276"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Referencia</w:t>
            </w:r>
          </w:p>
        </w:tc>
        <w:tc>
          <w:tcPr>
            <w:tcW w:w="6095" w:type="dxa"/>
          </w:tcPr>
          <w:p w14:paraId="2EA5F136" w14:textId="374B8DB7" w:rsidR="002451DE" w:rsidRPr="00050C33" w:rsidRDefault="002451DE" w:rsidP="00AA4868">
            <w:pPr>
              <w:spacing w:line="276"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Expediente No. 110013336034</w:t>
            </w:r>
            <w:r w:rsidRPr="00050C33">
              <w:rPr>
                <w:rFonts w:ascii="Century Gothic" w:eastAsia="Times New Roman" w:hAnsi="Century Gothic" w:cs="Arial"/>
                <w:b/>
                <w:sz w:val="24"/>
                <w:szCs w:val="24"/>
                <w:lang w:val="es-ES"/>
              </w:rPr>
              <w:fldChar w:fldCharType="begin"/>
            </w:r>
            <w:r w:rsidRPr="00050C33">
              <w:rPr>
                <w:rFonts w:ascii="Century Gothic" w:eastAsia="Times New Roman" w:hAnsi="Century Gothic" w:cs="Arial"/>
                <w:b/>
                <w:sz w:val="24"/>
                <w:szCs w:val="24"/>
                <w:lang w:val="es-ES"/>
              </w:rPr>
              <w:instrText xml:space="preserve"> MERGEFIELD Año </w:instrText>
            </w:r>
            <w:r w:rsidRPr="00050C33">
              <w:rPr>
                <w:rFonts w:ascii="Century Gothic" w:eastAsia="Times New Roman" w:hAnsi="Century Gothic" w:cs="Arial"/>
                <w:b/>
                <w:sz w:val="24"/>
                <w:szCs w:val="24"/>
                <w:lang w:val="es-ES"/>
              </w:rPr>
              <w:fldChar w:fldCharType="separate"/>
            </w:r>
            <w:r w:rsidRPr="00050C33">
              <w:rPr>
                <w:rFonts w:ascii="Century Gothic" w:eastAsia="Times New Roman" w:hAnsi="Century Gothic" w:cs="Arial"/>
                <w:b/>
                <w:sz w:val="24"/>
                <w:szCs w:val="24"/>
                <w:lang w:val="es-ES"/>
              </w:rPr>
              <w:t>20</w:t>
            </w:r>
            <w:r w:rsidRPr="00050C33">
              <w:rPr>
                <w:rFonts w:ascii="Century Gothic" w:eastAsia="Times New Roman" w:hAnsi="Century Gothic" w:cs="Arial"/>
                <w:b/>
                <w:sz w:val="24"/>
                <w:szCs w:val="24"/>
                <w:lang w:val="es-ES"/>
              </w:rPr>
              <w:fldChar w:fldCharType="end"/>
            </w:r>
            <w:r w:rsidRPr="00050C33">
              <w:rPr>
                <w:rFonts w:ascii="Century Gothic" w:eastAsia="Times New Roman" w:hAnsi="Century Gothic" w:cs="Arial"/>
                <w:b/>
                <w:sz w:val="24"/>
                <w:szCs w:val="24"/>
                <w:lang w:val="es-ES"/>
              </w:rPr>
              <w:t>2000</w:t>
            </w:r>
            <w:r>
              <w:rPr>
                <w:rFonts w:ascii="Century Gothic" w:eastAsia="Times New Roman" w:hAnsi="Century Gothic" w:cs="Arial"/>
                <w:b/>
                <w:sz w:val="24"/>
                <w:szCs w:val="24"/>
                <w:lang w:val="es-ES"/>
              </w:rPr>
              <w:t>128</w:t>
            </w:r>
            <w:r w:rsidRPr="00050C33">
              <w:rPr>
                <w:rFonts w:ascii="Century Gothic" w:eastAsia="Times New Roman" w:hAnsi="Century Gothic" w:cs="Arial"/>
                <w:b/>
                <w:sz w:val="24"/>
                <w:szCs w:val="24"/>
                <w:lang w:val="es-ES"/>
              </w:rPr>
              <w:fldChar w:fldCharType="begin"/>
            </w:r>
            <w:r w:rsidRPr="00050C33">
              <w:rPr>
                <w:rFonts w:ascii="Century Gothic" w:eastAsia="Times New Roman" w:hAnsi="Century Gothic" w:cs="Arial"/>
                <w:b/>
                <w:sz w:val="24"/>
                <w:szCs w:val="24"/>
                <w:lang w:val="es-ES"/>
              </w:rPr>
              <w:instrText xml:space="preserve"> MERGEFIELD radicado </w:instrText>
            </w:r>
            <w:r w:rsidRPr="00050C33">
              <w:rPr>
                <w:rFonts w:ascii="Century Gothic" w:eastAsia="Times New Roman" w:hAnsi="Century Gothic" w:cs="Arial"/>
                <w:b/>
                <w:sz w:val="24"/>
                <w:szCs w:val="24"/>
                <w:lang w:val="es-ES"/>
              </w:rPr>
              <w:fldChar w:fldCharType="end"/>
            </w:r>
            <w:r w:rsidRPr="00050C33">
              <w:rPr>
                <w:rFonts w:ascii="Century Gothic" w:eastAsia="Times New Roman" w:hAnsi="Century Gothic" w:cs="Arial"/>
                <w:b/>
                <w:sz w:val="24"/>
                <w:szCs w:val="24"/>
                <w:lang w:val="es-ES"/>
              </w:rPr>
              <w:t>00</w:t>
            </w:r>
          </w:p>
        </w:tc>
      </w:tr>
      <w:tr w:rsidR="002451DE" w:rsidRPr="00050C33" w14:paraId="2DEC2409" w14:textId="77777777" w:rsidTr="00AA4868">
        <w:tc>
          <w:tcPr>
            <w:tcW w:w="2297" w:type="dxa"/>
            <w:vAlign w:val="center"/>
          </w:tcPr>
          <w:p w14:paraId="7E63EF6F" w14:textId="77777777" w:rsidR="002451DE" w:rsidRPr="00050C33" w:rsidRDefault="002451DE" w:rsidP="00AA4868">
            <w:pPr>
              <w:spacing w:line="276"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Accionante</w:t>
            </w:r>
          </w:p>
        </w:tc>
        <w:tc>
          <w:tcPr>
            <w:tcW w:w="6095" w:type="dxa"/>
          </w:tcPr>
          <w:p w14:paraId="5AE568A3" w14:textId="598C7173" w:rsidR="002451DE" w:rsidRPr="00050C33" w:rsidRDefault="002451DE" w:rsidP="00AA4868">
            <w:pPr>
              <w:spacing w:line="276" w:lineRule="auto"/>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Mayra Alejandra Luna Ramírez</w:t>
            </w:r>
          </w:p>
        </w:tc>
      </w:tr>
      <w:tr w:rsidR="002451DE" w:rsidRPr="00050C33" w14:paraId="538E2FA6" w14:textId="77777777" w:rsidTr="00AA4868">
        <w:tc>
          <w:tcPr>
            <w:tcW w:w="2297" w:type="dxa"/>
            <w:vAlign w:val="center"/>
          </w:tcPr>
          <w:p w14:paraId="572F398C" w14:textId="77777777" w:rsidR="002451DE" w:rsidRPr="00050C33" w:rsidRDefault="002451DE" w:rsidP="00AA4868">
            <w:pPr>
              <w:spacing w:line="276"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Accionado</w:t>
            </w:r>
          </w:p>
        </w:tc>
        <w:tc>
          <w:tcPr>
            <w:tcW w:w="6095" w:type="dxa"/>
          </w:tcPr>
          <w:p w14:paraId="49BF8640" w14:textId="5BA4CAE0" w:rsidR="002451DE" w:rsidRPr="00050C33" w:rsidRDefault="002451DE" w:rsidP="00AA4868">
            <w:pPr>
              <w:spacing w:line="276" w:lineRule="auto"/>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Unidad Administrativa Migración Colombia y Ministerio de Relaciones Exteriores</w:t>
            </w:r>
          </w:p>
        </w:tc>
      </w:tr>
      <w:tr w:rsidR="002451DE" w:rsidRPr="00050C33" w14:paraId="0D140BDD" w14:textId="77777777" w:rsidTr="00AA4868">
        <w:tc>
          <w:tcPr>
            <w:tcW w:w="2297" w:type="dxa"/>
            <w:vAlign w:val="center"/>
          </w:tcPr>
          <w:p w14:paraId="10C6CA73" w14:textId="77777777" w:rsidR="002451DE" w:rsidRPr="00050C33" w:rsidRDefault="002451DE" w:rsidP="00AA4868">
            <w:pPr>
              <w:spacing w:line="276"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Medio de control</w:t>
            </w:r>
          </w:p>
        </w:tc>
        <w:tc>
          <w:tcPr>
            <w:tcW w:w="6095" w:type="dxa"/>
          </w:tcPr>
          <w:p w14:paraId="35515AC5" w14:textId="77777777" w:rsidR="002451DE" w:rsidRPr="00050C33" w:rsidRDefault="002451DE" w:rsidP="00AA4868">
            <w:pPr>
              <w:spacing w:line="276"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Tutela</w:t>
            </w:r>
          </w:p>
        </w:tc>
      </w:tr>
      <w:tr w:rsidR="002451DE" w:rsidRPr="00050C33" w14:paraId="09D3A3A1" w14:textId="77777777" w:rsidTr="00AA4868">
        <w:tc>
          <w:tcPr>
            <w:tcW w:w="2297" w:type="dxa"/>
            <w:vAlign w:val="center"/>
          </w:tcPr>
          <w:p w14:paraId="5517DE06" w14:textId="77777777" w:rsidR="002451DE" w:rsidRPr="00050C33" w:rsidRDefault="002451DE" w:rsidP="00AA4868">
            <w:pPr>
              <w:spacing w:line="276"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Asunto</w:t>
            </w:r>
          </w:p>
        </w:tc>
        <w:tc>
          <w:tcPr>
            <w:tcW w:w="6095" w:type="dxa"/>
          </w:tcPr>
          <w:p w14:paraId="0FAD63A0" w14:textId="77777777" w:rsidR="002451DE" w:rsidRPr="00050C33" w:rsidRDefault="002451DE" w:rsidP="00AA4868">
            <w:pPr>
              <w:spacing w:line="276"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Sentencia de primera instancia</w:t>
            </w:r>
          </w:p>
        </w:tc>
      </w:tr>
    </w:tbl>
    <w:p w14:paraId="17391B4D" w14:textId="77777777" w:rsidR="002451DE" w:rsidRPr="00050C33" w:rsidRDefault="002451DE" w:rsidP="002451DE">
      <w:pPr>
        <w:spacing w:line="360" w:lineRule="auto"/>
        <w:jc w:val="both"/>
        <w:rPr>
          <w:rFonts w:ascii="Century Gothic" w:eastAsia="Times New Roman" w:hAnsi="Century Gothic" w:cs="Arial"/>
          <w:sz w:val="24"/>
          <w:szCs w:val="24"/>
          <w:lang w:val="es-ES"/>
        </w:rPr>
      </w:pPr>
    </w:p>
    <w:p w14:paraId="04D91B37" w14:textId="77777777" w:rsidR="002451DE" w:rsidRPr="00050C33" w:rsidRDefault="002451DE" w:rsidP="002451DE">
      <w:pPr>
        <w:spacing w:line="360" w:lineRule="auto"/>
        <w:jc w:val="center"/>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SENTENCIA</w:t>
      </w:r>
    </w:p>
    <w:p w14:paraId="17F5AFFA" w14:textId="77777777" w:rsidR="002451DE" w:rsidRPr="00050C33" w:rsidRDefault="002451DE" w:rsidP="002451DE">
      <w:pPr>
        <w:spacing w:line="360" w:lineRule="auto"/>
        <w:jc w:val="center"/>
        <w:rPr>
          <w:rFonts w:ascii="Century Gothic" w:eastAsia="Times New Roman" w:hAnsi="Century Gothic" w:cs="Arial"/>
          <w:b/>
          <w:sz w:val="24"/>
          <w:szCs w:val="24"/>
          <w:lang w:val="es-ES"/>
        </w:rPr>
      </w:pPr>
    </w:p>
    <w:p w14:paraId="476CB6A1" w14:textId="4733EBBD" w:rsidR="002451DE" w:rsidRDefault="002451DE" w:rsidP="002451DE">
      <w:pPr>
        <w:spacing w:line="360" w:lineRule="auto"/>
        <w:ind w:right="-1"/>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El despacho decide la acción de tutela que presentó </w:t>
      </w:r>
      <w:r>
        <w:rPr>
          <w:rFonts w:ascii="Century Gothic" w:eastAsia="Times New Roman" w:hAnsi="Century Gothic" w:cs="Arial"/>
          <w:sz w:val="24"/>
          <w:szCs w:val="24"/>
          <w:lang w:val="es-ES"/>
        </w:rPr>
        <w:t>en nombre propio</w:t>
      </w:r>
      <w:r w:rsidRPr="00050C33">
        <w:rPr>
          <w:rFonts w:ascii="Century Gothic" w:eastAsia="Times New Roman" w:hAnsi="Century Gothic" w:cs="Arial"/>
          <w:sz w:val="24"/>
          <w:szCs w:val="24"/>
          <w:lang w:val="es-ES"/>
        </w:rPr>
        <w:t xml:space="preserve"> la señora </w:t>
      </w:r>
      <w:r>
        <w:rPr>
          <w:rFonts w:ascii="Century Gothic" w:eastAsia="Times New Roman" w:hAnsi="Century Gothic" w:cs="Arial"/>
          <w:sz w:val="24"/>
          <w:szCs w:val="24"/>
          <w:lang w:val="es-ES"/>
        </w:rPr>
        <w:t>Mayra Alejandra Luna Ramírez</w:t>
      </w:r>
      <w:r w:rsidRPr="00050C33">
        <w:rPr>
          <w:rFonts w:ascii="Century Gothic" w:eastAsia="Times New Roman" w:hAnsi="Century Gothic" w:cs="Arial"/>
          <w:sz w:val="24"/>
          <w:szCs w:val="24"/>
          <w:lang w:val="es-ES"/>
        </w:rPr>
        <w:t xml:space="preserve"> en contra de la Unidad </w:t>
      </w:r>
      <w:r>
        <w:rPr>
          <w:rFonts w:ascii="Century Gothic" w:eastAsia="Times New Roman" w:hAnsi="Century Gothic" w:cs="Arial"/>
          <w:sz w:val="24"/>
          <w:szCs w:val="24"/>
          <w:lang w:val="es-ES"/>
        </w:rPr>
        <w:t>Administrativa Migración Colombia y el Ministerio de Relaciones Exteriores</w:t>
      </w:r>
      <w:r w:rsidRPr="00050C33">
        <w:rPr>
          <w:rFonts w:ascii="Century Gothic" w:eastAsia="Times New Roman" w:hAnsi="Century Gothic" w:cs="Arial"/>
          <w:sz w:val="24"/>
          <w:szCs w:val="24"/>
          <w:lang w:val="es-ES"/>
        </w:rPr>
        <w:t>, para la protección de sus derechos</w:t>
      </w:r>
      <w:r>
        <w:rPr>
          <w:rFonts w:ascii="Century Gothic" w:eastAsia="Times New Roman" w:hAnsi="Century Gothic" w:cs="Arial"/>
          <w:sz w:val="24"/>
          <w:szCs w:val="24"/>
          <w:lang w:val="es-ES"/>
        </w:rPr>
        <w:t xml:space="preserve"> fundamentales</w:t>
      </w:r>
      <w:r w:rsidRPr="00050C33">
        <w:rPr>
          <w:rFonts w:ascii="Century Gothic" w:eastAsia="Times New Roman" w:hAnsi="Century Gothic" w:cs="Arial"/>
          <w:sz w:val="24"/>
          <w:szCs w:val="24"/>
          <w:lang w:val="es-ES"/>
        </w:rPr>
        <w:t xml:space="preserve"> a</w:t>
      </w:r>
      <w:r>
        <w:rPr>
          <w:rFonts w:ascii="Century Gothic" w:eastAsia="Times New Roman" w:hAnsi="Century Gothic" w:cs="Arial"/>
          <w:sz w:val="24"/>
          <w:szCs w:val="24"/>
          <w:lang w:val="es-ES"/>
        </w:rPr>
        <w:t xml:space="preserve"> </w:t>
      </w:r>
      <w:r w:rsidRPr="00050C33">
        <w:rPr>
          <w:rFonts w:ascii="Century Gothic" w:eastAsia="Times New Roman" w:hAnsi="Century Gothic" w:cs="Arial"/>
          <w:sz w:val="24"/>
          <w:szCs w:val="24"/>
          <w:lang w:val="es-ES"/>
        </w:rPr>
        <w:t>l</w:t>
      </w:r>
      <w:r>
        <w:rPr>
          <w:rFonts w:ascii="Century Gothic" w:eastAsia="Times New Roman" w:hAnsi="Century Gothic" w:cs="Arial"/>
          <w:sz w:val="24"/>
          <w:szCs w:val="24"/>
          <w:lang w:val="es-ES"/>
        </w:rPr>
        <w:t>a salud y la unidad familiar</w:t>
      </w:r>
      <w:r w:rsidRPr="00050C33">
        <w:rPr>
          <w:rFonts w:ascii="Century Gothic" w:eastAsia="Times New Roman" w:hAnsi="Century Gothic" w:cs="Arial"/>
          <w:sz w:val="24"/>
          <w:szCs w:val="24"/>
          <w:lang w:val="es-ES"/>
        </w:rPr>
        <w:t>, los cuales considera vulnerados</w:t>
      </w:r>
      <w:r w:rsidR="00287CFE">
        <w:rPr>
          <w:rFonts w:ascii="Century Gothic" w:eastAsia="Times New Roman" w:hAnsi="Century Gothic" w:cs="Arial"/>
          <w:sz w:val="24"/>
          <w:szCs w:val="24"/>
          <w:lang w:val="es-ES"/>
        </w:rPr>
        <w:t>,</w:t>
      </w:r>
      <w:r w:rsidRPr="00050C33">
        <w:rPr>
          <w:rFonts w:ascii="Century Gothic" w:eastAsia="Times New Roman" w:hAnsi="Century Gothic" w:cs="Arial"/>
          <w:sz w:val="24"/>
          <w:szCs w:val="24"/>
          <w:lang w:val="es-ES"/>
        </w:rPr>
        <w:t xml:space="preserve"> </w:t>
      </w:r>
      <w:r>
        <w:rPr>
          <w:rFonts w:ascii="Century Gothic" w:eastAsia="Times New Roman" w:hAnsi="Century Gothic" w:cs="Arial"/>
          <w:sz w:val="24"/>
          <w:szCs w:val="24"/>
          <w:lang w:val="es-ES"/>
        </w:rPr>
        <w:t xml:space="preserve">pues sus hijos menores de edad, de nacionalidad </w:t>
      </w:r>
      <w:r w:rsidR="00287CFE">
        <w:rPr>
          <w:rFonts w:ascii="Century Gothic" w:eastAsia="Times New Roman" w:hAnsi="Century Gothic" w:cs="Arial"/>
          <w:sz w:val="24"/>
          <w:szCs w:val="24"/>
          <w:lang w:val="es-ES"/>
        </w:rPr>
        <w:t>venezolana, no han obtenido el permiso especial de p</w:t>
      </w:r>
      <w:r>
        <w:rPr>
          <w:rFonts w:ascii="Century Gothic" w:eastAsia="Times New Roman" w:hAnsi="Century Gothic" w:cs="Arial"/>
          <w:sz w:val="24"/>
          <w:szCs w:val="24"/>
          <w:lang w:val="es-ES"/>
        </w:rPr>
        <w:t>ermanencia que regularice su situación en el país</w:t>
      </w:r>
      <w:r w:rsidRPr="00050C33">
        <w:rPr>
          <w:rFonts w:ascii="Century Gothic" w:eastAsia="Times New Roman" w:hAnsi="Century Gothic" w:cs="Arial"/>
          <w:sz w:val="24"/>
          <w:szCs w:val="24"/>
          <w:lang w:val="es-ES"/>
        </w:rPr>
        <w:t xml:space="preserve">. </w:t>
      </w:r>
    </w:p>
    <w:p w14:paraId="7D96AB9F" w14:textId="77777777" w:rsidR="002451DE" w:rsidRPr="00050C33" w:rsidRDefault="002451DE" w:rsidP="002451DE">
      <w:pPr>
        <w:spacing w:line="360" w:lineRule="auto"/>
        <w:ind w:right="-1"/>
        <w:jc w:val="both"/>
        <w:rPr>
          <w:rFonts w:ascii="Century Gothic" w:eastAsia="Times New Roman" w:hAnsi="Century Gothic" w:cs="Arial"/>
          <w:sz w:val="24"/>
          <w:szCs w:val="24"/>
          <w:lang w:val="es-ES"/>
        </w:rPr>
      </w:pPr>
    </w:p>
    <w:p w14:paraId="30A709CB" w14:textId="77777777" w:rsidR="002451DE" w:rsidRPr="00050C33" w:rsidRDefault="002451DE" w:rsidP="002451DE">
      <w:pPr>
        <w:tabs>
          <w:tab w:val="left" w:pos="5472"/>
        </w:tabs>
        <w:spacing w:line="360" w:lineRule="auto"/>
        <w:jc w:val="center"/>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I. ANTECEDENTES</w:t>
      </w:r>
    </w:p>
    <w:p w14:paraId="132F7948" w14:textId="77777777" w:rsidR="002451DE" w:rsidRPr="00050C33" w:rsidRDefault="002451DE" w:rsidP="002451DE">
      <w:pPr>
        <w:tabs>
          <w:tab w:val="left" w:pos="5472"/>
        </w:tabs>
        <w:spacing w:line="360" w:lineRule="auto"/>
        <w:jc w:val="both"/>
        <w:rPr>
          <w:rFonts w:ascii="Century Gothic" w:eastAsia="Times New Roman" w:hAnsi="Century Gothic" w:cs="Arial"/>
          <w:sz w:val="24"/>
          <w:szCs w:val="24"/>
          <w:lang w:val="es-ES"/>
        </w:rPr>
      </w:pPr>
    </w:p>
    <w:p w14:paraId="1F4C6C0A" w14:textId="77777777" w:rsidR="002451DE" w:rsidRPr="00050C33" w:rsidRDefault="002451DE" w:rsidP="002451DE">
      <w:pPr>
        <w:tabs>
          <w:tab w:val="left" w:pos="5472"/>
        </w:tabs>
        <w:spacing w:line="360"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 xml:space="preserve">1. Síntesis del caso </w:t>
      </w:r>
    </w:p>
    <w:p w14:paraId="51D98DE7" w14:textId="77777777" w:rsidR="002451DE" w:rsidRPr="00050C33" w:rsidRDefault="002451DE" w:rsidP="002451DE">
      <w:pPr>
        <w:tabs>
          <w:tab w:val="left" w:pos="5472"/>
        </w:tabs>
        <w:spacing w:line="360" w:lineRule="auto"/>
        <w:jc w:val="both"/>
        <w:rPr>
          <w:rFonts w:ascii="Century Gothic" w:eastAsia="Times New Roman" w:hAnsi="Century Gothic" w:cs="Arial"/>
          <w:b/>
          <w:sz w:val="24"/>
          <w:szCs w:val="24"/>
          <w:lang w:val="es-ES"/>
        </w:rPr>
      </w:pPr>
    </w:p>
    <w:p w14:paraId="1CC22080" w14:textId="77777777" w:rsidR="00AB5D1C" w:rsidRDefault="002451DE" w:rsidP="002451DE">
      <w:pPr>
        <w:tabs>
          <w:tab w:val="left" w:pos="5472"/>
        </w:tabs>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1. La señora Mayra Alejandra Luna Ramírez, indicó ser de nacionalidad </w:t>
      </w:r>
      <w:r w:rsidR="00287CFE">
        <w:rPr>
          <w:rFonts w:ascii="Century Gothic" w:eastAsia="Times New Roman" w:hAnsi="Century Gothic" w:cs="Arial"/>
          <w:sz w:val="24"/>
          <w:szCs w:val="24"/>
          <w:lang w:val="es-ES"/>
        </w:rPr>
        <w:t>venezolana y haber obtenido el permiso especial de p</w:t>
      </w:r>
      <w:r>
        <w:rPr>
          <w:rFonts w:ascii="Century Gothic" w:eastAsia="Times New Roman" w:hAnsi="Century Gothic" w:cs="Arial"/>
          <w:sz w:val="24"/>
          <w:szCs w:val="24"/>
          <w:lang w:val="es-ES"/>
        </w:rPr>
        <w:t>ermanencia para residir en territorio colombiano</w:t>
      </w:r>
      <w:r w:rsidR="00AB5D1C">
        <w:rPr>
          <w:rFonts w:ascii="Century Gothic" w:eastAsia="Times New Roman" w:hAnsi="Century Gothic" w:cs="Arial"/>
          <w:sz w:val="24"/>
          <w:szCs w:val="24"/>
          <w:lang w:val="es-ES"/>
        </w:rPr>
        <w:t xml:space="preserve">, el día 12 de febrero de 2018. </w:t>
      </w:r>
      <w:r>
        <w:rPr>
          <w:rFonts w:ascii="Century Gothic" w:eastAsia="Times New Roman" w:hAnsi="Century Gothic" w:cs="Arial"/>
          <w:sz w:val="24"/>
          <w:szCs w:val="24"/>
          <w:lang w:val="es-ES"/>
        </w:rPr>
        <w:t xml:space="preserve">Informó que el 22 de junio de 2018 </w:t>
      </w:r>
      <w:r w:rsidR="00287CFE">
        <w:rPr>
          <w:rFonts w:ascii="Century Gothic" w:eastAsia="Times New Roman" w:hAnsi="Century Gothic" w:cs="Arial"/>
          <w:sz w:val="24"/>
          <w:szCs w:val="24"/>
          <w:lang w:val="es-ES"/>
        </w:rPr>
        <w:t>trasladó</w:t>
      </w:r>
      <w:r>
        <w:rPr>
          <w:rFonts w:ascii="Century Gothic" w:eastAsia="Times New Roman" w:hAnsi="Century Gothic" w:cs="Arial"/>
          <w:sz w:val="24"/>
          <w:szCs w:val="24"/>
          <w:lang w:val="es-ES"/>
        </w:rPr>
        <w:t xml:space="preserve"> a sus hijos desde Venezuela, quienes ingresaron de forma irregular. </w:t>
      </w:r>
    </w:p>
    <w:p w14:paraId="6F31CB88" w14:textId="77777777" w:rsidR="00AB5D1C" w:rsidRDefault="00AB5D1C" w:rsidP="002451DE">
      <w:pPr>
        <w:tabs>
          <w:tab w:val="left" w:pos="5472"/>
        </w:tabs>
        <w:spacing w:line="360" w:lineRule="auto"/>
        <w:jc w:val="both"/>
        <w:rPr>
          <w:rFonts w:ascii="Century Gothic" w:eastAsia="Times New Roman" w:hAnsi="Century Gothic" w:cs="Arial"/>
          <w:sz w:val="24"/>
          <w:szCs w:val="24"/>
          <w:lang w:val="es-ES"/>
        </w:rPr>
      </w:pPr>
    </w:p>
    <w:p w14:paraId="645A1584" w14:textId="77777777" w:rsidR="00AB5D1C" w:rsidRDefault="00AB5D1C" w:rsidP="002451DE">
      <w:pPr>
        <w:tabs>
          <w:tab w:val="left" w:pos="5472"/>
        </w:tabs>
        <w:spacing w:line="360" w:lineRule="auto"/>
        <w:jc w:val="both"/>
        <w:rPr>
          <w:rFonts w:ascii="Century Gothic" w:eastAsia="Times New Roman" w:hAnsi="Century Gothic" w:cs="Arial"/>
          <w:sz w:val="24"/>
          <w:szCs w:val="24"/>
          <w:lang w:val="es-ES"/>
        </w:rPr>
      </w:pPr>
    </w:p>
    <w:p w14:paraId="0F0028BD" w14:textId="6FAE7B23" w:rsidR="002451DE" w:rsidRDefault="00AB5D1C" w:rsidP="002451DE">
      <w:pPr>
        <w:tabs>
          <w:tab w:val="left" w:pos="5472"/>
        </w:tabs>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lastRenderedPageBreak/>
        <w:t>2. La accionante señaló que a la fech</w:t>
      </w:r>
      <w:r w:rsidR="00EF5522">
        <w:rPr>
          <w:rFonts w:ascii="Century Gothic" w:eastAsia="Times New Roman" w:hAnsi="Century Gothic" w:cs="Arial"/>
          <w:sz w:val="24"/>
          <w:szCs w:val="24"/>
          <w:lang w:val="es-ES"/>
        </w:rPr>
        <w:t xml:space="preserve">a sus hijos no contaban con </w:t>
      </w:r>
      <w:r w:rsidR="002451DE">
        <w:rPr>
          <w:rFonts w:ascii="Century Gothic" w:eastAsia="Times New Roman" w:hAnsi="Century Gothic" w:cs="Arial"/>
          <w:sz w:val="24"/>
          <w:szCs w:val="24"/>
          <w:lang w:val="es-ES"/>
        </w:rPr>
        <w:t xml:space="preserve">documentos que regularicen su situación </w:t>
      </w:r>
      <w:r w:rsidR="00EF5522">
        <w:rPr>
          <w:rFonts w:ascii="Century Gothic" w:eastAsia="Times New Roman" w:hAnsi="Century Gothic" w:cs="Arial"/>
          <w:sz w:val="24"/>
          <w:szCs w:val="24"/>
          <w:lang w:val="es-ES"/>
        </w:rPr>
        <w:t>en el país, por lo que</w:t>
      </w:r>
      <w:r w:rsidR="002451DE">
        <w:rPr>
          <w:rFonts w:ascii="Century Gothic" w:eastAsia="Times New Roman" w:hAnsi="Century Gothic" w:cs="Arial"/>
          <w:sz w:val="24"/>
          <w:szCs w:val="24"/>
          <w:lang w:val="es-ES"/>
        </w:rPr>
        <w:t xml:space="preserve"> no han podido acceder a la atención en salud, ni ser afiliados a ninguna E.P.S. </w:t>
      </w:r>
    </w:p>
    <w:p w14:paraId="0912727E" w14:textId="23BEF669" w:rsidR="002451DE" w:rsidRDefault="002451DE" w:rsidP="002451DE">
      <w:pPr>
        <w:tabs>
          <w:tab w:val="left" w:pos="5472"/>
        </w:tabs>
        <w:spacing w:line="360" w:lineRule="auto"/>
        <w:jc w:val="both"/>
        <w:rPr>
          <w:rFonts w:ascii="Century Gothic" w:eastAsia="Times New Roman" w:hAnsi="Century Gothic" w:cs="Arial"/>
          <w:sz w:val="24"/>
          <w:szCs w:val="24"/>
          <w:lang w:val="es-ES"/>
        </w:rPr>
      </w:pPr>
    </w:p>
    <w:p w14:paraId="7DD30A7B" w14:textId="26D7BBDF" w:rsidR="002451DE" w:rsidRPr="002451DE" w:rsidRDefault="002451DE" w:rsidP="002451DE">
      <w:pPr>
        <w:tabs>
          <w:tab w:val="left" w:pos="5472"/>
        </w:tabs>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3. </w:t>
      </w:r>
      <w:r w:rsidR="00EF5522">
        <w:rPr>
          <w:rFonts w:ascii="Century Gothic" w:eastAsia="Times New Roman" w:hAnsi="Century Gothic" w:cs="Arial"/>
          <w:sz w:val="24"/>
          <w:szCs w:val="24"/>
          <w:lang w:val="es-ES"/>
        </w:rPr>
        <w:t>A</w:t>
      </w:r>
      <w:r>
        <w:rPr>
          <w:rFonts w:ascii="Century Gothic" w:eastAsia="Times New Roman" w:hAnsi="Century Gothic" w:cs="Arial"/>
          <w:sz w:val="24"/>
          <w:szCs w:val="24"/>
          <w:lang w:val="es-ES"/>
        </w:rPr>
        <w:t xml:space="preserve">firmó </w:t>
      </w:r>
      <w:proofErr w:type="gramStart"/>
      <w:r w:rsidR="00EF5522">
        <w:rPr>
          <w:rFonts w:ascii="Century Gothic" w:eastAsia="Times New Roman" w:hAnsi="Century Gothic" w:cs="Arial"/>
          <w:sz w:val="24"/>
          <w:szCs w:val="24"/>
          <w:lang w:val="es-ES"/>
        </w:rPr>
        <w:t>que</w:t>
      </w:r>
      <w:proofErr w:type="gramEnd"/>
      <w:r w:rsidR="00EF5522">
        <w:rPr>
          <w:rFonts w:ascii="Century Gothic" w:eastAsia="Times New Roman" w:hAnsi="Century Gothic" w:cs="Arial"/>
          <w:sz w:val="24"/>
          <w:szCs w:val="24"/>
          <w:lang w:val="es-ES"/>
        </w:rPr>
        <w:t xml:space="preserve"> de no otorgarse el permiso especial de p</w:t>
      </w:r>
      <w:r>
        <w:rPr>
          <w:rFonts w:ascii="Century Gothic" w:eastAsia="Times New Roman" w:hAnsi="Century Gothic" w:cs="Arial"/>
          <w:sz w:val="24"/>
          <w:szCs w:val="24"/>
          <w:lang w:val="es-ES"/>
        </w:rPr>
        <w:t>ermanencia a sus hijos, se corr</w:t>
      </w:r>
      <w:r w:rsidR="00EF5522">
        <w:rPr>
          <w:rFonts w:ascii="Century Gothic" w:eastAsia="Times New Roman" w:hAnsi="Century Gothic" w:cs="Arial"/>
          <w:sz w:val="24"/>
          <w:szCs w:val="24"/>
          <w:lang w:val="es-ES"/>
        </w:rPr>
        <w:t>ía</w:t>
      </w:r>
      <w:r>
        <w:rPr>
          <w:rFonts w:ascii="Century Gothic" w:eastAsia="Times New Roman" w:hAnsi="Century Gothic" w:cs="Arial"/>
          <w:sz w:val="24"/>
          <w:szCs w:val="24"/>
          <w:lang w:val="es-ES"/>
        </w:rPr>
        <w:t xml:space="preserve"> el ries</w:t>
      </w:r>
      <w:r w:rsidR="00EF5522">
        <w:rPr>
          <w:rFonts w:ascii="Century Gothic" w:eastAsia="Times New Roman" w:hAnsi="Century Gothic" w:cs="Arial"/>
          <w:sz w:val="24"/>
          <w:szCs w:val="24"/>
          <w:lang w:val="es-ES"/>
        </w:rPr>
        <w:t>go de separación familiar, lo cual indicó iba</w:t>
      </w:r>
      <w:r>
        <w:rPr>
          <w:rFonts w:ascii="Century Gothic" w:eastAsia="Times New Roman" w:hAnsi="Century Gothic" w:cs="Arial"/>
          <w:sz w:val="24"/>
          <w:szCs w:val="24"/>
          <w:lang w:val="es-ES"/>
        </w:rPr>
        <w:t xml:space="preserve"> en contra de l</w:t>
      </w:r>
      <w:r w:rsidR="00EF5522">
        <w:rPr>
          <w:rFonts w:ascii="Century Gothic" w:eastAsia="Times New Roman" w:hAnsi="Century Gothic" w:cs="Arial"/>
          <w:sz w:val="24"/>
          <w:szCs w:val="24"/>
          <w:lang w:val="es-ES"/>
        </w:rPr>
        <w:t>a unidad familiar a la que alegó tenía</w:t>
      </w:r>
      <w:r>
        <w:rPr>
          <w:rFonts w:ascii="Century Gothic" w:eastAsia="Times New Roman" w:hAnsi="Century Gothic" w:cs="Arial"/>
          <w:sz w:val="24"/>
          <w:szCs w:val="24"/>
          <w:lang w:val="es-ES"/>
        </w:rPr>
        <w:t xml:space="preserve"> derecho</w:t>
      </w:r>
      <w:r w:rsidRPr="00050C33">
        <w:rPr>
          <w:rFonts w:ascii="Century Gothic" w:hAnsi="Century Gothic"/>
          <w:sz w:val="24"/>
          <w:szCs w:val="24"/>
          <w:vertAlign w:val="superscript"/>
          <w:lang w:val="es-ES"/>
        </w:rPr>
        <w:footnoteReference w:id="1"/>
      </w:r>
      <w:r w:rsidRPr="00050C33">
        <w:rPr>
          <w:rFonts w:ascii="Century Gothic" w:hAnsi="Century Gothic" w:cs="Arial"/>
          <w:sz w:val="24"/>
          <w:szCs w:val="24"/>
          <w:lang w:val="es-ES"/>
        </w:rPr>
        <w:t>.</w:t>
      </w:r>
    </w:p>
    <w:p w14:paraId="24460D37" w14:textId="77777777" w:rsidR="002451DE" w:rsidRPr="00050C33" w:rsidRDefault="002451DE" w:rsidP="002451DE">
      <w:pPr>
        <w:tabs>
          <w:tab w:val="left" w:pos="5472"/>
        </w:tabs>
        <w:spacing w:line="360" w:lineRule="auto"/>
        <w:jc w:val="both"/>
        <w:rPr>
          <w:rFonts w:ascii="Century Gothic" w:eastAsia="Times New Roman" w:hAnsi="Century Gothic" w:cs="Arial"/>
          <w:bCs/>
          <w:sz w:val="24"/>
          <w:szCs w:val="24"/>
          <w:lang w:val="es-ES"/>
        </w:rPr>
      </w:pPr>
    </w:p>
    <w:p w14:paraId="2E75CCA0" w14:textId="77777777" w:rsidR="002451DE" w:rsidRPr="00050C33" w:rsidRDefault="002451DE" w:rsidP="002451DE">
      <w:pPr>
        <w:spacing w:line="360" w:lineRule="auto"/>
        <w:jc w:val="both"/>
        <w:rPr>
          <w:rFonts w:ascii="Century Gothic" w:eastAsia="Times New Roman" w:hAnsi="Century Gothic" w:cs="Arial"/>
          <w:i/>
          <w:sz w:val="24"/>
          <w:szCs w:val="24"/>
          <w:lang w:val="es-ES"/>
        </w:rPr>
      </w:pPr>
      <w:r w:rsidRPr="00050C33">
        <w:rPr>
          <w:rFonts w:ascii="Century Gothic" w:eastAsia="Times New Roman" w:hAnsi="Century Gothic" w:cs="Arial"/>
          <w:b/>
          <w:sz w:val="24"/>
          <w:szCs w:val="24"/>
          <w:lang w:val="es-ES"/>
        </w:rPr>
        <w:t>2. Actuación procesal</w:t>
      </w:r>
    </w:p>
    <w:p w14:paraId="7837E133" w14:textId="77777777" w:rsidR="002451DE" w:rsidRPr="00050C33" w:rsidRDefault="002451DE" w:rsidP="002451DE">
      <w:pPr>
        <w:spacing w:line="360" w:lineRule="auto"/>
        <w:jc w:val="both"/>
        <w:rPr>
          <w:rFonts w:ascii="Century Gothic" w:eastAsia="Times New Roman" w:hAnsi="Century Gothic" w:cs="Arial"/>
          <w:b/>
          <w:sz w:val="24"/>
          <w:szCs w:val="24"/>
          <w:lang w:val="es-ES"/>
        </w:rPr>
      </w:pPr>
    </w:p>
    <w:p w14:paraId="12C761E2" w14:textId="361C2FF9" w:rsidR="002451DE" w:rsidRPr="00050C33" w:rsidRDefault="00F937C2" w:rsidP="002451DE">
      <w:pPr>
        <w:spacing w:line="360" w:lineRule="auto"/>
        <w:jc w:val="both"/>
        <w:rPr>
          <w:rFonts w:ascii="Century Gothic" w:hAnsi="Century Gothic" w:cs="Arial"/>
          <w:sz w:val="24"/>
          <w:szCs w:val="24"/>
          <w:lang w:val="es-ES"/>
        </w:rPr>
      </w:pPr>
      <w:r>
        <w:rPr>
          <w:rFonts w:ascii="Century Gothic" w:hAnsi="Century Gothic" w:cs="Arial"/>
          <w:sz w:val="24"/>
          <w:szCs w:val="24"/>
          <w:lang w:val="es-ES"/>
        </w:rPr>
        <w:t>4</w:t>
      </w:r>
      <w:r w:rsidR="002451DE" w:rsidRPr="00050C33">
        <w:rPr>
          <w:rFonts w:ascii="Century Gothic" w:hAnsi="Century Gothic" w:cs="Arial"/>
          <w:sz w:val="24"/>
          <w:szCs w:val="24"/>
          <w:lang w:val="es-ES"/>
        </w:rPr>
        <w:t xml:space="preserve">. El escrito de tutela se presentó el </w:t>
      </w:r>
      <w:r>
        <w:rPr>
          <w:rFonts w:ascii="Century Gothic" w:hAnsi="Century Gothic" w:cs="Arial"/>
          <w:sz w:val="24"/>
          <w:szCs w:val="24"/>
          <w:lang w:val="es-ES"/>
        </w:rPr>
        <w:t>24</w:t>
      </w:r>
      <w:r w:rsidR="002451DE" w:rsidRPr="00050C33">
        <w:rPr>
          <w:rFonts w:ascii="Century Gothic" w:hAnsi="Century Gothic" w:cs="Arial"/>
          <w:sz w:val="24"/>
          <w:szCs w:val="24"/>
          <w:lang w:val="es-ES"/>
        </w:rPr>
        <w:t xml:space="preserve"> de </w:t>
      </w:r>
      <w:r>
        <w:rPr>
          <w:rFonts w:ascii="Century Gothic" w:hAnsi="Century Gothic" w:cs="Arial"/>
          <w:sz w:val="24"/>
          <w:szCs w:val="24"/>
          <w:lang w:val="es-ES"/>
        </w:rPr>
        <w:t>junio</w:t>
      </w:r>
      <w:r w:rsidR="002451DE" w:rsidRPr="00050C33">
        <w:rPr>
          <w:rFonts w:ascii="Century Gothic" w:hAnsi="Century Gothic" w:cs="Arial"/>
          <w:sz w:val="24"/>
          <w:szCs w:val="24"/>
          <w:lang w:val="es-ES"/>
        </w:rPr>
        <w:t xml:space="preserve"> de 2020</w:t>
      </w:r>
      <w:r w:rsidR="002451DE" w:rsidRPr="00050C33">
        <w:rPr>
          <w:rFonts w:ascii="Century Gothic" w:hAnsi="Century Gothic" w:cs="Arial"/>
          <w:b/>
          <w:sz w:val="24"/>
          <w:szCs w:val="24"/>
          <w:lang w:val="es-ES"/>
        </w:rPr>
        <w:t xml:space="preserve">. </w:t>
      </w:r>
      <w:r w:rsidR="002451DE" w:rsidRPr="00050C33">
        <w:rPr>
          <w:rFonts w:ascii="Century Gothic" w:hAnsi="Century Gothic" w:cs="Arial"/>
          <w:sz w:val="24"/>
          <w:szCs w:val="24"/>
          <w:lang w:val="es-ES"/>
        </w:rPr>
        <w:t>En auto de</w:t>
      </w:r>
      <w:r>
        <w:rPr>
          <w:rFonts w:ascii="Century Gothic" w:hAnsi="Century Gothic" w:cs="Arial"/>
          <w:sz w:val="24"/>
          <w:szCs w:val="24"/>
          <w:lang w:val="es-ES"/>
        </w:rPr>
        <w:t>l</w:t>
      </w:r>
      <w:r w:rsidR="002451DE" w:rsidRPr="00050C33">
        <w:rPr>
          <w:rFonts w:ascii="Century Gothic" w:hAnsi="Century Gothic" w:cs="Arial"/>
          <w:sz w:val="24"/>
          <w:szCs w:val="24"/>
          <w:lang w:val="es-ES"/>
        </w:rPr>
        <w:t xml:space="preserve"> </w:t>
      </w:r>
      <w:r>
        <w:rPr>
          <w:rFonts w:ascii="Century Gothic" w:hAnsi="Century Gothic" w:cs="Arial"/>
          <w:sz w:val="24"/>
          <w:szCs w:val="24"/>
          <w:lang w:val="es-ES"/>
        </w:rPr>
        <w:t>26 de junio del mismo año</w:t>
      </w:r>
      <w:r w:rsidR="002451DE" w:rsidRPr="00050C33">
        <w:rPr>
          <w:rFonts w:ascii="Century Gothic" w:hAnsi="Century Gothic" w:cs="Arial"/>
          <w:sz w:val="24"/>
          <w:szCs w:val="24"/>
          <w:lang w:val="es-ES"/>
        </w:rPr>
        <w:t xml:space="preserve">, el despacho admitió la solicitud de tutela. Los días 1 y 2 de </w:t>
      </w:r>
      <w:r>
        <w:rPr>
          <w:rFonts w:ascii="Century Gothic" w:hAnsi="Century Gothic" w:cs="Arial"/>
          <w:sz w:val="24"/>
          <w:szCs w:val="24"/>
          <w:lang w:val="es-ES"/>
        </w:rPr>
        <w:t>julio</w:t>
      </w:r>
      <w:r w:rsidR="002451DE" w:rsidRPr="00050C33">
        <w:rPr>
          <w:rFonts w:ascii="Century Gothic" w:hAnsi="Century Gothic" w:cs="Arial"/>
          <w:sz w:val="24"/>
          <w:szCs w:val="24"/>
          <w:lang w:val="es-ES"/>
        </w:rPr>
        <w:t xml:space="preserve"> de 2020, la </w:t>
      </w:r>
      <w:r>
        <w:rPr>
          <w:rFonts w:ascii="Century Gothic" w:eastAsia="Times New Roman" w:hAnsi="Century Gothic" w:cs="Arial"/>
          <w:sz w:val="24"/>
          <w:szCs w:val="24"/>
          <w:lang w:val="es-ES"/>
        </w:rPr>
        <w:t>Unidad Administrativa Migración Colombia y el Ministerio de Relaciones Exteriores</w:t>
      </w:r>
      <w:r w:rsidR="002451DE" w:rsidRPr="00050C33">
        <w:rPr>
          <w:rFonts w:ascii="Century Gothic" w:hAnsi="Century Gothic" w:cs="Arial"/>
          <w:sz w:val="24"/>
          <w:szCs w:val="24"/>
          <w:lang w:val="es-ES"/>
        </w:rPr>
        <w:t xml:space="preserve">, </w:t>
      </w:r>
      <w:r w:rsidR="002451DE">
        <w:rPr>
          <w:rFonts w:ascii="Century Gothic" w:hAnsi="Century Gothic" w:cs="Arial"/>
          <w:sz w:val="24"/>
          <w:szCs w:val="24"/>
          <w:lang w:val="es-ES"/>
        </w:rPr>
        <w:t>presentaron su informe de tutela</w:t>
      </w:r>
      <w:r w:rsidR="002451DE" w:rsidRPr="00050C33">
        <w:rPr>
          <w:rFonts w:ascii="Century Gothic" w:hAnsi="Century Gothic" w:cs="Arial"/>
          <w:sz w:val="24"/>
          <w:szCs w:val="24"/>
          <w:lang w:val="es-ES"/>
        </w:rPr>
        <w:t xml:space="preserve">.  </w:t>
      </w:r>
    </w:p>
    <w:p w14:paraId="7662F7C3" w14:textId="77777777" w:rsidR="002451DE" w:rsidRDefault="002451DE" w:rsidP="002451DE">
      <w:pPr>
        <w:spacing w:line="360" w:lineRule="auto"/>
        <w:jc w:val="both"/>
        <w:rPr>
          <w:rFonts w:ascii="Century Gothic" w:eastAsia="Times New Roman" w:hAnsi="Century Gothic" w:cs="Arial"/>
          <w:b/>
          <w:sz w:val="24"/>
          <w:szCs w:val="24"/>
          <w:lang w:val="es-ES"/>
        </w:rPr>
      </w:pPr>
    </w:p>
    <w:p w14:paraId="2B3E204F" w14:textId="77777777" w:rsidR="002451DE" w:rsidRPr="00050C33" w:rsidRDefault="002451DE" w:rsidP="002451DE">
      <w:pPr>
        <w:spacing w:line="360"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3. Contestación de la tutela</w:t>
      </w:r>
    </w:p>
    <w:p w14:paraId="096A46BA" w14:textId="77777777" w:rsidR="002451DE" w:rsidRPr="00050C33" w:rsidRDefault="002451DE" w:rsidP="002451DE">
      <w:pPr>
        <w:spacing w:line="360" w:lineRule="auto"/>
        <w:jc w:val="both"/>
        <w:rPr>
          <w:rFonts w:ascii="Century Gothic" w:eastAsia="Times New Roman" w:hAnsi="Century Gothic" w:cs="Arial"/>
          <w:b/>
          <w:sz w:val="24"/>
          <w:szCs w:val="24"/>
          <w:lang w:val="es-ES"/>
        </w:rPr>
      </w:pPr>
    </w:p>
    <w:p w14:paraId="4D2800BF" w14:textId="2DB32D17" w:rsidR="002451DE" w:rsidRPr="00050C33" w:rsidRDefault="002451DE" w:rsidP="002451DE">
      <w:pPr>
        <w:spacing w:line="360"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 xml:space="preserve">3.1. </w:t>
      </w:r>
      <w:r w:rsidR="00F937C2">
        <w:rPr>
          <w:rFonts w:ascii="Century Gothic" w:eastAsia="Times New Roman" w:hAnsi="Century Gothic" w:cs="Arial"/>
          <w:b/>
          <w:sz w:val="24"/>
          <w:szCs w:val="24"/>
          <w:lang w:val="es-ES"/>
        </w:rPr>
        <w:t>Ministerio de Relaciones Exteriores</w:t>
      </w:r>
    </w:p>
    <w:p w14:paraId="12B17B8D" w14:textId="77777777" w:rsidR="002451DE" w:rsidRPr="00050C33" w:rsidRDefault="002451DE" w:rsidP="002451DE">
      <w:pPr>
        <w:spacing w:line="360" w:lineRule="auto"/>
        <w:jc w:val="both"/>
        <w:rPr>
          <w:rFonts w:ascii="Century Gothic" w:hAnsi="Century Gothic" w:cs="Arial"/>
          <w:sz w:val="24"/>
          <w:szCs w:val="24"/>
          <w:lang w:val="es-ES"/>
        </w:rPr>
      </w:pPr>
    </w:p>
    <w:p w14:paraId="2276BA22" w14:textId="14B0ABCB" w:rsidR="00B01A3D" w:rsidRDefault="002451DE" w:rsidP="00B01A3D">
      <w:pPr>
        <w:spacing w:line="360" w:lineRule="auto"/>
        <w:jc w:val="both"/>
        <w:rPr>
          <w:rFonts w:ascii="Century Gothic" w:hAnsi="Century Gothic"/>
          <w:sz w:val="24"/>
          <w:szCs w:val="24"/>
        </w:rPr>
      </w:pPr>
      <w:r w:rsidRPr="00050C33">
        <w:rPr>
          <w:rFonts w:ascii="Century Gothic" w:hAnsi="Century Gothic" w:cs="Arial"/>
          <w:sz w:val="24"/>
          <w:szCs w:val="24"/>
          <w:lang w:val="es-ES"/>
        </w:rPr>
        <w:t xml:space="preserve">5. Indicó </w:t>
      </w:r>
      <w:proofErr w:type="gramStart"/>
      <w:r w:rsidR="00B01A3D">
        <w:rPr>
          <w:rFonts w:ascii="Century Gothic" w:hAnsi="Century Gothic" w:cs="Arial"/>
          <w:sz w:val="24"/>
          <w:szCs w:val="24"/>
          <w:lang w:val="es-ES"/>
        </w:rPr>
        <w:t>que</w:t>
      </w:r>
      <w:proofErr w:type="gramEnd"/>
      <w:r w:rsidR="00B01A3D">
        <w:rPr>
          <w:rFonts w:ascii="Century Gothic" w:hAnsi="Century Gothic" w:cs="Arial"/>
          <w:sz w:val="24"/>
          <w:szCs w:val="24"/>
          <w:lang w:val="es-ES"/>
        </w:rPr>
        <w:t xml:space="preserve"> </w:t>
      </w:r>
      <w:r w:rsidR="00B01A3D">
        <w:rPr>
          <w:rFonts w:ascii="Century Gothic" w:hAnsi="Century Gothic"/>
          <w:sz w:val="24"/>
          <w:szCs w:val="24"/>
        </w:rPr>
        <w:t>respecto</w:t>
      </w:r>
      <w:r w:rsidR="00A1321E">
        <w:rPr>
          <w:rFonts w:ascii="Century Gothic" w:hAnsi="Century Gothic"/>
          <w:sz w:val="24"/>
          <w:szCs w:val="24"/>
        </w:rPr>
        <w:t xml:space="preserve"> del permiso especial de p</w:t>
      </w:r>
      <w:r w:rsidR="00B01A3D" w:rsidRPr="00B01A3D">
        <w:rPr>
          <w:rFonts w:ascii="Century Gothic" w:hAnsi="Century Gothic"/>
          <w:sz w:val="24"/>
          <w:szCs w:val="24"/>
        </w:rPr>
        <w:t>ermanencia</w:t>
      </w:r>
      <w:r w:rsidR="000915D3">
        <w:rPr>
          <w:rFonts w:ascii="Century Gothic" w:hAnsi="Century Gothic"/>
          <w:sz w:val="24"/>
          <w:szCs w:val="24"/>
        </w:rPr>
        <w:t>,</w:t>
      </w:r>
      <w:r w:rsidR="00B01A3D">
        <w:rPr>
          <w:rFonts w:ascii="Century Gothic" w:hAnsi="Century Gothic"/>
          <w:sz w:val="24"/>
          <w:szCs w:val="24"/>
        </w:rPr>
        <w:t xml:space="preserve"> </w:t>
      </w:r>
      <w:r w:rsidR="00B01A3D" w:rsidRPr="00B01A3D">
        <w:rPr>
          <w:rFonts w:ascii="Century Gothic" w:hAnsi="Century Gothic"/>
          <w:sz w:val="24"/>
          <w:szCs w:val="24"/>
        </w:rPr>
        <w:t xml:space="preserve">se expidió el Decreto No. 1288 de 2018 </w:t>
      </w:r>
      <w:r w:rsidR="00B01A3D" w:rsidRPr="00B01A3D">
        <w:rPr>
          <w:rFonts w:ascii="Century Gothic" w:hAnsi="Century Gothic"/>
          <w:i/>
          <w:iCs/>
          <w:sz w:val="24"/>
          <w:szCs w:val="24"/>
        </w:rPr>
        <w:t xml:space="preserve">“Por medio del cual se adoptan medidas para garantizar el acceso de las personas inscritas en el Registro Administrativo de Migrantes Venezolanos a la oferta institucional y se </w:t>
      </w:r>
      <w:r w:rsidR="00B01A3D" w:rsidRPr="00B01A3D">
        <w:rPr>
          <w:rFonts w:ascii="Century Gothic" w:hAnsi="Century Gothic"/>
          <w:i/>
          <w:iCs/>
          <w:sz w:val="24"/>
          <w:szCs w:val="24"/>
        </w:rPr>
        <w:lastRenderedPageBreak/>
        <w:t>dictan otras medidas sobre el retorno de colombianos”;</w:t>
      </w:r>
      <w:r w:rsidR="00B01A3D" w:rsidRPr="00B01A3D">
        <w:rPr>
          <w:rFonts w:ascii="Century Gothic" w:hAnsi="Century Gothic"/>
          <w:sz w:val="24"/>
          <w:szCs w:val="24"/>
        </w:rPr>
        <w:t xml:space="preserve"> normativa que fue reglamentada por la Resolución 6370 de 2018 </w:t>
      </w:r>
      <w:r w:rsidR="00B01A3D" w:rsidRPr="00B01A3D">
        <w:rPr>
          <w:rFonts w:ascii="Century Gothic" w:hAnsi="Century Gothic"/>
          <w:i/>
          <w:iCs/>
          <w:sz w:val="24"/>
          <w:szCs w:val="24"/>
        </w:rPr>
        <w:t>“Por medio de la cual se reglamenta la expedición del Permiso Especial de Permanencia – PEP creado mediante Resolución 5797 de 2017 del Ministerio de Relaciones Exteriores, para su otorgamiento a las personas inscritas en el Registro Administrativo de Migrantes Venezolanos, de conformidad con lo dispuesto en el Decreto 1288 del 25 de julio de 2018”.</w:t>
      </w:r>
      <w:r w:rsidR="00B01A3D" w:rsidRPr="00B01A3D">
        <w:rPr>
          <w:rFonts w:ascii="Century Gothic" w:hAnsi="Century Gothic"/>
          <w:sz w:val="24"/>
          <w:szCs w:val="24"/>
        </w:rPr>
        <w:t xml:space="preserve"> </w:t>
      </w:r>
    </w:p>
    <w:p w14:paraId="1645E687" w14:textId="77777777" w:rsidR="00B01A3D" w:rsidRDefault="00B01A3D" w:rsidP="00B01A3D">
      <w:pPr>
        <w:spacing w:line="360" w:lineRule="auto"/>
        <w:jc w:val="both"/>
        <w:rPr>
          <w:rFonts w:ascii="Century Gothic" w:hAnsi="Century Gothic"/>
          <w:sz w:val="24"/>
          <w:szCs w:val="24"/>
        </w:rPr>
      </w:pPr>
    </w:p>
    <w:p w14:paraId="72F6426D" w14:textId="34C1E02D" w:rsidR="000915D3" w:rsidRDefault="00B01A3D" w:rsidP="00B01A3D">
      <w:pPr>
        <w:spacing w:line="360" w:lineRule="auto"/>
        <w:jc w:val="both"/>
        <w:rPr>
          <w:rFonts w:ascii="Century Gothic" w:hAnsi="Century Gothic"/>
          <w:sz w:val="24"/>
          <w:szCs w:val="24"/>
        </w:rPr>
      </w:pPr>
      <w:r>
        <w:rPr>
          <w:rFonts w:ascii="Century Gothic" w:hAnsi="Century Gothic"/>
          <w:sz w:val="24"/>
          <w:szCs w:val="24"/>
        </w:rPr>
        <w:t xml:space="preserve">6. </w:t>
      </w:r>
      <w:r w:rsidR="000915D3">
        <w:rPr>
          <w:rFonts w:ascii="Century Gothic" w:hAnsi="Century Gothic"/>
          <w:sz w:val="24"/>
          <w:szCs w:val="24"/>
        </w:rPr>
        <w:t>Señaló que</w:t>
      </w:r>
      <w:r w:rsidRPr="00B01A3D">
        <w:rPr>
          <w:rFonts w:ascii="Century Gothic" w:hAnsi="Century Gothic"/>
          <w:sz w:val="24"/>
          <w:szCs w:val="24"/>
        </w:rPr>
        <w:t xml:space="preserve"> el artículo 1 del Decreto 1288 de 2018 rel</w:t>
      </w:r>
      <w:r w:rsidR="00A1321E">
        <w:rPr>
          <w:rFonts w:ascii="Century Gothic" w:hAnsi="Century Gothic"/>
          <w:sz w:val="24"/>
          <w:szCs w:val="24"/>
        </w:rPr>
        <w:t>acionado a la modificación del permiso especial de p</w:t>
      </w:r>
      <w:r w:rsidRPr="00B01A3D">
        <w:rPr>
          <w:rFonts w:ascii="Century Gothic" w:hAnsi="Century Gothic"/>
          <w:sz w:val="24"/>
          <w:szCs w:val="24"/>
        </w:rPr>
        <w:t>ermanencia – PEP estableció</w:t>
      </w:r>
      <w:r w:rsidR="000915D3">
        <w:rPr>
          <w:rFonts w:ascii="Century Gothic" w:hAnsi="Century Gothic"/>
          <w:sz w:val="24"/>
          <w:szCs w:val="24"/>
        </w:rPr>
        <w:t xml:space="preserve"> lo siguiente</w:t>
      </w:r>
      <w:r w:rsidRPr="00B01A3D">
        <w:rPr>
          <w:rFonts w:ascii="Century Gothic" w:hAnsi="Century Gothic"/>
          <w:sz w:val="24"/>
          <w:szCs w:val="24"/>
        </w:rPr>
        <w:t xml:space="preserve">: </w:t>
      </w:r>
    </w:p>
    <w:p w14:paraId="58BB579F" w14:textId="77777777" w:rsidR="00A1321E" w:rsidRDefault="00A1321E" w:rsidP="00B01A3D">
      <w:pPr>
        <w:spacing w:line="360" w:lineRule="auto"/>
        <w:jc w:val="both"/>
        <w:rPr>
          <w:rFonts w:ascii="Century Gothic" w:hAnsi="Century Gothic"/>
          <w:sz w:val="24"/>
          <w:szCs w:val="24"/>
        </w:rPr>
      </w:pPr>
    </w:p>
    <w:p w14:paraId="1ED8C4FB" w14:textId="77777777" w:rsidR="000915D3" w:rsidRPr="000915D3" w:rsidRDefault="00B01A3D" w:rsidP="000915D3">
      <w:pPr>
        <w:ind w:left="426" w:right="424"/>
        <w:jc w:val="both"/>
        <w:rPr>
          <w:rFonts w:ascii="Century Gothic" w:hAnsi="Century Gothic"/>
          <w:i/>
          <w:iCs/>
        </w:rPr>
      </w:pPr>
      <w:r w:rsidRPr="000915D3">
        <w:rPr>
          <w:rFonts w:ascii="Century Gothic" w:hAnsi="Century Gothic"/>
        </w:rPr>
        <w:t>“</w:t>
      </w:r>
      <w:r w:rsidRPr="000915D3">
        <w:rPr>
          <w:rFonts w:ascii="Century Gothic" w:hAnsi="Century Gothic"/>
          <w:i/>
          <w:iCs/>
        </w:rPr>
        <w:t>El Ministerio de Relaciones Exteriores, mediante resolución, modificará los</w:t>
      </w:r>
      <w:r w:rsidRPr="00B01A3D">
        <w:rPr>
          <w:rFonts w:ascii="Century Gothic" w:hAnsi="Century Gothic"/>
          <w:sz w:val="24"/>
          <w:szCs w:val="24"/>
        </w:rPr>
        <w:t xml:space="preserve"> </w:t>
      </w:r>
      <w:r w:rsidRPr="000915D3">
        <w:rPr>
          <w:rFonts w:ascii="Century Gothic" w:hAnsi="Century Gothic"/>
          <w:i/>
          <w:iCs/>
        </w:rPr>
        <w:t xml:space="preserve">requisitos y plazos del Permiso Especial de Permanencia (PEP) para garantizar el ingreso de las personas inscritas en el Registro Administrativo de Migrantes Venezolanos a la oferta institucional. </w:t>
      </w:r>
    </w:p>
    <w:p w14:paraId="6F403029" w14:textId="77777777" w:rsidR="000915D3" w:rsidRPr="000915D3" w:rsidRDefault="00B01A3D" w:rsidP="000915D3">
      <w:pPr>
        <w:ind w:left="426" w:right="424"/>
        <w:jc w:val="both"/>
        <w:rPr>
          <w:rFonts w:ascii="Century Gothic" w:hAnsi="Century Gothic"/>
          <w:i/>
          <w:iCs/>
        </w:rPr>
      </w:pPr>
      <w:r w:rsidRPr="000915D3">
        <w:rPr>
          <w:rFonts w:ascii="Century Gothic" w:hAnsi="Century Gothic"/>
          <w:i/>
          <w:iCs/>
        </w:rPr>
        <w:t xml:space="preserve">PARÁGRAFO 1. En la reglamentación que expida el Ministerio de Relaciones Exteriores se deberá precisar que el Permiso Especial de Permanencia - PEP es un documento de identificación válido para los nacionales venezolanos en territorio colombiano que les permite permanecer temporalmente en condiciones de regularización migratoria y acceder a la oferta institucional en materia de salud, educación, trabajo y atención de niños, niñas y adolescentes en los niveles nacional, departamental y municipal”. </w:t>
      </w:r>
    </w:p>
    <w:p w14:paraId="56332800" w14:textId="77777777" w:rsidR="000915D3" w:rsidRDefault="000915D3" w:rsidP="00B01A3D">
      <w:pPr>
        <w:spacing w:line="360" w:lineRule="auto"/>
        <w:jc w:val="both"/>
        <w:rPr>
          <w:rFonts w:ascii="Century Gothic" w:hAnsi="Century Gothic"/>
          <w:sz w:val="24"/>
          <w:szCs w:val="24"/>
        </w:rPr>
      </w:pPr>
    </w:p>
    <w:p w14:paraId="39D8221F" w14:textId="2D106677" w:rsidR="000915D3" w:rsidRDefault="000915D3" w:rsidP="00B01A3D">
      <w:pPr>
        <w:spacing w:line="360" w:lineRule="auto"/>
        <w:jc w:val="both"/>
        <w:rPr>
          <w:rFonts w:ascii="Century Gothic" w:hAnsi="Century Gothic"/>
          <w:sz w:val="24"/>
          <w:szCs w:val="24"/>
        </w:rPr>
      </w:pPr>
      <w:r>
        <w:rPr>
          <w:rFonts w:ascii="Century Gothic" w:hAnsi="Century Gothic"/>
          <w:sz w:val="24"/>
          <w:szCs w:val="24"/>
        </w:rPr>
        <w:t xml:space="preserve">7. Manifestó </w:t>
      </w:r>
      <w:proofErr w:type="gramStart"/>
      <w:r>
        <w:rPr>
          <w:rFonts w:ascii="Century Gothic" w:hAnsi="Century Gothic"/>
          <w:sz w:val="24"/>
          <w:szCs w:val="24"/>
        </w:rPr>
        <w:t>que</w:t>
      </w:r>
      <w:proofErr w:type="gramEnd"/>
      <w:r>
        <w:rPr>
          <w:rFonts w:ascii="Century Gothic" w:hAnsi="Century Gothic"/>
          <w:sz w:val="24"/>
          <w:szCs w:val="24"/>
        </w:rPr>
        <w:t xml:space="preserve"> de igual manera, </w:t>
      </w:r>
      <w:r w:rsidR="00B01A3D" w:rsidRPr="00B01A3D">
        <w:rPr>
          <w:rFonts w:ascii="Century Gothic" w:hAnsi="Century Gothic"/>
          <w:sz w:val="24"/>
          <w:szCs w:val="24"/>
        </w:rPr>
        <w:t xml:space="preserve">tal preceptiva estableció en su artículo </w:t>
      </w:r>
      <w:r>
        <w:rPr>
          <w:rFonts w:ascii="Century Gothic" w:hAnsi="Century Gothic"/>
          <w:sz w:val="24"/>
          <w:szCs w:val="24"/>
        </w:rPr>
        <w:t>séptimo</w:t>
      </w:r>
      <w:r w:rsidR="00B01A3D" w:rsidRPr="00B01A3D">
        <w:rPr>
          <w:rFonts w:ascii="Century Gothic" w:hAnsi="Century Gothic"/>
          <w:sz w:val="24"/>
          <w:szCs w:val="24"/>
        </w:rPr>
        <w:t xml:space="preserve"> lo siguiente: </w:t>
      </w:r>
    </w:p>
    <w:p w14:paraId="0CC1DC04" w14:textId="77777777" w:rsidR="00A1321E" w:rsidRDefault="00A1321E" w:rsidP="00B01A3D">
      <w:pPr>
        <w:spacing w:line="360" w:lineRule="auto"/>
        <w:jc w:val="both"/>
        <w:rPr>
          <w:rFonts w:ascii="Century Gothic" w:hAnsi="Century Gothic"/>
          <w:sz w:val="24"/>
          <w:szCs w:val="24"/>
        </w:rPr>
      </w:pPr>
    </w:p>
    <w:p w14:paraId="3F6F40E5" w14:textId="77777777" w:rsidR="000915D3" w:rsidRDefault="00B01A3D" w:rsidP="000915D3">
      <w:pPr>
        <w:ind w:left="426" w:right="424"/>
        <w:jc w:val="both"/>
        <w:rPr>
          <w:rFonts w:ascii="Century Gothic" w:hAnsi="Century Gothic"/>
          <w:sz w:val="24"/>
          <w:szCs w:val="24"/>
        </w:rPr>
      </w:pPr>
      <w:r w:rsidRPr="000915D3">
        <w:rPr>
          <w:rFonts w:ascii="Century Gothic" w:hAnsi="Century Gothic"/>
        </w:rPr>
        <w:t xml:space="preserve">“Oferta institucional en salud. Los venezolanos inscritos en el Registro Administrativo de Migrantes Venezolanos tienen derecho a la siguiente atención en salud: • La atención de urgencias. • Las acciones en salud pública, a saber: vacunación en el marco del Programa Ampliado de Inmunizaciones-PAI, control prenatal para mujeres gestantes, acciones de promoción y prevención definidas en el Plan Sectorial de respuesta al fenómeno migratorio y a las intervenciones colectivas que desarrollan las entidades territoriales en las cuales se encuentren dichas personas, tal y como se indica en la Circular 025 de 2017 del Ministerio de Salud y Protección Social. • La afiliación al Sistema General de Seguridad Social en Salud, tanto al régimen contributivo como al subsidiado, previo cumplimiento de las condiciones establecidas en el Decreto 780 de </w:t>
      </w:r>
      <w:r w:rsidRPr="000915D3">
        <w:rPr>
          <w:rFonts w:ascii="Century Gothic" w:hAnsi="Century Gothic"/>
        </w:rPr>
        <w:lastRenderedPageBreak/>
        <w:t>2016, en la parte 1, libro 2, o la norma que lo modifique, adicione o sustituya, así como al Sistema de Riesgos Laborales en los términos de la parte 2, del título 2, capítulo 4, del Decreto 1072 de 2015”.</w:t>
      </w:r>
      <w:r w:rsidRPr="00B01A3D">
        <w:rPr>
          <w:rFonts w:ascii="Century Gothic" w:hAnsi="Century Gothic"/>
          <w:sz w:val="24"/>
          <w:szCs w:val="24"/>
        </w:rPr>
        <w:t xml:space="preserve"> </w:t>
      </w:r>
    </w:p>
    <w:p w14:paraId="2DD55070" w14:textId="77777777" w:rsidR="000915D3" w:rsidRDefault="000915D3" w:rsidP="000915D3">
      <w:pPr>
        <w:jc w:val="both"/>
        <w:rPr>
          <w:rFonts w:ascii="Century Gothic" w:hAnsi="Century Gothic"/>
          <w:sz w:val="24"/>
          <w:szCs w:val="24"/>
        </w:rPr>
      </w:pPr>
    </w:p>
    <w:p w14:paraId="4031684F" w14:textId="77777777" w:rsidR="000915D3" w:rsidRDefault="000915D3" w:rsidP="000915D3">
      <w:pPr>
        <w:spacing w:line="360" w:lineRule="auto"/>
        <w:jc w:val="both"/>
        <w:rPr>
          <w:rFonts w:ascii="Century Gothic" w:hAnsi="Century Gothic"/>
          <w:sz w:val="24"/>
          <w:szCs w:val="24"/>
        </w:rPr>
      </w:pPr>
      <w:r>
        <w:rPr>
          <w:rFonts w:ascii="Century Gothic" w:hAnsi="Century Gothic"/>
          <w:sz w:val="24"/>
          <w:szCs w:val="24"/>
        </w:rPr>
        <w:t xml:space="preserve">8. </w:t>
      </w:r>
      <w:r w:rsidR="00B01A3D" w:rsidRPr="00B01A3D">
        <w:rPr>
          <w:rFonts w:ascii="Century Gothic" w:hAnsi="Century Gothic"/>
          <w:sz w:val="24"/>
          <w:szCs w:val="24"/>
        </w:rPr>
        <w:t xml:space="preserve">Por otra parte, </w:t>
      </w:r>
      <w:r>
        <w:rPr>
          <w:rFonts w:ascii="Century Gothic" w:hAnsi="Century Gothic"/>
          <w:sz w:val="24"/>
          <w:szCs w:val="24"/>
        </w:rPr>
        <w:t xml:space="preserve">indicó que </w:t>
      </w:r>
      <w:r w:rsidR="00B01A3D" w:rsidRPr="00B01A3D">
        <w:rPr>
          <w:rFonts w:ascii="Century Gothic" w:hAnsi="Century Gothic"/>
          <w:sz w:val="24"/>
          <w:szCs w:val="24"/>
        </w:rPr>
        <w:t xml:space="preserve">el artículo 1 de la Resolución 6370 de 2018 preceptuó: </w:t>
      </w:r>
    </w:p>
    <w:p w14:paraId="14452965" w14:textId="77777777" w:rsidR="000915D3" w:rsidRDefault="000915D3" w:rsidP="000915D3">
      <w:pPr>
        <w:jc w:val="both"/>
        <w:rPr>
          <w:rFonts w:ascii="Century Gothic" w:hAnsi="Century Gothic"/>
          <w:sz w:val="24"/>
          <w:szCs w:val="24"/>
        </w:rPr>
      </w:pPr>
    </w:p>
    <w:p w14:paraId="1805EEB6" w14:textId="77777777" w:rsidR="000915D3" w:rsidRDefault="00B01A3D" w:rsidP="000915D3">
      <w:pPr>
        <w:ind w:left="426" w:right="424"/>
        <w:jc w:val="both"/>
        <w:rPr>
          <w:rFonts w:ascii="Century Gothic" w:hAnsi="Century Gothic"/>
          <w:i/>
          <w:iCs/>
        </w:rPr>
      </w:pPr>
      <w:r w:rsidRPr="000915D3">
        <w:rPr>
          <w:rFonts w:ascii="Century Gothic" w:hAnsi="Century Gothic"/>
          <w:i/>
          <w:iCs/>
        </w:rPr>
        <w:t xml:space="preserve">“Requisitos. El Permiso Especial de Permanencia (PEP), creado mediante la Resolución 5797 de 2017, se otorgará a los nacionales venezolanos inscritos en el RAMV que cumplan con los siguientes requisitos: 1. Encontrarse en el territorio colombiano a la fecha de Publicación de la presente Resolución. 2. No tener antecedentes judiciales a nivel nacional o requerimientos judiciales internacionales. No tener una medida de expulsión o deportación vigente. </w:t>
      </w:r>
    </w:p>
    <w:p w14:paraId="1822214D" w14:textId="77777777" w:rsidR="00834833" w:rsidRPr="000915D3" w:rsidRDefault="00834833" w:rsidP="000915D3">
      <w:pPr>
        <w:ind w:left="426" w:right="424"/>
        <w:jc w:val="both"/>
        <w:rPr>
          <w:rFonts w:ascii="Century Gothic" w:hAnsi="Century Gothic"/>
          <w:i/>
          <w:iCs/>
        </w:rPr>
      </w:pPr>
    </w:p>
    <w:p w14:paraId="03FBAA27" w14:textId="77777777" w:rsidR="000915D3" w:rsidRPr="000915D3" w:rsidRDefault="00B01A3D" w:rsidP="000915D3">
      <w:pPr>
        <w:ind w:left="426" w:right="424"/>
        <w:jc w:val="both"/>
        <w:rPr>
          <w:rFonts w:ascii="Century Gothic" w:hAnsi="Century Gothic"/>
          <w:i/>
          <w:iCs/>
        </w:rPr>
      </w:pPr>
      <w:r w:rsidRPr="000915D3">
        <w:rPr>
          <w:rFonts w:ascii="Century Gothic" w:hAnsi="Century Gothic"/>
          <w:i/>
          <w:iCs/>
        </w:rPr>
        <w:t xml:space="preserve">Parágrafo Primero. El Permiso Especial de Permanencia (PEP), para los nacionales venezolanos inscritos en el Registro Administrativo de Migrantes, será expedido por la Unidad Administrativa Especial Migración Colombia dentro de los cuatro (04) meses, contados a partir de la publicación de la presente resolución, previo cumplimiento de los requisitos establecidos en este artículo”. </w:t>
      </w:r>
    </w:p>
    <w:p w14:paraId="733A14A6" w14:textId="77777777" w:rsidR="000915D3" w:rsidRDefault="000915D3" w:rsidP="000915D3">
      <w:pPr>
        <w:jc w:val="both"/>
        <w:rPr>
          <w:rFonts w:ascii="Century Gothic" w:hAnsi="Century Gothic"/>
          <w:sz w:val="24"/>
          <w:szCs w:val="24"/>
        </w:rPr>
      </w:pPr>
    </w:p>
    <w:p w14:paraId="71EE67D4" w14:textId="0E7E512F" w:rsidR="000915D3" w:rsidRDefault="000915D3" w:rsidP="000915D3">
      <w:pPr>
        <w:spacing w:line="360" w:lineRule="auto"/>
        <w:jc w:val="both"/>
        <w:rPr>
          <w:rFonts w:ascii="Century Gothic" w:hAnsi="Century Gothic"/>
          <w:sz w:val="24"/>
          <w:szCs w:val="24"/>
        </w:rPr>
      </w:pPr>
      <w:r>
        <w:rPr>
          <w:rFonts w:ascii="Century Gothic" w:hAnsi="Century Gothic"/>
          <w:sz w:val="24"/>
          <w:szCs w:val="24"/>
        </w:rPr>
        <w:t xml:space="preserve">9. </w:t>
      </w:r>
      <w:r w:rsidR="00B01A3D" w:rsidRPr="00B01A3D">
        <w:rPr>
          <w:rFonts w:ascii="Century Gothic" w:hAnsi="Century Gothic"/>
          <w:sz w:val="24"/>
          <w:szCs w:val="24"/>
        </w:rPr>
        <w:t xml:space="preserve">No obstante, </w:t>
      </w:r>
      <w:r>
        <w:rPr>
          <w:rFonts w:ascii="Century Gothic" w:hAnsi="Century Gothic"/>
          <w:sz w:val="24"/>
          <w:szCs w:val="24"/>
        </w:rPr>
        <w:t>señaló</w:t>
      </w:r>
      <w:r w:rsidR="00B01A3D" w:rsidRPr="00B01A3D">
        <w:rPr>
          <w:rFonts w:ascii="Century Gothic" w:hAnsi="Century Gothic"/>
          <w:sz w:val="24"/>
          <w:szCs w:val="24"/>
        </w:rPr>
        <w:t xml:space="preserve"> que mediante la Resolución 10064 del 3 de diciembre de 2018, se modificó el parágrafo primero del artículo 1 de la Resolución 6370 de 2018, en lo que respecta a</w:t>
      </w:r>
      <w:r w:rsidR="0040072E">
        <w:rPr>
          <w:rFonts w:ascii="Century Gothic" w:hAnsi="Century Gothic"/>
          <w:sz w:val="24"/>
          <w:szCs w:val="24"/>
        </w:rPr>
        <w:t>l plazo para la expedición del permiso especial de p</w:t>
      </w:r>
      <w:r w:rsidR="00B01A3D" w:rsidRPr="00B01A3D">
        <w:rPr>
          <w:rFonts w:ascii="Century Gothic" w:hAnsi="Century Gothic"/>
          <w:sz w:val="24"/>
          <w:szCs w:val="24"/>
        </w:rPr>
        <w:t>ermanencia – (PEP), el cual se amplió hasta el día 21 de diciembre de 2018, para ciudadanos venezolanos inscritos en el Registro Administrativo de Migrantes venezolanos -RAMV. Actualmente, la Unidad Administrativa Especial Migración Colombia expidió la Resolución No. 240 del 23 de enero de 2020, mediante la cual se estableció un nuevo término para acceder al Permiso Especial de Permanencia, consagrando en su artículo primero que los venezolanos que se encuentren en territorio colombiano a fecha 29 de noviembre de 2019 (y que cumplan con los requisitos establecidos en la Resolución 5797 de 2017), podrán solicitar el PEP dentro de los 4 meses siguientes a la publicación de la Resolución 240 de 2020</w:t>
      </w:r>
      <w:r>
        <w:rPr>
          <w:rFonts w:ascii="Century Gothic" w:hAnsi="Century Gothic"/>
          <w:sz w:val="24"/>
          <w:szCs w:val="24"/>
        </w:rPr>
        <w:t>, p</w:t>
      </w:r>
      <w:r w:rsidR="00B01A3D" w:rsidRPr="00B01A3D">
        <w:rPr>
          <w:rFonts w:ascii="Century Gothic" w:hAnsi="Century Gothic"/>
          <w:sz w:val="24"/>
          <w:szCs w:val="24"/>
        </w:rPr>
        <w:t xml:space="preserve">ermiso que le permitiría acceder a los servicios sociales de salud y educación. </w:t>
      </w:r>
    </w:p>
    <w:p w14:paraId="6CB43E67" w14:textId="77777777" w:rsidR="000915D3" w:rsidRDefault="000915D3" w:rsidP="000915D3">
      <w:pPr>
        <w:jc w:val="both"/>
        <w:rPr>
          <w:rFonts w:ascii="Century Gothic" w:hAnsi="Century Gothic"/>
          <w:sz w:val="24"/>
          <w:szCs w:val="24"/>
        </w:rPr>
      </w:pPr>
    </w:p>
    <w:p w14:paraId="04560DBA" w14:textId="1FC2A2AF" w:rsidR="000915D3" w:rsidRDefault="000915D3" w:rsidP="000915D3">
      <w:pPr>
        <w:spacing w:line="360" w:lineRule="auto"/>
        <w:jc w:val="both"/>
        <w:rPr>
          <w:rFonts w:ascii="Century Gothic" w:hAnsi="Century Gothic"/>
          <w:sz w:val="24"/>
          <w:szCs w:val="24"/>
        </w:rPr>
      </w:pPr>
      <w:r>
        <w:rPr>
          <w:rFonts w:ascii="Century Gothic" w:hAnsi="Century Gothic"/>
          <w:sz w:val="24"/>
          <w:szCs w:val="24"/>
        </w:rPr>
        <w:lastRenderedPageBreak/>
        <w:t xml:space="preserve">10. Manifestó que </w:t>
      </w:r>
      <w:r w:rsidR="00834833">
        <w:rPr>
          <w:rFonts w:ascii="Century Gothic" w:hAnsi="Century Gothic"/>
          <w:sz w:val="24"/>
          <w:szCs w:val="24"/>
        </w:rPr>
        <w:t>por parte de esa entidad no existía</w:t>
      </w:r>
      <w:r w:rsidR="00B01A3D" w:rsidRPr="00B01A3D">
        <w:rPr>
          <w:rFonts w:ascii="Century Gothic" w:hAnsi="Century Gothic"/>
          <w:sz w:val="24"/>
          <w:szCs w:val="24"/>
        </w:rPr>
        <w:t xml:space="preserve"> evidencia de vulneración de ni</w:t>
      </w:r>
      <w:r w:rsidR="006F214D">
        <w:rPr>
          <w:rFonts w:ascii="Century Gothic" w:hAnsi="Century Gothic"/>
          <w:sz w:val="24"/>
          <w:szCs w:val="24"/>
        </w:rPr>
        <w:t>nguno de los derechos invocados por los accionantes</w:t>
      </w:r>
      <w:r w:rsidR="00B01A3D" w:rsidRPr="00B01A3D">
        <w:rPr>
          <w:rFonts w:ascii="Century Gothic" w:hAnsi="Century Gothic"/>
          <w:sz w:val="24"/>
          <w:szCs w:val="24"/>
        </w:rPr>
        <w:t xml:space="preserve">. </w:t>
      </w:r>
      <w:r>
        <w:rPr>
          <w:rFonts w:ascii="Century Gothic" w:hAnsi="Century Gothic"/>
          <w:sz w:val="24"/>
          <w:szCs w:val="24"/>
        </w:rPr>
        <w:t xml:space="preserve">Afirmó que </w:t>
      </w:r>
      <w:r w:rsidR="00B01A3D" w:rsidRPr="00B01A3D">
        <w:rPr>
          <w:rFonts w:ascii="Century Gothic" w:hAnsi="Century Gothic"/>
          <w:sz w:val="24"/>
          <w:szCs w:val="24"/>
        </w:rPr>
        <w:t>se trata de pretensiones dirigidas a reclamaciones de tipo administrativas y de trámites legales de regularización de su permanencia en el país, que los propios</w:t>
      </w:r>
      <w:r w:rsidR="006F214D">
        <w:rPr>
          <w:rFonts w:ascii="Century Gothic" w:hAnsi="Century Gothic"/>
          <w:sz w:val="24"/>
          <w:szCs w:val="24"/>
        </w:rPr>
        <w:t xml:space="preserve"> accionantes deben resolver</w:t>
      </w:r>
      <w:r w:rsidR="00B01A3D" w:rsidRPr="00B01A3D">
        <w:rPr>
          <w:rFonts w:ascii="Century Gothic" w:hAnsi="Century Gothic"/>
          <w:sz w:val="24"/>
          <w:szCs w:val="24"/>
        </w:rPr>
        <w:t xml:space="preserve">, acorde con la normatividad establecida para su caso, </w:t>
      </w:r>
      <w:r w:rsidR="00B01CEF">
        <w:rPr>
          <w:rFonts w:ascii="Century Gothic" w:hAnsi="Century Gothic"/>
          <w:sz w:val="24"/>
          <w:szCs w:val="24"/>
        </w:rPr>
        <w:t>por lo que no es viable pretender por vía de tutela que se otorgue un p</w:t>
      </w:r>
      <w:r w:rsidR="0040072E">
        <w:rPr>
          <w:rFonts w:ascii="Century Gothic" w:hAnsi="Century Gothic"/>
          <w:sz w:val="24"/>
          <w:szCs w:val="24"/>
        </w:rPr>
        <w:t>ermiso especial de p</w:t>
      </w:r>
      <w:r w:rsidR="00B01A3D" w:rsidRPr="00B01A3D">
        <w:rPr>
          <w:rFonts w:ascii="Century Gothic" w:hAnsi="Century Gothic"/>
          <w:sz w:val="24"/>
          <w:szCs w:val="24"/>
        </w:rPr>
        <w:t xml:space="preserve">ermanencia, que compete a la Unidad Administrativa Especial Migración Colombia, </w:t>
      </w:r>
      <w:r>
        <w:rPr>
          <w:rFonts w:ascii="Century Gothic" w:hAnsi="Century Gothic"/>
          <w:sz w:val="24"/>
          <w:szCs w:val="24"/>
        </w:rPr>
        <w:t xml:space="preserve">y </w:t>
      </w:r>
      <w:r w:rsidR="00B01A3D" w:rsidRPr="00B01A3D">
        <w:rPr>
          <w:rFonts w:ascii="Century Gothic" w:hAnsi="Century Gothic"/>
          <w:sz w:val="24"/>
          <w:szCs w:val="24"/>
        </w:rPr>
        <w:t xml:space="preserve">que por demás tiene un procedimiento establecido según las condiciones en las cuales se encuentren los extranjeros venezolanos. </w:t>
      </w:r>
    </w:p>
    <w:p w14:paraId="0DF94492" w14:textId="77777777" w:rsidR="0003715C" w:rsidRDefault="0003715C" w:rsidP="000915D3">
      <w:pPr>
        <w:spacing w:line="360" w:lineRule="auto"/>
        <w:jc w:val="both"/>
        <w:rPr>
          <w:rFonts w:ascii="Century Gothic" w:hAnsi="Century Gothic"/>
          <w:sz w:val="24"/>
          <w:szCs w:val="24"/>
        </w:rPr>
      </w:pPr>
    </w:p>
    <w:p w14:paraId="4A16BD90" w14:textId="08E7D9DC" w:rsidR="00B01A3D" w:rsidRDefault="0040072E" w:rsidP="000915D3">
      <w:pPr>
        <w:spacing w:line="360" w:lineRule="auto"/>
        <w:jc w:val="both"/>
        <w:rPr>
          <w:rFonts w:ascii="Century Gothic" w:hAnsi="Century Gothic"/>
          <w:sz w:val="24"/>
          <w:szCs w:val="24"/>
        </w:rPr>
      </w:pPr>
      <w:r>
        <w:rPr>
          <w:rFonts w:ascii="Century Gothic" w:hAnsi="Century Gothic"/>
          <w:sz w:val="24"/>
          <w:szCs w:val="24"/>
        </w:rPr>
        <w:t>11</w:t>
      </w:r>
      <w:r w:rsidR="0003715C">
        <w:rPr>
          <w:rFonts w:ascii="Century Gothic" w:hAnsi="Century Gothic"/>
          <w:sz w:val="24"/>
          <w:szCs w:val="24"/>
        </w:rPr>
        <w:t xml:space="preserve">. Señaló que se </w:t>
      </w:r>
      <w:r w:rsidR="00B01A3D" w:rsidRPr="00B01A3D">
        <w:rPr>
          <w:rFonts w:ascii="Century Gothic" w:hAnsi="Century Gothic"/>
          <w:sz w:val="24"/>
          <w:szCs w:val="24"/>
        </w:rPr>
        <w:t>verificó en el Sistema Integral de Trámites al Ciudadano (SITAC) de</w:t>
      </w:r>
      <w:r w:rsidR="0003715C">
        <w:rPr>
          <w:rFonts w:ascii="Century Gothic" w:hAnsi="Century Gothic"/>
          <w:sz w:val="24"/>
          <w:szCs w:val="24"/>
        </w:rPr>
        <w:t xml:space="preserve">l </w:t>
      </w:r>
      <w:r w:rsidR="00B01A3D" w:rsidRPr="00B01A3D">
        <w:rPr>
          <w:rFonts w:ascii="Century Gothic" w:hAnsi="Century Gothic"/>
          <w:sz w:val="24"/>
          <w:szCs w:val="24"/>
        </w:rPr>
        <w:t xml:space="preserve">Ministerio, evidenciándose que a nombre de los accionantes y su agente oficiosa no se ha efectuado solicitud de visa ante el Ministerio de Relaciones Exteriores, razón por la que no es posible desplegar actuación alguna al </w:t>
      </w:r>
      <w:r w:rsidR="005B74D3">
        <w:rPr>
          <w:rFonts w:ascii="Century Gothic" w:hAnsi="Century Gothic"/>
          <w:sz w:val="24"/>
          <w:szCs w:val="24"/>
        </w:rPr>
        <w:t>respecto por parte de es</w:t>
      </w:r>
      <w:r w:rsidR="00B01A3D" w:rsidRPr="00B01A3D">
        <w:rPr>
          <w:rFonts w:ascii="Century Gothic" w:hAnsi="Century Gothic"/>
          <w:sz w:val="24"/>
          <w:szCs w:val="24"/>
        </w:rPr>
        <w:t>a entidad. Se adjunta pantallazo como prueba de lo manifestado</w:t>
      </w:r>
      <w:r w:rsidR="0003715C">
        <w:rPr>
          <w:rFonts w:ascii="Century Gothic" w:hAnsi="Century Gothic"/>
          <w:sz w:val="24"/>
          <w:szCs w:val="24"/>
        </w:rPr>
        <w:t xml:space="preserve">. </w:t>
      </w:r>
    </w:p>
    <w:p w14:paraId="3947472F" w14:textId="7E82A293" w:rsidR="0003715C" w:rsidRDefault="0003715C" w:rsidP="000915D3">
      <w:pPr>
        <w:spacing w:line="360" w:lineRule="auto"/>
        <w:jc w:val="both"/>
        <w:rPr>
          <w:rFonts w:ascii="Century Gothic" w:hAnsi="Century Gothic"/>
          <w:sz w:val="24"/>
          <w:szCs w:val="24"/>
        </w:rPr>
      </w:pPr>
    </w:p>
    <w:p w14:paraId="1C87FF12" w14:textId="34B30D7E" w:rsidR="00EE1AEE" w:rsidRDefault="0040072E" w:rsidP="0003715C">
      <w:pPr>
        <w:spacing w:line="360" w:lineRule="auto"/>
        <w:jc w:val="both"/>
        <w:rPr>
          <w:rFonts w:ascii="Century Gothic" w:hAnsi="Century Gothic"/>
          <w:sz w:val="24"/>
          <w:szCs w:val="24"/>
        </w:rPr>
      </w:pPr>
      <w:r>
        <w:rPr>
          <w:rFonts w:ascii="Century Gothic" w:hAnsi="Century Gothic"/>
          <w:sz w:val="24"/>
          <w:szCs w:val="24"/>
        </w:rPr>
        <w:t>12</w:t>
      </w:r>
      <w:r w:rsidR="0003715C">
        <w:rPr>
          <w:rFonts w:ascii="Century Gothic" w:hAnsi="Century Gothic"/>
          <w:sz w:val="24"/>
          <w:szCs w:val="24"/>
        </w:rPr>
        <w:t xml:space="preserve">. Indicó que </w:t>
      </w:r>
      <w:r w:rsidR="0003715C" w:rsidRPr="0003715C">
        <w:rPr>
          <w:rFonts w:ascii="Century Gothic" w:hAnsi="Century Gothic"/>
          <w:sz w:val="24"/>
          <w:szCs w:val="24"/>
        </w:rPr>
        <w:t xml:space="preserve">todo extranjero </w:t>
      </w:r>
      <w:r w:rsidR="00EE1AEE">
        <w:rPr>
          <w:rFonts w:ascii="Century Gothic" w:hAnsi="Century Gothic"/>
          <w:sz w:val="24"/>
          <w:szCs w:val="24"/>
        </w:rPr>
        <w:t xml:space="preserve">que desee ingresar, transitar </w:t>
      </w:r>
      <w:r w:rsidR="0003715C" w:rsidRPr="0003715C">
        <w:rPr>
          <w:rFonts w:ascii="Century Gothic" w:hAnsi="Century Gothic"/>
          <w:sz w:val="24"/>
          <w:szCs w:val="24"/>
        </w:rPr>
        <w:t xml:space="preserve">o permanecer en el país deberá tramitar un permiso que corresponda a su intención de estancia, trámite éste que es administrado por la Unidad Administrativa Especial Migración Colombia. </w:t>
      </w:r>
      <w:r w:rsidR="0003715C">
        <w:rPr>
          <w:rFonts w:ascii="Century Gothic" w:hAnsi="Century Gothic"/>
          <w:sz w:val="24"/>
          <w:szCs w:val="24"/>
        </w:rPr>
        <w:t>Manifestó que l</w:t>
      </w:r>
      <w:r w:rsidR="0003715C" w:rsidRPr="0003715C">
        <w:rPr>
          <w:rFonts w:ascii="Century Gothic" w:hAnsi="Century Gothic"/>
          <w:sz w:val="24"/>
          <w:szCs w:val="24"/>
        </w:rPr>
        <w:t>a</w:t>
      </w:r>
      <w:r>
        <w:rPr>
          <w:rFonts w:ascii="Century Gothic" w:hAnsi="Century Gothic"/>
          <w:sz w:val="24"/>
          <w:szCs w:val="24"/>
        </w:rPr>
        <w:t xml:space="preserve"> reglamentación que regula los p</w:t>
      </w:r>
      <w:r w:rsidR="0003715C" w:rsidRPr="0003715C">
        <w:rPr>
          <w:rFonts w:ascii="Century Gothic" w:hAnsi="Century Gothic"/>
          <w:sz w:val="24"/>
          <w:szCs w:val="24"/>
        </w:rPr>
        <w:t xml:space="preserve">ermisos de </w:t>
      </w:r>
      <w:r>
        <w:rPr>
          <w:rFonts w:ascii="Century Gothic" w:hAnsi="Century Gothic"/>
          <w:sz w:val="24"/>
          <w:szCs w:val="24"/>
        </w:rPr>
        <w:t>ingreso y p</w:t>
      </w:r>
      <w:r w:rsidR="0003715C" w:rsidRPr="0003715C">
        <w:rPr>
          <w:rFonts w:ascii="Century Gothic" w:hAnsi="Century Gothic"/>
          <w:sz w:val="24"/>
          <w:szCs w:val="24"/>
        </w:rPr>
        <w:t xml:space="preserve">ermanencia (PIP) es tramitada por la UAE Migración Colombia, entidad que en agosto de 2016 expidió la Resolución 12203, norma que en su artículo 4º establece que se podrá otorgar </w:t>
      </w:r>
      <w:r>
        <w:rPr>
          <w:rFonts w:ascii="Century Gothic" w:hAnsi="Century Gothic"/>
          <w:sz w:val="24"/>
          <w:szCs w:val="24"/>
        </w:rPr>
        <w:t>permiso de ingreso y p</w:t>
      </w:r>
      <w:r w:rsidR="0003715C" w:rsidRPr="0003715C">
        <w:rPr>
          <w:rFonts w:ascii="Century Gothic" w:hAnsi="Century Gothic"/>
          <w:sz w:val="24"/>
          <w:szCs w:val="24"/>
        </w:rPr>
        <w:t xml:space="preserve">ermanencia (PIP) al extranjero que desee ingresar al territorio nacional dependiendo de la intención de estancia. </w:t>
      </w:r>
    </w:p>
    <w:p w14:paraId="495A9E89" w14:textId="77777777" w:rsidR="00EE1AEE" w:rsidRDefault="00EE1AEE" w:rsidP="0003715C">
      <w:pPr>
        <w:spacing w:line="360" w:lineRule="auto"/>
        <w:jc w:val="both"/>
        <w:rPr>
          <w:rFonts w:ascii="Century Gothic" w:hAnsi="Century Gothic"/>
          <w:sz w:val="24"/>
          <w:szCs w:val="24"/>
        </w:rPr>
      </w:pPr>
    </w:p>
    <w:p w14:paraId="53BF5E4F" w14:textId="12C48094" w:rsidR="0003715C" w:rsidRDefault="0040072E" w:rsidP="0003715C">
      <w:pPr>
        <w:spacing w:line="360" w:lineRule="auto"/>
        <w:jc w:val="both"/>
        <w:rPr>
          <w:rFonts w:ascii="Century Gothic" w:hAnsi="Century Gothic"/>
          <w:sz w:val="24"/>
          <w:szCs w:val="24"/>
        </w:rPr>
      </w:pPr>
      <w:r>
        <w:rPr>
          <w:rFonts w:ascii="Century Gothic" w:hAnsi="Century Gothic"/>
          <w:sz w:val="24"/>
          <w:szCs w:val="24"/>
        </w:rPr>
        <w:t xml:space="preserve">13. </w:t>
      </w:r>
      <w:r w:rsidR="00EE1AEE">
        <w:rPr>
          <w:rFonts w:ascii="Century Gothic" w:hAnsi="Century Gothic"/>
          <w:sz w:val="24"/>
          <w:szCs w:val="24"/>
        </w:rPr>
        <w:t>Dicho</w:t>
      </w:r>
      <w:r w:rsidR="0003715C" w:rsidRPr="0003715C">
        <w:rPr>
          <w:rFonts w:ascii="Century Gothic" w:hAnsi="Century Gothic"/>
          <w:sz w:val="24"/>
          <w:szCs w:val="24"/>
        </w:rPr>
        <w:t xml:space="preserve"> per</w:t>
      </w:r>
      <w:r w:rsidR="00EE1AEE">
        <w:rPr>
          <w:rFonts w:ascii="Century Gothic" w:hAnsi="Century Gothic"/>
          <w:sz w:val="24"/>
          <w:szCs w:val="24"/>
        </w:rPr>
        <w:t xml:space="preserve">miso se otorga por </w:t>
      </w:r>
      <w:r w:rsidR="0003715C" w:rsidRPr="0003715C">
        <w:rPr>
          <w:rFonts w:ascii="Century Gothic" w:hAnsi="Century Gothic"/>
          <w:sz w:val="24"/>
          <w:szCs w:val="24"/>
        </w:rPr>
        <w:t xml:space="preserve">90 días, que podrán ser prorrogados por 90 días más. En este punto es menester indicar que la Autoridad Migratoria dispone de oficinas de atención en veintisiete (27) Centros </w:t>
      </w:r>
      <w:r w:rsidR="0003715C" w:rsidRPr="0003715C">
        <w:rPr>
          <w:rFonts w:ascii="Century Gothic" w:hAnsi="Century Gothic"/>
          <w:sz w:val="24"/>
          <w:szCs w:val="24"/>
        </w:rPr>
        <w:lastRenderedPageBreak/>
        <w:t xml:space="preserve">Facilitadores de Servicios Migratorios, ubicados en diferentes ciudades de Colombia, ante los cuales toda persona podrá realizar los trámites de extranjería, consultar temas de verificación migratoria, obtener atención de peticiones, quejas, reclamos y sugerencias e información general del sistema migratorio, de manera fácil, rápida y segura, a nivel nacional. </w:t>
      </w:r>
    </w:p>
    <w:p w14:paraId="4C45C6A5" w14:textId="77777777" w:rsidR="0003715C" w:rsidRDefault="0003715C" w:rsidP="0003715C">
      <w:pPr>
        <w:spacing w:line="360" w:lineRule="auto"/>
        <w:jc w:val="both"/>
        <w:rPr>
          <w:rFonts w:ascii="Century Gothic" w:hAnsi="Century Gothic"/>
          <w:sz w:val="24"/>
          <w:szCs w:val="24"/>
        </w:rPr>
      </w:pPr>
    </w:p>
    <w:p w14:paraId="326E0987" w14:textId="3B8FD3F5" w:rsidR="0003715C" w:rsidRDefault="0003715C" w:rsidP="0003715C">
      <w:pPr>
        <w:spacing w:line="360" w:lineRule="auto"/>
        <w:jc w:val="both"/>
        <w:rPr>
          <w:rFonts w:ascii="Century Gothic" w:hAnsi="Century Gothic"/>
          <w:sz w:val="24"/>
          <w:szCs w:val="24"/>
        </w:rPr>
      </w:pPr>
      <w:r>
        <w:rPr>
          <w:rFonts w:ascii="Century Gothic" w:hAnsi="Century Gothic"/>
          <w:sz w:val="24"/>
          <w:szCs w:val="24"/>
        </w:rPr>
        <w:t xml:space="preserve">14. </w:t>
      </w:r>
      <w:r w:rsidRPr="0003715C">
        <w:rPr>
          <w:rFonts w:ascii="Century Gothic" w:hAnsi="Century Gothic"/>
          <w:sz w:val="24"/>
          <w:szCs w:val="24"/>
        </w:rPr>
        <w:t xml:space="preserve">Ahora bien, </w:t>
      </w:r>
      <w:r>
        <w:rPr>
          <w:rFonts w:ascii="Century Gothic" w:hAnsi="Century Gothic"/>
          <w:sz w:val="24"/>
          <w:szCs w:val="24"/>
        </w:rPr>
        <w:t xml:space="preserve">indicó que </w:t>
      </w:r>
      <w:r w:rsidRPr="0003715C">
        <w:rPr>
          <w:rFonts w:ascii="Century Gothic" w:hAnsi="Century Gothic"/>
          <w:sz w:val="24"/>
          <w:szCs w:val="24"/>
        </w:rPr>
        <w:t xml:space="preserve">teniendo regulada la permanencia migratoria ante la UAE Migración Colombia, el agenciado puede solicitar la visa que desee en cualquiera de las categorías establecidas en la Resolución 6045 de 2017, siempre y cuando cumpla con los requisitos allí establecidos, entre estos contar con un pasaporte vigente y en el caso particular de los venezolanos se les acepta la prórroga </w:t>
      </w:r>
      <w:proofErr w:type="gramStart"/>
      <w:r w:rsidRPr="0003715C">
        <w:rPr>
          <w:rFonts w:ascii="Century Gothic" w:hAnsi="Century Gothic"/>
          <w:sz w:val="24"/>
          <w:szCs w:val="24"/>
        </w:rPr>
        <w:t>del mismo</w:t>
      </w:r>
      <w:proofErr w:type="gramEnd"/>
      <w:r w:rsidRPr="0003715C">
        <w:rPr>
          <w:rFonts w:ascii="Century Gothic" w:hAnsi="Century Gothic"/>
          <w:sz w:val="24"/>
          <w:szCs w:val="24"/>
        </w:rPr>
        <w:t xml:space="preserve"> que según tenemos conocimiento está expidiendo su gobierno. Dicho trámite es posible hacerlo a través de medios electrónicos, personalmente o apoderado, diligenciando el formulario correspondiente por vía electrónica, el cual se encuentra en el</w:t>
      </w:r>
      <w:r>
        <w:rPr>
          <w:rFonts w:ascii="Century Gothic" w:hAnsi="Century Gothic"/>
          <w:sz w:val="24"/>
          <w:szCs w:val="24"/>
        </w:rPr>
        <w:t xml:space="preserve"> siguiente</w:t>
      </w:r>
      <w:r w:rsidRPr="0003715C">
        <w:rPr>
          <w:rFonts w:ascii="Century Gothic" w:hAnsi="Century Gothic"/>
          <w:sz w:val="24"/>
          <w:szCs w:val="24"/>
        </w:rPr>
        <w:t xml:space="preserve"> enlace: </w:t>
      </w:r>
      <w:hyperlink r:id="rId8" w:history="1">
        <w:r w:rsidRPr="006F67EC">
          <w:rPr>
            <w:rStyle w:val="Hipervnculo"/>
            <w:rFonts w:ascii="Century Gothic" w:hAnsi="Century Gothic"/>
            <w:sz w:val="24"/>
            <w:szCs w:val="24"/>
          </w:rPr>
          <w:t>http://www.cancilleria.gov.co/tramites_servicios/visas/solicitud-visa</w:t>
        </w:r>
      </w:hyperlink>
    </w:p>
    <w:p w14:paraId="51649A0B" w14:textId="77777777" w:rsidR="0003715C" w:rsidRDefault="0003715C" w:rsidP="0003715C">
      <w:pPr>
        <w:spacing w:line="360" w:lineRule="auto"/>
        <w:jc w:val="both"/>
        <w:rPr>
          <w:rFonts w:ascii="Century Gothic" w:hAnsi="Century Gothic"/>
          <w:sz w:val="24"/>
          <w:szCs w:val="24"/>
        </w:rPr>
      </w:pPr>
      <w:r w:rsidRPr="0003715C">
        <w:rPr>
          <w:rFonts w:ascii="Century Gothic" w:hAnsi="Century Gothic"/>
          <w:sz w:val="24"/>
          <w:szCs w:val="24"/>
        </w:rPr>
        <w:t>adjuntando los documentos requeridos para la clase de visa incluyendo una foto, los cuales deberán ser digitalizados y cargados en un solo archivo y cancelar su estudio con el fin de formalizarla, para así, iniciar el correspondiente estudio por parte del Grupo Interno de Trabajo de Visas e Inmigración del Ministerio de Relaciones Exteriores.</w:t>
      </w:r>
    </w:p>
    <w:p w14:paraId="29F9F06A" w14:textId="77777777" w:rsidR="0003715C" w:rsidRDefault="0003715C" w:rsidP="0003715C">
      <w:pPr>
        <w:spacing w:line="360" w:lineRule="auto"/>
        <w:jc w:val="both"/>
        <w:rPr>
          <w:rFonts w:ascii="Century Gothic" w:hAnsi="Century Gothic"/>
          <w:sz w:val="24"/>
          <w:szCs w:val="24"/>
        </w:rPr>
      </w:pPr>
    </w:p>
    <w:p w14:paraId="68E37A0D" w14:textId="77777777" w:rsidR="006F2FDA" w:rsidRDefault="0003715C" w:rsidP="0003715C">
      <w:pPr>
        <w:spacing w:line="360" w:lineRule="auto"/>
        <w:jc w:val="both"/>
        <w:rPr>
          <w:rFonts w:ascii="Century Gothic" w:hAnsi="Century Gothic"/>
          <w:sz w:val="24"/>
          <w:szCs w:val="24"/>
        </w:rPr>
      </w:pPr>
      <w:r>
        <w:rPr>
          <w:rFonts w:ascii="Century Gothic" w:hAnsi="Century Gothic"/>
          <w:sz w:val="24"/>
          <w:szCs w:val="24"/>
        </w:rPr>
        <w:t xml:space="preserve">15. Adicionalmente, manifestó </w:t>
      </w:r>
      <w:r w:rsidRPr="0003715C">
        <w:rPr>
          <w:rFonts w:ascii="Century Gothic" w:hAnsi="Century Gothic"/>
          <w:sz w:val="24"/>
          <w:szCs w:val="24"/>
        </w:rPr>
        <w:t xml:space="preserve">que la solicitud de visa también puede hacerse de manera personal de lunes a viernes de 7:30 a.m. a 12:00 m., en la oficina del Grupo Interno de Trabajo de Visas e Inmigración ubicada en la Avenida Carrera 19 No. 98-03 Piso 3 (Bogotá), si dicha solicitud es realizada por medio de apoderado, deberá incluir el respectivo poder otorgado ante autoridad correspondiente con presentación personal. </w:t>
      </w:r>
    </w:p>
    <w:p w14:paraId="74D31C55" w14:textId="77777777" w:rsidR="006F2FDA" w:rsidRDefault="006F2FDA" w:rsidP="0003715C">
      <w:pPr>
        <w:spacing w:line="360" w:lineRule="auto"/>
        <w:jc w:val="both"/>
        <w:rPr>
          <w:rFonts w:ascii="Century Gothic" w:hAnsi="Century Gothic"/>
          <w:sz w:val="24"/>
          <w:szCs w:val="24"/>
        </w:rPr>
      </w:pPr>
    </w:p>
    <w:p w14:paraId="6EFB5237" w14:textId="31F6CB87" w:rsidR="0003715C" w:rsidRDefault="0040072E" w:rsidP="0003715C">
      <w:pPr>
        <w:spacing w:line="360" w:lineRule="auto"/>
        <w:jc w:val="both"/>
        <w:rPr>
          <w:rFonts w:ascii="Century Gothic" w:hAnsi="Century Gothic"/>
          <w:sz w:val="24"/>
          <w:szCs w:val="24"/>
        </w:rPr>
      </w:pPr>
      <w:r>
        <w:rPr>
          <w:rFonts w:ascii="Century Gothic" w:hAnsi="Century Gothic"/>
          <w:sz w:val="24"/>
          <w:szCs w:val="24"/>
        </w:rPr>
        <w:lastRenderedPageBreak/>
        <w:t xml:space="preserve">16. </w:t>
      </w:r>
      <w:r w:rsidR="0003715C" w:rsidRPr="0003715C">
        <w:rPr>
          <w:rFonts w:ascii="Century Gothic" w:hAnsi="Century Gothic"/>
          <w:sz w:val="24"/>
          <w:szCs w:val="24"/>
        </w:rPr>
        <w:t>En todo caso deberá diligenciar previamente el formulario de solicitud de visa señalado en el párrafo anterior y contar con un pasaporte vigente para el trámite.</w:t>
      </w:r>
    </w:p>
    <w:p w14:paraId="733C2315" w14:textId="77777777" w:rsidR="0003715C" w:rsidRDefault="0003715C" w:rsidP="0003715C">
      <w:pPr>
        <w:spacing w:line="360" w:lineRule="auto"/>
        <w:jc w:val="both"/>
        <w:rPr>
          <w:rFonts w:ascii="Century Gothic" w:hAnsi="Century Gothic"/>
          <w:sz w:val="24"/>
          <w:szCs w:val="24"/>
        </w:rPr>
      </w:pPr>
    </w:p>
    <w:p w14:paraId="74A3CCB2" w14:textId="57FD7823" w:rsidR="0003715C" w:rsidRPr="0003715C" w:rsidRDefault="0040072E" w:rsidP="0003715C">
      <w:pPr>
        <w:spacing w:line="360" w:lineRule="auto"/>
        <w:jc w:val="both"/>
        <w:rPr>
          <w:rFonts w:ascii="Century Gothic" w:hAnsi="Century Gothic"/>
          <w:sz w:val="24"/>
          <w:szCs w:val="24"/>
        </w:rPr>
      </w:pPr>
      <w:r>
        <w:rPr>
          <w:rFonts w:ascii="Century Gothic" w:hAnsi="Century Gothic"/>
          <w:sz w:val="24"/>
          <w:szCs w:val="24"/>
        </w:rPr>
        <w:t>17</w:t>
      </w:r>
      <w:r w:rsidR="0003715C" w:rsidRPr="0003715C">
        <w:rPr>
          <w:rFonts w:ascii="Century Gothic" w:hAnsi="Century Gothic"/>
          <w:sz w:val="24"/>
          <w:szCs w:val="24"/>
        </w:rPr>
        <w:t xml:space="preserve">. Finalmente, </w:t>
      </w:r>
      <w:r w:rsidR="0003715C">
        <w:rPr>
          <w:rFonts w:ascii="Century Gothic" w:hAnsi="Century Gothic"/>
          <w:sz w:val="24"/>
          <w:szCs w:val="24"/>
        </w:rPr>
        <w:t>afirmó</w:t>
      </w:r>
      <w:r w:rsidR="0003715C" w:rsidRPr="0003715C">
        <w:rPr>
          <w:rFonts w:ascii="Century Gothic" w:hAnsi="Century Gothic"/>
          <w:sz w:val="24"/>
          <w:szCs w:val="24"/>
        </w:rPr>
        <w:t xml:space="preserve"> que lo pretendido por los accionantes es un trámite meramente administrativo que debe ser resu</w:t>
      </w:r>
      <w:r w:rsidR="006F2FDA">
        <w:rPr>
          <w:rFonts w:ascii="Century Gothic" w:hAnsi="Century Gothic"/>
          <w:sz w:val="24"/>
          <w:szCs w:val="24"/>
        </w:rPr>
        <w:t>e</w:t>
      </w:r>
      <w:r w:rsidR="0003715C" w:rsidRPr="0003715C">
        <w:rPr>
          <w:rFonts w:ascii="Century Gothic" w:hAnsi="Century Gothic"/>
          <w:sz w:val="24"/>
          <w:szCs w:val="24"/>
        </w:rPr>
        <w:t>lto por la entidad a la que fue elevad</w:t>
      </w:r>
      <w:r w:rsidR="004D2D49">
        <w:rPr>
          <w:rFonts w:ascii="Century Gothic" w:hAnsi="Century Gothic"/>
          <w:sz w:val="24"/>
          <w:szCs w:val="24"/>
        </w:rPr>
        <w:t>a la petición</w:t>
      </w:r>
      <w:r w:rsidR="0003715C" w:rsidRPr="0003715C">
        <w:rPr>
          <w:rFonts w:ascii="Century Gothic" w:hAnsi="Century Gothic"/>
          <w:sz w:val="24"/>
          <w:szCs w:val="24"/>
        </w:rPr>
        <w:t xml:space="preserve">, </w:t>
      </w:r>
      <w:r w:rsidR="004D2D49">
        <w:rPr>
          <w:rFonts w:ascii="Century Gothic" w:hAnsi="Century Gothic"/>
          <w:sz w:val="24"/>
          <w:szCs w:val="24"/>
        </w:rPr>
        <w:t xml:space="preserve">pues lo pretendido </w:t>
      </w:r>
      <w:r w:rsidR="0003715C" w:rsidRPr="0003715C">
        <w:rPr>
          <w:rFonts w:ascii="Century Gothic" w:hAnsi="Century Gothic"/>
          <w:sz w:val="24"/>
          <w:szCs w:val="24"/>
        </w:rPr>
        <w:t>no está d</w:t>
      </w:r>
      <w:r w:rsidR="004D2D49">
        <w:rPr>
          <w:rFonts w:ascii="Century Gothic" w:hAnsi="Century Gothic"/>
          <w:sz w:val="24"/>
          <w:szCs w:val="24"/>
        </w:rPr>
        <w:t>entro de las competencias de es</w:t>
      </w:r>
      <w:r w:rsidR="0003715C" w:rsidRPr="0003715C">
        <w:rPr>
          <w:rFonts w:ascii="Century Gothic" w:hAnsi="Century Gothic"/>
          <w:sz w:val="24"/>
          <w:szCs w:val="24"/>
        </w:rPr>
        <w:t>e Ministerio.</w:t>
      </w:r>
    </w:p>
    <w:p w14:paraId="78796005" w14:textId="77777777" w:rsidR="002451DE" w:rsidRPr="00050C33" w:rsidRDefault="002451DE" w:rsidP="002451DE">
      <w:pPr>
        <w:spacing w:line="360" w:lineRule="auto"/>
        <w:jc w:val="both"/>
        <w:rPr>
          <w:rFonts w:ascii="Century Gothic" w:eastAsia="Times New Roman" w:hAnsi="Century Gothic" w:cs="Arial"/>
          <w:b/>
          <w:sz w:val="24"/>
          <w:szCs w:val="24"/>
          <w:lang w:val="es-ES"/>
        </w:rPr>
      </w:pPr>
    </w:p>
    <w:p w14:paraId="6365A004" w14:textId="1FA07D9D" w:rsidR="002451DE" w:rsidRPr="00050C33" w:rsidRDefault="002451DE" w:rsidP="002451DE">
      <w:pPr>
        <w:spacing w:line="360"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 xml:space="preserve">3.2. </w:t>
      </w:r>
      <w:r w:rsidR="00E538C6">
        <w:rPr>
          <w:rFonts w:ascii="Century Gothic" w:eastAsia="Times New Roman" w:hAnsi="Century Gothic" w:cs="Arial"/>
          <w:b/>
          <w:sz w:val="24"/>
          <w:szCs w:val="24"/>
          <w:lang w:val="es-ES"/>
        </w:rPr>
        <w:t>Unidad Administrativa Especial de Migración Colombia</w:t>
      </w:r>
    </w:p>
    <w:p w14:paraId="4CB8B190" w14:textId="77777777" w:rsidR="002451DE" w:rsidRPr="00050C33" w:rsidRDefault="002451DE" w:rsidP="002451DE">
      <w:pPr>
        <w:spacing w:line="360" w:lineRule="auto"/>
        <w:jc w:val="both"/>
        <w:rPr>
          <w:rFonts w:ascii="Century Gothic" w:eastAsia="Times New Roman" w:hAnsi="Century Gothic" w:cs="Arial"/>
          <w:b/>
          <w:sz w:val="24"/>
          <w:szCs w:val="24"/>
          <w:lang w:val="es-ES"/>
        </w:rPr>
      </w:pPr>
    </w:p>
    <w:p w14:paraId="6480C1AB" w14:textId="43D4EB01" w:rsidR="002451DE" w:rsidRDefault="00E538C6" w:rsidP="00E538C6">
      <w:pPr>
        <w:spacing w:line="360" w:lineRule="auto"/>
        <w:jc w:val="both"/>
        <w:rPr>
          <w:rFonts w:ascii="Century Gothic" w:hAnsi="Century Gothic" w:cs="Arial"/>
          <w:sz w:val="24"/>
          <w:szCs w:val="24"/>
          <w:lang w:val="es-ES"/>
        </w:rPr>
      </w:pPr>
      <w:r>
        <w:rPr>
          <w:rFonts w:ascii="Century Gothic" w:hAnsi="Century Gothic" w:cs="Arial"/>
          <w:sz w:val="24"/>
          <w:szCs w:val="24"/>
          <w:lang w:val="es-ES"/>
        </w:rPr>
        <w:t>1</w:t>
      </w:r>
      <w:r w:rsidR="0040072E">
        <w:rPr>
          <w:rFonts w:ascii="Century Gothic" w:hAnsi="Century Gothic" w:cs="Arial"/>
          <w:sz w:val="24"/>
          <w:szCs w:val="24"/>
          <w:lang w:val="es-ES"/>
        </w:rPr>
        <w:t>8</w:t>
      </w:r>
      <w:r w:rsidR="002451DE" w:rsidRPr="00050C33">
        <w:rPr>
          <w:rFonts w:ascii="Century Gothic" w:hAnsi="Century Gothic" w:cs="Arial"/>
          <w:sz w:val="24"/>
          <w:szCs w:val="24"/>
          <w:lang w:val="es-ES"/>
        </w:rPr>
        <w:t xml:space="preserve">. Indicó </w:t>
      </w:r>
      <w:proofErr w:type="gramStart"/>
      <w:r w:rsidR="002451DE">
        <w:rPr>
          <w:rFonts w:ascii="Century Gothic" w:hAnsi="Century Gothic" w:cs="Arial"/>
          <w:sz w:val="24"/>
          <w:szCs w:val="24"/>
          <w:lang w:val="es-ES"/>
        </w:rPr>
        <w:t>que</w:t>
      </w:r>
      <w:proofErr w:type="gramEnd"/>
      <w:r>
        <w:rPr>
          <w:rFonts w:ascii="Century Gothic" w:hAnsi="Century Gothic" w:cs="Arial"/>
          <w:sz w:val="24"/>
          <w:szCs w:val="24"/>
          <w:lang w:val="es-ES"/>
        </w:rPr>
        <w:t xml:space="preserve"> d</w:t>
      </w:r>
      <w:r w:rsidRPr="00E538C6">
        <w:rPr>
          <w:rFonts w:ascii="Century Gothic" w:hAnsi="Century Gothic" w:cs="Arial"/>
          <w:sz w:val="24"/>
          <w:szCs w:val="24"/>
          <w:lang w:val="es-ES"/>
        </w:rPr>
        <w:t>e conformidad con lo señalado en el acápite anterior, y teniendo en cuenta las</w:t>
      </w:r>
      <w:r>
        <w:rPr>
          <w:rFonts w:ascii="Century Gothic" w:hAnsi="Century Gothic" w:cs="Arial"/>
          <w:sz w:val="24"/>
          <w:szCs w:val="24"/>
          <w:lang w:val="es-ES"/>
        </w:rPr>
        <w:t xml:space="preserve"> </w:t>
      </w:r>
      <w:r w:rsidRPr="00E538C6">
        <w:rPr>
          <w:rFonts w:ascii="Century Gothic" w:hAnsi="Century Gothic" w:cs="Arial"/>
          <w:sz w:val="24"/>
          <w:szCs w:val="24"/>
          <w:lang w:val="es-ES"/>
        </w:rPr>
        <w:t>funciones y competencias de la Unidad Administrativa Especial Migración Colombia, se</w:t>
      </w:r>
      <w:r>
        <w:rPr>
          <w:rFonts w:ascii="Century Gothic" w:hAnsi="Century Gothic" w:cs="Arial"/>
          <w:sz w:val="24"/>
          <w:szCs w:val="24"/>
          <w:lang w:val="es-ES"/>
        </w:rPr>
        <w:t xml:space="preserve"> </w:t>
      </w:r>
      <w:r w:rsidRPr="00E538C6">
        <w:rPr>
          <w:rFonts w:ascii="Century Gothic" w:hAnsi="Century Gothic" w:cs="Arial"/>
          <w:sz w:val="24"/>
          <w:szCs w:val="24"/>
          <w:lang w:val="es-ES"/>
        </w:rPr>
        <w:t>solicitó un informe a la Regional Andina de la UAEMC, acerca de la condición migratoria</w:t>
      </w:r>
      <w:r>
        <w:rPr>
          <w:rFonts w:ascii="Century Gothic" w:hAnsi="Century Gothic" w:cs="Arial"/>
          <w:sz w:val="24"/>
          <w:szCs w:val="24"/>
          <w:lang w:val="es-ES"/>
        </w:rPr>
        <w:t xml:space="preserve"> </w:t>
      </w:r>
      <w:r w:rsidRPr="00E538C6">
        <w:rPr>
          <w:rFonts w:ascii="Century Gothic" w:hAnsi="Century Gothic" w:cs="Arial"/>
          <w:sz w:val="24"/>
          <w:szCs w:val="24"/>
          <w:lang w:val="es-ES"/>
        </w:rPr>
        <w:t xml:space="preserve">de la señora </w:t>
      </w:r>
      <w:r>
        <w:rPr>
          <w:rFonts w:ascii="Century Gothic" w:hAnsi="Century Gothic" w:cs="Arial"/>
          <w:sz w:val="24"/>
          <w:szCs w:val="24"/>
          <w:lang w:val="es-ES"/>
        </w:rPr>
        <w:t>Mayra Alejandra Luna Ramírez</w:t>
      </w:r>
      <w:r w:rsidRPr="00E538C6">
        <w:rPr>
          <w:rFonts w:ascii="Century Gothic" w:hAnsi="Century Gothic" w:cs="Arial"/>
          <w:sz w:val="24"/>
          <w:szCs w:val="24"/>
          <w:lang w:val="es-ES"/>
        </w:rPr>
        <w:t xml:space="preserve"> </w:t>
      </w:r>
      <w:r>
        <w:rPr>
          <w:rFonts w:ascii="Century Gothic" w:hAnsi="Century Gothic" w:cs="Arial"/>
          <w:sz w:val="24"/>
          <w:szCs w:val="24"/>
          <w:lang w:val="es-ES"/>
        </w:rPr>
        <w:t>y sus hijos</w:t>
      </w:r>
      <w:r w:rsidRPr="00E538C6">
        <w:rPr>
          <w:rFonts w:ascii="Century Gothic" w:hAnsi="Century Gothic" w:cs="Arial"/>
          <w:sz w:val="24"/>
          <w:szCs w:val="24"/>
          <w:lang w:val="es-ES"/>
        </w:rPr>
        <w:t>.</w:t>
      </w:r>
      <w:r w:rsidRPr="00E538C6">
        <w:rPr>
          <w:rFonts w:ascii="Century Gothic" w:hAnsi="Century Gothic" w:cs="Arial"/>
          <w:sz w:val="24"/>
          <w:szCs w:val="24"/>
          <w:lang w:val="es-ES"/>
        </w:rPr>
        <w:cr/>
      </w:r>
    </w:p>
    <w:p w14:paraId="145FE224" w14:textId="6EB57598" w:rsidR="0035501C" w:rsidRDefault="00E538C6" w:rsidP="002451DE">
      <w:pPr>
        <w:spacing w:line="360" w:lineRule="auto"/>
        <w:jc w:val="both"/>
        <w:rPr>
          <w:rFonts w:ascii="Century Gothic" w:hAnsi="Century Gothic"/>
          <w:sz w:val="24"/>
          <w:szCs w:val="24"/>
        </w:rPr>
      </w:pPr>
      <w:r>
        <w:rPr>
          <w:rFonts w:ascii="Century Gothic" w:hAnsi="Century Gothic" w:cs="Arial"/>
          <w:sz w:val="24"/>
          <w:szCs w:val="24"/>
          <w:lang w:val="es-ES"/>
        </w:rPr>
        <w:t>1</w:t>
      </w:r>
      <w:r w:rsidR="0040072E">
        <w:rPr>
          <w:rFonts w:ascii="Century Gothic" w:hAnsi="Century Gothic" w:cs="Arial"/>
          <w:sz w:val="24"/>
          <w:szCs w:val="24"/>
          <w:lang w:val="es-ES"/>
        </w:rPr>
        <w:t>9</w:t>
      </w:r>
      <w:r>
        <w:rPr>
          <w:rFonts w:ascii="Century Gothic" w:hAnsi="Century Gothic" w:cs="Arial"/>
          <w:sz w:val="24"/>
          <w:szCs w:val="24"/>
          <w:lang w:val="es-ES"/>
        </w:rPr>
        <w:t xml:space="preserve">. Informó que </w:t>
      </w:r>
      <w:r w:rsidRPr="00E538C6">
        <w:rPr>
          <w:rFonts w:ascii="Century Gothic" w:hAnsi="Century Gothic"/>
          <w:sz w:val="24"/>
          <w:szCs w:val="24"/>
        </w:rPr>
        <w:t xml:space="preserve">la señora </w:t>
      </w:r>
      <w:r>
        <w:rPr>
          <w:rFonts w:ascii="Century Gothic" w:hAnsi="Century Gothic"/>
          <w:sz w:val="24"/>
          <w:szCs w:val="24"/>
        </w:rPr>
        <w:t>Mayra Alejandra Luna Ramírez</w:t>
      </w:r>
      <w:r w:rsidRPr="00E538C6">
        <w:rPr>
          <w:rFonts w:ascii="Century Gothic" w:hAnsi="Century Gothic"/>
          <w:sz w:val="24"/>
          <w:szCs w:val="24"/>
        </w:rPr>
        <w:t xml:space="preserve"> se encuentra en condición migrator</w:t>
      </w:r>
      <w:r w:rsidR="0040072E">
        <w:rPr>
          <w:rFonts w:ascii="Century Gothic" w:hAnsi="Century Gothic"/>
          <w:sz w:val="24"/>
          <w:szCs w:val="24"/>
        </w:rPr>
        <w:t>ia regular al ser titular del permiso especial de p</w:t>
      </w:r>
      <w:r w:rsidRPr="00E538C6">
        <w:rPr>
          <w:rFonts w:ascii="Century Gothic" w:hAnsi="Century Gothic"/>
          <w:sz w:val="24"/>
          <w:szCs w:val="24"/>
        </w:rPr>
        <w:t xml:space="preserve">ermanencia-PEP, con el cual puede acceder a toda la oferta institucional que brinda el Estado Colombiano a las personas que sean titular del mismo. </w:t>
      </w:r>
    </w:p>
    <w:p w14:paraId="078CA195" w14:textId="77777777" w:rsidR="0035501C" w:rsidRDefault="0035501C" w:rsidP="002451DE">
      <w:pPr>
        <w:spacing w:line="360" w:lineRule="auto"/>
        <w:jc w:val="both"/>
        <w:rPr>
          <w:rFonts w:ascii="Century Gothic" w:hAnsi="Century Gothic"/>
          <w:sz w:val="24"/>
          <w:szCs w:val="24"/>
        </w:rPr>
      </w:pPr>
    </w:p>
    <w:p w14:paraId="3A92AD97" w14:textId="26B7C6C9" w:rsidR="002451DE" w:rsidRDefault="0040072E" w:rsidP="002451DE">
      <w:pPr>
        <w:spacing w:line="360" w:lineRule="auto"/>
        <w:jc w:val="both"/>
        <w:rPr>
          <w:rFonts w:ascii="Century Gothic" w:hAnsi="Century Gothic"/>
          <w:sz w:val="24"/>
          <w:szCs w:val="24"/>
        </w:rPr>
      </w:pPr>
      <w:r>
        <w:rPr>
          <w:rFonts w:ascii="Century Gothic" w:hAnsi="Century Gothic"/>
          <w:sz w:val="24"/>
          <w:szCs w:val="24"/>
        </w:rPr>
        <w:t xml:space="preserve">20. </w:t>
      </w:r>
      <w:r w:rsidR="00E538C6" w:rsidRPr="00E538C6">
        <w:rPr>
          <w:rFonts w:ascii="Century Gothic" w:hAnsi="Century Gothic"/>
          <w:sz w:val="24"/>
          <w:szCs w:val="24"/>
        </w:rPr>
        <w:t xml:space="preserve">En lo que respecta a los menores </w:t>
      </w:r>
      <w:r w:rsidR="00E538C6">
        <w:rPr>
          <w:rFonts w:ascii="Century Gothic" w:hAnsi="Century Gothic"/>
          <w:sz w:val="24"/>
          <w:szCs w:val="24"/>
        </w:rPr>
        <w:t>Jesús Rafael</w:t>
      </w:r>
      <w:r w:rsidR="00E538C6" w:rsidRPr="00E538C6">
        <w:rPr>
          <w:rFonts w:ascii="Century Gothic" w:hAnsi="Century Gothic"/>
          <w:sz w:val="24"/>
          <w:szCs w:val="24"/>
        </w:rPr>
        <w:t xml:space="preserve"> </w:t>
      </w:r>
      <w:r w:rsidR="00E538C6">
        <w:rPr>
          <w:rFonts w:ascii="Century Gothic" w:hAnsi="Century Gothic"/>
          <w:sz w:val="24"/>
          <w:szCs w:val="24"/>
        </w:rPr>
        <w:t>Tremaria</w:t>
      </w:r>
      <w:r w:rsidR="00E538C6" w:rsidRPr="00E538C6">
        <w:rPr>
          <w:rFonts w:ascii="Century Gothic" w:hAnsi="Century Gothic"/>
          <w:sz w:val="24"/>
          <w:szCs w:val="24"/>
        </w:rPr>
        <w:t xml:space="preserve"> </w:t>
      </w:r>
      <w:r w:rsidR="00E538C6">
        <w:rPr>
          <w:rFonts w:ascii="Century Gothic" w:hAnsi="Century Gothic"/>
          <w:sz w:val="24"/>
          <w:szCs w:val="24"/>
        </w:rPr>
        <w:t>Luna</w:t>
      </w:r>
      <w:r w:rsidR="00E538C6" w:rsidRPr="00E538C6">
        <w:rPr>
          <w:rFonts w:ascii="Century Gothic" w:hAnsi="Century Gothic"/>
          <w:sz w:val="24"/>
          <w:szCs w:val="24"/>
        </w:rPr>
        <w:t xml:space="preserve"> y </w:t>
      </w:r>
      <w:r w:rsidR="00E538C6">
        <w:rPr>
          <w:rFonts w:ascii="Century Gothic" w:hAnsi="Century Gothic"/>
          <w:sz w:val="24"/>
          <w:szCs w:val="24"/>
        </w:rPr>
        <w:t>Maibel</w:t>
      </w:r>
      <w:r w:rsidR="00E538C6" w:rsidRPr="00E538C6">
        <w:rPr>
          <w:rFonts w:ascii="Century Gothic" w:hAnsi="Century Gothic"/>
          <w:sz w:val="24"/>
          <w:szCs w:val="24"/>
        </w:rPr>
        <w:t xml:space="preserve"> </w:t>
      </w:r>
      <w:r w:rsidR="00E538C6">
        <w:rPr>
          <w:rFonts w:ascii="Century Gothic" w:hAnsi="Century Gothic"/>
          <w:sz w:val="24"/>
          <w:szCs w:val="24"/>
        </w:rPr>
        <w:t>Alejandra</w:t>
      </w:r>
      <w:r w:rsidR="00E538C6" w:rsidRPr="00E538C6">
        <w:rPr>
          <w:rFonts w:ascii="Century Gothic" w:hAnsi="Century Gothic"/>
          <w:sz w:val="24"/>
          <w:szCs w:val="24"/>
        </w:rPr>
        <w:t xml:space="preserve"> </w:t>
      </w:r>
      <w:r w:rsidR="00E538C6">
        <w:rPr>
          <w:rFonts w:ascii="Century Gothic" w:hAnsi="Century Gothic"/>
          <w:sz w:val="24"/>
          <w:szCs w:val="24"/>
        </w:rPr>
        <w:t>Carrion</w:t>
      </w:r>
      <w:r w:rsidR="00E538C6" w:rsidRPr="00E538C6">
        <w:rPr>
          <w:rFonts w:ascii="Century Gothic" w:hAnsi="Century Gothic"/>
          <w:sz w:val="24"/>
          <w:szCs w:val="24"/>
        </w:rPr>
        <w:t>, se encuentran en situación irregular al no haber ingresado por puesto de control migratorio habilitado, incurriendo en dos (02) posibles infracciones a la normatividad migratoria contenidas en los Artículos Nos. 2.2.1.13.1-11 Ingresar o salir del país sin el cumplimiento de los requisitos legales y 2.2.1.13.1-6 Incurrir en permanencia irregular del Decreto 1067 del 26 de mayo de 2015.</w:t>
      </w:r>
    </w:p>
    <w:p w14:paraId="0766ECCD" w14:textId="12972C26" w:rsidR="00E538C6" w:rsidRDefault="00E538C6" w:rsidP="002451DE">
      <w:pPr>
        <w:spacing w:line="360" w:lineRule="auto"/>
        <w:jc w:val="both"/>
        <w:rPr>
          <w:rFonts w:ascii="Century Gothic" w:hAnsi="Century Gothic"/>
          <w:sz w:val="24"/>
          <w:szCs w:val="24"/>
        </w:rPr>
      </w:pPr>
    </w:p>
    <w:p w14:paraId="1D78C6EF" w14:textId="26B3A760" w:rsidR="00E538C6" w:rsidRPr="00E538C6" w:rsidRDefault="0040072E" w:rsidP="00E538C6">
      <w:pPr>
        <w:spacing w:line="360" w:lineRule="auto"/>
        <w:jc w:val="both"/>
        <w:rPr>
          <w:rFonts w:ascii="Century Gothic" w:hAnsi="Century Gothic"/>
          <w:sz w:val="24"/>
          <w:szCs w:val="24"/>
        </w:rPr>
      </w:pPr>
      <w:r>
        <w:rPr>
          <w:rFonts w:ascii="Century Gothic" w:hAnsi="Century Gothic"/>
          <w:sz w:val="24"/>
          <w:szCs w:val="24"/>
        </w:rPr>
        <w:lastRenderedPageBreak/>
        <w:t>21</w:t>
      </w:r>
      <w:r w:rsidR="00E538C6">
        <w:rPr>
          <w:rFonts w:ascii="Century Gothic" w:hAnsi="Century Gothic"/>
          <w:sz w:val="24"/>
          <w:szCs w:val="24"/>
        </w:rPr>
        <w:t xml:space="preserve">. </w:t>
      </w:r>
      <w:r w:rsidR="00E538C6" w:rsidRPr="00E538C6">
        <w:rPr>
          <w:rFonts w:ascii="Century Gothic" w:hAnsi="Century Gothic"/>
          <w:sz w:val="24"/>
          <w:szCs w:val="24"/>
        </w:rPr>
        <w:t xml:space="preserve">Por lo anterior, </w:t>
      </w:r>
      <w:r w:rsidR="00E538C6">
        <w:rPr>
          <w:rFonts w:ascii="Century Gothic" w:hAnsi="Century Gothic"/>
          <w:sz w:val="24"/>
          <w:szCs w:val="24"/>
        </w:rPr>
        <w:t xml:space="preserve">aseguró que </w:t>
      </w:r>
      <w:r w:rsidR="00E538C6" w:rsidRPr="00E538C6">
        <w:rPr>
          <w:rFonts w:ascii="Century Gothic" w:hAnsi="Century Gothic"/>
          <w:sz w:val="24"/>
          <w:szCs w:val="24"/>
        </w:rPr>
        <w:t xml:space="preserve">es claro que tanto </w:t>
      </w:r>
      <w:r w:rsidR="00E538C6">
        <w:rPr>
          <w:rFonts w:ascii="Century Gothic" w:hAnsi="Century Gothic"/>
          <w:sz w:val="24"/>
          <w:szCs w:val="24"/>
        </w:rPr>
        <w:t>Jesús Rafael Tremaria Luna</w:t>
      </w:r>
      <w:r w:rsidR="00E538C6" w:rsidRPr="00E538C6">
        <w:rPr>
          <w:rFonts w:ascii="Century Gothic" w:hAnsi="Century Gothic"/>
          <w:sz w:val="24"/>
          <w:szCs w:val="24"/>
        </w:rPr>
        <w:t xml:space="preserve"> y </w:t>
      </w:r>
      <w:r w:rsidR="00E538C6">
        <w:rPr>
          <w:rFonts w:ascii="Century Gothic" w:hAnsi="Century Gothic"/>
          <w:sz w:val="24"/>
          <w:szCs w:val="24"/>
        </w:rPr>
        <w:t>Maibel Alejandra Carrion</w:t>
      </w:r>
      <w:r w:rsidR="00E538C6" w:rsidRPr="00E538C6">
        <w:rPr>
          <w:rFonts w:ascii="Century Gothic" w:hAnsi="Century Gothic"/>
          <w:sz w:val="24"/>
          <w:szCs w:val="24"/>
        </w:rPr>
        <w:t>, no cumplen con los requisitos para hacerse acreedores al PEP,</w:t>
      </w:r>
      <w:r w:rsidR="00E538C6">
        <w:rPr>
          <w:rFonts w:ascii="Century Gothic" w:hAnsi="Century Gothic"/>
          <w:sz w:val="24"/>
          <w:szCs w:val="24"/>
        </w:rPr>
        <w:t xml:space="preserve"> de acuerdo con la normatividad vigente. Por otro lado, indicó que la señora Mayra Luna </w:t>
      </w:r>
      <w:r w:rsidR="00E538C6" w:rsidRPr="00E538C6">
        <w:rPr>
          <w:rFonts w:ascii="Century Gothic" w:hAnsi="Century Gothic"/>
          <w:sz w:val="24"/>
          <w:szCs w:val="24"/>
        </w:rPr>
        <w:t>tuvo la oportunidad de</w:t>
      </w:r>
      <w:r w:rsidR="00E538C6">
        <w:rPr>
          <w:rFonts w:ascii="Century Gothic" w:hAnsi="Century Gothic"/>
          <w:sz w:val="24"/>
          <w:szCs w:val="24"/>
        </w:rPr>
        <w:t xml:space="preserve"> </w:t>
      </w:r>
      <w:r w:rsidR="00E538C6" w:rsidRPr="00E538C6">
        <w:rPr>
          <w:rFonts w:ascii="Century Gothic" w:hAnsi="Century Gothic"/>
          <w:sz w:val="24"/>
          <w:szCs w:val="24"/>
        </w:rPr>
        <w:t>inscribir a sus menores hijos con el fin de obtener dicho documento el mismo día que lo</w:t>
      </w:r>
      <w:r w:rsidR="00471E0C">
        <w:rPr>
          <w:rFonts w:ascii="Century Gothic" w:hAnsi="Century Gothic"/>
          <w:sz w:val="24"/>
          <w:szCs w:val="24"/>
        </w:rPr>
        <w:t xml:space="preserve"> </w:t>
      </w:r>
      <w:r w:rsidR="00E538C6" w:rsidRPr="00E538C6">
        <w:rPr>
          <w:rFonts w:ascii="Century Gothic" w:hAnsi="Century Gothic"/>
          <w:sz w:val="24"/>
          <w:szCs w:val="24"/>
        </w:rPr>
        <w:t xml:space="preserve">adquirió ella, sin embargo, no lo hizo, razón por la cual </w:t>
      </w:r>
      <w:r w:rsidR="0035501C">
        <w:rPr>
          <w:rFonts w:ascii="Century Gothic" w:hAnsi="Century Gothic"/>
          <w:sz w:val="24"/>
          <w:szCs w:val="24"/>
        </w:rPr>
        <w:t xml:space="preserve">señaló que </w:t>
      </w:r>
      <w:r w:rsidR="00E538C6" w:rsidRPr="00E538C6">
        <w:rPr>
          <w:rFonts w:ascii="Century Gothic" w:hAnsi="Century Gothic"/>
          <w:sz w:val="24"/>
          <w:szCs w:val="24"/>
        </w:rPr>
        <w:t xml:space="preserve">no </w:t>
      </w:r>
      <w:r w:rsidR="0035501C">
        <w:rPr>
          <w:rFonts w:ascii="Century Gothic" w:hAnsi="Century Gothic"/>
          <w:sz w:val="24"/>
          <w:szCs w:val="24"/>
        </w:rPr>
        <w:t>se podía</w:t>
      </w:r>
      <w:r w:rsidR="00E538C6" w:rsidRPr="00E538C6">
        <w:rPr>
          <w:rFonts w:ascii="Century Gothic" w:hAnsi="Century Gothic"/>
          <w:sz w:val="24"/>
          <w:szCs w:val="24"/>
        </w:rPr>
        <w:t xml:space="preserve"> trasladar la</w:t>
      </w:r>
      <w:r w:rsidR="00471E0C">
        <w:rPr>
          <w:rFonts w:ascii="Century Gothic" w:hAnsi="Century Gothic"/>
          <w:sz w:val="24"/>
          <w:szCs w:val="24"/>
        </w:rPr>
        <w:t xml:space="preserve"> </w:t>
      </w:r>
      <w:r w:rsidR="00E538C6" w:rsidRPr="00E538C6">
        <w:rPr>
          <w:rFonts w:ascii="Century Gothic" w:hAnsi="Century Gothic"/>
          <w:sz w:val="24"/>
          <w:szCs w:val="24"/>
        </w:rPr>
        <w:t>responsabilidad que ella tenía a la administración.</w:t>
      </w:r>
    </w:p>
    <w:p w14:paraId="4156B274" w14:textId="77777777" w:rsidR="00471E0C" w:rsidRDefault="00471E0C" w:rsidP="00E538C6">
      <w:pPr>
        <w:spacing w:line="360" w:lineRule="auto"/>
        <w:jc w:val="both"/>
        <w:rPr>
          <w:rFonts w:ascii="Century Gothic" w:hAnsi="Century Gothic"/>
          <w:sz w:val="24"/>
          <w:szCs w:val="24"/>
        </w:rPr>
      </w:pPr>
    </w:p>
    <w:p w14:paraId="0E4438B6" w14:textId="1818652A" w:rsidR="00471E0C" w:rsidRDefault="00471E0C" w:rsidP="00471E0C">
      <w:pPr>
        <w:spacing w:line="360" w:lineRule="auto"/>
        <w:jc w:val="both"/>
        <w:rPr>
          <w:rFonts w:ascii="Century Gothic" w:hAnsi="Century Gothic"/>
          <w:sz w:val="24"/>
          <w:szCs w:val="24"/>
        </w:rPr>
      </w:pPr>
      <w:r>
        <w:rPr>
          <w:rFonts w:ascii="Century Gothic" w:hAnsi="Century Gothic"/>
          <w:sz w:val="24"/>
          <w:szCs w:val="24"/>
        </w:rPr>
        <w:t>2</w:t>
      </w:r>
      <w:r w:rsidR="0040072E">
        <w:rPr>
          <w:rFonts w:ascii="Century Gothic" w:hAnsi="Century Gothic"/>
          <w:sz w:val="24"/>
          <w:szCs w:val="24"/>
        </w:rPr>
        <w:t>2</w:t>
      </w:r>
      <w:r>
        <w:rPr>
          <w:rFonts w:ascii="Century Gothic" w:hAnsi="Century Gothic"/>
          <w:sz w:val="24"/>
          <w:szCs w:val="24"/>
        </w:rPr>
        <w:t xml:space="preserve">. </w:t>
      </w:r>
      <w:r w:rsidRPr="00471E0C">
        <w:rPr>
          <w:rFonts w:ascii="Century Gothic" w:hAnsi="Century Gothic"/>
          <w:sz w:val="24"/>
          <w:szCs w:val="24"/>
        </w:rPr>
        <w:t xml:space="preserve">Así las cosas, </w:t>
      </w:r>
      <w:r>
        <w:rPr>
          <w:rFonts w:ascii="Century Gothic" w:hAnsi="Century Gothic"/>
          <w:sz w:val="24"/>
          <w:szCs w:val="24"/>
        </w:rPr>
        <w:t>la</w:t>
      </w:r>
      <w:r w:rsidRPr="00471E0C">
        <w:rPr>
          <w:rFonts w:ascii="Century Gothic" w:hAnsi="Century Gothic"/>
          <w:sz w:val="24"/>
          <w:szCs w:val="24"/>
        </w:rPr>
        <w:t xml:space="preserve"> Unidad Administrativa </w:t>
      </w:r>
      <w:r>
        <w:rPr>
          <w:rFonts w:ascii="Century Gothic" w:hAnsi="Century Gothic"/>
          <w:sz w:val="24"/>
          <w:szCs w:val="24"/>
        </w:rPr>
        <w:t xml:space="preserve">indicó que </w:t>
      </w:r>
      <w:r w:rsidRPr="00471E0C">
        <w:rPr>
          <w:rFonts w:ascii="Century Gothic" w:hAnsi="Century Gothic"/>
          <w:sz w:val="24"/>
          <w:szCs w:val="24"/>
        </w:rPr>
        <w:t>procederá a evaluar la situación de los</w:t>
      </w:r>
      <w:r>
        <w:rPr>
          <w:rFonts w:ascii="Century Gothic" w:hAnsi="Century Gothic"/>
          <w:sz w:val="24"/>
          <w:szCs w:val="24"/>
        </w:rPr>
        <w:t xml:space="preserve"> </w:t>
      </w:r>
      <w:r w:rsidRPr="00471E0C">
        <w:rPr>
          <w:rFonts w:ascii="Century Gothic" w:hAnsi="Century Gothic"/>
          <w:sz w:val="24"/>
          <w:szCs w:val="24"/>
        </w:rPr>
        <w:t>menores, con el fin de estudiar la posibilidad de expedir un salvoconducto a los</w:t>
      </w:r>
      <w:r>
        <w:rPr>
          <w:rFonts w:ascii="Century Gothic" w:hAnsi="Century Gothic"/>
          <w:sz w:val="24"/>
          <w:szCs w:val="24"/>
        </w:rPr>
        <w:t xml:space="preserve"> </w:t>
      </w:r>
      <w:r w:rsidRPr="00471E0C">
        <w:rPr>
          <w:rFonts w:ascii="Century Gothic" w:hAnsi="Century Gothic"/>
          <w:sz w:val="24"/>
          <w:szCs w:val="24"/>
        </w:rPr>
        <w:t>mismos, mientras se resuelve su situación administrativa.</w:t>
      </w:r>
      <w:r>
        <w:rPr>
          <w:rFonts w:ascii="Century Gothic" w:hAnsi="Century Gothic"/>
          <w:sz w:val="24"/>
          <w:szCs w:val="24"/>
        </w:rPr>
        <w:t xml:space="preserve"> </w:t>
      </w:r>
      <w:r w:rsidRPr="00471E0C">
        <w:rPr>
          <w:rFonts w:ascii="Century Gothic" w:hAnsi="Century Gothic"/>
          <w:sz w:val="24"/>
          <w:szCs w:val="24"/>
        </w:rPr>
        <w:t>Lo anterior, de conformidad con lo dispuesto en el Decreto 1067 de 2015</w:t>
      </w:r>
      <w:r>
        <w:rPr>
          <w:rFonts w:ascii="Century Gothic" w:hAnsi="Century Gothic"/>
          <w:sz w:val="24"/>
          <w:szCs w:val="24"/>
        </w:rPr>
        <w:t>; s</w:t>
      </w:r>
      <w:r w:rsidRPr="00471E0C">
        <w:rPr>
          <w:rFonts w:ascii="Century Gothic" w:hAnsi="Century Gothic"/>
          <w:sz w:val="24"/>
          <w:szCs w:val="24"/>
        </w:rPr>
        <w:t>alvoconducto</w:t>
      </w:r>
      <w:r>
        <w:rPr>
          <w:rFonts w:ascii="Century Gothic" w:hAnsi="Century Gothic"/>
          <w:sz w:val="24"/>
          <w:szCs w:val="24"/>
        </w:rPr>
        <w:t xml:space="preserve"> </w:t>
      </w:r>
      <w:r w:rsidRPr="00471E0C">
        <w:rPr>
          <w:rFonts w:ascii="Century Gothic" w:hAnsi="Century Gothic"/>
          <w:sz w:val="24"/>
          <w:szCs w:val="24"/>
        </w:rPr>
        <w:t>tipo (SC2) que es considerado documento válido para la afiliación al Sistema General de</w:t>
      </w:r>
      <w:r>
        <w:rPr>
          <w:rFonts w:ascii="Century Gothic" w:hAnsi="Century Gothic"/>
          <w:sz w:val="24"/>
          <w:szCs w:val="24"/>
        </w:rPr>
        <w:t xml:space="preserve"> </w:t>
      </w:r>
      <w:r w:rsidRPr="00471E0C">
        <w:rPr>
          <w:rFonts w:ascii="Century Gothic" w:hAnsi="Century Gothic"/>
          <w:sz w:val="24"/>
          <w:szCs w:val="24"/>
        </w:rPr>
        <w:t>Seguridad Social de los extranjeros, tal como lo señala el artículo 2.2.1.11.4.9. del</w:t>
      </w:r>
    </w:p>
    <w:p w14:paraId="76F55CE0" w14:textId="2B051823" w:rsidR="00471E0C" w:rsidRDefault="00471E0C" w:rsidP="00471E0C">
      <w:pPr>
        <w:spacing w:line="360" w:lineRule="auto"/>
        <w:jc w:val="both"/>
        <w:rPr>
          <w:rFonts w:ascii="Century Gothic" w:hAnsi="Century Gothic"/>
          <w:sz w:val="24"/>
          <w:szCs w:val="24"/>
        </w:rPr>
      </w:pPr>
      <w:r w:rsidRPr="00471E0C">
        <w:rPr>
          <w:rFonts w:ascii="Century Gothic" w:hAnsi="Century Gothic"/>
          <w:sz w:val="24"/>
          <w:szCs w:val="24"/>
        </w:rPr>
        <w:t>mencionado Decreto:</w:t>
      </w:r>
    </w:p>
    <w:p w14:paraId="7D7BCD1B" w14:textId="77777777" w:rsidR="008D3F4C" w:rsidRPr="00471E0C" w:rsidRDefault="008D3F4C" w:rsidP="00471E0C">
      <w:pPr>
        <w:spacing w:line="360" w:lineRule="auto"/>
        <w:jc w:val="both"/>
        <w:rPr>
          <w:rFonts w:ascii="Century Gothic" w:hAnsi="Century Gothic"/>
          <w:sz w:val="24"/>
          <w:szCs w:val="24"/>
        </w:rPr>
      </w:pPr>
    </w:p>
    <w:p w14:paraId="260557EB" w14:textId="796D01CC" w:rsidR="00471E0C" w:rsidRPr="00471E0C" w:rsidRDefault="00471E0C" w:rsidP="00471E0C">
      <w:pPr>
        <w:ind w:left="284" w:right="424"/>
        <w:jc w:val="both"/>
        <w:rPr>
          <w:rFonts w:ascii="Century Gothic" w:hAnsi="Century Gothic"/>
          <w:i/>
          <w:iCs/>
        </w:rPr>
      </w:pPr>
      <w:r w:rsidRPr="00471E0C">
        <w:rPr>
          <w:rFonts w:ascii="Century Gothic" w:hAnsi="Century Gothic"/>
          <w:i/>
          <w:iCs/>
        </w:rPr>
        <w:t>“Salvoconducto (SC). Es el documento de carácter temporal que expide la Unidad Administrativa Especial Migración Colombia al extranjero que así lo requiera. Los salvoconductos serán otorgados en las siguientes circunstancias:</w:t>
      </w:r>
    </w:p>
    <w:p w14:paraId="1D1C56E1" w14:textId="77777777" w:rsidR="002D23B8" w:rsidRDefault="002D23B8" w:rsidP="00471E0C">
      <w:pPr>
        <w:ind w:left="284" w:right="424"/>
        <w:jc w:val="both"/>
        <w:rPr>
          <w:rFonts w:ascii="Century Gothic" w:hAnsi="Century Gothic"/>
          <w:i/>
          <w:iCs/>
        </w:rPr>
      </w:pPr>
    </w:p>
    <w:p w14:paraId="360A95BC" w14:textId="77777777" w:rsidR="00471E0C" w:rsidRPr="00471E0C" w:rsidRDefault="00471E0C" w:rsidP="00471E0C">
      <w:pPr>
        <w:ind w:left="284" w:right="424"/>
        <w:jc w:val="both"/>
        <w:rPr>
          <w:rFonts w:ascii="Century Gothic" w:hAnsi="Century Gothic"/>
          <w:i/>
          <w:iCs/>
        </w:rPr>
      </w:pPr>
      <w:r w:rsidRPr="00471E0C">
        <w:rPr>
          <w:rFonts w:ascii="Century Gothic" w:hAnsi="Century Gothic"/>
          <w:i/>
          <w:iCs/>
        </w:rPr>
        <w:t>(…)</w:t>
      </w:r>
    </w:p>
    <w:p w14:paraId="506BEAD3" w14:textId="77777777" w:rsidR="002D23B8" w:rsidRDefault="002D23B8" w:rsidP="00471E0C">
      <w:pPr>
        <w:ind w:left="284" w:right="424"/>
        <w:jc w:val="both"/>
        <w:rPr>
          <w:rFonts w:ascii="Century Gothic" w:hAnsi="Century Gothic"/>
          <w:i/>
          <w:iCs/>
        </w:rPr>
      </w:pPr>
    </w:p>
    <w:p w14:paraId="4F1F0C16" w14:textId="77777777" w:rsidR="00471E0C" w:rsidRPr="00471E0C" w:rsidRDefault="00471E0C" w:rsidP="00471E0C">
      <w:pPr>
        <w:ind w:left="284" w:right="424"/>
        <w:jc w:val="both"/>
        <w:rPr>
          <w:rFonts w:ascii="Century Gothic" w:hAnsi="Century Gothic"/>
          <w:i/>
          <w:iCs/>
        </w:rPr>
      </w:pPr>
      <w:r w:rsidRPr="00471E0C">
        <w:rPr>
          <w:rFonts w:ascii="Century Gothic" w:hAnsi="Century Gothic"/>
          <w:i/>
          <w:iCs/>
        </w:rPr>
        <w:t>* SC-2. Salvoconducto para permanecer en el país, en los siguientes casos:</w:t>
      </w:r>
    </w:p>
    <w:p w14:paraId="633DAEE8" w14:textId="77777777" w:rsidR="002D23B8" w:rsidRDefault="002D23B8" w:rsidP="00471E0C">
      <w:pPr>
        <w:ind w:left="284" w:right="424"/>
        <w:jc w:val="both"/>
        <w:rPr>
          <w:rFonts w:ascii="Century Gothic" w:hAnsi="Century Gothic"/>
          <w:i/>
          <w:iCs/>
        </w:rPr>
      </w:pPr>
    </w:p>
    <w:p w14:paraId="751F8A12" w14:textId="77777777" w:rsidR="00471E0C" w:rsidRPr="00471E0C" w:rsidRDefault="00471E0C" w:rsidP="00471E0C">
      <w:pPr>
        <w:ind w:left="284" w:right="424"/>
        <w:jc w:val="both"/>
        <w:rPr>
          <w:rFonts w:ascii="Century Gothic" w:hAnsi="Century Gothic"/>
          <w:i/>
          <w:iCs/>
        </w:rPr>
      </w:pPr>
      <w:r w:rsidRPr="00471E0C">
        <w:rPr>
          <w:rFonts w:ascii="Century Gothic" w:hAnsi="Century Gothic"/>
          <w:i/>
          <w:iCs/>
        </w:rPr>
        <w:t>(…)</w:t>
      </w:r>
    </w:p>
    <w:p w14:paraId="5600CBD3" w14:textId="77777777" w:rsidR="00471E0C" w:rsidRPr="00471E0C" w:rsidRDefault="00471E0C" w:rsidP="00471E0C">
      <w:pPr>
        <w:ind w:left="284" w:right="424"/>
        <w:jc w:val="both"/>
        <w:rPr>
          <w:rFonts w:ascii="Century Gothic" w:hAnsi="Century Gothic"/>
          <w:i/>
          <w:iCs/>
        </w:rPr>
      </w:pPr>
      <w:r w:rsidRPr="00471E0C">
        <w:rPr>
          <w:rFonts w:ascii="Century Gothic" w:hAnsi="Century Gothic"/>
          <w:i/>
          <w:iCs/>
        </w:rPr>
        <w:t>* Al extranjero que pudiendo solicitar visa en el territorio nacional, haya</w:t>
      </w:r>
    </w:p>
    <w:p w14:paraId="77983E15" w14:textId="77777777" w:rsidR="00471E0C" w:rsidRPr="00471E0C" w:rsidRDefault="00471E0C" w:rsidP="00471E0C">
      <w:pPr>
        <w:ind w:left="284" w:right="424"/>
        <w:jc w:val="both"/>
        <w:rPr>
          <w:rFonts w:ascii="Century Gothic" w:hAnsi="Century Gothic"/>
          <w:i/>
          <w:iCs/>
        </w:rPr>
      </w:pPr>
      <w:r w:rsidRPr="00471E0C">
        <w:rPr>
          <w:rFonts w:ascii="Century Gothic" w:hAnsi="Century Gothic"/>
          <w:i/>
          <w:iCs/>
        </w:rPr>
        <w:t>incurrido en permanencia irregular, previa la cancelación de la sanción</w:t>
      </w:r>
    </w:p>
    <w:p w14:paraId="62868B54" w14:textId="3FB89CC9" w:rsidR="00471E0C" w:rsidRPr="00471E0C" w:rsidRDefault="00471E0C" w:rsidP="00471E0C">
      <w:pPr>
        <w:ind w:left="284" w:right="424"/>
        <w:jc w:val="both"/>
        <w:rPr>
          <w:rFonts w:ascii="Century Gothic" w:hAnsi="Century Gothic"/>
          <w:i/>
          <w:iCs/>
        </w:rPr>
      </w:pPr>
      <w:r w:rsidRPr="00471E0C">
        <w:rPr>
          <w:rFonts w:ascii="Century Gothic" w:hAnsi="Century Gothic"/>
          <w:i/>
          <w:iCs/>
        </w:rPr>
        <w:t>a la que hubiere lugar. En el presente caso, el término de duración del Salvoconducto será de hasta por treinta (30) días calendario”.</w:t>
      </w:r>
    </w:p>
    <w:p w14:paraId="56A13362" w14:textId="77777777" w:rsidR="00471E0C" w:rsidRDefault="00471E0C" w:rsidP="00471E0C">
      <w:pPr>
        <w:spacing w:line="360" w:lineRule="auto"/>
        <w:jc w:val="both"/>
        <w:rPr>
          <w:rFonts w:ascii="Century Gothic" w:hAnsi="Century Gothic"/>
          <w:sz w:val="24"/>
          <w:szCs w:val="24"/>
        </w:rPr>
      </w:pPr>
    </w:p>
    <w:p w14:paraId="4C855FB5" w14:textId="0A845C18" w:rsidR="00E538C6" w:rsidRDefault="0040072E" w:rsidP="00471E0C">
      <w:pPr>
        <w:spacing w:line="360" w:lineRule="auto"/>
        <w:jc w:val="both"/>
        <w:rPr>
          <w:rFonts w:ascii="Century Gothic" w:hAnsi="Century Gothic"/>
          <w:sz w:val="24"/>
          <w:szCs w:val="24"/>
        </w:rPr>
      </w:pPr>
      <w:r>
        <w:rPr>
          <w:rFonts w:ascii="Century Gothic" w:hAnsi="Century Gothic"/>
          <w:sz w:val="24"/>
          <w:szCs w:val="24"/>
        </w:rPr>
        <w:t>23</w:t>
      </w:r>
      <w:r w:rsidR="00471E0C">
        <w:rPr>
          <w:rFonts w:ascii="Century Gothic" w:hAnsi="Century Gothic"/>
          <w:sz w:val="24"/>
          <w:szCs w:val="24"/>
        </w:rPr>
        <w:t xml:space="preserve">. Indicó lo expuesto por </w:t>
      </w:r>
      <w:r w:rsidR="005E36AD">
        <w:rPr>
          <w:rFonts w:ascii="Century Gothic" w:hAnsi="Century Gothic"/>
          <w:sz w:val="24"/>
          <w:szCs w:val="24"/>
        </w:rPr>
        <w:t xml:space="preserve">la </w:t>
      </w:r>
      <w:r w:rsidR="00471E0C" w:rsidRPr="00471E0C">
        <w:rPr>
          <w:rFonts w:ascii="Century Gothic" w:hAnsi="Century Gothic"/>
          <w:sz w:val="24"/>
          <w:szCs w:val="24"/>
        </w:rPr>
        <w:t xml:space="preserve">Corte Constitucional mediante Sentencia T314 de 2016, </w:t>
      </w:r>
      <w:r w:rsidR="005E36AD">
        <w:rPr>
          <w:rFonts w:ascii="Century Gothic" w:hAnsi="Century Gothic"/>
          <w:sz w:val="24"/>
          <w:szCs w:val="24"/>
        </w:rPr>
        <w:t xml:space="preserve">en los siguiente términos </w:t>
      </w:r>
      <w:r w:rsidR="00471E0C" w:rsidRPr="00471E0C">
        <w:rPr>
          <w:rFonts w:ascii="Century Gothic" w:hAnsi="Century Gothic"/>
          <w:i/>
          <w:iCs/>
          <w:sz w:val="24"/>
          <w:szCs w:val="24"/>
        </w:rPr>
        <w:t xml:space="preserve">“si un extranjero se encuentra con permanencia irregular en el territorio colombiano, no puede presentar el </w:t>
      </w:r>
      <w:r w:rsidR="00471E0C" w:rsidRPr="00471E0C">
        <w:rPr>
          <w:rFonts w:ascii="Century Gothic" w:hAnsi="Century Gothic"/>
          <w:i/>
          <w:iCs/>
          <w:sz w:val="24"/>
          <w:szCs w:val="24"/>
        </w:rPr>
        <w:lastRenderedPageBreak/>
        <w:t>pasaporte como documento de identificación válido para afiliarse al sistema, en la medida en que la ley consagra la obligación de regularizar su situación a través del salvoconducto de permanencia, el cual se admite como documento válido para su afiliación, sin que este sea el documento de identificación definitivo, que para cualquier caso es la cédula de extranjería.”</w:t>
      </w:r>
      <w:r w:rsidR="00471E0C" w:rsidRPr="00471E0C">
        <w:rPr>
          <w:rFonts w:ascii="Century Gothic" w:hAnsi="Century Gothic"/>
          <w:sz w:val="24"/>
          <w:szCs w:val="24"/>
        </w:rPr>
        <w:t xml:space="preserve"> </w:t>
      </w:r>
    </w:p>
    <w:p w14:paraId="6E7C1A34" w14:textId="2A0634B4" w:rsidR="00471E0C" w:rsidRDefault="00471E0C" w:rsidP="00471E0C">
      <w:pPr>
        <w:spacing w:line="360" w:lineRule="auto"/>
        <w:jc w:val="both"/>
        <w:rPr>
          <w:rFonts w:ascii="Century Gothic" w:hAnsi="Century Gothic"/>
          <w:sz w:val="24"/>
          <w:szCs w:val="24"/>
        </w:rPr>
      </w:pPr>
    </w:p>
    <w:p w14:paraId="283C98F9" w14:textId="7A6D98D5" w:rsidR="002451DE" w:rsidRPr="00471E0C" w:rsidRDefault="00471E0C" w:rsidP="002451DE">
      <w:pPr>
        <w:spacing w:line="360" w:lineRule="auto"/>
        <w:jc w:val="both"/>
        <w:rPr>
          <w:rFonts w:ascii="Century Gothic" w:hAnsi="Century Gothic"/>
          <w:sz w:val="24"/>
          <w:szCs w:val="24"/>
        </w:rPr>
      </w:pPr>
      <w:r>
        <w:rPr>
          <w:rFonts w:ascii="Century Gothic" w:hAnsi="Century Gothic"/>
          <w:sz w:val="24"/>
          <w:szCs w:val="24"/>
        </w:rPr>
        <w:t>2</w:t>
      </w:r>
      <w:r w:rsidR="0040072E">
        <w:rPr>
          <w:rFonts w:ascii="Century Gothic" w:hAnsi="Century Gothic"/>
          <w:sz w:val="24"/>
          <w:szCs w:val="24"/>
        </w:rPr>
        <w:t>4</w:t>
      </w:r>
      <w:r>
        <w:rPr>
          <w:rFonts w:ascii="Century Gothic" w:hAnsi="Century Gothic"/>
          <w:sz w:val="24"/>
          <w:szCs w:val="24"/>
        </w:rPr>
        <w:t>. Finalmente, indicó que e</w:t>
      </w:r>
      <w:r w:rsidRPr="00471E0C">
        <w:rPr>
          <w:rFonts w:ascii="Century Gothic" w:hAnsi="Century Gothic"/>
          <w:sz w:val="24"/>
          <w:szCs w:val="24"/>
        </w:rPr>
        <w:t>sta Unidad Administrativa Especial Mi</w:t>
      </w:r>
      <w:r w:rsidR="002D23B8">
        <w:rPr>
          <w:rFonts w:ascii="Century Gothic" w:hAnsi="Century Gothic"/>
          <w:sz w:val="24"/>
          <w:szCs w:val="24"/>
        </w:rPr>
        <w:t>gración Colombia no vulneró</w:t>
      </w:r>
      <w:r w:rsidRPr="00471E0C">
        <w:rPr>
          <w:rFonts w:ascii="Century Gothic" w:hAnsi="Century Gothic"/>
          <w:sz w:val="24"/>
          <w:szCs w:val="24"/>
        </w:rPr>
        <w:t xml:space="preserve"> ningún</w:t>
      </w:r>
      <w:r>
        <w:rPr>
          <w:rFonts w:ascii="Century Gothic" w:hAnsi="Century Gothic"/>
          <w:sz w:val="24"/>
          <w:szCs w:val="24"/>
        </w:rPr>
        <w:t xml:space="preserve"> </w:t>
      </w:r>
      <w:r w:rsidRPr="00471E0C">
        <w:rPr>
          <w:rFonts w:ascii="Century Gothic" w:hAnsi="Century Gothic"/>
          <w:sz w:val="24"/>
          <w:szCs w:val="24"/>
        </w:rPr>
        <w:t>derecho fundamental de la accionante y su</w:t>
      </w:r>
      <w:r w:rsidR="002D23B8">
        <w:rPr>
          <w:rFonts w:ascii="Century Gothic" w:hAnsi="Century Gothic"/>
          <w:sz w:val="24"/>
          <w:szCs w:val="24"/>
        </w:rPr>
        <w:t>s representados, pues</w:t>
      </w:r>
      <w:r w:rsidRPr="00471E0C">
        <w:rPr>
          <w:rFonts w:ascii="Century Gothic" w:hAnsi="Century Gothic"/>
          <w:sz w:val="24"/>
          <w:szCs w:val="24"/>
        </w:rPr>
        <w:t xml:space="preserve"> no es la</w:t>
      </w:r>
      <w:r>
        <w:rPr>
          <w:rFonts w:ascii="Century Gothic" w:hAnsi="Century Gothic"/>
          <w:sz w:val="24"/>
          <w:szCs w:val="24"/>
        </w:rPr>
        <w:t xml:space="preserve"> e</w:t>
      </w:r>
      <w:r w:rsidRPr="00471E0C">
        <w:rPr>
          <w:rFonts w:ascii="Century Gothic" w:hAnsi="Century Gothic"/>
          <w:sz w:val="24"/>
          <w:szCs w:val="24"/>
        </w:rPr>
        <w:t>ntidad encargada de prestar los servicios de salud.</w:t>
      </w:r>
    </w:p>
    <w:p w14:paraId="37C54C7E" w14:textId="77777777" w:rsidR="002451DE" w:rsidRDefault="002451DE" w:rsidP="002451DE">
      <w:pPr>
        <w:spacing w:line="360" w:lineRule="auto"/>
        <w:jc w:val="both"/>
        <w:rPr>
          <w:rFonts w:ascii="Century Gothic" w:eastAsia="Times New Roman" w:hAnsi="Century Gothic" w:cs="Arial"/>
          <w:b/>
          <w:sz w:val="24"/>
          <w:szCs w:val="24"/>
          <w:lang w:val="es-ES"/>
        </w:rPr>
      </w:pPr>
    </w:p>
    <w:p w14:paraId="271454EB" w14:textId="77777777" w:rsidR="002451DE" w:rsidRPr="00050C33" w:rsidRDefault="002451DE" w:rsidP="002451DE">
      <w:pPr>
        <w:spacing w:line="360"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 xml:space="preserve">4. Pruebas </w:t>
      </w:r>
    </w:p>
    <w:p w14:paraId="520A785D" w14:textId="77777777" w:rsidR="002451DE" w:rsidRPr="00050C33" w:rsidRDefault="002451DE" w:rsidP="002451DE">
      <w:pPr>
        <w:spacing w:line="360" w:lineRule="auto"/>
        <w:jc w:val="both"/>
        <w:rPr>
          <w:rFonts w:ascii="Century Gothic" w:eastAsia="Times New Roman" w:hAnsi="Century Gothic" w:cs="Arial"/>
          <w:b/>
          <w:sz w:val="24"/>
          <w:szCs w:val="24"/>
          <w:lang w:val="es-ES"/>
        </w:rPr>
      </w:pPr>
    </w:p>
    <w:p w14:paraId="571C73BF" w14:textId="77777777" w:rsidR="002D23B8" w:rsidRPr="002D23B8" w:rsidRDefault="00471E0C" w:rsidP="00471E0C">
      <w:pPr>
        <w:numPr>
          <w:ilvl w:val="0"/>
          <w:numId w:val="1"/>
        </w:num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eastAsia="es-ES_tradnl"/>
        </w:rPr>
        <w:t xml:space="preserve">Pasaporte venezolano de los menores </w:t>
      </w:r>
      <w:r>
        <w:rPr>
          <w:rFonts w:ascii="Century Gothic" w:hAnsi="Century Gothic"/>
          <w:sz w:val="24"/>
          <w:szCs w:val="24"/>
        </w:rPr>
        <w:t>Jesús Rafael</w:t>
      </w:r>
      <w:r w:rsidRPr="00E538C6">
        <w:rPr>
          <w:rFonts w:ascii="Century Gothic" w:hAnsi="Century Gothic"/>
          <w:sz w:val="24"/>
          <w:szCs w:val="24"/>
        </w:rPr>
        <w:t xml:space="preserve"> </w:t>
      </w:r>
      <w:r>
        <w:rPr>
          <w:rFonts w:ascii="Century Gothic" w:hAnsi="Century Gothic"/>
          <w:sz w:val="24"/>
          <w:szCs w:val="24"/>
        </w:rPr>
        <w:t>Tremaria</w:t>
      </w:r>
      <w:r w:rsidRPr="00E538C6">
        <w:rPr>
          <w:rFonts w:ascii="Century Gothic" w:hAnsi="Century Gothic"/>
          <w:sz w:val="24"/>
          <w:szCs w:val="24"/>
        </w:rPr>
        <w:t xml:space="preserve"> </w:t>
      </w:r>
      <w:r>
        <w:rPr>
          <w:rFonts w:ascii="Century Gothic" w:hAnsi="Century Gothic"/>
          <w:sz w:val="24"/>
          <w:szCs w:val="24"/>
        </w:rPr>
        <w:t>Luna</w:t>
      </w:r>
      <w:r w:rsidRPr="00E538C6">
        <w:rPr>
          <w:rFonts w:ascii="Century Gothic" w:hAnsi="Century Gothic"/>
          <w:sz w:val="24"/>
          <w:szCs w:val="24"/>
        </w:rPr>
        <w:t xml:space="preserve"> y </w:t>
      </w:r>
      <w:r>
        <w:rPr>
          <w:rFonts w:ascii="Century Gothic" w:hAnsi="Century Gothic"/>
          <w:sz w:val="24"/>
          <w:szCs w:val="24"/>
        </w:rPr>
        <w:t>Maibel</w:t>
      </w:r>
      <w:r w:rsidRPr="00E538C6">
        <w:rPr>
          <w:rFonts w:ascii="Century Gothic" w:hAnsi="Century Gothic"/>
          <w:sz w:val="24"/>
          <w:szCs w:val="24"/>
        </w:rPr>
        <w:t xml:space="preserve"> </w:t>
      </w:r>
      <w:r>
        <w:rPr>
          <w:rFonts w:ascii="Century Gothic" w:hAnsi="Century Gothic"/>
          <w:sz w:val="24"/>
          <w:szCs w:val="24"/>
        </w:rPr>
        <w:t>Alejandra</w:t>
      </w:r>
      <w:r w:rsidRPr="00E538C6">
        <w:rPr>
          <w:rFonts w:ascii="Century Gothic" w:hAnsi="Century Gothic"/>
          <w:sz w:val="24"/>
          <w:szCs w:val="24"/>
        </w:rPr>
        <w:t xml:space="preserve"> </w:t>
      </w:r>
      <w:r>
        <w:rPr>
          <w:rFonts w:ascii="Century Gothic" w:hAnsi="Century Gothic"/>
          <w:sz w:val="24"/>
          <w:szCs w:val="24"/>
        </w:rPr>
        <w:t>Carrion.</w:t>
      </w:r>
    </w:p>
    <w:p w14:paraId="3AF07F0E" w14:textId="79915115" w:rsidR="002451DE" w:rsidRPr="00471E0C" w:rsidRDefault="00471E0C" w:rsidP="002D23B8">
      <w:pPr>
        <w:spacing w:line="360" w:lineRule="auto"/>
        <w:ind w:left="360"/>
        <w:jc w:val="both"/>
        <w:rPr>
          <w:rFonts w:ascii="Century Gothic" w:eastAsia="Times New Roman" w:hAnsi="Century Gothic" w:cs="Arial"/>
          <w:sz w:val="24"/>
          <w:szCs w:val="24"/>
          <w:lang w:val="es-ES"/>
        </w:rPr>
      </w:pPr>
      <w:r>
        <w:rPr>
          <w:rFonts w:ascii="Century Gothic" w:hAnsi="Century Gothic"/>
          <w:sz w:val="24"/>
          <w:szCs w:val="24"/>
        </w:rPr>
        <w:t xml:space="preserve"> </w:t>
      </w:r>
    </w:p>
    <w:p w14:paraId="13B44797" w14:textId="10FB8B51" w:rsidR="00471E0C" w:rsidRPr="002D23B8" w:rsidRDefault="00471E0C" w:rsidP="002D23B8">
      <w:pPr>
        <w:numPr>
          <w:ilvl w:val="0"/>
          <w:numId w:val="1"/>
        </w:numPr>
        <w:spacing w:line="360" w:lineRule="auto"/>
        <w:jc w:val="both"/>
        <w:rPr>
          <w:rFonts w:ascii="Century Gothic" w:eastAsia="Times New Roman" w:hAnsi="Century Gothic" w:cs="Arial"/>
          <w:sz w:val="24"/>
          <w:szCs w:val="24"/>
          <w:lang w:val="es-ES"/>
        </w:rPr>
      </w:pPr>
      <w:r>
        <w:rPr>
          <w:rFonts w:ascii="Century Gothic" w:hAnsi="Century Gothic"/>
          <w:sz w:val="24"/>
          <w:szCs w:val="24"/>
        </w:rPr>
        <w:t xml:space="preserve">Certificado del Permiso Especial de Permanencia de Mayra Alejandra Luna Ramírez. </w:t>
      </w:r>
    </w:p>
    <w:p w14:paraId="7E73DDE2" w14:textId="77777777" w:rsidR="002D23B8" w:rsidRDefault="002D23B8" w:rsidP="002D23B8">
      <w:pPr>
        <w:pStyle w:val="Prrafodelista"/>
        <w:rPr>
          <w:rFonts w:ascii="Century Gothic" w:eastAsia="Times New Roman" w:hAnsi="Century Gothic" w:cs="Arial"/>
          <w:sz w:val="24"/>
          <w:szCs w:val="24"/>
          <w:lang w:val="es-ES"/>
        </w:rPr>
      </w:pPr>
    </w:p>
    <w:p w14:paraId="56E085A5" w14:textId="77777777" w:rsidR="002D23B8" w:rsidRPr="002D23B8" w:rsidRDefault="002D23B8" w:rsidP="002D23B8">
      <w:pPr>
        <w:spacing w:line="360" w:lineRule="auto"/>
        <w:ind w:left="360"/>
        <w:jc w:val="both"/>
        <w:rPr>
          <w:rFonts w:ascii="Century Gothic" w:eastAsia="Times New Roman" w:hAnsi="Century Gothic" w:cs="Arial"/>
          <w:sz w:val="24"/>
          <w:szCs w:val="24"/>
          <w:lang w:val="es-ES"/>
        </w:rPr>
      </w:pPr>
    </w:p>
    <w:p w14:paraId="37470571" w14:textId="77777777" w:rsidR="002451DE" w:rsidRPr="00050C33" w:rsidRDefault="002451DE" w:rsidP="002451DE">
      <w:pPr>
        <w:spacing w:line="360" w:lineRule="auto"/>
        <w:jc w:val="center"/>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II. CONSIDERACIONES</w:t>
      </w:r>
    </w:p>
    <w:p w14:paraId="3AA89339" w14:textId="77777777" w:rsidR="002451DE" w:rsidRPr="00050C33" w:rsidRDefault="002451DE" w:rsidP="002451DE">
      <w:pPr>
        <w:spacing w:line="360" w:lineRule="auto"/>
        <w:jc w:val="both"/>
        <w:rPr>
          <w:rFonts w:ascii="Century Gothic" w:eastAsia="Times New Roman" w:hAnsi="Century Gothic" w:cs="Arial"/>
          <w:b/>
          <w:sz w:val="24"/>
          <w:szCs w:val="24"/>
          <w:lang w:val="es-ES"/>
        </w:rPr>
      </w:pPr>
    </w:p>
    <w:p w14:paraId="7024BD02" w14:textId="77777777" w:rsidR="002451DE" w:rsidRPr="00050C33" w:rsidRDefault="002451DE" w:rsidP="002451DE">
      <w:pPr>
        <w:spacing w:line="360"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 xml:space="preserve">5. Competencia </w:t>
      </w:r>
    </w:p>
    <w:p w14:paraId="4C73E49F" w14:textId="77777777" w:rsidR="002451DE" w:rsidRPr="00050C33" w:rsidRDefault="002451DE" w:rsidP="002451DE">
      <w:pPr>
        <w:spacing w:line="360" w:lineRule="auto"/>
        <w:jc w:val="both"/>
        <w:rPr>
          <w:rFonts w:ascii="Century Gothic" w:eastAsia="Times New Roman" w:hAnsi="Century Gothic" w:cs="Arial"/>
          <w:b/>
          <w:sz w:val="24"/>
          <w:szCs w:val="24"/>
          <w:lang w:val="es-ES"/>
        </w:rPr>
      </w:pPr>
    </w:p>
    <w:p w14:paraId="15167B03" w14:textId="13E33C2D" w:rsidR="002451DE" w:rsidRPr="00050C33" w:rsidRDefault="0040072E" w:rsidP="002451DE">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25</w:t>
      </w:r>
      <w:r w:rsidR="002451DE" w:rsidRPr="00050C33">
        <w:rPr>
          <w:rFonts w:ascii="Century Gothic" w:eastAsia="Times New Roman" w:hAnsi="Century Gothic" w:cs="Arial"/>
          <w:sz w:val="24"/>
          <w:szCs w:val="24"/>
          <w:lang w:val="es-ES"/>
        </w:rPr>
        <w:t xml:space="preserve">. Este despacho es competente para decidir frente a las acciones de tutela presentadas por los ciudadanos, de conformidad con lo establecido en el artículo </w:t>
      </w:r>
      <w:proofErr w:type="gramStart"/>
      <w:r w:rsidR="002451DE" w:rsidRPr="00050C33">
        <w:rPr>
          <w:rFonts w:ascii="Century Gothic" w:eastAsia="Times New Roman" w:hAnsi="Century Gothic" w:cs="Arial"/>
          <w:sz w:val="24"/>
          <w:szCs w:val="24"/>
          <w:lang w:val="es-ES"/>
        </w:rPr>
        <w:t>86  de</w:t>
      </w:r>
      <w:proofErr w:type="gramEnd"/>
      <w:r w:rsidR="002451DE" w:rsidRPr="00050C33">
        <w:rPr>
          <w:rFonts w:ascii="Century Gothic" w:eastAsia="Times New Roman" w:hAnsi="Century Gothic" w:cs="Arial"/>
          <w:sz w:val="24"/>
          <w:szCs w:val="24"/>
          <w:lang w:val="es-ES"/>
        </w:rPr>
        <w:t xml:space="preserve"> la Constitución Política y el artículo 15 del Decreto 2591 de 1991; así como las demás disposiciones pertinentes.</w:t>
      </w:r>
    </w:p>
    <w:p w14:paraId="1A79CE00" w14:textId="77777777" w:rsidR="002451DE" w:rsidRDefault="002451DE" w:rsidP="002451DE">
      <w:pPr>
        <w:spacing w:line="360" w:lineRule="auto"/>
        <w:jc w:val="both"/>
        <w:rPr>
          <w:rFonts w:ascii="Century Gothic" w:eastAsia="Times New Roman" w:hAnsi="Century Gothic" w:cs="Arial"/>
          <w:sz w:val="24"/>
          <w:szCs w:val="24"/>
          <w:lang w:val="es-ES"/>
        </w:rPr>
      </w:pPr>
    </w:p>
    <w:p w14:paraId="3E142A3A" w14:textId="77777777" w:rsidR="002D23B8" w:rsidRPr="00050C33" w:rsidRDefault="002D23B8" w:rsidP="002451DE">
      <w:pPr>
        <w:spacing w:line="360" w:lineRule="auto"/>
        <w:jc w:val="both"/>
        <w:rPr>
          <w:rFonts w:ascii="Century Gothic" w:eastAsia="Times New Roman" w:hAnsi="Century Gothic" w:cs="Arial"/>
          <w:sz w:val="24"/>
          <w:szCs w:val="24"/>
          <w:lang w:val="es-ES"/>
        </w:rPr>
      </w:pPr>
    </w:p>
    <w:p w14:paraId="4DE09A69" w14:textId="77777777" w:rsidR="002451DE" w:rsidRPr="00050C33" w:rsidRDefault="002451DE" w:rsidP="002451DE">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b/>
          <w:sz w:val="24"/>
          <w:szCs w:val="24"/>
          <w:lang w:val="es-ES"/>
        </w:rPr>
        <w:lastRenderedPageBreak/>
        <w:t>6. Asunto a resolver</w:t>
      </w:r>
    </w:p>
    <w:p w14:paraId="3C9081C4" w14:textId="77777777" w:rsidR="002451DE" w:rsidRPr="00050C33" w:rsidRDefault="002451DE" w:rsidP="002451DE">
      <w:pPr>
        <w:spacing w:line="360" w:lineRule="auto"/>
        <w:jc w:val="both"/>
        <w:rPr>
          <w:rFonts w:ascii="Century Gothic" w:eastAsia="Times New Roman" w:hAnsi="Century Gothic" w:cs="Arial"/>
          <w:sz w:val="24"/>
          <w:szCs w:val="24"/>
          <w:lang w:val="es-ES"/>
        </w:rPr>
      </w:pPr>
    </w:p>
    <w:p w14:paraId="5708BA96" w14:textId="79ACEE54" w:rsidR="007D29F8" w:rsidRDefault="0040072E" w:rsidP="002451DE">
      <w:pPr>
        <w:spacing w:line="360" w:lineRule="auto"/>
        <w:jc w:val="both"/>
        <w:rPr>
          <w:rFonts w:ascii="Century Gothic" w:eastAsia="Times New Roman" w:hAnsi="Century Gothic" w:cs="Arial"/>
          <w:color w:val="000000" w:themeColor="text1"/>
          <w:sz w:val="24"/>
          <w:szCs w:val="24"/>
          <w:lang w:val="es-ES"/>
        </w:rPr>
      </w:pPr>
      <w:r>
        <w:rPr>
          <w:rFonts w:ascii="Century Gothic" w:eastAsia="Times New Roman" w:hAnsi="Century Gothic" w:cs="Arial"/>
          <w:color w:val="000000" w:themeColor="text1"/>
          <w:sz w:val="24"/>
          <w:szCs w:val="24"/>
          <w:lang w:val="es-ES"/>
        </w:rPr>
        <w:t>26</w:t>
      </w:r>
      <w:r w:rsidR="002451DE" w:rsidRPr="00050C33">
        <w:rPr>
          <w:rFonts w:ascii="Century Gothic" w:eastAsia="Times New Roman" w:hAnsi="Century Gothic" w:cs="Arial"/>
          <w:color w:val="000000" w:themeColor="text1"/>
          <w:sz w:val="24"/>
          <w:szCs w:val="24"/>
          <w:lang w:val="es-ES"/>
        </w:rPr>
        <w:t xml:space="preserve">. Corresponde establecer (i) si la tutela es el mecanismo pertinente para resolver la </w:t>
      </w:r>
      <w:r w:rsidR="007D29F8">
        <w:rPr>
          <w:rFonts w:ascii="Century Gothic" w:eastAsia="Times New Roman" w:hAnsi="Century Gothic" w:cs="Arial"/>
          <w:color w:val="000000" w:themeColor="text1"/>
          <w:sz w:val="24"/>
          <w:szCs w:val="24"/>
          <w:lang w:val="es-ES"/>
        </w:rPr>
        <w:t>petición de un Permiso Especial de Permanencia</w:t>
      </w:r>
      <w:r w:rsidR="002451DE" w:rsidRPr="00050C33">
        <w:rPr>
          <w:rFonts w:ascii="Century Gothic" w:eastAsia="Times New Roman" w:hAnsi="Century Gothic" w:cs="Arial"/>
          <w:color w:val="000000" w:themeColor="text1"/>
          <w:sz w:val="24"/>
          <w:szCs w:val="24"/>
          <w:lang w:val="es-ES"/>
        </w:rPr>
        <w:t xml:space="preserve"> que pretende la accionante, y de serlo, </w:t>
      </w:r>
      <w:r w:rsidR="002451DE">
        <w:rPr>
          <w:rFonts w:ascii="Century Gothic" w:eastAsia="Times New Roman" w:hAnsi="Century Gothic" w:cs="Arial"/>
          <w:color w:val="000000" w:themeColor="text1"/>
          <w:sz w:val="24"/>
          <w:szCs w:val="24"/>
          <w:lang w:val="es-ES"/>
        </w:rPr>
        <w:t>(</w:t>
      </w:r>
      <w:r w:rsidR="002451DE" w:rsidRPr="00050C33">
        <w:rPr>
          <w:rFonts w:ascii="Century Gothic" w:eastAsia="Times New Roman" w:hAnsi="Century Gothic" w:cs="Arial"/>
          <w:color w:val="000000" w:themeColor="text1"/>
          <w:sz w:val="24"/>
          <w:szCs w:val="24"/>
          <w:lang w:val="es-ES"/>
        </w:rPr>
        <w:t xml:space="preserve">ii) determinar si la Unidad </w:t>
      </w:r>
      <w:r w:rsidR="007D29F8">
        <w:rPr>
          <w:rFonts w:ascii="Century Gothic" w:eastAsia="Times New Roman" w:hAnsi="Century Gothic" w:cs="Arial"/>
          <w:color w:val="000000" w:themeColor="text1"/>
          <w:sz w:val="24"/>
          <w:szCs w:val="24"/>
          <w:lang w:val="es-ES"/>
        </w:rPr>
        <w:t>Administrativa Especial de Migración Colombia y el Ministerio de Relaciones Exteriores</w:t>
      </w:r>
      <w:r w:rsidR="002451DE" w:rsidRPr="00050C33">
        <w:rPr>
          <w:rFonts w:ascii="Century Gothic" w:eastAsia="Times New Roman" w:hAnsi="Century Gothic" w:cs="Arial"/>
          <w:color w:val="000000" w:themeColor="text1"/>
          <w:sz w:val="24"/>
          <w:szCs w:val="24"/>
          <w:lang w:val="es-ES"/>
        </w:rPr>
        <w:t xml:space="preserve">, vulneraron los derechos a los que alude la señora </w:t>
      </w:r>
      <w:r w:rsidR="007D29F8">
        <w:rPr>
          <w:rFonts w:ascii="Century Gothic" w:eastAsia="Times New Roman" w:hAnsi="Century Gothic" w:cs="Arial"/>
          <w:color w:val="000000" w:themeColor="text1"/>
          <w:sz w:val="24"/>
          <w:szCs w:val="24"/>
          <w:lang w:val="es-ES"/>
        </w:rPr>
        <w:t>Mayra Alejandra Luna Ramírez</w:t>
      </w:r>
      <w:r w:rsidR="002451DE" w:rsidRPr="00050C33">
        <w:rPr>
          <w:rFonts w:ascii="Century Gothic" w:eastAsia="Times New Roman" w:hAnsi="Century Gothic" w:cs="Arial"/>
          <w:color w:val="000000" w:themeColor="text1"/>
          <w:sz w:val="24"/>
          <w:szCs w:val="24"/>
          <w:lang w:val="es-ES"/>
        </w:rPr>
        <w:t xml:space="preserve">, al no </w:t>
      </w:r>
      <w:r w:rsidR="007D29F8">
        <w:rPr>
          <w:rFonts w:ascii="Century Gothic" w:eastAsia="Times New Roman" w:hAnsi="Century Gothic" w:cs="Arial"/>
          <w:color w:val="000000" w:themeColor="text1"/>
          <w:sz w:val="24"/>
          <w:szCs w:val="24"/>
          <w:lang w:val="es-ES"/>
        </w:rPr>
        <w:t>otorgar el Permiso Especial de Permanencia a sus hijos menores</w:t>
      </w:r>
      <w:r w:rsidR="002451DE" w:rsidRPr="00050C33">
        <w:rPr>
          <w:rFonts w:ascii="Century Gothic" w:eastAsia="Times New Roman" w:hAnsi="Century Gothic" w:cs="Arial"/>
          <w:color w:val="000000" w:themeColor="text1"/>
          <w:sz w:val="24"/>
          <w:szCs w:val="24"/>
          <w:lang w:val="es-ES"/>
        </w:rPr>
        <w:t>.</w:t>
      </w:r>
    </w:p>
    <w:p w14:paraId="0ECF0AF5" w14:textId="279D4264" w:rsidR="002451DE" w:rsidRPr="003F2F75" w:rsidRDefault="002451DE" w:rsidP="002451DE">
      <w:pPr>
        <w:spacing w:line="360" w:lineRule="auto"/>
        <w:jc w:val="both"/>
        <w:rPr>
          <w:rFonts w:ascii="Century Gothic" w:eastAsia="Times New Roman" w:hAnsi="Century Gothic" w:cs="Arial"/>
          <w:color w:val="000000" w:themeColor="text1"/>
          <w:sz w:val="24"/>
          <w:szCs w:val="24"/>
          <w:lang w:val="es-ES"/>
        </w:rPr>
      </w:pPr>
      <w:r w:rsidRPr="00050C33">
        <w:rPr>
          <w:rFonts w:ascii="Century Gothic" w:eastAsia="Times New Roman" w:hAnsi="Century Gothic" w:cs="Arial"/>
          <w:color w:val="000000" w:themeColor="text1"/>
          <w:sz w:val="24"/>
          <w:szCs w:val="24"/>
          <w:lang w:val="es-ES"/>
        </w:rPr>
        <w:t xml:space="preserve">  </w:t>
      </w:r>
    </w:p>
    <w:p w14:paraId="37E408CF" w14:textId="77777777" w:rsidR="002451DE" w:rsidRPr="00050C33" w:rsidRDefault="002451DE" w:rsidP="002451DE">
      <w:pPr>
        <w:spacing w:line="360"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7. Examen de procedencia de la acción de tutela</w:t>
      </w:r>
    </w:p>
    <w:p w14:paraId="4232C2B1" w14:textId="77777777" w:rsidR="002451DE" w:rsidRPr="00050C33" w:rsidRDefault="002451DE" w:rsidP="002451DE">
      <w:pPr>
        <w:spacing w:line="360" w:lineRule="auto"/>
        <w:jc w:val="both"/>
        <w:rPr>
          <w:rFonts w:ascii="Century Gothic" w:eastAsia="Times New Roman" w:hAnsi="Century Gothic" w:cs="Arial"/>
          <w:b/>
          <w:sz w:val="24"/>
          <w:szCs w:val="24"/>
          <w:lang w:val="es-ES"/>
        </w:rPr>
      </w:pPr>
    </w:p>
    <w:p w14:paraId="3063E3CF" w14:textId="77777777" w:rsidR="002451DE" w:rsidRPr="00050C33" w:rsidRDefault="002451DE" w:rsidP="002451DE">
      <w:pPr>
        <w:spacing w:line="360"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7.1. Legitimación en la causa por activa</w:t>
      </w:r>
    </w:p>
    <w:p w14:paraId="03273812" w14:textId="77777777" w:rsidR="002451DE" w:rsidRPr="00050C33" w:rsidRDefault="002451DE" w:rsidP="002451DE">
      <w:pPr>
        <w:spacing w:line="360" w:lineRule="auto"/>
        <w:jc w:val="both"/>
        <w:rPr>
          <w:rFonts w:ascii="Century Gothic" w:eastAsia="Times New Roman" w:hAnsi="Century Gothic" w:cs="Arial"/>
          <w:b/>
          <w:sz w:val="24"/>
          <w:szCs w:val="24"/>
          <w:lang w:val="es-ES"/>
        </w:rPr>
      </w:pPr>
    </w:p>
    <w:p w14:paraId="129EC30A" w14:textId="0562EA1C" w:rsidR="002451DE" w:rsidRPr="00050C33" w:rsidRDefault="0040072E" w:rsidP="002451DE">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27</w:t>
      </w:r>
      <w:r w:rsidR="002451DE" w:rsidRPr="00050C33">
        <w:rPr>
          <w:rFonts w:ascii="Century Gothic" w:eastAsia="Times New Roman" w:hAnsi="Century Gothic" w:cs="Arial"/>
          <w:sz w:val="24"/>
          <w:szCs w:val="24"/>
          <w:lang w:val="es-ES"/>
        </w:rPr>
        <w:t xml:space="preserve">. El artículo 86 de la Constitución establece que cualquier persona podrá presentar acción de tutela ante los jueces para procurar la protección inmediata de sus derechos constitucionales fundamentales, cuando estos resulten vulnerados o amenazados por la acción u omisión de cualquier </w:t>
      </w:r>
      <w:proofErr w:type="gramStart"/>
      <w:r w:rsidR="002451DE" w:rsidRPr="00050C33">
        <w:rPr>
          <w:rFonts w:ascii="Century Gothic" w:eastAsia="Times New Roman" w:hAnsi="Century Gothic" w:cs="Arial"/>
          <w:sz w:val="24"/>
          <w:szCs w:val="24"/>
          <w:lang w:val="es-ES"/>
        </w:rPr>
        <w:t>autoridad pública</w:t>
      </w:r>
      <w:proofErr w:type="gramEnd"/>
      <w:r w:rsidR="002451DE" w:rsidRPr="00050C33">
        <w:rPr>
          <w:rFonts w:ascii="Century Gothic" w:eastAsia="Times New Roman" w:hAnsi="Century Gothic" w:cs="Arial"/>
          <w:sz w:val="24"/>
          <w:szCs w:val="24"/>
          <w:lang w:val="es-ES"/>
        </w:rPr>
        <w:t xml:space="preserve"> o particular.</w:t>
      </w:r>
    </w:p>
    <w:p w14:paraId="6FAD0876" w14:textId="77777777" w:rsidR="002451DE" w:rsidRPr="00050C33" w:rsidRDefault="002451DE" w:rsidP="002451DE">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5C2A7FB1" w14:textId="4AD2100B" w:rsidR="002451DE" w:rsidRPr="00050C33" w:rsidRDefault="0040072E" w:rsidP="002451DE">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28</w:t>
      </w:r>
      <w:r w:rsidR="002451DE" w:rsidRPr="00050C33">
        <w:rPr>
          <w:rFonts w:ascii="Century Gothic" w:eastAsia="Times New Roman" w:hAnsi="Century Gothic" w:cs="Arial"/>
          <w:sz w:val="24"/>
          <w:szCs w:val="24"/>
          <w:lang w:val="es-ES"/>
        </w:rPr>
        <w:t xml:space="preserve">. En esta oportunidad, la señora </w:t>
      </w:r>
      <w:r w:rsidR="007D29F8">
        <w:rPr>
          <w:rFonts w:ascii="Century Gothic" w:eastAsia="Times New Roman" w:hAnsi="Century Gothic" w:cs="Arial"/>
          <w:sz w:val="24"/>
          <w:szCs w:val="24"/>
          <w:lang w:val="es-ES"/>
        </w:rPr>
        <w:t>Mayra Alejandra Luna Ramírez</w:t>
      </w:r>
      <w:r w:rsidR="002451DE" w:rsidRPr="00050C33">
        <w:rPr>
          <w:rFonts w:ascii="Century Gothic" w:eastAsia="Times New Roman" w:hAnsi="Century Gothic" w:cs="Arial"/>
          <w:sz w:val="24"/>
          <w:szCs w:val="24"/>
          <w:lang w:val="es-ES"/>
        </w:rPr>
        <w:t xml:space="preserve"> se encuentra legitimada en la causa por activa en tanto que es mayor de edad, actúa </w:t>
      </w:r>
      <w:r w:rsidR="007D29F8">
        <w:rPr>
          <w:rFonts w:ascii="Century Gothic" w:eastAsia="Times New Roman" w:hAnsi="Century Gothic" w:cs="Arial"/>
          <w:sz w:val="24"/>
          <w:szCs w:val="24"/>
          <w:lang w:val="es-ES"/>
        </w:rPr>
        <w:t xml:space="preserve">en nombre propio </w:t>
      </w:r>
      <w:r w:rsidR="002451DE" w:rsidRPr="00050C33">
        <w:rPr>
          <w:rFonts w:ascii="Century Gothic" w:eastAsia="Times New Roman" w:hAnsi="Century Gothic" w:cs="Arial"/>
          <w:sz w:val="24"/>
          <w:szCs w:val="24"/>
          <w:lang w:val="es-ES"/>
        </w:rPr>
        <w:t>y acusa la presunta vulneración de sus derechos fundamentales a</w:t>
      </w:r>
      <w:r w:rsidR="007D29F8">
        <w:rPr>
          <w:rFonts w:ascii="Century Gothic" w:eastAsia="Times New Roman" w:hAnsi="Century Gothic" w:cs="Arial"/>
          <w:sz w:val="24"/>
          <w:szCs w:val="24"/>
          <w:lang w:val="es-ES"/>
        </w:rPr>
        <w:t xml:space="preserve"> la salud y la unidad familiar</w:t>
      </w:r>
      <w:r w:rsidR="002451DE" w:rsidRPr="00050C33">
        <w:rPr>
          <w:rFonts w:ascii="Century Gothic" w:eastAsia="Times New Roman" w:hAnsi="Century Gothic" w:cs="Arial"/>
          <w:sz w:val="24"/>
          <w:szCs w:val="24"/>
          <w:lang w:val="es-ES"/>
        </w:rPr>
        <w:t xml:space="preserve">. </w:t>
      </w:r>
    </w:p>
    <w:p w14:paraId="657187A2" w14:textId="77777777" w:rsidR="002451DE" w:rsidRPr="00050C33" w:rsidRDefault="002451DE" w:rsidP="002451DE">
      <w:pPr>
        <w:spacing w:line="360" w:lineRule="auto"/>
        <w:jc w:val="both"/>
        <w:rPr>
          <w:rFonts w:ascii="Century Gothic" w:eastAsia="Times New Roman" w:hAnsi="Century Gothic" w:cs="Arial"/>
          <w:b/>
          <w:sz w:val="24"/>
          <w:szCs w:val="24"/>
          <w:lang w:val="es-ES"/>
        </w:rPr>
      </w:pPr>
    </w:p>
    <w:p w14:paraId="4F6D45FD" w14:textId="77777777" w:rsidR="002451DE" w:rsidRPr="00050C33" w:rsidRDefault="002451DE" w:rsidP="002451DE">
      <w:pPr>
        <w:spacing w:line="360" w:lineRule="auto"/>
        <w:jc w:val="both"/>
        <w:rPr>
          <w:rFonts w:ascii="Century Gothic" w:eastAsia="Times New Roman" w:hAnsi="Century Gothic" w:cs="Arial"/>
          <w:b/>
          <w:bCs/>
          <w:sz w:val="24"/>
          <w:szCs w:val="24"/>
          <w:lang w:val="es-ES"/>
        </w:rPr>
      </w:pPr>
      <w:r w:rsidRPr="00050C33">
        <w:rPr>
          <w:rFonts w:ascii="Century Gothic" w:eastAsia="Times New Roman" w:hAnsi="Century Gothic" w:cs="Arial"/>
          <w:b/>
          <w:bCs/>
          <w:sz w:val="24"/>
          <w:szCs w:val="24"/>
          <w:lang w:val="es-ES"/>
        </w:rPr>
        <w:t>7.2. Legitimación en la causa por pasiva</w:t>
      </w:r>
    </w:p>
    <w:p w14:paraId="2E22E995" w14:textId="77777777" w:rsidR="002451DE" w:rsidRPr="00050C33" w:rsidRDefault="002451DE" w:rsidP="002451DE">
      <w:pPr>
        <w:spacing w:line="360" w:lineRule="auto"/>
        <w:jc w:val="both"/>
        <w:rPr>
          <w:rFonts w:ascii="Century Gothic" w:eastAsia="Times New Roman" w:hAnsi="Century Gothic" w:cs="Arial"/>
          <w:sz w:val="24"/>
          <w:szCs w:val="24"/>
          <w:lang w:val="es-ES"/>
        </w:rPr>
      </w:pPr>
    </w:p>
    <w:p w14:paraId="0C67B779" w14:textId="5C73C61E" w:rsidR="002451DE" w:rsidRPr="00050C33" w:rsidRDefault="0040072E" w:rsidP="002451DE">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29</w:t>
      </w:r>
      <w:r w:rsidR="002451DE" w:rsidRPr="00050C33">
        <w:rPr>
          <w:rFonts w:ascii="Century Gothic" w:eastAsia="Times New Roman" w:hAnsi="Century Gothic" w:cs="Arial"/>
          <w:sz w:val="24"/>
          <w:szCs w:val="24"/>
          <w:lang w:val="es-ES"/>
        </w:rPr>
        <w:t xml:space="preserve">. La legitimación en la causa por pasiva hace referencia a la capacidad legal de quien es el destinatario de la acción de tutela para ser demandado, pues está llamado a responder por la vulneración o amenaza del derecho fundamental invocado una vez se acredite la </w:t>
      </w:r>
      <w:r w:rsidR="002451DE" w:rsidRPr="00050C33">
        <w:rPr>
          <w:rFonts w:ascii="Century Gothic" w:eastAsia="Times New Roman" w:hAnsi="Century Gothic" w:cs="Arial"/>
          <w:sz w:val="24"/>
          <w:szCs w:val="24"/>
          <w:lang w:val="es-ES"/>
        </w:rPr>
        <w:lastRenderedPageBreak/>
        <w:t xml:space="preserve">misma en el proceso. Conforme a los artículos 86 de la Constitución y 5º del Decreto 2591 de 1991, la acción de tutela procede contra toda acción u omisión de una </w:t>
      </w:r>
      <w:proofErr w:type="gramStart"/>
      <w:r w:rsidR="002451DE" w:rsidRPr="00050C33">
        <w:rPr>
          <w:rFonts w:ascii="Century Gothic" w:eastAsia="Times New Roman" w:hAnsi="Century Gothic" w:cs="Arial"/>
          <w:sz w:val="24"/>
          <w:szCs w:val="24"/>
          <w:lang w:val="es-ES"/>
        </w:rPr>
        <w:t>autoridad pública</w:t>
      </w:r>
      <w:proofErr w:type="gramEnd"/>
      <w:r w:rsidR="002451DE" w:rsidRPr="00050C33">
        <w:rPr>
          <w:rFonts w:ascii="Century Gothic" w:eastAsia="Times New Roman" w:hAnsi="Century Gothic" w:cs="Arial"/>
          <w:sz w:val="24"/>
          <w:szCs w:val="24"/>
          <w:lang w:val="es-ES"/>
        </w:rPr>
        <w:t xml:space="preserve"> que haya violado, viole o amenace un derecho fundamental. </w:t>
      </w:r>
    </w:p>
    <w:p w14:paraId="01F6553B" w14:textId="77777777" w:rsidR="002451DE" w:rsidRPr="00050C33" w:rsidRDefault="002451DE" w:rsidP="002451DE">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62307BB8" w14:textId="50357454" w:rsidR="002451DE" w:rsidRDefault="0040072E" w:rsidP="002451DE">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30</w:t>
      </w:r>
      <w:r w:rsidR="002451DE" w:rsidRPr="00050C33">
        <w:rPr>
          <w:rFonts w:ascii="Century Gothic" w:eastAsia="Times New Roman" w:hAnsi="Century Gothic" w:cs="Arial"/>
          <w:sz w:val="24"/>
          <w:szCs w:val="24"/>
          <w:lang w:val="es-ES"/>
        </w:rPr>
        <w:t xml:space="preserve">. En el presente asunto la acción está dirigida contra la </w:t>
      </w:r>
      <w:r w:rsidR="007D29F8">
        <w:rPr>
          <w:rFonts w:ascii="Century Gothic" w:eastAsia="Times New Roman" w:hAnsi="Century Gothic" w:cs="Arial"/>
          <w:sz w:val="24"/>
          <w:szCs w:val="24"/>
          <w:lang w:val="es-ES"/>
        </w:rPr>
        <w:t>Unidad Administrativa Especial Migración Colombia y el Ministerio de Relaciones Exteriores</w:t>
      </w:r>
      <w:r w:rsidR="002451DE" w:rsidRPr="00050C33">
        <w:rPr>
          <w:rFonts w:ascii="Century Gothic" w:eastAsia="Times New Roman" w:hAnsi="Century Gothic" w:cs="Arial"/>
          <w:sz w:val="24"/>
          <w:szCs w:val="24"/>
          <w:lang w:val="es-ES"/>
        </w:rPr>
        <w:t>, por lo que se encuentra acreditado el requisito de legitimación en la causa por pasiva.</w:t>
      </w:r>
    </w:p>
    <w:p w14:paraId="28119FDB" w14:textId="77777777" w:rsidR="007D29F8" w:rsidRPr="00050C33" w:rsidRDefault="007D29F8" w:rsidP="002451DE">
      <w:pPr>
        <w:spacing w:line="360" w:lineRule="auto"/>
        <w:jc w:val="both"/>
        <w:rPr>
          <w:rFonts w:ascii="Century Gothic" w:eastAsia="Times New Roman" w:hAnsi="Century Gothic" w:cs="Arial"/>
          <w:sz w:val="24"/>
          <w:szCs w:val="24"/>
          <w:lang w:val="es-ES"/>
        </w:rPr>
      </w:pPr>
    </w:p>
    <w:p w14:paraId="79072007" w14:textId="77777777" w:rsidR="002451DE" w:rsidRPr="00050C33" w:rsidRDefault="002451DE" w:rsidP="002451DE">
      <w:pPr>
        <w:spacing w:line="360" w:lineRule="auto"/>
        <w:jc w:val="both"/>
        <w:rPr>
          <w:rFonts w:ascii="Century Gothic" w:eastAsia="Times New Roman" w:hAnsi="Century Gothic" w:cs="Arial"/>
          <w:b/>
          <w:bCs/>
          <w:sz w:val="24"/>
          <w:szCs w:val="24"/>
          <w:lang w:val="es-ES"/>
        </w:rPr>
      </w:pPr>
      <w:r w:rsidRPr="00050C33">
        <w:rPr>
          <w:rFonts w:ascii="Century Gothic" w:eastAsia="Times New Roman" w:hAnsi="Century Gothic" w:cs="Arial"/>
          <w:b/>
          <w:bCs/>
          <w:sz w:val="24"/>
          <w:szCs w:val="24"/>
          <w:lang w:val="es-ES"/>
        </w:rPr>
        <w:t>7.3. Subsidiariedad</w:t>
      </w:r>
    </w:p>
    <w:p w14:paraId="2164A9C0" w14:textId="77777777" w:rsidR="002451DE" w:rsidRPr="00050C33" w:rsidRDefault="002451DE" w:rsidP="002451DE">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2DD0F24F" w14:textId="36F5F456" w:rsidR="002451DE" w:rsidRPr="00050C33" w:rsidRDefault="0040072E" w:rsidP="002451DE">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31</w:t>
      </w:r>
      <w:r w:rsidR="002451DE" w:rsidRPr="00050C33">
        <w:rPr>
          <w:rFonts w:ascii="Century Gothic" w:eastAsia="Times New Roman" w:hAnsi="Century Gothic" w:cs="Arial"/>
          <w:sz w:val="24"/>
          <w:szCs w:val="24"/>
          <w:lang w:val="es-ES"/>
        </w:rPr>
        <w:t>. El inciso 4º del artículo 86 de la Constitución establece el principio de subsidiariedad como requisito de procedencia de la acción de tutela así:</w:t>
      </w:r>
    </w:p>
    <w:p w14:paraId="43EC8615" w14:textId="77777777" w:rsidR="002451DE" w:rsidRPr="00050C33" w:rsidRDefault="002451DE" w:rsidP="002451DE">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63E0B51C" w14:textId="77777777" w:rsidR="002451DE" w:rsidRPr="00050C33" w:rsidRDefault="002451DE" w:rsidP="002451DE">
      <w:pPr>
        <w:ind w:left="426" w:right="424"/>
        <w:jc w:val="both"/>
        <w:rPr>
          <w:rFonts w:ascii="Century Gothic" w:eastAsia="Times New Roman" w:hAnsi="Century Gothic" w:cs="Arial"/>
          <w:i/>
          <w:iCs/>
          <w:lang w:val="es-ES"/>
        </w:rPr>
      </w:pPr>
      <w:r w:rsidRPr="00050C33">
        <w:rPr>
          <w:rFonts w:ascii="Century Gothic" w:eastAsia="Times New Roman" w:hAnsi="Century Gothic" w:cs="Arial"/>
          <w:i/>
          <w:iCs/>
          <w:lang w:val="es-ES"/>
        </w:rPr>
        <w:t xml:space="preserve">“Esta acción sólo procederá cuando el afectado no disponga de otro medio de defensa judicial, salvo que aquella se utilice como mecanismo transitorio para evitar un perjuicio irremediable”. </w:t>
      </w:r>
    </w:p>
    <w:p w14:paraId="3E90D913" w14:textId="77777777" w:rsidR="002451DE" w:rsidRPr="00050C33" w:rsidRDefault="002451DE" w:rsidP="002451DE">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55E488F0" w14:textId="09E6E046" w:rsidR="002451DE" w:rsidRPr="00050C33" w:rsidRDefault="0040072E" w:rsidP="002451DE">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32</w:t>
      </w:r>
      <w:r w:rsidR="002451DE" w:rsidRPr="00050C33">
        <w:rPr>
          <w:rFonts w:ascii="Century Gothic" w:eastAsia="Times New Roman" w:hAnsi="Century Gothic" w:cs="Arial"/>
          <w:sz w:val="24"/>
          <w:szCs w:val="24"/>
          <w:lang w:val="es-ES"/>
        </w:rPr>
        <w:t>. Lo anterior implica que los ciudadanos deben hacer uso de todos los recursos ordinarios y extraordinarios dispuestos por la ley, de tal manera que la acción de tutela no sea utilizada como vía preferente, o como instancia judicial adicional</w:t>
      </w:r>
      <w:r w:rsidR="002451DE" w:rsidRPr="00050C33">
        <w:rPr>
          <w:rFonts w:ascii="Century Gothic" w:eastAsia="Times New Roman" w:hAnsi="Century Gothic" w:cs="Arial"/>
          <w:sz w:val="24"/>
          <w:szCs w:val="24"/>
          <w:vertAlign w:val="superscript"/>
          <w:lang w:val="es-ES"/>
        </w:rPr>
        <w:footnoteReference w:id="2"/>
      </w:r>
      <w:r w:rsidR="002451DE" w:rsidRPr="00050C33">
        <w:rPr>
          <w:rFonts w:ascii="Century Gothic" w:eastAsia="Times New Roman" w:hAnsi="Century Gothic" w:cs="Arial"/>
          <w:sz w:val="24"/>
          <w:szCs w:val="24"/>
          <w:lang w:val="es-ES"/>
        </w:rPr>
        <w:t xml:space="preserve">. </w:t>
      </w:r>
    </w:p>
    <w:p w14:paraId="3B6653A0" w14:textId="77777777" w:rsidR="002451DE" w:rsidRPr="00050C33" w:rsidRDefault="002451DE" w:rsidP="002451DE">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5FA3054D" w14:textId="1B738EAA" w:rsidR="002451DE" w:rsidRPr="00050C33" w:rsidRDefault="0040072E" w:rsidP="002451DE">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33</w:t>
      </w:r>
      <w:r w:rsidR="002451DE" w:rsidRPr="00050C33">
        <w:rPr>
          <w:rFonts w:ascii="Century Gothic" w:eastAsia="Times New Roman" w:hAnsi="Century Gothic" w:cs="Arial"/>
          <w:sz w:val="24"/>
          <w:szCs w:val="24"/>
          <w:lang w:val="es-ES"/>
        </w:rPr>
        <w:t xml:space="preserve">. Con el fin de analizar la procedibilidad de la acción de tutela, se debe estudiar si el amparo es pertinente como (i) mecanismo definitivo o (ii) como mecanismo transitorio. El mecanismo definitivo se da en aquellos eventos en los que el actor no cuenta con un mecanismo ordinario de protección; o bien cuando el dispuesto por la ley para resolver las controversias, no es idóneo y eficaz, conforme a las especiales </w:t>
      </w:r>
      <w:r w:rsidR="002451DE" w:rsidRPr="00050C33">
        <w:rPr>
          <w:rFonts w:ascii="Century Gothic" w:eastAsia="Times New Roman" w:hAnsi="Century Gothic" w:cs="Arial"/>
          <w:sz w:val="24"/>
          <w:szCs w:val="24"/>
          <w:lang w:val="es-ES"/>
        </w:rPr>
        <w:lastRenderedPageBreak/>
        <w:t>circunstancias del caso en concreto</w:t>
      </w:r>
      <w:r w:rsidR="002451DE" w:rsidRPr="00050C33">
        <w:rPr>
          <w:rFonts w:ascii="Century Gothic" w:eastAsia="Times New Roman" w:hAnsi="Century Gothic" w:cs="Arial"/>
          <w:sz w:val="24"/>
          <w:szCs w:val="24"/>
          <w:vertAlign w:val="superscript"/>
          <w:lang w:val="es-ES"/>
        </w:rPr>
        <w:footnoteReference w:id="3"/>
      </w:r>
      <w:r w:rsidR="002451DE" w:rsidRPr="00050C33">
        <w:rPr>
          <w:rFonts w:ascii="Century Gothic" w:eastAsia="Times New Roman" w:hAnsi="Century Gothic" w:cs="Arial"/>
          <w:sz w:val="24"/>
          <w:szCs w:val="24"/>
          <w:lang w:val="es-ES"/>
        </w:rPr>
        <w:t xml:space="preserve">. (ii) Por otro lado, el mecanismo transitorio procede cuando aún a pesar de la existencia de un medio judicial alternativo, éste no </w:t>
      </w:r>
      <w:r w:rsidR="009E6A1F" w:rsidRPr="00050C33">
        <w:rPr>
          <w:rFonts w:ascii="Century Gothic" w:eastAsia="Times New Roman" w:hAnsi="Century Gothic" w:cs="Arial"/>
          <w:sz w:val="24"/>
          <w:szCs w:val="24"/>
          <w:lang w:val="es-ES"/>
        </w:rPr>
        <w:t>está</w:t>
      </w:r>
      <w:r w:rsidR="002451DE" w:rsidRPr="00050C33">
        <w:rPr>
          <w:rFonts w:ascii="Century Gothic" w:eastAsia="Times New Roman" w:hAnsi="Century Gothic" w:cs="Arial"/>
          <w:sz w:val="24"/>
          <w:szCs w:val="24"/>
          <w:lang w:val="es-ES"/>
        </w:rPr>
        <w:t xml:space="preserve"> llamado a impedir la ocurrencia de un perjuicio irremediable, conforme a la situación del accionante</w:t>
      </w:r>
      <w:r w:rsidR="002451DE" w:rsidRPr="00050C33">
        <w:rPr>
          <w:rFonts w:ascii="Century Gothic" w:eastAsia="Times New Roman" w:hAnsi="Century Gothic" w:cs="Arial"/>
          <w:sz w:val="24"/>
          <w:szCs w:val="24"/>
          <w:vertAlign w:val="superscript"/>
          <w:lang w:val="es-ES"/>
        </w:rPr>
        <w:footnoteReference w:id="4"/>
      </w:r>
      <w:r w:rsidR="002451DE" w:rsidRPr="00050C33">
        <w:rPr>
          <w:rFonts w:ascii="Century Gothic" w:eastAsia="Times New Roman" w:hAnsi="Century Gothic" w:cs="Arial"/>
          <w:sz w:val="24"/>
          <w:szCs w:val="24"/>
          <w:lang w:val="es-ES"/>
        </w:rPr>
        <w:t xml:space="preserve">. Finalmente, cuando la acción de tutela es promovida por personas que requieren especial protección constitucional como los niños, mujeres cabeza de familia, </w:t>
      </w:r>
      <w:r w:rsidR="002451DE" w:rsidRPr="00050C33">
        <w:rPr>
          <w:rFonts w:ascii="Century Gothic" w:eastAsia="Times New Roman" w:hAnsi="Century Gothic" w:cs="Arial"/>
          <w:i/>
          <w:iCs/>
          <w:sz w:val="24"/>
          <w:szCs w:val="24"/>
          <w:lang w:val="es-ES"/>
        </w:rPr>
        <w:t>personas de la tercera edad</w:t>
      </w:r>
      <w:r w:rsidR="002451DE" w:rsidRPr="00050C33">
        <w:rPr>
          <w:rFonts w:ascii="Century Gothic" w:eastAsia="Times New Roman" w:hAnsi="Century Gothic" w:cs="Arial"/>
          <w:sz w:val="24"/>
          <w:szCs w:val="24"/>
          <w:lang w:val="es-ES"/>
        </w:rPr>
        <w:t>, población LGBTI, personas en situación de discapacidad,</w:t>
      </w:r>
      <w:r w:rsidR="002451DE">
        <w:rPr>
          <w:rFonts w:ascii="Century Gothic" w:eastAsia="Times New Roman" w:hAnsi="Century Gothic" w:cs="Arial"/>
          <w:sz w:val="24"/>
          <w:szCs w:val="24"/>
          <w:lang w:val="es-ES"/>
        </w:rPr>
        <w:t xml:space="preserve"> entre otros,</w:t>
      </w:r>
      <w:r w:rsidR="002451DE" w:rsidRPr="00050C33">
        <w:rPr>
          <w:rFonts w:ascii="Century Gothic" w:eastAsia="Times New Roman" w:hAnsi="Century Gothic" w:cs="Arial"/>
          <w:sz w:val="24"/>
          <w:szCs w:val="24"/>
          <w:lang w:val="es-ES"/>
        </w:rPr>
        <w:t xml:space="preserve"> el análisis de procedencia de la acción de tutela se hace menos estricto</w:t>
      </w:r>
      <w:r w:rsidR="002451DE" w:rsidRPr="00050C33">
        <w:rPr>
          <w:rFonts w:ascii="Century Gothic" w:eastAsia="Times New Roman" w:hAnsi="Century Gothic" w:cs="Arial"/>
          <w:sz w:val="24"/>
          <w:szCs w:val="24"/>
          <w:vertAlign w:val="superscript"/>
          <w:lang w:val="es-ES"/>
        </w:rPr>
        <w:footnoteReference w:id="5"/>
      </w:r>
      <w:r w:rsidR="002451DE" w:rsidRPr="00050C33">
        <w:rPr>
          <w:rFonts w:ascii="Century Gothic" w:eastAsia="Times New Roman" w:hAnsi="Century Gothic" w:cs="Arial"/>
          <w:sz w:val="24"/>
          <w:szCs w:val="24"/>
          <w:lang w:val="es-ES"/>
        </w:rPr>
        <w:t>.</w:t>
      </w:r>
    </w:p>
    <w:p w14:paraId="0C0F558F" w14:textId="77777777" w:rsidR="002451DE" w:rsidRPr="00050C33" w:rsidRDefault="002451DE" w:rsidP="002451DE">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435208B8" w14:textId="04C56543" w:rsidR="002451DE" w:rsidRPr="00050C33" w:rsidRDefault="0040072E" w:rsidP="002451DE">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34</w:t>
      </w:r>
      <w:r w:rsidR="002451DE" w:rsidRPr="00050C33">
        <w:rPr>
          <w:rFonts w:ascii="Century Gothic" w:eastAsia="Times New Roman" w:hAnsi="Century Gothic" w:cs="Arial"/>
          <w:sz w:val="24"/>
          <w:szCs w:val="24"/>
          <w:lang w:val="es-ES"/>
        </w:rPr>
        <w:t>. La jurisprudencia constitucional establece que un evento o situación configura un perjuicio irremediable cuando, por un lado, resulta  cierto e inminente, es decir, que no se deba a meras conjeturas o especulaciones, sino a una apreciación razonable de los hechos (ii) es grave, desde el punto de vista del bien jurídico que podría verse vulnerado, y de la importancia del mismo, y (iii) requiere atención urgente, en el sentido de que sea necesaria e inaplazable su prevención o mitigación para evitar que se genere un daño antijurídico y que dicho daño no pueda ser reparado</w:t>
      </w:r>
      <w:r w:rsidR="002451DE" w:rsidRPr="00050C33">
        <w:rPr>
          <w:rFonts w:ascii="Century Gothic" w:eastAsia="Times New Roman" w:hAnsi="Century Gothic" w:cs="Arial"/>
          <w:sz w:val="24"/>
          <w:szCs w:val="24"/>
          <w:vertAlign w:val="superscript"/>
          <w:lang w:val="es-ES"/>
        </w:rPr>
        <w:footnoteReference w:id="6"/>
      </w:r>
      <w:r w:rsidR="002451DE" w:rsidRPr="00050C33">
        <w:rPr>
          <w:rFonts w:ascii="Century Gothic" w:eastAsia="Times New Roman" w:hAnsi="Century Gothic" w:cs="Arial"/>
          <w:sz w:val="24"/>
          <w:szCs w:val="24"/>
          <w:lang w:val="es-ES"/>
        </w:rPr>
        <w:t>.</w:t>
      </w:r>
    </w:p>
    <w:p w14:paraId="3D255668" w14:textId="77777777" w:rsidR="002451DE" w:rsidRPr="00050C33" w:rsidRDefault="002451DE" w:rsidP="002451DE">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5C70AC45" w14:textId="25A2F546" w:rsidR="002451DE" w:rsidRPr="00050C33" w:rsidRDefault="0040072E" w:rsidP="002451DE">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35</w:t>
      </w:r>
      <w:r w:rsidR="002451DE" w:rsidRPr="00050C33">
        <w:rPr>
          <w:rFonts w:ascii="Century Gothic" w:eastAsia="Times New Roman" w:hAnsi="Century Gothic" w:cs="Arial"/>
          <w:sz w:val="24"/>
          <w:szCs w:val="24"/>
          <w:lang w:val="es-ES"/>
        </w:rPr>
        <w:t xml:space="preserve">. Ahora bien, respecto a la eficacia e idoneidad del mecanismo de defensa judicial al alcance del afectado, la Sentencia SU-355 de 2015 determinó que este </w:t>
      </w:r>
      <w:r w:rsidR="002451DE" w:rsidRPr="00050C33">
        <w:rPr>
          <w:rFonts w:ascii="Century Gothic" w:eastAsia="Times New Roman" w:hAnsi="Century Gothic" w:cs="Arial"/>
          <w:i/>
          <w:iCs/>
          <w:sz w:val="24"/>
          <w:szCs w:val="24"/>
          <w:lang w:val="es-ES"/>
        </w:rPr>
        <w:t>“ha de tener una efectividad igual o superior a la de la acción de tutela para lograr efectiva y concretamente que la protección sea inmediata”.</w:t>
      </w:r>
      <w:r w:rsidR="002451DE" w:rsidRPr="00050C33">
        <w:rPr>
          <w:rFonts w:ascii="Century Gothic" w:eastAsia="Times New Roman" w:hAnsi="Century Gothic" w:cs="Arial"/>
          <w:sz w:val="24"/>
          <w:szCs w:val="24"/>
          <w:lang w:val="es-ES"/>
        </w:rPr>
        <w:t xml:space="preserve"> </w:t>
      </w:r>
      <w:r w:rsidR="001B788E" w:rsidRPr="00050C33">
        <w:rPr>
          <w:rFonts w:ascii="Century Gothic" w:eastAsia="Times New Roman" w:hAnsi="Century Gothic" w:cs="Arial"/>
          <w:sz w:val="24"/>
          <w:szCs w:val="24"/>
          <w:lang w:val="es-ES"/>
        </w:rPr>
        <w:t>De acuerdo con</w:t>
      </w:r>
      <w:r w:rsidR="002451DE" w:rsidRPr="00050C33">
        <w:rPr>
          <w:rFonts w:ascii="Century Gothic" w:eastAsia="Times New Roman" w:hAnsi="Century Gothic" w:cs="Arial"/>
          <w:sz w:val="24"/>
          <w:szCs w:val="24"/>
          <w:lang w:val="es-ES"/>
        </w:rPr>
        <w:t xml:space="preserve"> lo manifestado por la Corte Constitucional, la idoneidad del medio judicial puede determinarse, examinando el objeto de la opción judicial alternativa y el resultado previsible de acudir a ese otro medio de defensa judicial. Así, el despacho </w:t>
      </w:r>
      <w:r w:rsidR="002451DE" w:rsidRPr="00050C33">
        <w:rPr>
          <w:rFonts w:ascii="Century Gothic" w:eastAsia="Times New Roman" w:hAnsi="Century Gothic" w:cs="Arial"/>
          <w:sz w:val="24"/>
          <w:szCs w:val="24"/>
          <w:lang w:val="es-ES"/>
        </w:rPr>
        <w:lastRenderedPageBreak/>
        <w:t xml:space="preserve">deberá realizar un análisis del caso concreto, pues es de esta forma que puede determinar si los derechos alegados resultarían protegidos acudiendo a dicho mecanismo alternativo, o </w:t>
      </w:r>
      <w:proofErr w:type="gramStart"/>
      <w:r w:rsidR="002451DE" w:rsidRPr="00050C33">
        <w:rPr>
          <w:rFonts w:ascii="Century Gothic" w:eastAsia="Times New Roman" w:hAnsi="Century Gothic" w:cs="Arial"/>
          <w:sz w:val="24"/>
          <w:szCs w:val="24"/>
          <w:lang w:val="es-ES"/>
        </w:rPr>
        <w:t>si</w:t>
      </w:r>
      <w:proofErr w:type="gramEnd"/>
      <w:r w:rsidR="002451DE" w:rsidRPr="00050C33">
        <w:rPr>
          <w:rFonts w:ascii="Century Gothic" w:eastAsia="Times New Roman" w:hAnsi="Century Gothic" w:cs="Arial"/>
          <w:sz w:val="24"/>
          <w:szCs w:val="24"/>
          <w:lang w:val="es-ES"/>
        </w:rPr>
        <w:t xml:space="preserve"> por el contrario, la afectación resultaría más gravosa. </w:t>
      </w:r>
    </w:p>
    <w:p w14:paraId="698DC0C2" w14:textId="77777777" w:rsidR="002451DE" w:rsidRPr="00050C33" w:rsidRDefault="002451DE" w:rsidP="002451DE">
      <w:pPr>
        <w:spacing w:line="360" w:lineRule="auto"/>
        <w:jc w:val="both"/>
        <w:rPr>
          <w:rFonts w:ascii="Century Gothic" w:eastAsia="Times New Roman" w:hAnsi="Century Gothic" w:cs="Arial"/>
          <w:sz w:val="24"/>
          <w:szCs w:val="24"/>
          <w:lang w:val="es-ES"/>
        </w:rPr>
      </w:pPr>
    </w:p>
    <w:p w14:paraId="7E28CFAE" w14:textId="102CA24B" w:rsidR="002451DE" w:rsidRPr="00050C33" w:rsidRDefault="0040072E" w:rsidP="002451DE">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36</w:t>
      </w:r>
      <w:r w:rsidR="002451DE" w:rsidRPr="00050C33">
        <w:rPr>
          <w:rFonts w:ascii="Century Gothic" w:eastAsia="Times New Roman" w:hAnsi="Century Gothic" w:cs="Arial"/>
          <w:sz w:val="24"/>
          <w:szCs w:val="24"/>
          <w:lang w:val="es-ES"/>
        </w:rPr>
        <w:t>. En ese entendido, el despacho deberá valorar cuáles son las circunstancias particulares del accionante para determinar si la acción de tutela resulta procedente.</w:t>
      </w:r>
    </w:p>
    <w:p w14:paraId="623DE203" w14:textId="77777777" w:rsidR="002451DE" w:rsidRPr="00050C33" w:rsidRDefault="002451DE" w:rsidP="002451DE">
      <w:pPr>
        <w:spacing w:line="360" w:lineRule="auto"/>
        <w:jc w:val="both"/>
        <w:rPr>
          <w:rFonts w:ascii="Century Gothic" w:eastAsia="Times New Roman" w:hAnsi="Century Gothic" w:cs="Arial"/>
          <w:sz w:val="24"/>
          <w:szCs w:val="24"/>
          <w:lang w:val="es-ES"/>
        </w:rPr>
      </w:pPr>
    </w:p>
    <w:p w14:paraId="7B1480B3" w14:textId="77777777" w:rsidR="002451DE" w:rsidRDefault="002451DE" w:rsidP="002451DE">
      <w:pPr>
        <w:spacing w:line="360" w:lineRule="auto"/>
        <w:jc w:val="both"/>
        <w:rPr>
          <w:rFonts w:ascii="Century Gothic" w:eastAsia="Times New Roman" w:hAnsi="Century Gothic" w:cs="Arial"/>
          <w:b/>
          <w:bCs/>
          <w:sz w:val="24"/>
          <w:szCs w:val="24"/>
          <w:lang w:val="es-ES"/>
        </w:rPr>
      </w:pPr>
      <w:r w:rsidRPr="00050C33">
        <w:rPr>
          <w:rFonts w:ascii="Century Gothic" w:eastAsia="Times New Roman" w:hAnsi="Century Gothic" w:cs="Arial"/>
          <w:b/>
          <w:bCs/>
          <w:sz w:val="24"/>
          <w:szCs w:val="24"/>
          <w:lang w:val="es-ES"/>
        </w:rPr>
        <w:t>7.4. De la procedencia de la acción de tutela en el caso en concreto</w:t>
      </w:r>
    </w:p>
    <w:p w14:paraId="5C9A5DA5" w14:textId="77777777" w:rsidR="002451DE" w:rsidRDefault="002451DE" w:rsidP="002451DE">
      <w:pPr>
        <w:spacing w:line="360" w:lineRule="auto"/>
        <w:jc w:val="both"/>
        <w:rPr>
          <w:rFonts w:ascii="Century Gothic" w:hAnsi="Century Gothic" w:cs="Arial"/>
          <w:szCs w:val="24"/>
          <w:lang w:val="es-ES"/>
        </w:rPr>
      </w:pPr>
    </w:p>
    <w:p w14:paraId="29075E48" w14:textId="30C74447" w:rsidR="002451DE" w:rsidRDefault="0040072E" w:rsidP="002451DE">
      <w:pPr>
        <w:spacing w:line="360" w:lineRule="auto"/>
        <w:jc w:val="both"/>
        <w:rPr>
          <w:rFonts w:ascii="Century Gothic" w:hAnsi="Century Gothic" w:cs="Arial"/>
          <w:sz w:val="24"/>
          <w:szCs w:val="24"/>
          <w:lang w:val="es-ES"/>
        </w:rPr>
      </w:pPr>
      <w:r>
        <w:rPr>
          <w:rFonts w:ascii="Century Gothic" w:hAnsi="Century Gothic" w:cs="Arial"/>
          <w:sz w:val="24"/>
          <w:szCs w:val="24"/>
          <w:lang w:val="es-ES"/>
        </w:rPr>
        <w:t>37</w:t>
      </w:r>
      <w:r w:rsidR="002451DE" w:rsidRPr="003F2F75">
        <w:rPr>
          <w:rFonts w:ascii="Century Gothic" w:hAnsi="Century Gothic" w:cs="Arial"/>
          <w:sz w:val="24"/>
          <w:szCs w:val="24"/>
          <w:lang w:val="es-ES"/>
        </w:rPr>
        <w:t xml:space="preserve">. Para el caso en concreto, la señora </w:t>
      </w:r>
      <w:r w:rsidR="001B788E">
        <w:rPr>
          <w:rFonts w:ascii="Century Gothic" w:hAnsi="Century Gothic" w:cs="Arial"/>
          <w:sz w:val="24"/>
          <w:szCs w:val="24"/>
          <w:lang w:val="es-ES"/>
        </w:rPr>
        <w:t>Mayra Alejandra Luna Ramírez</w:t>
      </w:r>
      <w:r w:rsidR="002451DE" w:rsidRPr="003F2F75">
        <w:rPr>
          <w:rFonts w:ascii="Century Gothic" w:hAnsi="Century Gothic" w:cs="Arial"/>
          <w:sz w:val="24"/>
          <w:szCs w:val="24"/>
          <w:lang w:val="es-ES"/>
        </w:rPr>
        <w:t xml:space="preserve"> pretende que se ordene </w:t>
      </w:r>
      <w:r w:rsidR="009E6A1F">
        <w:rPr>
          <w:rFonts w:ascii="Century Gothic" w:hAnsi="Century Gothic" w:cs="Arial"/>
          <w:sz w:val="24"/>
          <w:szCs w:val="24"/>
          <w:lang w:val="es-ES"/>
        </w:rPr>
        <w:t>la expedición del permiso especial de p</w:t>
      </w:r>
      <w:r w:rsidR="001B788E">
        <w:rPr>
          <w:rFonts w:ascii="Century Gothic" w:hAnsi="Century Gothic" w:cs="Arial"/>
          <w:sz w:val="24"/>
          <w:szCs w:val="24"/>
          <w:lang w:val="es-ES"/>
        </w:rPr>
        <w:t xml:space="preserve">ermanencia de sus hijos menores </w:t>
      </w:r>
      <w:r w:rsidR="001B788E">
        <w:rPr>
          <w:rFonts w:ascii="Century Gothic" w:hAnsi="Century Gothic"/>
          <w:sz w:val="24"/>
          <w:szCs w:val="24"/>
        </w:rPr>
        <w:t>Jesús Rafael</w:t>
      </w:r>
      <w:r w:rsidR="001B788E" w:rsidRPr="00E538C6">
        <w:rPr>
          <w:rFonts w:ascii="Century Gothic" w:hAnsi="Century Gothic"/>
          <w:sz w:val="24"/>
          <w:szCs w:val="24"/>
        </w:rPr>
        <w:t xml:space="preserve"> </w:t>
      </w:r>
      <w:r w:rsidR="001B788E">
        <w:rPr>
          <w:rFonts w:ascii="Century Gothic" w:hAnsi="Century Gothic"/>
          <w:sz w:val="24"/>
          <w:szCs w:val="24"/>
        </w:rPr>
        <w:t>Tremaria</w:t>
      </w:r>
      <w:r w:rsidR="001B788E" w:rsidRPr="00E538C6">
        <w:rPr>
          <w:rFonts w:ascii="Century Gothic" w:hAnsi="Century Gothic"/>
          <w:sz w:val="24"/>
          <w:szCs w:val="24"/>
        </w:rPr>
        <w:t xml:space="preserve"> </w:t>
      </w:r>
      <w:r w:rsidR="001B788E">
        <w:rPr>
          <w:rFonts w:ascii="Century Gothic" w:hAnsi="Century Gothic"/>
          <w:sz w:val="24"/>
          <w:szCs w:val="24"/>
        </w:rPr>
        <w:t>Luna</w:t>
      </w:r>
      <w:r w:rsidR="001B788E" w:rsidRPr="00E538C6">
        <w:rPr>
          <w:rFonts w:ascii="Century Gothic" w:hAnsi="Century Gothic"/>
          <w:sz w:val="24"/>
          <w:szCs w:val="24"/>
        </w:rPr>
        <w:t xml:space="preserve"> y </w:t>
      </w:r>
      <w:r w:rsidR="001B788E">
        <w:rPr>
          <w:rFonts w:ascii="Century Gothic" w:hAnsi="Century Gothic"/>
          <w:sz w:val="24"/>
          <w:szCs w:val="24"/>
        </w:rPr>
        <w:t>Maibel</w:t>
      </w:r>
      <w:r w:rsidR="001B788E" w:rsidRPr="00E538C6">
        <w:rPr>
          <w:rFonts w:ascii="Century Gothic" w:hAnsi="Century Gothic"/>
          <w:sz w:val="24"/>
          <w:szCs w:val="24"/>
        </w:rPr>
        <w:t xml:space="preserve"> </w:t>
      </w:r>
      <w:r w:rsidR="001B788E">
        <w:rPr>
          <w:rFonts w:ascii="Century Gothic" w:hAnsi="Century Gothic"/>
          <w:sz w:val="24"/>
          <w:szCs w:val="24"/>
        </w:rPr>
        <w:t>Alejandra</w:t>
      </w:r>
      <w:r w:rsidR="001B788E" w:rsidRPr="00E538C6">
        <w:rPr>
          <w:rFonts w:ascii="Century Gothic" w:hAnsi="Century Gothic"/>
          <w:sz w:val="24"/>
          <w:szCs w:val="24"/>
        </w:rPr>
        <w:t xml:space="preserve"> </w:t>
      </w:r>
      <w:r w:rsidR="001B788E">
        <w:rPr>
          <w:rFonts w:ascii="Century Gothic" w:hAnsi="Century Gothic"/>
          <w:sz w:val="24"/>
          <w:szCs w:val="24"/>
        </w:rPr>
        <w:t>Carrion</w:t>
      </w:r>
      <w:r w:rsidR="002451DE" w:rsidRPr="003F2F75">
        <w:rPr>
          <w:rFonts w:ascii="Century Gothic" w:hAnsi="Century Gothic" w:cs="Arial"/>
          <w:sz w:val="24"/>
          <w:szCs w:val="24"/>
          <w:lang w:val="es-ES"/>
        </w:rPr>
        <w:t>.</w:t>
      </w:r>
    </w:p>
    <w:p w14:paraId="1AB8B3BF" w14:textId="77777777" w:rsidR="002451DE" w:rsidRPr="003F2F75" w:rsidRDefault="002451DE" w:rsidP="002451DE">
      <w:pPr>
        <w:spacing w:line="360" w:lineRule="auto"/>
        <w:jc w:val="both"/>
        <w:rPr>
          <w:rFonts w:ascii="Century Gothic" w:hAnsi="Century Gothic" w:cs="Arial"/>
          <w:bCs/>
          <w:iCs/>
          <w:sz w:val="24"/>
          <w:szCs w:val="24"/>
          <w:lang w:val="es-ES"/>
        </w:rPr>
      </w:pPr>
    </w:p>
    <w:p w14:paraId="3AD453B8" w14:textId="6ABBD669" w:rsidR="002451DE" w:rsidRDefault="001B788E" w:rsidP="00E67A0F">
      <w:pPr>
        <w:spacing w:line="360" w:lineRule="auto"/>
        <w:jc w:val="both"/>
        <w:rPr>
          <w:rFonts w:ascii="Century Gothic" w:hAnsi="Century Gothic"/>
          <w:sz w:val="24"/>
          <w:szCs w:val="24"/>
        </w:rPr>
      </w:pPr>
      <w:r>
        <w:rPr>
          <w:rFonts w:ascii="Century Gothic" w:hAnsi="Century Gothic" w:cs="Arial"/>
          <w:bCs/>
          <w:iCs/>
          <w:sz w:val="24"/>
          <w:szCs w:val="24"/>
          <w:lang w:val="es-ES"/>
        </w:rPr>
        <w:t>3</w:t>
      </w:r>
      <w:r w:rsidR="0040072E">
        <w:rPr>
          <w:rFonts w:ascii="Century Gothic" w:hAnsi="Century Gothic" w:cs="Arial"/>
          <w:bCs/>
          <w:iCs/>
          <w:sz w:val="24"/>
          <w:szCs w:val="24"/>
          <w:lang w:val="es-ES"/>
        </w:rPr>
        <w:t>8</w:t>
      </w:r>
      <w:r w:rsidR="002451DE" w:rsidRPr="003F2F75">
        <w:rPr>
          <w:rFonts w:ascii="Century Gothic" w:hAnsi="Century Gothic" w:cs="Arial"/>
          <w:bCs/>
          <w:iCs/>
          <w:sz w:val="24"/>
          <w:szCs w:val="24"/>
          <w:lang w:val="es-ES"/>
        </w:rPr>
        <w:t xml:space="preserve">. </w:t>
      </w:r>
      <w:r w:rsidR="00E67A0F">
        <w:rPr>
          <w:rFonts w:ascii="Century Gothic" w:hAnsi="Century Gothic" w:cs="Arial"/>
          <w:bCs/>
          <w:iCs/>
          <w:sz w:val="24"/>
          <w:szCs w:val="24"/>
          <w:lang w:val="es-ES"/>
        </w:rPr>
        <w:t xml:space="preserve">Sin embargo, al ser este un trámite de visado que pretende regularizar la situación de residencia de los menores </w:t>
      </w:r>
      <w:r w:rsidR="00E67A0F">
        <w:rPr>
          <w:rFonts w:ascii="Century Gothic" w:hAnsi="Century Gothic"/>
          <w:sz w:val="24"/>
          <w:szCs w:val="24"/>
        </w:rPr>
        <w:t>Jesús Rafael</w:t>
      </w:r>
      <w:r w:rsidR="00E67A0F" w:rsidRPr="00E538C6">
        <w:rPr>
          <w:rFonts w:ascii="Century Gothic" w:hAnsi="Century Gothic"/>
          <w:sz w:val="24"/>
          <w:szCs w:val="24"/>
        </w:rPr>
        <w:t xml:space="preserve"> </w:t>
      </w:r>
      <w:r w:rsidR="00E67A0F">
        <w:rPr>
          <w:rFonts w:ascii="Century Gothic" w:hAnsi="Century Gothic"/>
          <w:sz w:val="24"/>
          <w:szCs w:val="24"/>
        </w:rPr>
        <w:t>Tremaria</w:t>
      </w:r>
      <w:r w:rsidR="00E67A0F" w:rsidRPr="00E538C6">
        <w:rPr>
          <w:rFonts w:ascii="Century Gothic" w:hAnsi="Century Gothic"/>
          <w:sz w:val="24"/>
          <w:szCs w:val="24"/>
        </w:rPr>
        <w:t xml:space="preserve"> </w:t>
      </w:r>
      <w:r w:rsidR="00E67A0F">
        <w:rPr>
          <w:rFonts w:ascii="Century Gothic" w:hAnsi="Century Gothic"/>
          <w:sz w:val="24"/>
          <w:szCs w:val="24"/>
        </w:rPr>
        <w:t>Luna</w:t>
      </w:r>
      <w:r w:rsidR="00E67A0F" w:rsidRPr="00E538C6">
        <w:rPr>
          <w:rFonts w:ascii="Century Gothic" w:hAnsi="Century Gothic"/>
          <w:sz w:val="24"/>
          <w:szCs w:val="24"/>
        </w:rPr>
        <w:t xml:space="preserve"> y </w:t>
      </w:r>
      <w:r w:rsidR="00E67A0F">
        <w:rPr>
          <w:rFonts w:ascii="Century Gothic" w:hAnsi="Century Gothic"/>
          <w:sz w:val="24"/>
          <w:szCs w:val="24"/>
        </w:rPr>
        <w:t>Maibel</w:t>
      </w:r>
      <w:r w:rsidR="00E67A0F" w:rsidRPr="00E538C6">
        <w:rPr>
          <w:rFonts w:ascii="Century Gothic" w:hAnsi="Century Gothic"/>
          <w:sz w:val="24"/>
          <w:szCs w:val="24"/>
        </w:rPr>
        <w:t xml:space="preserve"> </w:t>
      </w:r>
      <w:r w:rsidR="00E67A0F">
        <w:rPr>
          <w:rFonts w:ascii="Century Gothic" w:hAnsi="Century Gothic"/>
          <w:sz w:val="24"/>
          <w:szCs w:val="24"/>
        </w:rPr>
        <w:t>Alejandra</w:t>
      </w:r>
      <w:r w:rsidR="00E67A0F" w:rsidRPr="00E538C6">
        <w:rPr>
          <w:rFonts w:ascii="Century Gothic" w:hAnsi="Century Gothic"/>
          <w:sz w:val="24"/>
          <w:szCs w:val="24"/>
        </w:rPr>
        <w:t xml:space="preserve"> </w:t>
      </w:r>
      <w:r w:rsidR="00E67A0F">
        <w:rPr>
          <w:rFonts w:ascii="Century Gothic" w:hAnsi="Century Gothic"/>
          <w:sz w:val="24"/>
          <w:szCs w:val="24"/>
        </w:rPr>
        <w:t>Carrion, hijos de la accionante, este despacho observa que existe todo un trámite administrativo que puede desplegarse en pos de obtener  dicho permiso</w:t>
      </w:r>
      <w:r w:rsidR="006026AE">
        <w:rPr>
          <w:rFonts w:ascii="Century Gothic" w:hAnsi="Century Gothic"/>
          <w:sz w:val="24"/>
          <w:szCs w:val="24"/>
        </w:rPr>
        <w:t xml:space="preserve"> ante la Unidad Administrativa Especial de Migración Colombia</w:t>
      </w:r>
      <w:r w:rsidR="00E67A0F">
        <w:rPr>
          <w:rFonts w:ascii="Century Gothic" w:hAnsi="Century Gothic"/>
          <w:sz w:val="24"/>
          <w:szCs w:val="24"/>
        </w:rPr>
        <w:t xml:space="preserve">; o de no ser posible, obtener un salvoconducto que le permita a los menores acceder al sistema de salud junto con todas sus garantías, como bien fue expuesto por las partes accionadas en este proceso. </w:t>
      </w:r>
    </w:p>
    <w:p w14:paraId="522C9434" w14:textId="133E6669" w:rsidR="00E67A0F" w:rsidRDefault="00E67A0F" w:rsidP="00E67A0F">
      <w:pPr>
        <w:spacing w:line="360" w:lineRule="auto"/>
        <w:jc w:val="both"/>
        <w:rPr>
          <w:rFonts w:ascii="Century Gothic" w:hAnsi="Century Gothic"/>
          <w:sz w:val="24"/>
          <w:szCs w:val="24"/>
        </w:rPr>
      </w:pPr>
    </w:p>
    <w:p w14:paraId="5BEB839D" w14:textId="598D20CD" w:rsidR="00E67A0F" w:rsidRDefault="0040072E" w:rsidP="00E67A0F">
      <w:pPr>
        <w:spacing w:line="360" w:lineRule="auto"/>
        <w:jc w:val="both"/>
        <w:rPr>
          <w:rFonts w:ascii="Century Gothic" w:hAnsi="Century Gothic"/>
          <w:sz w:val="24"/>
          <w:szCs w:val="24"/>
        </w:rPr>
      </w:pPr>
      <w:r>
        <w:rPr>
          <w:rFonts w:ascii="Century Gothic" w:hAnsi="Century Gothic"/>
          <w:sz w:val="24"/>
          <w:szCs w:val="24"/>
        </w:rPr>
        <w:t>39</w:t>
      </w:r>
      <w:r w:rsidR="00E67A0F">
        <w:rPr>
          <w:rFonts w:ascii="Century Gothic" w:hAnsi="Century Gothic"/>
          <w:sz w:val="24"/>
          <w:szCs w:val="24"/>
        </w:rPr>
        <w:t>. Se observa que la señora Mayra Alejandra Luna Ramírez no aportó prueba siquiera sumari</w:t>
      </w:r>
      <w:r w:rsidR="00CD5256">
        <w:rPr>
          <w:rFonts w:ascii="Century Gothic" w:hAnsi="Century Gothic"/>
          <w:sz w:val="24"/>
          <w:szCs w:val="24"/>
        </w:rPr>
        <w:t>a en la que se evidencie que acudió</w:t>
      </w:r>
      <w:r w:rsidR="00E67A0F">
        <w:rPr>
          <w:rFonts w:ascii="Century Gothic" w:hAnsi="Century Gothic"/>
          <w:sz w:val="24"/>
          <w:szCs w:val="24"/>
        </w:rPr>
        <w:t xml:space="preserve"> a la Unidad Administrativa Especial Migración Colombia o al Ministerio de Relaciones Exteriores, solicitando información acerca de los tramites que debe llevar a cabo, o interponiendo solicitudes en el sentido de obtener el permiso </w:t>
      </w:r>
      <w:r w:rsidR="00E67A0F">
        <w:rPr>
          <w:rFonts w:ascii="Century Gothic" w:hAnsi="Century Gothic"/>
          <w:sz w:val="24"/>
          <w:szCs w:val="24"/>
        </w:rPr>
        <w:lastRenderedPageBreak/>
        <w:t>de</w:t>
      </w:r>
      <w:r w:rsidR="004B2D53">
        <w:rPr>
          <w:rFonts w:ascii="Century Gothic" w:hAnsi="Century Gothic"/>
          <w:sz w:val="24"/>
          <w:szCs w:val="24"/>
        </w:rPr>
        <w:t xml:space="preserve"> referencia y que este fuere negado. E</w:t>
      </w:r>
      <w:r w:rsidR="007C15E8">
        <w:rPr>
          <w:rFonts w:ascii="Century Gothic" w:hAnsi="Century Gothic"/>
          <w:sz w:val="24"/>
          <w:szCs w:val="24"/>
        </w:rPr>
        <w:t xml:space="preserve">s decir, </w:t>
      </w:r>
      <w:proofErr w:type="gramStart"/>
      <w:r w:rsidR="007C15E8">
        <w:rPr>
          <w:rFonts w:ascii="Century Gothic" w:hAnsi="Century Gothic"/>
          <w:sz w:val="24"/>
          <w:szCs w:val="24"/>
        </w:rPr>
        <w:t>que</w:t>
      </w:r>
      <w:proofErr w:type="gramEnd"/>
      <w:r w:rsidR="007C15E8">
        <w:rPr>
          <w:rFonts w:ascii="Century Gothic" w:hAnsi="Century Gothic"/>
          <w:sz w:val="24"/>
          <w:szCs w:val="24"/>
        </w:rPr>
        <w:t xml:space="preserve"> de conformidad con las pruebas aportadas al proceso de referencia, este despacho no observa incumplimiento alguno en los deberes de las entidades accionadas</w:t>
      </w:r>
      <w:r w:rsidR="006026AE">
        <w:rPr>
          <w:rStyle w:val="Refdenotaalpie"/>
          <w:rFonts w:ascii="Century Gothic" w:hAnsi="Century Gothic" w:cs="Arial"/>
          <w:bCs/>
          <w:iCs/>
          <w:sz w:val="24"/>
          <w:szCs w:val="24"/>
          <w:lang w:val="es-ES"/>
        </w:rPr>
        <w:footnoteReference w:id="7"/>
      </w:r>
      <w:r w:rsidR="007C15E8">
        <w:rPr>
          <w:rFonts w:ascii="Century Gothic" w:hAnsi="Century Gothic"/>
          <w:sz w:val="24"/>
          <w:szCs w:val="24"/>
        </w:rPr>
        <w:t>.</w:t>
      </w:r>
    </w:p>
    <w:p w14:paraId="3DD66EAF" w14:textId="66610AE9" w:rsidR="00E67A0F" w:rsidRDefault="00E67A0F" w:rsidP="00E67A0F">
      <w:pPr>
        <w:spacing w:line="360" w:lineRule="auto"/>
        <w:jc w:val="both"/>
        <w:rPr>
          <w:rFonts w:ascii="Century Gothic" w:hAnsi="Century Gothic"/>
          <w:sz w:val="24"/>
          <w:szCs w:val="24"/>
        </w:rPr>
      </w:pPr>
    </w:p>
    <w:p w14:paraId="33EC7698" w14:textId="53432A82" w:rsidR="00E67A0F" w:rsidRPr="003F2F75" w:rsidRDefault="0040072E" w:rsidP="00E67A0F">
      <w:pPr>
        <w:spacing w:line="360" w:lineRule="auto"/>
        <w:jc w:val="both"/>
        <w:rPr>
          <w:rFonts w:ascii="Century Gothic" w:hAnsi="Century Gothic" w:cs="Arial"/>
          <w:bCs/>
          <w:iCs/>
          <w:sz w:val="24"/>
          <w:szCs w:val="24"/>
          <w:lang w:val="es-ES"/>
        </w:rPr>
      </w:pPr>
      <w:r>
        <w:rPr>
          <w:rFonts w:ascii="Century Gothic" w:hAnsi="Century Gothic"/>
          <w:sz w:val="24"/>
          <w:szCs w:val="24"/>
        </w:rPr>
        <w:t>40</w:t>
      </w:r>
      <w:r w:rsidR="00E67A0F">
        <w:rPr>
          <w:rFonts w:ascii="Century Gothic" w:hAnsi="Century Gothic"/>
          <w:sz w:val="24"/>
          <w:szCs w:val="24"/>
        </w:rPr>
        <w:t xml:space="preserve">. De otro lado, </w:t>
      </w:r>
      <w:r w:rsidR="006026AE">
        <w:rPr>
          <w:rFonts w:ascii="Century Gothic" w:hAnsi="Century Gothic"/>
          <w:sz w:val="24"/>
          <w:szCs w:val="24"/>
        </w:rPr>
        <w:t>existiendo</w:t>
      </w:r>
      <w:r w:rsidR="007C15E8">
        <w:rPr>
          <w:rFonts w:ascii="Century Gothic" w:hAnsi="Century Gothic"/>
          <w:sz w:val="24"/>
          <w:szCs w:val="24"/>
        </w:rPr>
        <w:t xml:space="preserve"> un mecanismo alternativo para que la accionante obtenga la protección de los derechos que pretende</w:t>
      </w:r>
      <w:r w:rsidR="005A3469">
        <w:rPr>
          <w:rStyle w:val="Refdenotaalpie"/>
          <w:rFonts w:ascii="Century Gothic" w:hAnsi="Century Gothic"/>
          <w:sz w:val="24"/>
          <w:szCs w:val="24"/>
        </w:rPr>
        <w:footnoteReference w:id="8"/>
      </w:r>
      <w:r w:rsidR="007C15E8">
        <w:rPr>
          <w:rFonts w:ascii="Century Gothic" w:hAnsi="Century Gothic"/>
          <w:sz w:val="24"/>
          <w:szCs w:val="24"/>
        </w:rPr>
        <w:t>; tampoco logró</w:t>
      </w:r>
      <w:r w:rsidR="00E67A0F">
        <w:rPr>
          <w:rFonts w:ascii="Century Gothic" w:hAnsi="Century Gothic"/>
          <w:sz w:val="24"/>
          <w:szCs w:val="24"/>
        </w:rPr>
        <w:t xml:space="preserve"> </w:t>
      </w:r>
      <w:r w:rsidR="007C15E8">
        <w:rPr>
          <w:rFonts w:ascii="Century Gothic" w:hAnsi="Century Gothic"/>
          <w:sz w:val="24"/>
          <w:szCs w:val="24"/>
        </w:rPr>
        <w:t>probarse la existencia de</w:t>
      </w:r>
      <w:r w:rsidR="00E67A0F">
        <w:rPr>
          <w:rFonts w:ascii="Century Gothic" w:hAnsi="Century Gothic"/>
          <w:sz w:val="24"/>
          <w:szCs w:val="24"/>
        </w:rPr>
        <w:t xml:space="preserve"> un perjuicio irremediable que legitime la procedencia de la acción de tutela, pues si bien se mencionó que los menores podrían estar afectados en su salud, no se aportó documento alguno tendien</w:t>
      </w:r>
      <w:r w:rsidR="000D69D1">
        <w:rPr>
          <w:rFonts w:ascii="Century Gothic" w:hAnsi="Century Gothic"/>
          <w:sz w:val="24"/>
          <w:szCs w:val="24"/>
        </w:rPr>
        <w:t>te a probar dichas afirmaciones.</w:t>
      </w:r>
      <w:r w:rsidR="00620676">
        <w:rPr>
          <w:rFonts w:ascii="Century Gothic" w:hAnsi="Century Gothic"/>
          <w:sz w:val="24"/>
          <w:szCs w:val="24"/>
        </w:rPr>
        <w:t xml:space="preserve"> </w:t>
      </w:r>
    </w:p>
    <w:p w14:paraId="7315AEC1" w14:textId="77777777" w:rsidR="002451DE" w:rsidRPr="00050C33" w:rsidRDefault="002451DE" w:rsidP="002451DE">
      <w:pPr>
        <w:spacing w:line="360" w:lineRule="auto"/>
        <w:jc w:val="both"/>
        <w:rPr>
          <w:rFonts w:ascii="Century Gothic" w:eastAsia="Times New Roman" w:hAnsi="Century Gothic" w:cs="Arial"/>
          <w:sz w:val="24"/>
          <w:szCs w:val="24"/>
          <w:lang w:val="es-ES"/>
        </w:rPr>
      </w:pPr>
    </w:p>
    <w:p w14:paraId="17C7F98A" w14:textId="28EFBDCE" w:rsidR="002451DE" w:rsidRDefault="0040072E" w:rsidP="002451DE">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41</w:t>
      </w:r>
      <w:r w:rsidR="002451DE" w:rsidRPr="00050C33">
        <w:rPr>
          <w:rFonts w:ascii="Century Gothic" w:eastAsia="Times New Roman" w:hAnsi="Century Gothic" w:cs="Arial"/>
          <w:sz w:val="24"/>
          <w:szCs w:val="24"/>
          <w:lang w:val="es-ES"/>
        </w:rPr>
        <w:t xml:space="preserve">. </w:t>
      </w:r>
      <w:r w:rsidR="002451DE">
        <w:rPr>
          <w:rFonts w:ascii="Century Gothic" w:eastAsia="Times New Roman" w:hAnsi="Century Gothic" w:cs="Arial"/>
          <w:sz w:val="24"/>
          <w:szCs w:val="24"/>
          <w:lang w:val="es-ES"/>
        </w:rPr>
        <w:t xml:space="preserve">Conforme lo expuesto, </w:t>
      </w:r>
      <w:r w:rsidR="006026AE">
        <w:rPr>
          <w:rFonts w:ascii="Century Gothic" w:eastAsia="Times New Roman" w:hAnsi="Century Gothic" w:cs="Arial"/>
          <w:sz w:val="24"/>
          <w:szCs w:val="24"/>
          <w:lang w:val="es-ES"/>
        </w:rPr>
        <w:t xml:space="preserve">el </w:t>
      </w:r>
      <w:r w:rsidR="002451DE">
        <w:rPr>
          <w:rFonts w:ascii="Century Gothic" w:eastAsia="Times New Roman" w:hAnsi="Century Gothic" w:cs="Arial"/>
          <w:sz w:val="24"/>
          <w:szCs w:val="24"/>
          <w:lang w:val="es-ES"/>
        </w:rPr>
        <w:t xml:space="preserve">despacho no advierte la vulneración de los derechos que invocó la accionante, pues la presunta afectación de los mismos, obedece a la necesidad de que la parte actora </w:t>
      </w:r>
      <w:r w:rsidR="00620676">
        <w:rPr>
          <w:rFonts w:ascii="Century Gothic" w:eastAsia="Times New Roman" w:hAnsi="Century Gothic" w:cs="Arial"/>
          <w:sz w:val="24"/>
          <w:szCs w:val="24"/>
          <w:lang w:val="es-ES"/>
        </w:rPr>
        <w:t>adelante los trámites pertinentes</w:t>
      </w:r>
      <w:r w:rsidR="002451DE">
        <w:rPr>
          <w:rFonts w:ascii="Century Gothic" w:eastAsia="Times New Roman" w:hAnsi="Century Gothic" w:cs="Arial"/>
          <w:sz w:val="24"/>
          <w:szCs w:val="24"/>
          <w:lang w:val="es-ES"/>
        </w:rPr>
        <w:t>, por lo que no se advierte la necesidad de intervención del juez constitucional en este asunto</w:t>
      </w:r>
      <w:r w:rsidR="00620676">
        <w:rPr>
          <w:rFonts w:ascii="Century Gothic" w:eastAsia="Times New Roman" w:hAnsi="Century Gothic" w:cs="Arial"/>
          <w:sz w:val="24"/>
          <w:szCs w:val="24"/>
          <w:lang w:val="es-ES"/>
        </w:rPr>
        <w:t>, máxime cuando la</w:t>
      </w:r>
      <w:r w:rsidR="006026AE">
        <w:rPr>
          <w:rFonts w:ascii="Century Gothic" w:eastAsia="Times New Roman" w:hAnsi="Century Gothic" w:cs="Arial"/>
          <w:sz w:val="24"/>
          <w:szCs w:val="24"/>
          <w:lang w:val="es-ES"/>
        </w:rPr>
        <w:t xml:space="preserve"> </w:t>
      </w:r>
      <w:r w:rsidR="007C15E8">
        <w:rPr>
          <w:rFonts w:ascii="Century Gothic" w:eastAsia="Times New Roman" w:hAnsi="Century Gothic" w:cs="Arial"/>
          <w:sz w:val="24"/>
          <w:szCs w:val="24"/>
          <w:lang w:val="es-ES"/>
        </w:rPr>
        <w:t>Unidad Administrativa Especial Migración Colombia</w:t>
      </w:r>
      <w:r w:rsidR="00620676">
        <w:rPr>
          <w:rFonts w:ascii="Century Gothic" w:eastAsia="Times New Roman" w:hAnsi="Century Gothic" w:cs="Arial"/>
          <w:sz w:val="24"/>
          <w:szCs w:val="24"/>
          <w:lang w:val="es-ES"/>
        </w:rPr>
        <w:t xml:space="preserve"> no puede, de oficio,</w:t>
      </w:r>
      <w:r w:rsidR="009E6A1F">
        <w:rPr>
          <w:rFonts w:ascii="Century Gothic" w:eastAsia="Times New Roman" w:hAnsi="Century Gothic" w:cs="Arial"/>
          <w:sz w:val="24"/>
          <w:szCs w:val="24"/>
          <w:lang w:val="es-ES"/>
        </w:rPr>
        <w:t xml:space="preserve"> otorgar un salvoconducto o un permiso especial de p</w:t>
      </w:r>
      <w:r w:rsidR="00620676">
        <w:rPr>
          <w:rFonts w:ascii="Century Gothic" w:eastAsia="Times New Roman" w:hAnsi="Century Gothic" w:cs="Arial"/>
          <w:sz w:val="24"/>
          <w:szCs w:val="24"/>
          <w:lang w:val="es-ES"/>
        </w:rPr>
        <w:t>ermanencia, sin que haya de por medio una solicitud por parte del interesado</w:t>
      </w:r>
      <w:r w:rsidR="002451DE">
        <w:rPr>
          <w:rFonts w:ascii="Century Gothic" w:hAnsi="Century Gothic" w:cs="Arial"/>
          <w:bCs/>
          <w:iCs/>
          <w:sz w:val="24"/>
          <w:szCs w:val="24"/>
          <w:lang w:val="es-ES"/>
        </w:rPr>
        <w:t>.</w:t>
      </w:r>
    </w:p>
    <w:p w14:paraId="6DBCE1FF" w14:textId="77777777" w:rsidR="002451DE" w:rsidRPr="00050C33" w:rsidRDefault="002451DE" w:rsidP="002451DE">
      <w:pPr>
        <w:spacing w:line="360" w:lineRule="auto"/>
        <w:jc w:val="both"/>
        <w:rPr>
          <w:rFonts w:ascii="Century Gothic" w:eastAsia="Times New Roman" w:hAnsi="Century Gothic" w:cs="Arial"/>
          <w:color w:val="ED7D31" w:themeColor="accent2"/>
          <w:sz w:val="24"/>
          <w:szCs w:val="24"/>
          <w:lang w:val="es-ES"/>
        </w:rPr>
      </w:pPr>
    </w:p>
    <w:p w14:paraId="0236DCB1" w14:textId="6B3E08C6" w:rsidR="002451DE" w:rsidRDefault="0040072E" w:rsidP="002451DE">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42</w:t>
      </w:r>
      <w:r w:rsidR="002451DE" w:rsidRPr="00050C33">
        <w:rPr>
          <w:rFonts w:ascii="Century Gothic" w:eastAsia="Times New Roman" w:hAnsi="Century Gothic" w:cs="Arial"/>
          <w:sz w:val="24"/>
          <w:szCs w:val="24"/>
          <w:lang w:val="es-ES"/>
        </w:rPr>
        <w:t>.</w:t>
      </w:r>
      <w:r w:rsidR="002451DE" w:rsidRPr="00050C33">
        <w:rPr>
          <w:rFonts w:ascii="Century Gothic" w:eastAsia="Times New Roman" w:hAnsi="Century Gothic" w:cs="Arial"/>
          <w:b/>
          <w:bCs/>
          <w:sz w:val="24"/>
          <w:szCs w:val="24"/>
          <w:lang w:val="es-ES"/>
        </w:rPr>
        <w:t xml:space="preserve"> En conclusión</w:t>
      </w:r>
      <w:r w:rsidR="002451DE" w:rsidRPr="00050C33">
        <w:rPr>
          <w:rFonts w:ascii="Century Gothic" w:eastAsia="Times New Roman" w:hAnsi="Century Gothic" w:cs="Arial"/>
          <w:sz w:val="24"/>
          <w:szCs w:val="24"/>
          <w:lang w:val="es-ES"/>
        </w:rPr>
        <w:t>, se declarará improcedente la acción de referencia</w:t>
      </w:r>
      <w:r w:rsidR="002451DE">
        <w:rPr>
          <w:rFonts w:ascii="Century Gothic" w:eastAsia="Times New Roman" w:hAnsi="Century Gothic" w:cs="Arial"/>
          <w:sz w:val="24"/>
          <w:szCs w:val="24"/>
          <w:lang w:val="es-ES"/>
        </w:rPr>
        <w:t>.</w:t>
      </w:r>
    </w:p>
    <w:p w14:paraId="0DBD18E4" w14:textId="77777777" w:rsidR="002451DE" w:rsidRPr="005416BC" w:rsidRDefault="002451DE" w:rsidP="002451DE">
      <w:pPr>
        <w:spacing w:line="360" w:lineRule="auto"/>
        <w:jc w:val="both"/>
        <w:rPr>
          <w:rFonts w:ascii="Century Gothic" w:eastAsia="Times New Roman" w:hAnsi="Century Gothic" w:cs="Arial"/>
          <w:bCs/>
          <w:sz w:val="24"/>
          <w:szCs w:val="24"/>
          <w:lang w:val="es-ES"/>
        </w:rPr>
      </w:pPr>
    </w:p>
    <w:p w14:paraId="2A70AB36" w14:textId="77777777" w:rsidR="002451DE" w:rsidRDefault="002451DE" w:rsidP="002451DE">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lastRenderedPageBreak/>
        <w:t xml:space="preserve">En mérito de lo expuesto, el JUZGADO TREINTA Y CUATRO (34) ADMINISTRATIVO DEL CIRCUITO DE BOGOTÁ, administrando justicia en nombre de la República de Colombia y por autoridad de la Ley, </w:t>
      </w:r>
    </w:p>
    <w:p w14:paraId="3F6512EE" w14:textId="77777777" w:rsidR="002451DE" w:rsidRPr="00050C33" w:rsidRDefault="002451DE" w:rsidP="002451DE">
      <w:pPr>
        <w:spacing w:line="360" w:lineRule="auto"/>
        <w:ind w:left="708"/>
        <w:jc w:val="both"/>
        <w:rPr>
          <w:rFonts w:ascii="Century Gothic" w:eastAsia="Times New Roman" w:hAnsi="Century Gothic" w:cs="Arial"/>
          <w:sz w:val="24"/>
          <w:szCs w:val="24"/>
          <w:lang w:val="es-ES"/>
        </w:rPr>
      </w:pPr>
    </w:p>
    <w:p w14:paraId="239405E9" w14:textId="77777777" w:rsidR="002451DE" w:rsidRPr="00050C33" w:rsidRDefault="002451DE" w:rsidP="002451DE">
      <w:pPr>
        <w:spacing w:line="360" w:lineRule="auto"/>
        <w:jc w:val="center"/>
        <w:rPr>
          <w:rFonts w:ascii="Century Gothic" w:eastAsia="Times New Roman" w:hAnsi="Century Gothic" w:cs="Arial"/>
          <w:sz w:val="24"/>
          <w:szCs w:val="24"/>
          <w:lang w:val="es-ES"/>
        </w:rPr>
      </w:pPr>
      <w:r w:rsidRPr="00050C33">
        <w:rPr>
          <w:rFonts w:ascii="Century Gothic" w:eastAsia="Times New Roman" w:hAnsi="Century Gothic" w:cs="Arial"/>
          <w:b/>
          <w:sz w:val="24"/>
          <w:szCs w:val="24"/>
          <w:lang w:val="es-ES"/>
        </w:rPr>
        <w:t>FALLA</w:t>
      </w:r>
    </w:p>
    <w:p w14:paraId="00B38022" w14:textId="77777777" w:rsidR="002451DE" w:rsidRPr="00050C33" w:rsidRDefault="002451DE" w:rsidP="002451DE">
      <w:pPr>
        <w:spacing w:line="360" w:lineRule="auto"/>
        <w:ind w:left="708"/>
        <w:jc w:val="both"/>
        <w:rPr>
          <w:rFonts w:ascii="Century Gothic" w:eastAsia="Times New Roman" w:hAnsi="Century Gothic" w:cs="Arial"/>
          <w:sz w:val="24"/>
          <w:szCs w:val="24"/>
          <w:lang w:val="es-ES"/>
        </w:rPr>
      </w:pPr>
    </w:p>
    <w:p w14:paraId="01474C95" w14:textId="633CCEB0" w:rsidR="002451DE" w:rsidRPr="00050C33" w:rsidRDefault="002451DE" w:rsidP="002451DE">
      <w:pPr>
        <w:pStyle w:val="Sangradetextonormal"/>
        <w:spacing w:line="360" w:lineRule="auto"/>
        <w:ind w:left="0"/>
        <w:rPr>
          <w:rFonts w:ascii="Century Gothic" w:hAnsi="Century Gothic" w:cs="Arial"/>
          <w:szCs w:val="24"/>
          <w:lang w:val="es-ES"/>
        </w:rPr>
      </w:pPr>
      <w:r w:rsidRPr="00050C33">
        <w:rPr>
          <w:rFonts w:ascii="Century Gothic" w:hAnsi="Century Gothic" w:cs="Arial"/>
          <w:b/>
          <w:szCs w:val="24"/>
          <w:lang w:val="es-ES"/>
        </w:rPr>
        <w:t>PRIMERO:</w:t>
      </w:r>
      <w:r w:rsidRPr="00050C33">
        <w:rPr>
          <w:rFonts w:ascii="Century Gothic" w:hAnsi="Century Gothic" w:cs="Arial"/>
          <w:szCs w:val="24"/>
          <w:lang w:val="es-ES"/>
        </w:rPr>
        <w:t xml:space="preserve"> </w:t>
      </w:r>
      <w:r w:rsidRPr="00050C33">
        <w:rPr>
          <w:rFonts w:ascii="Century Gothic" w:hAnsi="Century Gothic" w:cs="Arial"/>
          <w:b/>
          <w:szCs w:val="24"/>
          <w:lang w:val="es-ES"/>
        </w:rPr>
        <w:t>NEGAR</w:t>
      </w:r>
      <w:r w:rsidRPr="00050C33">
        <w:rPr>
          <w:rFonts w:ascii="Century Gothic" w:hAnsi="Century Gothic" w:cs="Arial"/>
          <w:szCs w:val="24"/>
          <w:lang w:val="es-ES"/>
        </w:rPr>
        <w:t xml:space="preserve"> por improcedente la acción de tutela </w:t>
      </w:r>
      <w:r>
        <w:rPr>
          <w:rFonts w:ascii="Century Gothic" w:hAnsi="Century Gothic" w:cs="Arial"/>
          <w:szCs w:val="24"/>
          <w:lang w:val="es-ES"/>
        </w:rPr>
        <w:t xml:space="preserve">que presentó </w:t>
      </w:r>
      <w:r w:rsidRPr="00050C33">
        <w:rPr>
          <w:rFonts w:ascii="Century Gothic" w:hAnsi="Century Gothic" w:cs="Arial"/>
          <w:szCs w:val="24"/>
          <w:lang w:val="es-ES"/>
        </w:rPr>
        <w:t xml:space="preserve">la señora </w:t>
      </w:r>
      <w:r w:rsidR="00620676">
        <w:rPr>
          <w:rFonts w:ascii="Century Gothic" w:hAnsi="Century Gothic" w:cs="Arial"/>
          <w:szCs w:val="24"/>
          <w:lang w:val="es-ES"/>
        </w:rPr>
        <w:t>Mayra Alejandra Luna Ramírez</w:t>
      </w:r>
      <w:r>
        <w:rPr>
          <w:rFonts w:ascii="Century Gothic" w:hAnsi="Century Gothic" w:cs="Arial"/>
          <w:szCs w:val="24"/>
          <w:lang w:val="es-ES"/>
        </w:rPr>
        <w:t>,</w:t>
      </w:r>
      <w:r w:rsidRPr="00050C33">
        <w:rPr>
          <w:rFonts w:ascii="Century Gothic" w:hAnsi="Century Gothic" w:cs="Arial"/>
          <w:szCs w:val="24"/>
          <w:lang w:val="es-ES"/>
        </w:rPr>
        <w:t xml:space="preserve"> por las razones expuestas en la parte motiva de esta sentencia.</w:t>
      </w:r>
    </w:p>
    <w:p w14:paraId="27519466" w14:textId="77777777" w:rsidR="002451DE" w:rsidRPr="00050C33" w:rsidRDefault="002451DE" w:rsidP="002451DE">
      <w:pPr>
        <w:tabs>
          <w:tab w:val="left" w:pos="426"/>
        </w:tabs>
        <w:spacing w:line="360" w:lineRule="auto"/>
        <w:jc w:val="both"/>
        <w:rPr>
          <w:rFonts w:ascii="Century Gothic" w:eastAsia="Times New Roman" w:hAnsi="Century Gothic" w:cs="Arial"/>
          <w:sz w:val="24"/>
          <w:szCs w:val="24"/>
          <w:lang w:val="es-ES"/>
        </w:rPr>
      </w:pPr>
    </w:p>
    <w:p w14:paraId="7FB6C8BB" w14:textId="35121EAF" w:rsidR="002451DE" w:rsidRPr="00050C33" w:rsidRDefault="002451DE" w:rsidP="002451DE">
      <w:pPr>
        <w:tabs>
          <w:tab w:val="left" w:pos="426"/>
        </w:tabs>
        <w:spacing w:line="360"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color w:val="000000" w:themeColor="text1"/>
          <w:sz w:val="24"/>
          <w:szCs w:val="24"/>
          <w:lang w:val="es-ES"/>
        </w:rPr>
        <w:t>SEGUNDO:</w:t>
      </w:r>
      <w:r w:rsidRPr="00050C33">
        <w:rPr>
          <w:rFonts w:ascii="Century Gothic" w:eastAsia="Times New Roman" w:hAnsi="Century Gothic" w:cs="Arial"/>
          <w:b/>
          <w:sz w:val="24"/>
          <w:szCs w:val="24"/>
          <w:lang w:val="es-ES"/>
        </w:rPr>
        <w:t xml:space="preserve"> COMUNICAR</w:t>
      </w:r>
      <w:r w:rsidRPr="00050C33">
        <w:rPr>
          <w:rFonts w:ascii="Century Gothic" w:eastAsia="Times New Roman" w:hAnsi="Century Gothic" w:cs="Arial"/>
          <w:sz w:val="24"/>
          <w:szCs w:val="24"/>
          <w:lang w:val="es-ES"/>
        </w:rPr>
        <w:t xml:space="preserve"> por el medio más expedito la presente providencia a la accionante </w:t>
      </w:r>
      <w:r w:rsidR="00620676">
        <w:rPr>
          <w:rFonts w:ascii="Century Gothic" w:eastAsia="Times New Roman" w:hAnsi="Century Gothic" w:cs="Arial"/>
          <w:sz w:val="24"/>
          <w:szCs w:val="24"/>
          <w:lang w:val="es-ES"/>
        </w:rPr>
        <w:t>Mayra Alejandra Luna Ramírez</w:t>
      </w:r>
      <w:r w:rsidRPr="00050C33">
        <w:rPr>
          <w:rFonts w:ascii="Century Gothic" w:eastAsia="Times New Roman" w:hAnsi="Century Gothic" w:cs="Arial"/>
          <w:sz w:val="24"/>
          <w:szCs w:val="24"/>
          <w:lang w:val="es-ES"/>
        </w:rPr>
        <w:t xml:space="preserve">, al representante legal de la Unidad </w:t>
      </w:r>
      <w:r w:rsidR="00620676">
        <w:rPr>
          <w:rFonts w:ascii="Century Gothic" w:eastAsia="Times New Roman" w:hAnsi="Century Gothic" w:cs="Arial"/>
          <w:sz w:val="24"/>
          <w:szCs w:val="24"/>
          <w:lang w:val="es-ES"/>
        </w:rPr>
        <w:t>Administrativa Especial Migración Colombia</w:t>
      </w:r>
      <w:r w:rsidRPr="00050C33">
        <w:rPr>
          <w:rFonts w:ascii="Century Gothic" w:eastAsia="Times New Roman" w:hAnsi="Century Gothic" w:cs="Arial"/>
          <w:sz w:val="24"/>
          <w:szCs w:val="24"/>
          <w:lang w:val="es-ES"/>
        </w:rPr>
        <w:t xml:space="preserve"> </w:t>
      </w:r>
      <w:proofErr w:type="gramStart"/>
      <w:r w:rsidRPr="00050C33">
        <w:rPr>
          <w:rFonts w:ascii="Century Gothic" w:eastAsia="Times New Roman" w:hAnsi="Century Gothic" w:cs="Arial"/>
          <w:sz w:val="24"/>
          <w:szCs w:val="24"/>
          <w:lang w:val="es-ES"/>
        </w:rPr>
        <w:t xml:space="preserve">y </w:t>
      </w:r>
      <w:r w:rsidR="00620676">
        <w:rPr>
          <w:rFonts w:ascii="Century Gothic" w:eastAsia="Times New Roman" w:hAnsi="Century Gothic" w:cs="Arial"/>
          <w:sz w:val="24"/>
          <w:szCs w:val="24"/>
          <w:lang w:val="es-ES"/>
        </w:rPr>
        <w:t xml:space="preserve"> al</w:t>
      </w:r>
      <w:proofErr w:type="gramEnd"/>
      <w:r w:rsidR="00620676">
        <w:rPr>
          <w:rFonts w:ascii="Century Gothic" w:eastAsia="Times New Roman" w:hAnsi="Century Gothic" w:cs="Arial"/>
          <w:sz w:val="24"/>
          <w:szCs w:val="24"/>
          <w:lang w:val="es-ES"/>
        </w:rPr>
        <w:t xml:space="preserve"> Ministro de Relaciones Exteriores</w:t>
      </w:r>
      <w:r w:rsidRPr="00050C33">
        <w:rPr>
          <w:rFonts w:ascii="Century Gothic" w:eastAsia="Times New Roman" w:hAnsi="Century Gothic" w:cs="Arial"/>
          <w:sz w:val="24"/>
          <w:szCs w:val="24"/>
          <w:lang w:val="es-ES"/>
        </w:rPr>
        <w:t>, o a quienes hagan sus veces.</w:t>
      </w:r>
    </w:p>
    <w:p w14:paraId="223F9DEB" w14:textId="77777777" w:rsidR="002451DE" w:rsidRPr="00050C33" w:rsidRDefault="002451DE" w:rsidP="002451DE">
      <w:pPr>
        <w:tabs>
          <w:tab w:val="left" w:pos="6744"/>
        </w:tabs>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ab/>
      </w:r>
    </w:p>
    <w:p w14:paraId="7D99F27F" w14:textId="77777777" w:rsidR="002451DE" w:rsidRPr="00050C33" w:rsidRDefault="002451DE" w:rsidP="002451DE">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b/>
          <w:sz w:val="24"/>
          <w:szCs w:val="24"/>
          <w:lang w:val="es-ES"/>
        </w:rPr>
        <w:t>TERCERO:</w:t>
      </w:r>
      <w:r w:rsidRPr="00050C33">
        <w:rPr>
          <w:rFonts w:ascii="Century Gothic" w:eastAsia="Times New Roman" w:hAnsi="Century Gothic" w:cs="Arial"/>
          <w:sz w:val="24"/>
          <w:szCs w:val="24"/>
          <w:lang w:val="es-ES"/>
        </w:rPr>
        <w:t xml:space="preserve"> En caso de que la presente providencia no fuere impugnada, remítase, para efectos de su Revisión, a la Honorable Corte Constitucional, en los términos del Artículo 31 del Decreto – Ley 2591 de 1991.  </w:t>
      </w:r>
    </w:p>
    <w:p w14:paraId="15F8DFD6" w14:textId="77777777" w:rsidR="002451DE" w:rsidRPr="00050C33" w:rsidRDefault="002451DE" w:rsidP="002451DE">
      <w:pPr>
        <w:spacing w:line="360" w:lineRule="auto"/>
        <w:jc w:val="both"/>
        <w:rPr>
          <w:rFonts w:ascii="Century Gothic" w:eastAsia="Times New Roman" w:hAnsi="Century Gothic" w:cs="Arial"/>
          <w:b/>
          <w:sz w:val="24"/>
          <w:szCs w:val="24"/>
          <w:lang w:val="es-ES"/>
        </w:rPr>
      </w:pPr>
    </w:p>
    <w:p w14:paraId="07AFC539" w14:textId="77777777" w:rsidR="002451DE" w:rsidRPr="00050C33" w:rsidRDefault="002451DE" w:rsidP="002451DE">
      <w:pPr>
        <w:spacing w:line="360"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CÓPIESE, NOTIFÍQUESE y CÚMPLASE,</w:t>
      </w:r>
    </w:p>
    <w:p w14:paraId="7D2DE32F" w14:textId="77777777" w:rsidR="002451DE" w:rsidRPr="00050C33" w:rsidRDefault="002451DE" w:rsidP="002451DE">
      <w:pPr>
        <w:spacing w:line="360" w:lineRule="auto"/>
        <w:jc w:val="both"/>
        <w:rPr>
          <w:rFonts w:ascii="Century Gothic" w:eastAsia="Times New Roman" w:hAnsi="Century Gothic" w:cs="Arial"/>
          <w:sz w:val="24"/>
          <w:szCs w:val="24"/>
          <w:lang w:val="es-ES"/>
        </w:rPr>
      </w:pPr>
    </w:p>
    <w:p w14:paraId="64718D37" w14:textId="77777777" w:rsidR="002451DE" w:rsidRPr="00050C33" w:rsidRDefault="002451DE" w:rsidP="002451DE">
      <w:pPr>
        <w:spacing w:line="360" w:lineRule="auto"/>
        <w:jc w:val="both"/>
        <w:rPr>
          <w:rFonts w:ascii="Century Gothic" w:eastAsia="Times New Roman" w:hAnsi="Century Gothic" w:cs="Arial"/>
          <w:sz w:val="24"/>
          <w:szCs w:val="24"/>
          <w:lang w:val="es-ES"/>
        </w:rPr>
      </w:pPr>
    </w:p>
    <w:p w14:paraId="73435CA8" w14:textId="77777777" w:rsidR="002451DE" w:rsidRPr="00050C33" w:rsidRDefault="002451DE" w:rsidP="002451DE">
      <w:pPr>
        <w:spacing w:line="360" w:lineRule="auto"/>
        <w:jc w:val="center"/>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LUIS GABRIEL AHUMADA PERDOMO</w:t>
      </w:r>
    </w:p>
    <w:p w14:paraId="7A468586" w14:textId="77777777" w:rsidR="002451DE" w:rsidRPr="00050C33" w:rsidRDefault="002451DE" w:rsidP="002451DE">
      <w:pPr>
        <w:spacing w:line="360" w:lineRule="auto"/>
        <w:jc w:val="center"/>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Juez</w:t>
      </w:r>
    </w:p>
    <w:p w14:paraId="7E7D667A" w14:textId="77777777" w:rsidR="002451DE" w:rsidRPr="00050C33" w:rsidRDefault="002451DE" w:rsidP="002451DE">
      <w:pPr>
        <w:spacing w:line="360" w:lineRule="auto"/>
        <w:rPr>
          <w:rFonts w:ascii="Century Gothic" w:eastAsia="Times New Roman" w:hAnsi="Century Gothic" w:cs="Arial"/>
          <w:sz w:val="16"/>
          <w:szCs w:val="16"/>
          <w:lang w:val="es-ES"/>
        </w:rPr>
      </w:pPr>
      <w:r w:rsidRPr="00050C33">
        <w:rPr>
          <w:rFonts w:ascii="Century Gothic" w:eastAsia="Times New Roman" w:hAnsi="Century Gothic" w:cs="Arial"/>
          <w:sz w:val="16"/>
          <w:szCs w:val="16"/>
          <w:lang w:val="es-ES"/>
        </w:rPr>
        <w:t>AMRA</w:t>
      </w:r>
    </w:p>
    <w:p w14:paraId="2BD15FD1" w14:textId="77777777" w:rsidR="002451DE" w:rsidRPr="00050C33" w:rsidRDefault="002451DE" w:rsidP="002451DE">
      <w:pPr>
        <w:spacing w:line="360" w:lineRule="auto"/>
        <w:rPr>
          <w:sz w:val="24"/>
          <w:szCs w:val="24"/>
          <w:lang w:val="es-ES"/>
        </w:rPr>
      </w:pPr>
    </w:p>
    <w:p w14:paraId="1A559465" w14:textId="77777777" w:rsidR="002451DE" w:rsidRPr="00050C33" w:rsidRDefault="002451DE" w:rsidP="002451DE">
      <w:pPr>
        <w:spacing w:line="360" w:lineRule="auto"/>
        <w:rPr>
          <w:sz w:val="24"/>
          <w:szCs w:val="24"/>
          <w:lang w:val="es-ES"/>
        </w:rPr>
      </w:pPr>
    </w:p>
    <w:p w14:paraId="602A9465" w14:textId="77777777" w:rsidR="002451DE" w:rsidRPr="00050C33" w:rsidRDefault="002451DE" w:rsidP="002451DE">
      <w:pPr>
        <w:spacing w:line="360" w:lineRule="auto"/>
        <w:rPr>
          <w:lang w:val="es-ES"/>
        </w:rPr>
      </w:pPr>
    </w:p>
    <w:p w14:paraId="5C8BDF40" w14:textId="77777777" w:rsidR="002451DE" w:rsidRPr="00050C33" w:rsidRDefault="002451DE" w:rsidP="002451DE">
      <w:pPr>
        <w:spacing w:line="360" w:lineRule="auto"/>
        <w:rPr>
          <w:lang w:val="es-ES"/>
        </w:rPr>
      </w:pPr>
    </w:p>
    <w:p w14:paraId="7D007E0D" w14:textId="77777777" w:rsidR="002451DE" w:rsidRPr="00050C33" w:rsidRDefault="002451DE" w:rsidP="002451DE">
      <w:pPr>
        <w:spacing w:line="360" w:lineRule="auto"/>
        <w:rPr>
          <w:lang w:val="es-ES"/>
        </w:rPr>
      </w:pPr>
    </w:p>
    <w:p w14:paraId="2B78801A" w14:textId="77777777" w:rsidR="00721BE6" w:rsidRDefault="00721BE6"/>
    <w:sectPr w:rsidR="00721BE6" w:rsidSect="003F2F7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6F9EF" w14:textId="77777777" w:rsidR="00004DEC" w:rsidRDefault="00004DEC" w:rsidP="002451DE">
      <w:r>
        <w:separator/>
      </w:r>
    </w:p>
  </w:endnote>
  <w:endnote w:type="continuationSeparator" w:id="0">
    <w:p w14:paraId="15CAC65C" w14:textId="77777777" w:rsidR="00004DEC" w:rsidRDefault="00004DEC" w:rsidP="0024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4C27C" w14:textId="77777777" w:rsidR="00004DEC" w:rsidRDefault="00004DEC" w:rsidP="002451DE">
      <w:r>
        <w:separator/>
      </w:r>
    </w:p>
  </w:footnote>
  <w:footnote w:type="continuationSeparator" w:id="0">
    <w:p w14:paraId="57BACC3B" w14:textId="77777777" w:rsidR="00004DEC" w:rsidRDefault="00004DEC" w:rsidP="002451DE">
      <w:r>
        <w:continuationSeparator/>
      </w:r>
    </w:p>
  </w:footnote>
  <w:footnote w:id="1">
    <w:p w14:paraId="16F0B6D4" w14:textId="77777777" w:rsidR="002451DE" w:rsidRDefault="002451DE" w:rsidP="002451DE">
      <w:pPr>
        <w:pStyle w:val="Textoindependiente"/>
        <w:spacing w:after="0" w:line="276" w:lineRule="auto"/>
        <w:ind w:right="51"/>
        <w:jc w:val="both"/>
        <w:rPr>
          <w:rFonts w:ascii="Century Gothic" w:hAnsi="Century Gothic"/>
          <w:sz w:val="20"/>
          <w:lang w:val="es-ES"/>
        </w:rPr>
      </w:pPr>
      <w:r w:rsidRPr="005C6589">
        <w:rPr>
          <w:rStyle w:val="Refdenotaalpie"/>
          <w:rFonts w:ascii="Century Gothic" w:hAnsi="Century Gothic"/>
          <w:sz w:val="20"/>
        </w:rPr>
        <w:footnoteRef/>
      </w:r>
      <w:r w:rsidRPr="005C6589">
        <w:rPr>
          <w:rFonts w:ascii="Century Gothic" w:hAnsi="Century Gothic"/>
          <w:sz w:val="20"/>
        </w:rPr>
        <w:t xml:space="preserve"> </w:t>
      </w:r>
      <w:r w:rsidRPr="005C6589">
        <w:rPr>
          <w:rFonts w:ascii="Century Gothic" w:hAnsi="Century Gothic"/>
          <w:sz w:val="20"/>
          <w:lang w:val="es-ES"/>
        </w:rPr>
        <w:t>En la solicitud de tutela se formularon las siguientes pretensiones:</w:t>
      </w:r>
    </w:p>
    <w:p w14:paraId="2BA2B178" w14:textId="77777777" w:rsidR="002451DE" w:rsidRDefault="002451DE" w:rsidP="002451DE">
      <w:pPr>
        <w:pStyle w:val="Textoindependiente"/>
        <w:spacing w:after="0" w:line="276" w:lineRule="auto"/>
        <w:ind w:right="51"/>
        <w:jc w:val="both"/>
        <w:rPr>
          <w:rFonts w:ascii="Century Gothic" w:hAnsi="Century Gothic" w:cs="Arial"/>
          <w:i/>
          <w:sz w:val="20"/>
          <w:lang w:val="es-ES"/>
        </w:rPr>
      </w:pPr>
    </w:p>
    <w:p w14:paraId="56D9BB23" w14:textId="793AE448" w:rsidR="002451DE" w:rsidRPr="002451DE" w:rsidRDefault="002451DE" w:rsidP="002451DE">
      <w:pPr>
        <w:pStyle w:val="Textoindependiente"/>
        <w:spacing w:line="276" w:lineRule="auto"/>
        <w:ind w:right="51"/>
        <w:jc w:val="both"/>
        <w:rPr>
          <w:rFonts w:ascii="Century Gothic" w:hAnsi="Century Gothic" w:cs="Arial"/>
          <w:i/>
          <w:sz w:val="20"/>
          <w:lang w:val="es-CO"/>
        </w:rPr>
      </w:pPr>
      <w:r w:rsidRPr="005C6589">
        <w:rPr>
          <w:rFonts w:ascii="Century Gothic" w:hAnsi="Century Gothic" w:cs="Arial"/>
          <w:i/>
          <w:sz w:val="20"/>
          <w:lang w:val="es-CO"/>
        </w:rPr>
        <w:t>“</w:t>
      </w:r>
      <w:r w:rsidRPr="002451DE">
        <w:rPr>
          <w:rFonts w:ascii="Century Gothic" w:hAnsi="Century Gothic" w:cs="Arial"/>
          <w:i/>
          <w:sz w:val="20"/>
          <w:lang w:val="es-CO"/>
        </w:rPr>
        <w:t>PROTEGER los derechos fundamentales a la unidad familiar, dignidad humana y la igualdad de mis hijos y mía.</w:t>
      </w:r>
    </w:p>
    <w:p w14:paraId="1572C252" w14:textId="6354A40D" w:rsidR="002451DE" w:rsidRPr="002451DE" w:rsidRDefault="002451DE" w:rsidP="002451DE">
      <w:pPr>
        <w:pStyle w:val="Textoindependiente"/>
        <w:spacing w:line="276" w:lineRule="auto"/>
        <w:ind w:right="51"/>
        <w:jc w:val="both"/>
        <w:rPr>
          <w:rFonts w:ascii="Century Gothic" w:hAnsi="Century Gothic" w:cs="Arial"/>
          <w:i/>
          <w:sz w:val="20"/>
          <w:lang w:val="es-CO"/>
        </w:rPr>
      </w:pPr>
      <w:r w:rsidRPr="002451DE">
        <w:rPr>
          <w:rFonts w:ascii="Century Gothic" w:hAnsi="Century Gothic" w:cs="Arial"/>
          <w:i/>
          <w:sz w:val="20"/>
          <w:lang w:val="es-CO"/>
        </w:rPr>
        <w:t>Como consecuencia de lo anterior:</w:t>
      </w:r>
    </w:p>
    <w:p w14:paraId="40D7E5F9" w14:textId="7BBD1EAA" w:rsidR="002451DE" w:rsidRPr="00BB3B72" w:rsidRDefault="002451DE" w:rsidP="002451DE">
      <w:pPr>
        <w:pStyle w:val="Textoindependiente"/>
        <w:spacing w:after="0" w:line="276" w:lineRule="auto"/>
        <w:ind w:right="51"/>
        <w:jc w:val="both"/>
        <w:rPr>
          <w:rFonts w:ascii="Century Gothic" w:hAnsi="Century Gothic" w:cs="Arial"/>
          <w:bCs/>
          <w:i/>
          <w:sz w:val="20"/>
          <w:lang w:val="es-CO"/>
        </w:rPr>
      </w:pPr>
      <w:r w:rsidRPr="002451DE">
        <w:rPr>
          <w:rFonts w:ascii="Century Gothic" w:hAnsi="Century Gothic" w:cs="Arial"/>
          <w:i/>
          <w:sz w:val="20"/>
          <w:lang w:val="es-CO"/>
        </w:rPr>
        <w:t>ORDENAR a Migración Colombia la emisión del Permiso Especial de Permanencia en calidad de beneficiario del titular MAYRA ALEJANDRA LUNA RAMIREZ, a mis hijos JESUS RAFAEL TREMARIA LUNA y MAIBEL ALEJANDRA CARRION en el término de 48 horas siguientes al fallo que se profiera. Lo anterior, en aras de garantizar el derecho a la unidad familiar y el derecho a la salud de mi hija</w:t>
      </w:r>
      <w:r>
        <w:rPr>
          <w:rFonts w:ascii="Century Gothic" w:hAnsi="Century Gothic" w:cs="Arial"/>
          <w:bCs/>
          <w:i/>
          <w:sz w:val="20"/>
          <w:lang w:val="es-CO"/>
        </w:rPr>
        <w:t xml:space="preserve">”. </w:t>
      </w:r>
    </w:p>
  </w:footnote>
  <w:footnote w:id="2">
    <w:p w14:paraId="359E5228" w14:textId="77777777" w:rsidR="002451DE" w:rsidRPr="008F241E" w:rsidRDefault="002451DE" w:rsidP="002451DE">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Sentencia T-401 de 2017 M.P. Gloria Stella Ortiz Delgado</w:t>
      </w:r>
    </w:p>
  </w:footnote>
  <w:footnote w:id="3">
    <w:p w14:paraId="15C29410" w14:textId="77777777" w:rsidR="002451DE" w:rsidRPr="008F241E" w:rsidRDefault="002451DE" w:rsidP="002451DE">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Sentencia T-800 de 2012 M.P. Jorge Iván Palacio Palacio.</w:t>
      </w:r>
    </w:p>
  </w:footnote>
  <w:footnote w:id="4">
    <w:p w14:paraId="64B6E0E2" w14:textId="77777777" w:rsidR="002451DE" w:rsidRPr="008F241E" w:rsidRDefault="002451DE" w:rsidP="002451DE">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w:t>
      </w:r>
      <w:r w:rsidRPr="008F241E">
        <w:rPr>
          <w:rFonts w:ascii="Century Gothic" w:hAnsi="Century Gothic"/>
          <w:lang w:val="es-419"/>
        </w:rPr>
        <w:t>Ibidem</w:t>
      </w:r>
    </w:p>
  </w:footnote>
  <w:footnote w:id="5">
    <w:p w14:paraId="56DE2B59" w14:textId="77777777" w:rsidR="002451DE" w:rsidRPr="00752F9A" w:rsidRDefault="002451DE" w:rsidP="002451DE">
      <w:pPr>
        <w:pStyle w:val="Textonotapie"/>
        <w:rPr>
          <w:rFonts w:ascii="Century Gothic" w:hAnsi="Century Gothic"/>
          <w:sz w:val="16"/>
          <w:szCs w:val="16"/>
          <w:lang w:val="es-419"/>
        </w:rPr>
      </w:pPr>
      <w:r w:rsidRPr="008F241E">
        <w:rPr>
          <w:rStyle w:val="Refdenotaalpie"/>
          <w:rFonts w:ascii="Century Gothic" w:hAnsi="Century Gothic"/>
        </w:rPr>
        <w:footnoteRef/>
      </w:r>
      <w:r w:rsidRPr="008F241E">
        <w:rPr>
          <w:rFonts w:ascii="Century Gothic" w:hAnsi="Century Gothic"/>
        </w:rPr>
        <w:t xml:space="preserve"> Sentencia T-471 de 2017. MP. Gloria Stella Ortiz Delgado</w:t>
      </w:r>
    </w:p>
  </w:footnote>
  <w:footnote w:id="6">
    <w:p w14:paraId="2431C8BB" w14:textId="77777777" w:rsidR="002451DE" w:rsidRPr="00F4445B" w:rsidRDefault="002451DE" w:rsidP="002451DE">
      <w:pPr>
        <w:pStyle w:val="Textonotapie"/>
        <w:rPr>
          <w:lang w:val="es-419"/>
        </w:rPr>
      </w:pPr>
      <w:r w:rsidRPr="00F4445B">
        <w:rPr>
          <w:rStyle w:val="Refdenotaalpie"/>
          <w:rFonts w:ascii="Century Gothic" w:hAnsi="Century Gothic"/>
        </w:rPr>
        <w:footnoteRef/>
      </w:r>
      <w:r w:rsidRPr="00F4445B">
        <w:rPr>
          <w:rFonts w:ascii="Century Gothic" w:hAnsi="Century Gothic"/>
        </w:rPr>
        <w:t xml:space="preserve"> Sentencia T-494 de 2010. MP. Jorge Ignacio Pretelt Chaljub</w:t>
      </w:r>
    </w:p>
  </w:footnote>
  <w:footnote w:id="7">
    <w:p w14:paraId="152F1E7E" w14:textId="77777777" w:rsidR="006026AE" w:rsidRPr="000D69D1" w:rsidRDefault="006026AE" w:rsidP="006026AE">
      <w:pPr>
        <w:pStyle w:val="Textonotapie"/>
        <w:jc w:val="both"/>
        <w:rPr>
          <w:rFonts w:ascii="Century Gothic" w:hAnsi="Century Gothic"/>
          <w:i/>
          <w:lang w:val="en-US"/>
        </w:rPr>
      </w:pPr>
      <w:r w:rsidRPr="00FB2F94">
        <w:rPr>
          <w:rStyle w:val="Refdenotaalpie"/>
          <w:rFonts w:ascii="Century Gothic" w:hAnsi="Century Gothic"/>
        </w:rPr>
        <w:footnoteRef/>
      </w:r>
      <w:r w:rsidRPr="00FB2F94">
        <w:rPr>
          <w:rFonts w:ascii="Century Gothic" w:hAnsi="Century Gothic"/>
        </w:rPr>
        <w:t xml:space="preserve"> </w:t>
      </w:r>
      <w:r w:rsidRPr="00FB2F94">
        <w:rPr>
          <w:rFonts w:ascii="Century Gothic" w:hAnsi="Century Gothic"/>
          <w:lang w:val="en-US"/>
        </w:rPr>
        <w:t xml:space="preserve">Sentencia T 010- de 2017 </w:t>
      </w:r>
      <w:r w:rsidRPr="000D69D1">
        <w:rPr>
          <w:rFonts w:ascii="Century Gothic" w:hAnsi="Century Gothic"/>
          <w:i/>
          <w:lang w:val="en-US"/>
        </w:rPr>
        <w:t xml:space="preserve">“La Corte Constitucional ha establecido que la acción de tutela es una herramienta procesal preferente, informal, sumaria y expedita que pretende el amparo de los derechos fundamentales de una persona que se ven vulnerados o amenazados por la acción u omisión de una autoridad pública o particular. No obstante para que la solicitud de amparo proceda, se requiere el cumplimiento de los siguientes requisitos: (i) legitimación por activa; (ii) legitimación por pasiva; (iii) trascendencia iusfundamental del asunto; (iv) </w:t>
      </w:r>
      <w:r w:rsidRPr="000D69D1">
        <w:rPr>
          <w:rFonts w:ascii="Century Gothic" w:hAnsi="Century Gothic"/>
          <w:b/>
          <w:bCs/>
          <w:i/>
          <w:u w:val="single"/>
          <w:lang w:val="en-US"/>
        </w:rPr>
        <w:t>agotamiento de los mecanismos judiciales disponibles</w:t>
      </w:r>
      <w:r w:rsidRPr="000D69D1">
        <w:rPr>
          <w:rFonts w:ascii="Century Gothic" w:hAnsi="Century Gothic"/>
          <w:i/>
          <w:lang w:val="en-US"/>
        </w:rPr>
        <w:t>, salvo la ocurrencia de un perjuicio irremediable (subsidiariedad); y (v) la evidente afectación actual de un derecho</w:t>
      </w:r>
    </w:p>
    <w:p w14:paraId="4BB1745B" w14:textId="77777777" w:rsidR="006026AE" w:rsidRDefault="006026AE" w:rsidP="006026AE">
      <w:pPr>
        <w:pStyle w:val="Textonotapie"/>
        <w:jc w:val="both"/>
        <w:rPr>
          <w:rFonts w:ascii="Century Gothic" w:hAnsi="Century Gothic"/>
          <w:lang w:val="en-US"/>
        </w:rPr>
      </w:pPr>
      <w:r w:rsidRPr="000D69D1">
        <w:rPr>
          <w:rFonts w:ascii="Century Gothic" w:hAnsi="Century Gothic"/>
          <w:i/>
          <w:lang w:val="en-US"/>
        </w:rPr>
        <w:t xml:space="preserve"> fundamental (inmediatez)”</w:t>
      </w:r>
      <w:r w:rsidRPr="00FB2F94">
        <w:rPr>
          <w:rFonts w:ascii="Century Gothic" w:hAnsi="Century Gothic"/>
          <w:lang w:val="en-US"/>
        </w:rPr>
        <w:t>.</w:t>
      </w:r>
      <w:r>
        <w:rPr>
          <w:rFonts w:ascii="Century Gothic" w:hAnsi="Century Gothic"/>
          <w:lang w:val="en-US"/>
        </w:rPr>
        <w:t xml:space="preserve"> (Subrayado y negrilla fuera de texto)</w:t>
      </w:r>
    </w:p>
    <w:p w14:paraId="4F363E8A" w14:textId="77777777" w:rsidR="000D69D1" w:rsidRPr="00FB2F94" w:rsidRDefault="000D69D1" w:rsidP="006026AE">
      <w:pPr>
        <w:pStyle w:val="Textonotapie"/>
        <w:jc w:val="both"/>
        <w:rPr>
          <w:rFonts w:ascii="Century Gothic" w:hAnsi="Century Gothic"/>
          <w:lang w:val="en-US"/>
        </w:rPr>
      </w:pPr>
    </w:p>
  </w:footnote>
  <w:footnote w:id="8">
    <w:p w14:paraId="35163CB1" w14:textId="4D8AFE76" w:rsidR="005A3469" w:rsidRPr="001C1E30" w:rsidRDefault="005A3469" w:rsidP="001C1E30">
      <w:pPr>
        <w:pStyle w:val="Textonotapie"/>
        <w:jc w:val="both"/>
        <w:rPr>
          <w:rFonts w:ascii="Century Gothic" w:hAnsi="Century Gothic"/>
        </w:rPr>
      </w:pPr>
      <w:r w:rsidRPr="001C1E30">
        <w:rPr>
          <w:rStyle w:val="Refdenotaalpie"/>
          <w:rFonts w:ascii="Century Gothic" w:hAnsi="Century Gothic"/>
        </w:rPr>
        <w:footnoteRef/>
      </w:r>
      <w:r w:rsidRPr="001C1E30">
        <w:rPr>
          <w:rFonts w:ascii="Century Gothic" w:hAnsi="Century Gothic"/>
        </w:rPr>
        <w:t xml:space="preserve"> Ver informe de tutela presentado por las partes accionadas, </w:t>
      </w:r>
      <w:r w:rsidR="001C1E30" w:rsidRPr="001C1E30">
        <w:rPr>
          <w:rFonts w:ascii="Century Gothic" w:hAnsi="Century Gothic"/>
        </w:rPr>
        <w:t xml:space="preserve">Unidad Administrativa Especial Migración Colombia y Ministerio de Relaciones Exteriores.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1B606" w14:textId="3320067C" w:rsidR="003F2F75" w:rsidRPr="00673541" w:rsidRDefault="00934DEB" w:rsidP="003F2F75">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Expediente No. AT 2020-00</w:t>
    </w:r>
    <w:r w:rsidR="002451DE">
      <w:rPr>
        <w:rFonts w:ascii="Century Gothic" w:eastAsiaTheme="minorHAnsi" w:hAnsi="Century Gothic" w:cs="Tahoma"/>
        <w:i/>
        <w:sz w:val="20"/>
        <w:szCs w:val="20"/>
        <w:lang w:val="es-MX" w:eastAsia="en-US"/>
      </w:rPr>
      <w:t>128</w:t>
    </w:r>
  </w:p>
  <w:p w14:paraId="18D0CBE4" w14:textId="77777777" w:rsidR="003F2F75" w:rsidRPr="00673541" w:rsidRDefault="00934DEB" w:rsidP="003F2F75">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 Sentencia de tutel</w:t>
    </w:r>
    <w:r>
      <w:rPr>
        <w:rFonts w:ascii="Century Gothic" w:eastAsiaTheme="minorHAnsi" w:hAnsi="Century Gothic" w:cs="Tahoma"/>
        <w:i/>
        <w:sz w:val="20"/>
        <w:szCs w:val="20"/>
        <w:lang w:val="es-MX" w:eastAsia="en-US"/>
      </w:rPr>
      <w:t>a</w:t>
    </w:r>
  </w:p>
  <w:p w14:paraId="1D2A96CA" w14:textId="77777777" w:rsidR="003F2F75" w:rsidRPr="00673541" w:rsidRDefault="00934DEB" w:rsidP="003F2F75">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Páginas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PAGE </w:instrText>
    </w:r>
    <w:r w:rsidRPr="00673541">
      <w:rPr>
        <w:rFonts w:ascii="Century Gothic" w:eastAsiaTheme="minorHAnsi" w:hAnsi="Century Gothic" w:cs="Tahoma"/>
        <w:i/>
        <w:sz w:val="20"/>
        <w:szCs w:val="20"/>
        <w:lang w:eastAsia="en-US"/>
      </w:rPr>
      <w:fldChar w:fldCharType="separate"/>
    </w:r>
    <w:r w:rsidR="009C7404">
      <w:rPr>
        <w:rFonts w:ascii="Century Gothic" w:eastAsiaTheme="minorHAnsi" w:hAnsi="Century Gothic" w:cs="Tahoma"/>
        <w:i/>
        <w:noProof/>
        <w:sz w:val="20"/>
        <w:szCs w:val="20"/>
        <w:lang w:eastAsia="en-US"/>
      </w:rPr>
      <w:t>8</w:t>
    </w:r>
    <w:r w:rsidRPr="00673541">
      <w:rPr>
        <w:rFonts w:ascii="Century Gothic" w:eastAsiaTheme="minorHAnsi" w:hAnsi="Century Gothic" w:cs="Tahoma"/>
        <w:i/>
        <w:sz w:val="20"/>
        <w:szCs w:val="20"/>
        <w:lang w:eastAsia="en-US"/>
      </w:rPr>
      <w:fldChar w:fldCharType="end"/>
    </w:r>
    <w:r w:rsidRPr="00673541">
      <w:rPr>
        <w:rFonts w:ascii="Century Gothic" w:eastAsiaTheme="minorHAnsi" w:hAnsi="Century Gothic" w:cs="Tahoma"/>
        <w:i/>
        <w:sz w:val="20"/>
        <w:szCs w:val="20"/>
        <w:lang w:eastAsia="en-US"/>
      </w:rPr>
      <w:t xml:space="preserve"> de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NUMPAGES </w:instrText>
    </w:r>
    <w:r w:rsidRPr="00673541">
      <w:rPr>
        <w:rFonts w:ascii="Century Gothic" w:eastAsiaTheme="minorHAnsi" w:hAnsi="Century Gothic" w:cs="Tahoma"/>
        <w:i/>
        <w:sz w:val="20"/>
        <w:szCs w:val="20"/>
        <w:lang w:eastAsia="en-US"/>
      </w:rPr>
      <w:fldChar w:fldCharType="separate"/>
    </w:r>
    <w:r w:rsidR="009C7404">
      <w:rPr>
        <w:rFonts w:ascii="Century Gothic" w:eastAsiaTheme="minorHAnsi" w:hAnsi="Century Gothic" w:cs="Tahoma"/>
        <w:i/>
        <w:noProof/>
        <w:sz w:val="20"/>
        <w:szCs w:val="20"/>
        <w:lang w:eastAsia="en-US"/>
      </w:rPr>
      <w:t>16</w:t>
    </w:r>
    <w:r w:rsidRPr="00673541">
      <w:rPr>
        <w:rFonts w:ascii="Century Gothic" w:eastAsiaTheme="minorHAnsi" w:hAnsi="Century Gothic" w:cs="Tahoma"/>
        <w:i/>
        <w:sz w:val="20"/>
        <w:szCs w:val="20"/>
        <w:lang w:eastAsia="en-US"/>
      </w:rPr>
      <w:fldChar w:fldCharType="end"/>
    </w:r>
  </w:p>
  <w:p w14:paraId="05E77643" w14:textId="77777777" w:rsidR="003F2F75" w:rsidRDefault="00004D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1FC7B" w14:textId="77777777" w:rsidR="003F2F75" w:rsidRPr="002F1FF0" w:rsidRDefault="00934DEB" w:rsidP="003F2F75">
    <w:pPr>
      <w:tabs>
        <w:tab w:val="center" w:pos="4419"/>
        <w:tab w:val="right" w:pos="8838"/>
      </w:tabs>
      <w:jc w:val="center"/>
      <w:rPr>
        <w:rFonts w:ascii="Tahoma" w:eastAsiaTheme="minorHAnsi" w:hAnsi="Tahoma" w:cs="Tahoma"/>
        <w:b/>
        <w:i/>
        <w:sz w:val="16"/>
        <w:szCs w:val="16"/>
        <w:lang w:eastAsia="en-US"/>
      </w:rPr>
    </w:pPr>
    <w:r w:rsidRPr="002F1FF0">
      <w:rPr>
        <w:rFonts w:ascii="Tahoma" w:eastAsiaTheme="minorHAnsi" w:hAnsi="Tahoma" w:cs="Tahoma"/>
        <w:b/>
        <w:i/>
        <w:noProof/>
        <w:sz w:val="16"/>
        <w:szCs w:val="16"/>
        <w:lang w:eastAsia="es-CO"/>
      </w:rPr>
      <w:drawing>
        <wp:inline distT="0" distB="0" distL="0" distR="0" wp14:anchorId="27C7469B" wp14:editId="22EC71AA">
          <wp:extent cx="661670" cy="641350"/>
          <wp:effectExtent l="0" t="0" r="5080" b="635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41350"/>
                  </a:xfrm>
                  <a:prstGeom prst="rect">
                    <a:avLst/>
                  </a:prstGeom>
                  <a:noFill/>
                  <a:ln>
                    <a:noFill/>
                  </a:ln>
                </pic:spPr>
              </pic:pic>
            </a:graphicData>
          </a:graphic>
        </wp:inline>
      </w:drawing>
    </w:r>
  </w:p>
  <w:p w14:paraId="757FEC46" w14:textId="77777777" w:rsidR="003F2F75" w:rsidRPr="00C603AA" w:rsidRDefault="00934DEB" w:rsidP="003F2F75">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JUZGADO TREINTA Y CUATRO ADMINISTRATIVO</w:t>
    </w:r>
  </w:p>
  <w:p w14:paraId="4798215B" w14:textId="77777777" w:rsidR="003F2F75" w:rsidRPr="00C603AA" w:rsidRDefault="00934DEB" w:rsidP="003F2F75">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ORAL DEL CIRCUITO DE BOGOTÁ</w:t>
    </w:r>
  </w:p>
  <w:p w14:paraId="32447780" w14:textId="77777777" w:rsidR="003F2F75" w:rsidRPr="00C603AA" w:rsidRDefault="00934DEB" w:rsidP="003F2F75">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Sección Tercera</w:t>
    </w:r>
  </w:p>
  <w:p w14:paraId="07A9425E" w14:textId="77777777" w:rsidR="003F2F75" w:rsidRDefault="00004D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57CEC"/>
    <w:multiLevelType w:val="hybridMultilevel"/>
    <w:tmpl w:val="E320C2AE"/>
    <w:lvl w:ilvl="0" w:tplc="0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1DE"/>
    <w:rsid w:val="00004DEC"/>
    <w:rsid w:val="0003715C"/>
    <w:rsid w:val="000915D3"/>
    <w:rsid w:val="000D69D1"/>
    <w:rsid w:val="001B788E"/>
    <w:rsid w:val="001C1E30"/>
    <w:rsid w:val="002451DE"/>
    <w:rsid w:val="00245815"/>
    <w:rsid w:val="00287CFE"/>
    <w:rsid w:val="002D23B8"/>
    <w:rsid w:val="0035501C"/>
    <w:rsid w:val="0040072E"/>
    <w:rsid w:val="004158C0"/>
    <w:rsid w:val="00432DA9"/>
    <w:rsid w:val="00471E0C"/>
    <w:rsid w:val="004B2D53"/>
    <w:rsid w:val="004D2D49"/>
    <w:rsid w:val="00502E6F"/>
    <w:rsid w:val="005A3469"/>
    <w:rsid w:val="005B74D3"/>
    <w:rsid w:val="005E36AD"/>
    <w:rsid w:val="006026AE"/>
    <w:rsid w:val="00620676"/>
    <w:rsid w:val="006F214D"/>
    <w:rsid w:val="006F2FDA"/>
    <w:rsid w:val="00721BE6"/>
    <w:rsid w:val="007C15E8"/>
    <w:rsid w:val="007D29F8"/>
    <w:rsid w:val="007D449A"/>
    <w:rsid w:val="00834833"/>
    <w:rsid w:val="008D3F4C"/>
    <w:rsid w:val="00934DEB"/>
    <w:rsid w:val="00941DD1"/>
    <w:rsid w:val="009C7404"/>
    <w:rsid w:val="009E6A1F"/>
    <w:rsid w:val="00A1321E"/>
    <w:rsid w:val="00AB5D1C"/>
    <w:rsid w:val="00B01A3D"/>
    <w:rsid w:val="00B01CEF"/>
    <w:rsid w:val="00C27828"/>
    <w:rsid w:val="00CD5256"/>
    <w:rsid w:val="00E538C6"/>
    <w:rsid w:val="00E67A0F"/>
    <w:rsid w:val="00EE1AEE"/>
    <w:rsid w:val="00EF5522"/>
    <w:rsid w:val="00F937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A955"/>
  <w15:chartTrackingRefBased/>
  <w15:docId w15:val="{AEE00F01-B726-41EA-BF8B-448F46F3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51DE"/>
    <w:pPr>
      <w:spacing w:after="0" w:line="240" w:lineRule="auto"/>
    </w:pPr>
    <w:rPr>
      <w:rFonts w:eastAsiaTheme="minorEastAsia"/>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451DE"/>
    <w:pPr>
      <w:spacing w:after="120"/>
    </w:pPr>
    <w:rPr>
      <w:rFonts w:ascii="Arial" w:eastAsia="Times New Roman" w:hAnsi="Arial" w:cs="Times New Roman"/>
      <w:sz w:val="24"/>
      <w:szCs w:val="20"/>
      <w:lang w:val="x-none"/>
    </w:rPr>
  </w:style>
  <w:style w:type="character" w:customStyle="1" w:styleId="TextoindependienteCar">
    <w:name w:val="Texto independiente Car"/>
    <w:basedOn w:val="Fuentedeprrafopredeter"/>
    <w:link w:val="Textoindependiente"/>
    <w:rsid w:val="002451DE"/>
    <w:rPr>
      <w:rFonts w:ascii="Arial" w:eastAsia="Times New Roman" w:hAnsi="Arial" w:cs="Times New Roman"/>
      <w:sz w:val="24"/>
      <w:szCs w:val="20"/>
      <w:lang w:val="x-none" w:eastAsia="es-ES"/>
    </w:rPr>
  </w:style>
  <w:style w:type="paragraph" w:styleId="Textonotapie">
    <w:name w:val="footnote text"/>
    <w:basedOn w:val="Normal"/>
    <w:link w:val="TextonotapieCar"/>
    <w:uiPriority w:val="99"/>
    <w:unhideWhenUsed/>
    <w:rsid w:val="002451DE"/>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2451DE"/>
    <w:rPr>
      <w:rFonts w:ascii="Times New Roman" w:eastAsia="Times New Roman" w:hAnsi="Times New Roman" w:cs="Times New Roman"/>
      <w:sz w:val="20"/>
      <w:szCs w:val="20"/>
      <w:lang w:eastAsia="es-ES"/>
    </w:rPr>
  </w:style>
  <w:style w:type="character" w:styleId="Refdenotaalpie">
    <w:name w:val="footnote reference"/>
    <w:basedOn w:val="Fuentedeprrafopredeter"/>
    <w:unhideWhenUsed/>
    <w:rsid w:val="002451DE"/>
    <w:rPr>
      <w:vertAlign w:val="superscript"/>
    </w:rPr>
  </w:style>
  <w:style w:type="paragraph" w:styleId="Encabezado">
    <w:name w:val="header"/>
    <w:basedOn w:val="Normal"/>
    <w:link w:val="EncabezadoCar"/>
    <w:uiPriority w:val="99"/>
    <w:unhideWhenUsed/>
    <w:rsid w:val="002451DE"/>
    <w:pPr>
      <w:tabs>
        <w:tab w:val="center" w:pos="4252"/>
        <w:tab w:val="right" w:pos="8504"/>
      </w:tabs>
    </w:pPr>
  </w:style>
  <w:style w:type="character" w:customStyle="1" w:styleId="EncabezadoCar">
    <w:name w:val="Encabezado Car"/>
    <w:basedOn w:val="Fuentedeprrafopredeter"/>
    <w:link w:val="Encabezado"/>
    <w:uiPriority w:val="99"/>
    <w:rsid w:val="002451DE"/>
    <w:rPr>
      <w:rFonts w:eastAsiaTheme="minorEastAsia"/>
      <w:lang w:val="es-CO" w:eastAsia="es-ES"/>
    </w:rPr>
  </w:style>
  <w:style w:type="character" w:styleId="Hipervnculo">
    <w:name w:val="Hyperlink"/>
    <w:basedOn w:val="Fuentedeprrafopredeter"/>
    <w:uiPriority w:val="99"/>
    <w:unhideWhenUsed/>
    <w:rsid w:val="002451DE"/>
    <w:rPr>
      <w:color w:val="0563C1" w:themeColor="hyperlink"/>
      <w:u w:val="single"/>
    </w:rPr>
  </w:style>
  <w:style w:type="paragraph" w:styleId="Sangradetextonormal">
    <w:name w:val="Body Text Indent"/>
    <w:basedOn w:val="Normal"/>
    <w:link w:val="SangradetextonormalCar"/>
    <w:rsid w:val="002451DE"/>
    <w:pPr>
      <w:ind w:left="708"/>
      <w:jc w:val="both"/>
    </w:pPr>
    <w:rPr>
      <w:rFonts w:ascii="Arial" w:eastAsia="Times New Roman" w:hAnsi="Arial" w:cs="Times New Roman"/>
      <w:sz w:val="24"/>
      <w:szCs w:val="20"/>
      <w:lang w:val="es-MX"/>
    </w:rPr>
  </w:style>
  <w:style w:type="character" w:customStyle="1" w:styleId="SangradetextonormalCar">
    <w:name w:val="Sangría de texto normal Car"/>
    <w:basedOn w:val="Fuentedeprrafopredeter"/>
    <w:link w:val="Sangradetextonormal"/>
    <w:rsid w:val="002451DE"/>
    <w:rPr>
      <w:rFonts w:ascii="Arial" w:eastAsia="Times New Roman" w:hAnsi="Arial" w:cs="Times New Roman"/>
      <w:sz w:val="24"/>
      <w:szCs w:val="20"/>
      <w:lang w:val="es-MX" w:eastAsia="es-ES"/>
    </w:rPr>
  </w:style>
  <w:style w:type="paragraph" w:styleId="Piedepgina">
    <w:name w:val="footer"/>
    <w:basedOn w:val="Normal"/>
    <w:link w:val="PiedepginaCar"/>
    <w:uiPriority w:val="99"/>
    <w:unhideWhenUsed/>
    <w:rsid w:val="002451DE"/>
    <w:pPr>
      <w:tabs>
        <w:tab w:val="center" w:pos="4252"/>
        <w:tab w:val="right" w:pos="8504"/>
      </w:tabs>
    </w:pPr>
  </w:style>
  <w:style w:type="character" w:customStyle="1" w:styleId="PiedepginaCar">
    <w:name w:val="Pie de página Car"/>
    <w:basedOn w:val="Fuentedeprrafopredeter"/>
    <w:link w:val="Piedepgina"/>
    <w:uiPriority w:val="99"/>
    <w:rsid w:val="002451DE"/>
    <w:rPr>
      <w:rFonts w:eastAsiaTheme="minorEastAsia"/>
      <w:lang w:val="es-CO" w:eastAsia="es-ES"/>
    </w:rPr>
  </w:style>
  <w:style w:type="paragraph" w:styleId="Prrafodelista">
    <w:name w:val="List Paragraph"/>
    <w:basedOn w:val="Normal"/>
    <w:uiPriority w:val="34"/>
    <w:qFormat/>
    <w:rsid w:val="002451DE"/>
    <w:pPr>
      <w:ind w:left="720"/>
      <w:contextualSpacing/>
    </w:pPr>
  </w:style>
  <w:style w:type="character" w:customStyle="1" w:styleId="Mencinsinresolver1">
    <w:name w:val="Mención sin resolver1"/>
    <w:basedOn w:val="Fuentedeprrafopredeter"/>
    <w:uiPriority w:val="99"/>
    <w:semiHidden/>
    <w:unhideWhenUsed/>
    <w:rsid w:val="00037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illeria.gov.co/tramites_servicios/visas/solicitud-vi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EBD7F-430E-48E0-8627-00ACEFCA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3657</Words>
  <Characters>20119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Amaya</dc:creator>
  <cp:keywords/>
  <dc:description/>
  <cp:lastModifiedBy>crileca88</cp:lastModifiedBy>
  <cp:revision>2</cp:revision>
  <dcterms:created xsi:type="dcterms:W3CDTF">2020-07-06T21:16:00Z</dcterms:created>
  <dcterms:modified xsi:type="dcterms:W3CDTF">2020-07-06T21:16:00Z</dcterms:modified>
</cp:coreProperties>
</file>