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423"/>
      </w:tblGrid>
      <w:tr w:rsidR="00841FF9" w:rsidRPr="00D3390B" w14:paraId="41ED72FB" w14:textId="77777777" w:rsidTr="006A74A0">
        <w:tc>
          <w:tcPr>
            <w:tcW w:w="2297" w:type="dxa"/>
          </w:tcPr>
          <w:p w14:paraId="3D2CBDAB" w14:textId="02254582" w:rsidR="00841FF9" w:rsidRPr="00D3390B" w:rsidRDefault="00415748" w:rsidP="00415748">
            <w:pPr>
              <w:pStyle w:val="Sinespaciado"/>
              <w:jc w:val="both"/>
              <w:rPr>
                <w:rFonts w:ascii="Century Gothic" w:hAnsi="Century Gothic" w:cs="Arial"/>
                <w:sz w:val="24"/>
                <w:szCs w:val="24"/>
                <w:lang w:val="es-ES"/>
              </w:rPr>
            </w:pPr>
            <w:bookmarkStart w:id="0" w:name="_GoBack"/>
            <w:bookmarkEnd w:id="0"/>
            <w:r w:rsidRPr="00D3390B">
              <w:rPr>
                <w:rFonts w:ascii="Century Gothic" w:hAnsi="Century Gothic" w:cs="Arial"/>
                <w:sz w:val="24"/>
                <w:szCs w:val="24"/>
                <w:lang w:val="es-ES"/>
              </w:rPr>
              <w:t>Ciudad y fecha</w:t>
            </w:r>
          </w:p>
        </w:tc>
        <w:tc>
          <w:tcPr>
            <w:tcW w:w="6423" w:type="dxa"/>
          </w:tcPr>
          <w:p w14:paraId="78752A87" w14:textId="5E5FB8D6" w:rsidR="00841FF9" w:rsidRPr="00D3390B" w:rsidRDefault="00841FF9" w:rsidP="00EA7D39">
            <w:pPr>
              <w:pStyle w:val="Sinespaciado"/>
              <w:jc w:val="both"/>
              <w:rPr>
                <w:rFonts w:ascii="Century Gothic" w:hAnsi="Century Gothic" w:cs="Arial"/>
                <w:b/>
                <w:sz w:val="24"/>
                <w:szCs w:val="24"/>
                <w:lang w:val="es-ES"/>
              </w:rPr>
            </w:pPr>
            <w:r w:rsidRPr="00D3390B">
              <w:rPr>
                <w:rFonts w:ascii="Century Gothic" w:hAnsi="Century Gothic" w:cs="Arial"/>
                <w:b/>
                <w:sz w:val="24"/>
                <w:szCs w:val="24"/>
                <w:lang w:val="es-ES"/>
              </w:rPr>
              <w:t xml:space="preserve">Bogotá D.C., </w:t>
            </w:r>
            <w:r w:rsidR="00EA7D39" w:rsidRPr="00D3390B">
              <w:rPr>
                <w:rFonts w:ascii="Century Gothic" w:hAnsi="Century Gothic" w:cs="Arial"/>
                <w:b/>
                <w:sz w:val="24"/>
                <w:szCs w:val="24"/>
                <w:lang w:val="es-ES"/>
              </w:rPr>
              <w:t>seis</w:t>
            </w:r>
            <w:r w:rsidR="000537BD" w:rsidRPr="00D3390B">
              <w:rPr>
                <w:rFonts w:ascii="Century Gothic" w:hAnsi="Century Gothic" w:cs="Arial"/>
                <w:b/>
                <w:sz w:val="24"/>
                <w:szCs w:val="24"/>
                <w:lang w:val="es-ES"/>
              </w:rPr>
              <w:t xml:space="preserve"> (</w:t>
            </w:r>
            <w:r w:rsidR="00EA7D39" w:rsidRPr="00D3390B">
              <w:rPr>
                <w:rFonts w:ascii="Century Gothic" w:hAnsi="Century Gothic" w:cs="Arial"/>
                <w:b/>
                <w:sz w:val="24"/>
                <w:szCs w:val="24"/>
                <w:lang w:val="es-ES"/>
              </w:rPr>
              <w:t>06</w:t>
            </w:r>
            <w:r w:rsidR="000537BD" w:rsidRPr="00D3390B">
              <w:rPr>
                <w:rFonts w:ascii="Century Gothic" w:hAnsi="Century Gothic" w:cs="Arial"/>
                <w:b/>
                <w:sz w:val="24"/>
                <w:szCs w:val="24"/>
                <w:lang w:val="es-ES"/>
              </w:rPr>
              <w:t>)</w:t>
            </w:r>
            <w:r w:rsidR="006123C7" w:rsidRPr="00D3390B">
              <w:rPr>
                <w:rFonts w:ascii="Century Gothic" w:hAnsi="Century Gothic" w:cs="Arial"/>
                <w:b/>
                <w:sz w:val="24"/>
                <w:szCs w:val="24"/>
                <w:lang w:val="es-ES"/>
              </w:rPr>
              <w:t xml:space="preserve"> de </w:t>
            </w:r>
            <w:r w:rsidR="00EF6512" w:rsidRPr="00D3390B">
              <w:rPr>
                <w:rFonts w:ascii="Century Gothic" w:hAnsi="Century Gothic" w:cs="Arial"/>
                <w:b/>
                <w:sz w:val="24"/>
                <w:szCs w:val="24"/>
                <w:lang w:val="es-ES"/>
              </w:rPr>
              <w:t>ju</w:t>
            </w:r>
            <w:r w:rsidR="00EA7D39" w:rsidRPr="00D3390B">
              <w:rPr>
                <w:rFonts w:ascii="Century Gothic" w:hAnsi="Century Gothic" w:cs="Arial"/>
                <w:b/>
                <w:sz w:val="24"/>
                <w:szCs w:val="24"/>
                <w:lang w:val="es-ES"/>
              </w:rPr>
              <w:t>lio</w:t>
            </w:r>
            <w:r w:rsidR="006123C7" w:rsidRPr="00D3390B">
              <w:rPr>
                <w:rFonts w:ascii="Century Gothic" w:hAnsi="Century Gothic" w:cs="Arial"/>
                <w:b/>
                <w:sz w:val="24"/>
                <w:szCs w:val="24"/>
                <w:lang w:val="es-ES"/>
              </w:rPr>
              <w:t xml:space="preserve"> de dos mil veinte (2020)</w:t>
            </w:r>
          </w:p>
        </w:tc>
      </w:tr>
      <w:tr w:rsidR="00841FF9" w:rsidRPr="00D3390B" w14:paraId="714CCDD5" w14:textId="77777777" w:rsidTr="006A74A0">
        <w:tc>
          <w:tcPr>
            <w:tcW w:w="2297" w:type="dxa"/>
          </w:tcPr>
          <w:p w14:paraId="4D60DD6D" w14:textId="6C4ADDC4" w:rsidR="00841FF9" w:rsidRPr="00D3390B" w:rsidRDefault="00415748" w:rsidP="00415748">
            <w:pPr>
              <w:pStyle w:val="Sinespaciado"/>
              <w:jc w:val="both"/>
              <w:rPr>
                <w:rFonts w:ascii="Century Gothic" w:hAnsi="Century Gothic" w:cs="Arial"/>
                <w:sz w:val="24"/>
                <w:szCs w:val="24"/>
                <w:lang w:val="es-ES"/>
              </w:rPr>
            </w:pPr>
            <w:r w:rsidRPr="00D3390B">
              <w:rPr>
                <w:rFonts w:ascii="Century Gothic" w:hAnsi="Century Gothic" w:cs="Arial"/>
                <w:sz w:val="24"/>
                <w:szCs w:val="24"/>
                <w:lang w:val="es-ES"/>
              </w:rPr>
              <w:t>Referencia</w:t>
            </w:r>
          </w:p>
        </w:tc>
        <w:tc>
          <w:tcPr>
            <w:tcW w:w="6423" w:type="dxa"/>
          </w:tcPr>
          <w:p w14:paraId="181B7B10" w14:textId="77777777" w:rsidR="00841FF9" w:rsidRPr="00D3390B" w:rsidRDefault="00841FF9" w:rsidP="00415748">
            <w:pPr>
              <w:pStyle w:val="Sinespaciado"/>
              <w:rPr>
                <w:rFonts w:ascii="Century Gothic" w:hAnsi="Century Gothic" w:cs="Arial"/>
                <w:b/>
                <w:sz w:val="24"/>
                <w:szCs w:val="24"/>
                <w:lang w:val="es-ES"/>
              </w:rPr>
            </w:pPr>
            <w:r w:rsidRPr="00D3390B">
              <w:rPr>
                <w:rFonts w:ascii="Century Gothic" w:hAnsi="Century Gothic" w:cs="Arial"/>
                <w:b/>
                <w:sz w:val="24"/>
                <w:szCs w:val="24"/>
                <w:lang w:val="es-ES"/>
              </w:rPr>
              <w:t xml:space="preserve">Expediente No. </w:t>
            </w:r>
            <w:r w:rsidRPr="00D3390B">
              <w:rPr>
                <w:rFonts w:ascii="Century Gothic" w:hAnsi="Century Gothic" w:cs="Arial"/>
                <w:b/>
                <w:sz w:val="24"/>
                <w:szCs w:val="24"/>
                <w:lang w:val="es-ES"/>
              </w:rPr>
              <w:fldChar w:fldCharType="begin"/>
            </w:r>
            <w:r w:rsidRPr="00D3390B">
              <w:rPr>
                <w:rFonts w:ascii="Century Gothic" w:hAnsi="Century Gothic" w:cs="Arial"/>
                <w:b/>
                <w:sz w:val="24"/>
                <w:szCs w:val="24"/>
                <w:lang w:val="es-ES"/>
              </w:rPr>
              <w:instrText xml:space="preserve"> MERGEFIELD "No_DE_EXPEDIENTE" </w:instrText>
            </w:r>
            <w:r w:rsidRPr="00D3390B">
              <w:rPr>
                <w:rFonts w:ascii="Century Gothic" w:hAnsi="Century Gothic" w:cs="Arial"/>
                <w:b/>
                <w:sz w:val="24"/>
                <w:szCs w:val="24"/>
                <w:lang w:val="es-ES"/>
              </w:rPr>
              <w:fldChar w:fldCharType="separate"/>
            </w:r>
            <w:r w:rsidRPr="00D3390B">
              <w:rPr>
                <w:rFonts w:ascii="Century Gothic" w:hAnsi="Century Gothic" w:cs="Arial"/>
                <w:b/>
                <w:sz w:val="24"/>
                <w:szCs w:val="24"/>
                <w:lang w:val="es-ES"/>
              </w:rPr>
              <w:t>11001333603420170015400</w:t>
            </w:r>
            <w:r w:rsidRPr="00D3390B">
              <w:rPr>
                <w:rFonts w:ascii="Century Gothic" w:hAnsi="Century Gothic" w:cs="Arial"/>
                <w:b/>
                <w:sz w:val="24"/>
                <w:szCs w:val="24"/>
                <w:lang w:val="es-ES"/>
              </w:rPr>
              <w:fldChar w:fldCharType="end"/>
            </w:r>
          </w:p>
        </w:tc>
      </w:tr>
      <w:tr w:rsidR="00841FF9" w:rsidRPr="00D3390B" w14:paraId="0A34240E" w14:textId="77777777" w:rsidTr="006A74A0">
        <w:tc>
          <w:tcPr>
            <w:tcW w:w="2297" w:type="dxa"/>
          </w:tcPr>
          <w:p w14:paraId="2A8146FC" w14:textId="72DBEBE7" w:rsidR="00841FF9" w:rsidRPr="00D3390B" w:rsidRDefault="00415748" w:rsidP="00415748">
            <w:pPr>
              <w:pStyle w:val="Sinespaciado"/>
              <w:jc w:val="both"/>
              <w:rPr>
                <w:rFonts w:ascii="Century Gothic" w:hAnsi="Century Gothic" w:cs="Arial"/>
                <w:sz w:val="24"/>
                <w:szCs w:val="24"/>
                <w:lang w:val="es-ES"/>
              </w:rPr>
            </w:pPr>
            <w:r w:rsidRPr="00D3390B">
              <w:rPr>
                <w:rFonts w:ascii="Century Gothic" w:hAnsi="Century Gothic" w:cs="Arial"/>
                <w:sz w:val="24"/>
                <w:szCs w:val="24"/>
                <w:lang w:val="es-ES"/>
              </w:rPr>
              <w:t>Demandante</w:t>
            </w:r>
          </w:p>
        </w:tc>
        <w:tc>
          <w:tcPr>
            <w:tcW w:w="6423" w:type="dxa"/>
          </w:tcPr>
          <w:p w14:paraId="3C8D0CE3" w14:textId="1D3B3873" w:rsidR="00841FF9" w:rsidRPr="00D3390B" w:rsidRDefault="00415748" w:rsidP="00415748">
            <w:pPr>
              <w:pStyle w:val="Sinespaciado"/>
              <w:jc w:val="both"/>
              <w:rPr>
                <w:rFonts w:ascii="Century Gothic" w:hAnsi="Century Gothic" w:cs="Arial"/>
                <w:b/>
                <w:sz w:val="24"/>
                <w:szCs w:val="24"/>
                <w:lang w:val="es-ES"/>
              </w:rPr>
            </w:pPr>
            <w:r w:rsidRPr="00D3390B">
              <w:rPr>
                <w:rFonts w:ascii="Century Gothic" w:hAnsi="Century Gothic" w:cs="Arial"/>
                <w:b/>
                <w:sz w:val="24"/>
                <w:szCs w:val="24"/>
                <w:lang w:val="es-ES"/>
              </w:rPr>
              <w:t>Luis Javier Medina García y otros</w:t>
            </w:r>
          </w:p>
        </w:tc>
      </w:tr>
      <w:tr w:rsidR="00841FF9" w:rsidRPr="00D3390B" w14:paraId="398042E7" w14:textId="77777777" w:rsidTr="006A74A0">
        <w:tc>
          <w:tcPr>
            <w:tcW w:w="2297" w:type="dxa"/>
          </w:tcPr>
          <w:p w14:paraId="0D57DA6C" w14:textId="6DEAF559" w:rsidR="00841FF9" w:rsidRPr="00D3390B" w:rsidRDefault="00415748" w:rsidP="00415748">
            <w:pPr>
              <w:pStyle w:val="Sinespaciado"/>
              <w:jc w:val="both"/>
              <w:rPr>
                <w:rFonts w:ascii="Century Gothic" w:hAnsi="Century Gothic" w:cs="Arial"/>
                <w:sz w:val="24"/>
                <w:szCs w:val="24"/>
                <w:lang w:val="es-ES"/>
              </w:rPr>
            </w:pPr>
            <w:r w:rsidRPr="00D3390B">
              <w:rPr>
                <w:rFonts w:ascii="Century Gothic" w:hAnsi="Century Gothic" w:cs="Arial"/>
                <w:sz w:val="24"/>
                <w:szCs w:val="24"/>
                <w:lang w:val="es-ES"/>
              </w:rPr>
              <w:t>Demandado</w:t>
            </w:r>
          </w:p>
        </w:tc>
        <w:tc>
          <w:tcPr>
            <w:tcW w:w="6423" w:type="dxa"/>
          </w:tcPr>
          <w:p w14:paraId="7E631096" w14:textId="3FBAA638" w:rsidR="00841FF9" w:rsidRPr="00D3390B" w:rsidRDefault="00415748" w:rsidP="00415748">
            <w:pPr>
              <w:spacing w:after="0" w:line="240" w:lineRule="auto"/>
              <w:jc w:val="both"/>
              <w:rPr>
                <w:rFonts w:ascii="Century Gothic" w:hAnsi="Century Gothic" w:cs="Arial"/>
                <w:b/>
                <w:sz w:val="24"/>
                <w:szCs w:val="24"/>
                <w:lang w:val="es-ES"/>
              </w:rPr>
            </w:pPr>
            <w:r w:rsidRPr="00D3390B">
              <w:rPr>
                <w:rFonts w:ascii="Century Gothic" w:hAnsi="Century Gothic" w:cs="Arial"/>
                <w:b/>
                <w:sz w:val="24"/>
                <w:szCs w:val="24"/>
                <w:lang w:val="es-ES"/>
              </w:rPr>
              <w:t>Nación – Ministerio de Defensa Nacional – Ejército Nacional – Dirección de Sanidad</w:t>
            </w:r>
          </w:p>
        </w:tc>
      </w:tr>
      <w:tr w:rsidR="00841FF9" w:rsidRPr="00D3390B" w14:paraId="300595E2" w14:textId="77777777" w:rsidTr="006A74A0">
        <w:tc>
          <w:tcPr>
            <w:tcW w:w="2297" w:type="dxa"/>
          </w:tcPr>
          <w:p w14:paraId="08936DDD" w14:textId="4E0828C5" w:rsidR="00841FF9" w:rsidRPr="00D3390B" w:rsidRDefault="00415748" w:rsidP="00415748">
            <w:pPr>
              <w:pStyle w:val="Sinespaciado"/>
              <w:jc w:val="both"/>
              <w:rPr>
                <w:rFonts w:ascii="Century Gothic" w:hAnsi="Century Gothic" w:cs="Arial"/>
                <w:sz w:val="24"/>
                <w:szCs w:val="24"/>
                <w:lang w:val="es-ES"/>
              </w:rPr>
            </w:pPr>
            <w:r w:rsidRPr="00D3390B">
              <w:rPr>
                <w:rFonts w:ascii="Century Gothic" w:hAnsi="Century Gothic" w:cs="Arial"/>
                <w:sz w:val="24"/>
                <w:szCs w:val="24"/>
                <w:lang w:val="es-ES"/>
              </w:rPr>
              <w:t>Medio de control</w:t>
            </w:r>
          </w:p>
        </w:tc>
        <w:tc>
          <w:tcPr>
            <w:tcW w:w="6423" w:type="dxa"/>
          </w:tcPr>
          <w:p w14:paraId="1AEA77E0" w14:textId="652B83C1" w:rsidR="00841FF9" w:rsidRPr="00D3390B" w:rsidRDefault="00415748" w:rsidP="00415748">
            <w:pPr>
              <w:pStyle w:val="Sinespaciado"/>
              <w:rPr>
                <w:rFonts w:ascii="Century Gothic" w:hAnsi="Century Gothic" w:cs="Arial"/>
                <w:b/>
                <w:sz w:val="24"/>
                <w:szCs w:val="24"/>
                <w:lang w:val="es-ES"/>
              </w:rPr>
            </w:pPr>
            <w:r w:rsidRPr="00D3390B">
              <w:rPr>
                <w:rFonts w:ascii="Century Gothic" w:hAnsi="Century Gothic" w:cs="Arial"/>
                <w:b/>
                <w:sz w:val="24"/>
                <w:szCs w:val="24"/>
                <w:lang w:val="es-ES"/>
              </w:rPr>
              <w:t>Reparación directa</w:t>
            </w:r>
          </w:p>
        </w:tc>
      </w:tr>
      <w:tr w:rsidR="00841FF9" w:rsidRPr="00D3390B" w14:paraId="747D2678" w14:textId="77777777" w:rsidTr="006A74A0">
        <w:tc>
          <w:tcPr>
            <w:tcW w:w="2297" w:type="dxa"/>
          </w:tcPr>
          <w:p w14:paraId="6153B9D8" w14:textId="08FBF6E2" w:rsidR="00841FF9" w:rsidRPr="00D3390B" w:rsidRDefault="00415748" w:rsidP="00415748">
            <w:pPr>
              <w:pStyle w:val="Sinespaciado"/>
              <w:jc w:val="both"/>
              <w:rPr>
                <w:rFonts w:ascii="Century Gothic" w:hAnsi="Century Gothic" w:cs="Arial"/>
                <w:sz w:val="24"/>
                <w:szCs w:val="24"/>
                <w:lang w:val="es-ES"/>
              </w:rPr>
            </w:pPr>
            <w:r w:rsidRPr="00D3390B">
              <w:rPr>
                <w:rFonts w:ascii="Century Gothic" w:hAnsi="Century Gothic" w:cs="Arial"/>
                <w:sz w:val="24"/>
                <w:szCs w:val="24"/>
                <w:lang w:val="es-ES"/>
              </w:rPr>
              <w:t>Asunto</w:t>
            </w:r>
          </w:p>
        </w:tc>
        <w:tc>
          <w:tcPr>
            <w:tcW w:w="6423" w:type="dxa"/>
          </w:tcPr>
          <w:p w14:paraId="640D7CE4" w14:textId="6C2BE2DB" w:rsidR="00841FF9" w:rsidRPr="00D3390B" w:rsidRDefault="00415748" w:rsidP="00415748">
            <w:pPr>
              <w:pStyle w:val="Sinespaciado"/>
              <w:jc w:val="both"/>
              <w:rPr>
                <w:rFonts w:ascii="Century Gothic" w:hAnsi="Century Gothic" w:cs="Arial"/>
                <w:b/>
                <w:sz w:val="24"/>
                <w:szCs w:val="24"/>
                <w:lang w:val="es-ES"/>
              </w:rPr>
            </w:pPr>
            <w:r w:rsidRPr="00D3390B">
              <w:rPr>
                <w:rFonts w:ascii="Century Gothic" w:hAnsi="Century Gothic" w:cs="Arial"/>
                <w:b/>
                <w:sz w:val="24"/>
                <w:szCs w:val="24"/>
                <w:lang w:val="es-ES"/>
              </w:rPr>
              <w:t>Sentencia de primera instancia</w:t>
            </w:r>
          </w:p>
        </w:tc>
      </w:tr>
    </w:tbl>
    <w:p w14:paraId="39F34F3C" w14:textId="516A7933" w:rsidR="00001E83" w:rsidRPr="00D3390B" w:rsidRDefault="00001E83" w:rsidP="00A16EC5">
      <w:pPr>
        <w:spacing w:after="0" w:line="360" w:lineRule="auto"/>
        <w:jc w:val="both"/>
        <w:rPr>
          <w:rFonts w:ascii="Century Gothic" w:hAnsi="Century Gothic" w:cs="Arial"/>
          <w:sz w:val="24"/>
          <w:szCs w:val="24"/>
          <w:lang w:val="es-ES"/>
        </w:rPr>
      </w:pPr>
    </w:p>
    <w:p w14:paraId="6E5DC8F5" w14:textId="411AC32A" w:rsidR="00415748" w:rsidRPr="00D3390B" w:rsidRDefault="006A74A0" w:rsidP="00C62FCF">
      <w:pPr>
        <w:spacing w:after="0" w:line="360" w:lineRule="auto"/>
        <w:jc w:val="center"/>
        <w:rPr>
          <w:rFonts w:ascii="Century Gothic" w:hAnsi="Century Gothic" w:cs="Arial"/>
          <w:b/>
          <w:sz w:val="24"/>
          <w:szCs w:val="24"/>
          <w:lang w:val="es-ES"/>
        </w:rPr>
      </w:pPr>
      <w:r w:rsidRPr="00D3390B">
        <w:rPr>
          <w:rFonts w:ascii="Century Gothic" w:hAnsi="Century Gothic" w:cs="Arial"/>
          <w:b/>
          <w:sz w:val="24"/>
          <w:szCs w:val="24"/>
          <w:lang w:val="es-ES"/>
        </w:rPr>
        <w:t>SENTENCIA DE PRIMERA INSTANCIA</w:t>
      </w:r>
    </w:p>
    <w:p w14:paraId="3ABDEA57" w14:textId="27697CB0" w:rsidR="006A74A0" w:rsidRPr="00D3390B" w:rsidRDefault="006A74A0" w:rsidP="00C62FCF">
      <w:pPr>
        <w:spacing w:after="0" w:line="360" w:lineRule="auto"/>
        <w:jc w:val="center"/>
        <w:rPr>
          <w:rFonts w:ascii="Century Gothic" w:hAnsi="Century Gothic" w:cs="Arial"/>
          <w:i/>
          <w:sz w:val="24"/>
          <w:szCs w:val="24"/>
          <w:lang w:val="es-ES"/>
        </w:rPr>
      </w:pPr>
      <w:r w:rsidRPr="00D3390B">
        <w:rPr>
          <w:rFonts w:ascii="Century Gothic" w:hAnsi="Century Gothic" w:cs="Arial"/>
          <w:i/>
          <w:sz w:val="24"/>
          <w:szCs w:val="24"/>
          <w:lang w:val="es-ES"/>
        </w:rPr>
        <w:t>(Declara administrativamente responsable)</w:t>
      </w:r>
    </w:p>
    <w:p w14:paraId="76148E8D" w14:textId="77777777" w:rsidR="00415748" w:rsidRPr="00D3390B" w:rsidRDefault="00415748" w:rsidP="00C62FCF">
      <w:pPr>
        <w:spacing w:after="0" w:line="360" w:lineRule="auto"/>
        <w:jc w:val="both"/>
        <w:rPr>
          <w:rFonts w:ascii="Century Gothic" w:hAnsi="Century Gothic" w:cs="Arial"/>
          <w:sz w:val="24"/>
          <w:szCs w:val="24"/>
          <w:lang w:val="es-ES"/>
        </w:rPr>
      </w:pPr>
    </w:p>
    <w:p w14:paraId="6631017D" w14:textId="77777777" w:rsidR="00B4696A" w:rsidRPr="00D3390B" w:rsidRDefault="00001E83" w:rsidP="00C62FCF">
      <w:pPr>
        <w:spacing w:after="0" w:line="360" w:lineRule="auto"/>
        <w:jc w:val="both"/>
        <w:rPr>
          <w:rFonts w:ascii="Century Gothic" w:hAnsi="Century Gothic" w:cs="Arial"/>
          <w:sz w:val="24"/>
          <w:szCs w:val="24"/>
          <w:lang w:val="es-ES"/>
        </w:rPr>
      </w:pPr>
      <w:r w:rsidRPr="00D3390B">
        <w:rPr>
          <w:rFonts w:ascii="Century Gothic" w:hAnsi="Century Gothic" w:cs="Arial"/>
          <w:sz w:val="24"/>
          <w:szCs w:val="24"/>
          <w:lang w:val="es-ES"/>
        </w:rPr>
        <w:t xml:space="preserve">El despacho decide la demanda que se formuló en contra de la Nación – Ministerio de Defensa Nacional </w:t>
      </w:r>
      <w:r w:rsidR="00283139" w:rsidRPr="00D3390B">
        <w:rPr>
          <w:rFonts w:ascii="Century Gothic" w:hAnsi="Century Gothic" w:cs="Arial"/>
          <w:sz w:val="24"/>
          <w:szCs w:val="24"/>
          <w:lang w:val="es-ES"/>
        </w:rPr>
        <w:t xml:space="preserve">– Ejército Nacional – Dirección de Sanidad, por los presuntos daños ocasionados a los demandantes con motivo de la muerte de la señora </w:t>
      </w:r>
      <w:r w:rsidR="00337873" w:rsidRPr="00D3390B">
        <w:rPr>
          <w:rFonts w:ascii="Century Gothic" w:hAnsi="Century Gothic" w:cs="Arial"/>
          <w:sz w:val="24"/>
          <w:szCs w:val="24"/>
          <w:lang w:val="es-ES"/>
        </w:rPr>
        <w:t xml:space="preserve">María Leonilde </w:t>
      </w:r>
      <w:r w:rsidR="00E97C5F" w:rsidRPr="00D3390B">
        <w:rPr>
          <w:rFonts w:ascii="Century Gothic" w:hAnsi="Century Gothic" w:cs="Arial"/>
          <w:sz w:val="24"/>
          <w:szCs w:val="24"/>
          <w:lang w:val="es-ES"/>
        </w:rPr>
        <w:t>Garc</w:t>
      </w:r>
      <w:r w:rsidR="00433BEF" w:rsidRPr="00D3390B">
        <w:rPr>
          <w:rFonts w:ascii="Century Gothic" w:hAnsi="Century Gothic" w:cs="Arial"/>
          <w:sz w:val="24"/>
          <w:szCs w:val="24"/>
          <w:lang w:val="es-ES"/>
        </w:rPr>
        <w:t xml:space="preserve">ía el 11 de marzo de 2015, que fue atribuida por los demandantes </w:t>
      </w:r>
      <w:r w:rsidR="0090101E" w:rsidRPr="00D3390B">
        <w:rPr>
          <w:rFonts w:ascii="Century Gothic" w:hAnsi="Century Gothic" w:cs="Arial"/>
          <w:sz w:val="24"/>
          <w:szCs w:val="24"/>
          <w:lang w:val="es-ES"/>
        </w:rPr>
        <w:t xml:space="preserve">a una </w:t>
      </w:r>
      <w:r w:rsidR="00433BEF" w:rsidRPr="00D3390B">
        <w:rPr>
          <w:rFonts w:ascii="Century Gothic" w:hAnsi="Century Gothic" w:cs="Arial"/>
          <w:sz w:val="24"/>
          <w:szCs w:val="24"/>
          <w:lang w:val="es-ES"/>
        </w:rPr>
        <w:t>falla en la prestaci</w:t>
      </w:r>
      <w:r w:rsidR="0090101E" w:rsidRPr="00D3390B">
        <w:rPr>
          <w:rFonts w:ascii="Century Gothic" w:hAnsi="Century Gothic" w:cs="Arial"/>
          <w:sz w:val="24"/>
          <w:szCs w:val="24"/>
          <w:lang w:val="es-ES"/>
        </w:rPr>
        <w:t>ón del servicio médico</w:t>
      </w:r>
      <w:r w:rsidR="00B4696A" w:rsidRPr="00D3390B">
        <w:rPr>
          <w:rFonts w:ascii="Century Gothic" w:hAnsi="Century Gothic" w:cs="Arial"/>
          <w:sz w:val="24"/>
          <w:szCs w:val="24"/>
          <w:lang w:val="es-ES"/>
        </w:rPr>
        <w:t>.</w:t>
      </w:r>
    </w:p>
    <w:p w14:paraId="5184F4A9" w14:textId="77777777" w:rsidR="00B4696A" w:rsidRPr="00D3390B" w:rsidRDefault="00B4696A" w:rsidP="00C62FCF">
      <w:pPr>
        <w:spacing w:after="0" w:line="360" w:lineRule="auto"/>
        <w:jc w:val="both"/>
        <w:rPr>
          <w:rFonts w:ascii="Century Gothic" w:hAnsi="Century Gothic" w:cs="Arial"/>
          <w:sz w:val="24"/>
          <w:szCs w:val="24"/>
          <w:lang w:val="es-ES"/>
        </w:rPr>
      </w:pPr>
    </w:p>
    <w:p w14:paraId="74AACB8A" w14:textId="7687FCBA" w:rsidR="00B4696A" w:rsidRPr="00D3390B" w:rsidRDefault="00B4696A" w:rsidP="00C62FCF">
      <w:pPr>
        <w:pStyle w:val="Prrafodelista"/>
        <w:numPr>
          <w:ilvl w:val="0"/>
          <w:numId w:val="18"/>
        </w:numPr>
        <w:spacing w:line="360" w:lineRule="auto"/>
        <w:contextualSpacing w:val="0"/>
        <w:jc w:val="center"/>
        <w:rPr>
          <w:rFonts w:ascii="Century Gothic" w:hAnsi="Century Gothic"/>
          <w:b/>
        </w:rPr>
      </w:pPr>
      <w:r w:rsidRPr="00D3390B">
        <w:rPr>
          <w:rFonts w:ascii="Century Gothic" w:hAnsi="Century Gothic"/>
          <w:b/>
        </w:rPr>
        <w:t>ANTECEDENTES</w:t>
      </w:r>
    </w:p>
    <w:p w14:paraId="46337090" w14:textId="22BC8F71" w:rsidR="00001E83" w:rsidRPr="00D3390B" w:rsidRDefault="0090101E" w:rsidP="00C62FCF">
      <w:pPr>
        <w:spacing w:after="0" w:line="360" w:lineRule="auto"/>
        <w:jc w:val="both"/>
        <w:rPr>
          <w:rFonts w:ascii="Century Gothic" w:hAnsi="Century Gothic" w:cs="Arial"/>
          <w:sz w:val="24"/>
          <w:szCs w:val="24"/>
          <w:lang w:val="es-ES"/>
        </w:rPr>
      </w:pPr>
      <w:r w:rsidRPr="00D3390B">
        <w:rPr>
          <w:rFonts w:ascii="Century Gothic" w:hAnsi="Century Gothic" w:cs="Arial"/>
          <w:sz w:val="24"/>
          <w:szCs w:val="24"/>
          <w:lang w:val="es-ES"/>
        </w:rPr>
        <w:t xml:space="preserve"> </w:t>
      </w:r>
    </w:p>
    <w:p w14:paraId="36D79441" w14:textId="0E734EB5" w:rsidR="00B4696A" w:rsidRPr="00D3390B" w:rsidRDefault="00B4696A" w:rsidP="00C62FCF">
      <w:pPr>
        <w:spacing w:line="360" w:lineRule="auto"/>
        <w:jc w:val="both"/>
        <w:rPr>
          <w:rFonts w:ascii="Century Gothic" w:hAnsi="Century Gothic"/>
          <w:b/>
          <w:sz w:val="24"/>
          <w:szCs w:val="24"/>
          <w:lang w:val="es-ES"/>
        </w:rPr>
      </w:pPr>
      <w:r w:rsidRPr="00D3390B">
        <w:rPr>
          <w:rFonts w:ascii="Century Gothic" w:hAnsi="Century Gothic" w:cs="Arial"/>
          <w:b/>
          <w:sz w:val="24"/>
          <w:szCs w:val="24"/>
          <w:lang w:val="es-ES"/>
        </w:rPr>
        <w:t>1.</w:t>
      </w:r>
      <w:r w:rsidRPr="00D3390B">
        <w:rPr>
          <w:rFonts w:ascii="Century Gothic" w:hAnsi="Century Gothic"/>
          <w:b/>
          <w:sz w:val="24"/>
          <w:szCs w:val="24"/>
          <w:lang w:val="es-ES"/>
        </w:rPr>
        <w:t xml:space="preserve"> Pla</w:t>
      </w:r>
      <w:r w:rsidR="00D3626A" w:rsidRPr="00D3390B">
        <w:rPr>
          <w:rFonts w:ascii="Century Gothic" w:hAnsi="Century Gothic"/>
          <w:b/>
          <w:sz w:val="24"/>
          <w:szCs w:val="24"/>
          <w:lang w:val="es-ES"/>
        </w:rPr>
        <w:t>nteamiento de las partes</w:t>
      </w:r>
    </w:p>
    <w:p w14:paraId="5922285D" w14:textId="7C729BF7" w:rsidR="00D3626A" w:rsidRPr="00D3390B" w:rsidRDefault="00D3626A" w:rsidP="00C62FCF">
      <w:pPr>
        <w:spacing w:line="360" w:lineRule="auto"/>
        <w:jc w:val="both"/>
        <w:rPr>
          <w:rFonts w:ascii="Century Gothic" w:hAnsi="Century Gothic"/>
          <w:b/>
          <w:sz w:val="24"/>
          <w:szCs w:val="24"/>
          <w:lang w:val="es-ES"/>
        </w:rPr>
      </w:pPr>
      <w:r w:rsidRPr="00D3390B">
        <w:rPr>
          <w:rFonts w:ascii="Century Gothic" w:hAnsi="Century Gothic"/>
          <w:b/>
          <w:sz w:val="24"/>
          <w:szCs w:val="24"/>
          <w:lang w:val="es-ES"/>
        </w:rPr>
        <w:t>1.1. Parte demandante</w:t>
      </w:r>
    </w:p>
    <w:p w14:paraId="0B48A1C4" w14:textId="00E6FBA2" w:rsidR="00D3626A" w:rsidRPr="00D3390B" w:rsidRDefault="00D3626A" w:rsidP="00C62FCF">
      <w:pPr>
        <w:spacing w:line="360" w:lineRule="auto"/>
        <w:jc w:val="both"/>
        <w:rPr>
          <w:rFonts w:ascii="Century Gothic" w:hAnsi="Century Gothic" w:cs="Arial"/>
          <w:sz w:val="24"/>
          <w:szCs w:val="24"/>
          <w:lang w:val="es-ES"/>
        </w:rPr>
      </w:pPr>
      <w:r w:rsidRPr="00D3390B">
        <w:rPr>
          <w:rFonts w:ascii="Century Gothic" w:hAnsi="Century Gothic"/>
          <w:sz w:val="24"/>
          <w:szCs w:val="24"/>
          <w:lang w:val="es-ES"/>
        </w:rPr>
        <w:t xml:space="preserve">1. Los demandantes pretenden se declare la responsabilidad de la </w:t>
      </w:r>
      <w:r w:rsidR="00953D12" w:rsidRPr="00D3390B">
        <w:rPr>
          <w:rFonts w:ascii="Century Gothic" w:hAnsi="Century Gothic" w:cs="Arial"/>
          <w:sz w:val="24"/>
          <w:szCs w:val="24"/>
          <w:lang w:val="es-ES"/>
        </w:rPr>
        <w:t>Nación – Ministerio de Defensa Nacional – Ejército Nacional – Dirección de Sanidad, por la muerte de la señora María Leonilde García el 11 de marzo</w:t>
      </w:r>
      <w:r w:rsidR="005C200E" w:rsidRPr="00D3390B">
        <w:rPr>
          <w:rFonts w:ascii="Century Gothic" w:hAnsi="Century Gothic" w:cs="Arial"/>
          <w:sz w:val="24"/>
          <w:szCs w:val="24"/>
          <w:lang w:val="es-ES"/>
        </w:rPr>
        <w:t xml:space="preserve"> de 2015, pues consideran que la atención médica que le brindó la parte demandada </w:t>
      </w:r>
      <w:r w:rsidR="00616D38" w:rsidRPr="00D3390B">
        <w:rPr>
          <w:rFonts w:ascii="Century Gothic" w:hAnsi="Century Gothic" w:cs="Arial"/>
          <w:sz w:val="24"/>
          <w:szCs w:val="24"/>
          <w:lang w:val="es-ES"/>
        </w:rPr>
        <w:t xml:space="preserve">no fue adecuada, ni oportuna, dado que </w:t>
      </w:r>
      <w:r w:rsidR="00615574" w:rsidRPr="00D3390B">
        <w:rPr>
          <w:rFonts w:ascii="Century Gothic" w:hAnsi="Century Gothic" w:cs="Arial"/>
          <w:sz w:val="24"/>
          <w:szCs w:val="24"/>
          <w:lang w:val="es-ES"/>
        </w:rPr>
        <w:t xml:space="preserve">no </w:t>
      </w:r>
      <w:r w:rsidR="00120C9D" w:rsidRPr="00D3390B">
        <w:rPr>
          <w:rFonts w:ascii="Century Gothic" w:hAnsi="Century Gothic" w:cs="Arial"/>
          <w:sz w:val="24"/>
          <w:szCs w:val="24"/>
          <w:lang w:val="es-ES"/>
        </w:rPr>
        <w:t xml:space="preserve">estuvo acorde con la patología que tenía la paciente de </w:t>
      </w:r>
      <w:r w:rsidR="00615574" w:rsidRPr="00D3390B">
        <w:rPr>
          <w:rFonts w:ascii="Century Gothic" w:hAnsi="Century Gothic" w:cs="Arial"/>
          <w:sz w:val="24"/>
          <w:szCs w:val="24"/>
          <w:lang w:val="es-ES"/>
        </w:rPr>
        <w:t>89 años de edad</w:t>
      </w:r>
      <w:r w:rsidR="00997B77" w:rsidRPr="00D3390B">
        <w:rPr>
          <w:rFonts w:ascii="Century Gothic" w:hAnsi="Century Gothic" w:cs="Arial"/>
          <w:sz w:val="24"/>
          <w:szCs w:val="24"/>
          <w:vertAlign w:val="superscript"/>
          <w:lang w:val="es-ES"/>
        </w:rPr>
        <w:footnoteReference w:id="1"/>
      </w:r>
      <w:r w:rsidR="00615574" w:rsidRPr="00D3390B">
        <w:rPr>
          <w:rFonts w:ascii="Century Gothic" w:hAnsi="Century Gothic" w:cs="Arial"/>
          <w:sz w:val="24"/>
          <w:szCs w:val="24"/>
          <w:lang w:val="es-ES"/>
        </w:rPr>
        <w:t>, no se le realizó un debido seguimiento, ni se le remiti</w:t>
      </w:r>
      <w:r w:rsidR="001B33E4" w:rsidRPr="00D3390B">
        <w:rPr>
          <w:rFonts w:ascii="Century Gothic" w:hAnsi="Century Gothic" w:cs="Arial"/>
          <w:sz w:val="24"/>
          <w:szCs w:val="24"/>
          <w:lang w:val="es-ES"/>
        </w:rPr>
        <w:t>ó a un centro médico de mayor complejidad.</w:t>
      </w:r>
    </w:p>
    <w:p w14:paraId="20AD4D50" w14:textId="22D900ED" w:rsidR="006043AF" w:rsidRPr="00D3390B" w:rsidRDefault="00C70E34" w:rsidP="00C62FCF">
      <w:pPr>
        <w:spacing w:line="360" w:lineRule="auto"/>
        <w:jc w:val="both"/>
        <w:rPr>
          <w:rFonts w:ascii="Century Gothic" w:hAnsi="Century Gothic" w:cs="Arial"/>
          <w:sz w:val="24"/>
          <w:szCs w:val="24"/>
          <w:lang w:val="es-ES"/>
        </w:rPr>
      </w:pPr>
      <w:r w:rsidRPr="00D3390B">
        <w:rPr>
          <w:rFonts w:ascii="Century Gothic" w:hAnsi="Century Gothic" w:cs="Arial"/>
          <w:sz w:val="24"/>
          <w:szCs w:val="24"/>
          <w:lang w:val="es-ES"/>
        </w:rPr>
        <w:lastRenderedPageBreak/>
        <w:t>2. En la demanda se formularon las siguientes pretensiones (folios</w:t>
      </w:r>
      <w:r w:rsidR="006043AF" w:rsidRPr="00D3390B">
        <w:rPr>
          <w:rFonts w:ascii="Century Gothic" w:hAnsi="Century Gothic" w:cs="Arial"/>
          <w:sz w:val="24"/>
          <w:szCs w:val="24"/>
          <w:lang w:val="es-ES"/>
        </w:rPr>
        <w:t xml:space="preserve"> 5 a 8 c.1</w:t>
      </w:r>
      <w:r w:rsidRPr="00D3390B">
        <w:rPr>
          <w:rFonts w:ascii="Century Gothic" w:hAnsi="Century Gothic" w:cs="Arial"/>
          <w:sz w:val="24"/>
          <w:szCs w:val="24"/>
          <w:lang w:val="es-ES"/>
        </w:rPr>
        <w:t>)</w:t>
      </w:r>
      <w:r w:rsidR="006043AF" w:rsidRPr="00D3390B">
        <w:rPr>
          <w:rFonts w:ascii="Century Gothic" w:hAnsi="Century Gothic" w:cs="Arial"/>
          <w:sz w:val="24"/>
          <w:szCs w:val="24"/>
          <w:lang w:val="es-ES"/>
        </w:rPr>
        <w:t>:</w:t>
      </w:r>
    </w:p>
    <w:p w14:paraId="3911D9EB" w14:textId="4265B3F1" w:rsidR="00841FF9" w:rsidRPr="00D3390B" w:rsidRDefault="00803951" w:rsidP="00C62FCF">
      <w:pPr>
        <w:spacing w:after="0" w:line="240" w:lineRule="auto"/>
        <w:ind w:left="567" w:right="616"/>
        <w:jc w:val="both"/>
        <w:rPr>
          <w:rFonts w:ascii="Century Gothic" w:eastAsiaTheme="minorHAnsi" w:hAnsi="Century Gothic" w:cs="Arial"/>
          <w:lang w:val="es-ES"/>
        </w:rPr>
      </w:pPr>
      <w:r w:rsidRPr="00D3390B">
        <w:rPr>
          <w:rFonts w:ascii="Century Gothic" w:eastAsia="Times New Roman" w:hAnsi="Century Gothic" w:cs="Arial"/>
          <w:b/>
          <w:bCs/>
          <w:kern w:val="28"/>
          <w:lang w:val="es-ES" w:eastAsia="es-ES_tradnl"/>
        </w:rPr>
        <w:t>“</w:t>
      </w:r>
      <w:proofErr w:type="gramStart"/>
      <w:r w:rsidR="00841FF9" w:rsidRPr="00D3390B">
        <w:rPr>
          <w:rFonts w:ascii="Century Gothic" w:eastAsia="Times New Roman" w:hAnsi="Century Gothic" w:cs="Arial"/>
          <w:b/>
          <w:bCs/>
          <w:kern w:val="28"/>
          <w:lang w:val="es-ES" w:eastAsia="es-ES_tradnl"/>
        </w:rPr>
        <w:t>PRIMERA.-</w:t>
      </w:r>
      <w:proofErr w:type="gramEnd"/>
      <w:r w:rsidR="00841FF9" w:rsidRPr="00D3390B">
        <w:rPr>
          <w:rFonts w:ascii="Century Gothic" w:eastAsia="Times New Roman" w:hAnsi="Century Gothic" w:cs="Arial"/>
          <w:b/>
          <w:bCs/>
          <w:kern w:val="28"/>
          <w:lang w:val="es-ES" w:eastAsia="es-ES_tradnl"/>
        </w:rPr>
        <w:t xml:space="preserve"> </w:t>
      </w:r>
      <w:r w:rsidR="00841FF9" w:rsidRPr="00D3390B">
        <w:rPr>
          <w:rFonts w:ascii="Century Gothic" w:eastAsia="Times New Roman" w:hAnsi="Century Gothic" w:cs="Arial"/>
          <w:bCs/>
          <w:kern w:val="28"/>
          <w:lang w:val="es-ES" w:eastAsia="es-ES_tradnl"/>
        </w:rPr>
        <w:t xml:space="preserve">Declarar </w:t>
      </w:r>
      <w:r w:rsidR="00841FF9" w:rsidRPr="00D3390B">
        <w:rPr>
          <w:rFonts w:ascii="Century Gothic" w:eastAsia="Times New Roman" w:hAnsi="Century Gothic" w:cs="Arial"/>
          <w:kern w:val="28"/>
          <w:lang w:val="es-ES" w:eastAsia="es-ES_tradnl"/>
        </w:rPr>
        <w:t xml:space="preserve">administrativa y patrimonialmente responsables a </w:t>
      </w:r>
      <w:r w:rsidR="00841FF9" w:rsidRPr="00D3390B">
        <w:rPr>
          <w:rFonts w:ascii="Century Gothic" w:eastAsiaTheme="minorHAnsi" w:hAnsi="Century Gothic" w:cs="Arial"/>
          <w:lang w:val="es-ES"/>
        </w:rPr>
        <w:t>LA NACI</w:t>
      </w:r>
      <w:r w:rsidR="005620C6" w:rsidRPr="00D3390B">
        <w:rPr>
          <w:rFonts w:ascii="Century Gothic" w:eastAsiaTheme="minorHAnsi" w:hAnsi="Century Gothic" w:cs="Arial"/>
          <w:lang w:val="es-ES"/>
        </w:rPr>
        <w:t>ÓN - MINISTERIO DE DEFENSA - EJÉ</w:t>
      </w:r>
      <w:r w:rsidR="00841FF9" w:rsidRPr="00D3390B">
        <w:rPr>
          <w:rFonts w:ascii="Century Gothic" w:eastAsiaTheme="minorHAnsi" w:hAnsi="Century Gothic" w:cs="Arial"/>
          <w:lang w:val="es-ES"/>
        </w:rPr>
        <w:t>RCITO NACIONAL - DIRECCIÓN DE SANIDAD</w:t>
      </w:r>
      <w:r w:rsidR="00841FF9" w:rsidRPr="00D3390B">
        <w:rPr>
          <w:rFonts w:ascii="Century Gothic" w:eastAsia="Times New Roman" w:hAnsi="Century Gothic" w:cs="Arial"/>
          <w:kern w:val="28"/>
          <w:lang w:val="es-ES" w:eastAsia="es-ES_tradnl"/>
        </w:rPr>
        <w:t xml:space="preserve">, por los </w:t>
      </w:r>
      <w:r w:rsidR="00841FF9" w:rsidRPr="00D3390B">
        <w:rPr>
          <w:rFonts w:ascii="Century Gothic" w:eastAsiaTheme="minorHAnsi" w:hAnsi="Century Gothic" w:cs="Arial"/>
          <w:lang w:val="es-ES"/>
        </w:rPr>
        <w:t>perjuicios materiales e inmateriales que les fueron causados a los demandantes por la muerte de MARIA LEONILDE GARCIA (madre de los demandantes), en el dispensario Médico del batallón A.S.P.C. No. 6 Francisco Antonio Zea, producto de la negligencia en la atención médica, carencia de medios básicos de atención y retardo en el traslado a un centro de mayor nivel debido a la patología que presentaba la paciente el día 11 de marzo de 2015.</w:t>
      </w:r>
    </w:p>
    <w:p w14:paraId="1729C25B" w14:textId="77777777" w:rsidR="00A16EC5" w:rsidRPr="00D3390B" w:rsidRDefault="00A16EC5" w:rsidP="00C62FCF">
      <w:pPr>
        <w:spacing w:after="0" w:line="240" w:lineRule="auto"/>
        <w:ind w:left="567" w:right="616"/>
        <w:jc w:val="both"/>
        <w:rPr>
          <w:rFonts w:ascii="Century Gothic" w:eastAsiaTheme="minorHAnsi" w:hAnsi="Century Gothic" w:cs="Arial"/>
          <w:lang w:val="es-ES"/>
        </w:rPr>
      </w:pPr>
    </w:p>
    <w:p w14:paraId="7CE1E9E1" w14:textId="77777777" w:rsidR="00841FF9" w:rsidRPr="00D3390B" w:rsidRDefault="00841FF9" w:rsidP="00C62FCF">
      <w:pPr>
        <w:spacing w:after="0" w:line="240" w:lineRule="auto"/>
        <w:ind w:left="567" w:right="616"/>
        <w:jc w:val="both"/>
        <w:rPr>
          <w:rFonts w:ascii="Century Gothic" w:eastAsia="Times New Roman" w:hAnsi="Century Gothic" w:cs="Arial"/>
          <w:bCs/>
          <w:kern w:val="28"/>
          <w:lang w:val="es-ES" w:eastAsia="es-ES_tradnl"/>
        </w:rPr>
      </w:pPr>
      <w:proofErr w:type="gramStart"/>
      <w:r w:rsidRPr="00D3390B">
        <w:rPr>
          <w:rFonts w:ascii="Century Gothic" w:eastAsia="Times New Roman" w:hAnsi="Century Gothic" w:cs="Arial"/>
          <w:b/>
          <w:bCs/>
          <w:kern w:val="28"/>
          <w:lang w:val="es-ES" w:eastAsia="es-ES_tradnl"/>
        </w:rPr>
        <w:t>SEGUNDA.-</w:t>
      </w:r>
      <w:proofErr w:type="gramEnd"/>
      <w:r w:rsidRPr="00D3390B">
        <w:rPr>
          <w:rFonts w:ascii="Century Gothic" w:eastAsia="Times New Roman" w:hAnsi="Century Gothic" w:cs="Arial"/>
          <w:b/>
          <w:bCs/>
          <w:kern w:val="28"/>
          <w:lang w:val="es-ES" w:eastAsia="es-ES_tradnl"/>
        </w:rPr>
        <w:t xml:space="preserve"> </w:t>
      </w:r>
      <w:r w:rsidRPr="00D3390B">
        <w:rPr>
          <w:rFonts w:ascii="Century Gothic" w:eastAsia="Times New Roman" w:hAnsi="Century Gothic" w:cs="Arial"/>
          <w:bCs/>
          <w:kern w:val="28"/>
          <w:lang w:val="es-ES" w:eastAsia="es-ES_tradnl"/>
        </w:rPr>
        <w:t xml:space="preserve">Que, como consecuencia de lo anterior, se condene a </w:t>
      </w:r>
      <w:r w:rsidRPr="00D3390B">
        <w:rPr>
          <w:rFonts w:ascii="Century Gothic" w:eastAsiaTheme="minorHAnsi" w:hAnsi="Century Gothic" w:cs="Arial"/>
          <w:lang w:val="es-ES"/>
        </w:rPr>
        <w:t>LA NACIÓN - MINISTERIO DE DEFENSA - EJERCITO NACIONAL - DIRECCIÓN DE SANIDAD</w:t>
      </w:r>
      <w:r w:rsidRPr="00D3390B">
        <w:rPr>
          <w:rFonts w:ascii="Century Gothic" w:eastAsia="Times New Roman" w:hAnsi="Century Gothic" w:cs="Arial"/>
          <w:kern w:val="28"/>
          <w:lang w:val="es-ES" w:eastAsia="es-ES_tradnl"/>
        </w:rPr>
        <w:t xml:space="preserve"> </w:t>
      </w:r>
      <w:r w:rsidRPr="00D3390B">
        <w:rPr>
          <w:rFonts w:ascii="Century Gothic" w:eastAsia="Times New Roman" w:hAnsi="Century Gothic" w:cs="Arial"/>
          <w:bCs/>
          <w:kern w:val="28"/>
          <w:lang w:val="es-ES" w:eastAsia="es-ES_tradnl"/>
        </w:rPr>
        <w:t>pagar a favor de los demandantes, lo siguiente:</w:t>
      </w:r>
    </w:p>
    <w:p w14:paraId="3811E285" w14:textId="77777777" w:rsidR="00A16EC5" w:rsidRPr="00D3390B" w:rsidRDefault="00A16EC5" w:rsidP="00C62FCF">
      <w:pPr>
        <w:spacing w:after="0" w:line="240" w:lineRule="auto"/>
        <w:ind w:left="567" w:right="616"/>
        <w:jc w:val="both"/>
        <w:rPr>
          <w:rFonts w:ascii="Century Gothic" w:eastAsia="Times New Roman" w:hAnsi="Century Gothic" w:cs="Arial"/>
          <w:bCs/>
          <w:kern w:val="28"/>
          <w:lang w:val="es-ES" w:eastAsia="es-ES_tradnl"/>
        </w:rPr>
      </w:pPr>
    </w:p>
    <w:p w14:paraId="01D650F5" w14:textId="52B50CED" w:rsidR="00841FF9" w:rsidRPr="00D3390B" w:rsidRDefault="005620C6" w:rsidP="00C62FCF">
      <w:pPr>
        <w:widowControl w:val="0"/>
        <w:tabs>
          <w:tab w:val="left" w:pos="2410"/>
        </w:tabs>
        <w:overflowPunct w:val="0"/>
        <w:autoSpaceDE w:val="0"/>
        <w:autoSpaceDN w:val="0"/>
        <w:adjustRightInd w:val="0"/>
        <w:spacing w:after="0" w:line="240" w:lineRule="auto"/>
        <w:ind w:left="567" w:right="616"/>
        <w:jc w:val="both"/>
        <w:rPr>
          <w:rFonts w:ascii="Century Gothic" w:eastAsia="Times New Roman" w:hAnsi="Century Gothic" w:cs="Arial"/>
          <w:b/>
          <w:kern w:val="28"/>
          <w:u w:val="single"/>
          <w:lang w:val="es-ES" w:eastAsia="es-ES_tradnl"/>
        </w:rPr>
      </w:pPr>
      <w:r w:rsidRPr="00D3390B">
        <w:rPr>
          <w:rFonts w:ascii="Century Gothic" w:eastAsia="Times New Roman" w:hAnsi="Century Gothic" w:cs="Arial"/>
          <w:b/>
          <w:kern w:val="28"/>
          <w:u w:val="single"/>
          <w:lang w:val="es-ES" w:eastAsia="es-ES_tradnl"/>
        </w:rPr>
        <w:t xml:space="preserve">1. </w:t>
      </w:r>
      <w:r w:rsidR="00841FF9" w:rsidRPr="00D3390B">
        <w:rPr>
          <w:rFonts w:ascii="Century Gothic" w:eastAsia="Times New Roman" w:hAnsi="Century Gothic" w:cs="Arial"/>
          <w:b/>
          <w:kern w:val="28"/>
          <w:u w:val="single"/>
          <w:lang w:val="es-ES" w:eastAsia="es-ES_tradnl"/>
        </w:rPr>
        <w:t>PERJUICIOS INMATERIALES:</w:t>
      </w:r>
    </w:p>
    <w:p w14:paraId="15EC6FFE" w14:textId="77777777" w:rsidR="00841FF9" w:rsidRPr="00D3390B" w:rsidRDefault="00841FF9" w:rsidP="00C62FCF">
      <w:pPr>
        <w:widowControl w:val="0"/>
        <w:tabs>
          <w:tab w:val="left" w:pos="2410"/>
        </w:tabs>
        <w:overflowPunct w:val="0"/>
        <w:autoSpaceDE w:val="0"/>
        <w:autoSpaceDN w:val="0"/>
        <w:adjustRightInd w:val="0"/>
        <w:spacing w:after="0" w:line="240" w:lineRule="auto"/>
        <w:ind w:left="567" w:right="616"/>
        <w:jc w:val="both"/>
        <w:rPr>
          <w:rFonts w:ascii="Century Gothic" w:eastAsia="Times New Roman" w:hAnsi="Century Gothic" w:cs="Arial"/>
          <w:b/>
          <w:bCs/>
          <w:kern w:val="28"/>
          <w:lang w:val="es-ES" w:eastAsia="es-ES_tradnl"/>
        </w:rPr>
      </w:pPr>
    </w:p>
    <w:p w14:paraId="2A912477" w14:textId="06BDBAEA" w:rsidR="00841FF9" w:rsidRPr="00D3390B" w:rsidRDefault="005620C6" w:rsidP="00C62FCF">
      <w:pPr>
        <w:widowControl w:val="0"/>
        <w:tabs>
          <w:tab w:val="left" w:pos="2410"/>
        </w:tabs>
        <w:overflowPunct w:val="0"/>
        <w:autoSpaceDE w:val="0"/>
        <w:autoSpaceDN w:val="0"/>
        <w:adjustRightInd w:val="0"/>
        <w:spacing w:after="0" w:line="240" w:lineRule="auto"/>
        <w:ind w:left="567" w:right="616"/>
        <w:jc w:val="both"/>
        <w:rPr>
          <w:rFonts w:ascii="Century Gothic" w:eastAsia="Times New Roman" w:hAnsi="Century Gothic" w:cs="Arial"/>
          <w:b/>
          <w:bCs/>
          <w:kern w:val="28"/>
          <w:u w:val="single"/>
          <w:lang w:val="es-ES" w:eastAsia="es-ES_tradnl"/>
        </w:rPr>
      </w:pPr>
      <w:r w:rsidRPr="00D3390B">
        <w:rPr>
          <w:rFonts w:ascii="Century Gothic" w:eastAsia="Times New Roman" w:hAnsi="Century Gothic" w:cs="Arial"/>
          <w:b/>
          <w:bCs/>
          <w:kern w:val="28"/>
          <w:u w:val="single"/>
          <w:lang w:val="es-ES" w:eastAsia="es-ES_tradnl"/>
        </w:rPr>
        <w:t xml:space="preserve">1.1. </w:t>
      </w:r>
      <w:r w:rsidR="00841FF9" w:rsidRPr="00D3390B">
        <w:rPr>
          <w:rFonts w:ascii="Century Gothic" w:eastAsia="Times New Roman" w:hAnsi="Century Gothic" w:cs="Arial"/>
          <w:b/>
          <w:bCs/>
          <w:kern w:val="28"/>
          <w:u w:val="single"/>
          <w:lang w:val="es-ES" w:eastAsia="es-ES_tradnl"/>
        </w:rPr>
        <w:t>MORALES</w:t>
      </w:r>
    </w:p>
    <w:p w14:paraId="1D30B4C3" w14:textId="77777777" w:rsidR="00CF3A4A" w:rsidRPr="00D3390B" w:rsidRDefault="00CF3A4A" w:rsidP="00C62FCF">
      <w:pPr>
        <w:widowControl w:val="0"/>
        <w:tabs>
          <w:tab w:val="left" w:pos="2410"/>
        </w:tabs>
        <w:overflowPunct w:val="0"/>
        <w:autoSpaceDE w:val="0"/>
        <w:autoSpaceDN w:val="0"/>
        <w:adjustRightInd w:val="0"/>
        <w:spacing w:after="0" w:line="240" w:lineRule="auto"/>
        <w:ind w:left="567" w:right="616"/>
        <w:jc w:val="both"/>
        <w:rPr>
          <w:rFonts w:ascii="Century Gothic" w:eastAsia="Times New Roman" w:hAnsi="Century Gothic" w:cs="Arial"/>
          <w:b/>
          <w:bCs/>
          <w:kern w:val="28"/>
          <w:u w:val="single"/>
          <w:lang w:val="es-ES" w:eastAsia="es-ES_tradnl"/>
        </w:rPr>
      </w:pPr>
    </w:p>
    <w:p w14:paraId="709353E9" w14:textId="77777777" w:rsidR="00841FF9" w:rsidRPr="00D3390B" w:rsidRDefault="00841FF9" w:rsidP="00C62FCF">
      <w:pPr>
        <w:widowControl w:val="0"/>
        <w:overflowPunct w:val="0"/>
        <w:autoSpaceDE w:val="0"/>
        <w:autoSpaceDN w:val="0"/>
        <w:adjustRightInd w:val="0"/>
        <w:spacing w:after="0" w:line="240" w:lineRule="auto"/>
        <w:ind w:left="567" w:right="616"/>
        <w:jc w:val="both"/>
        <w:rPr>
          <w:rFonts w:ascii="Century Gothic" w:eastAsiaTheme="minorHAnsi" w:hAnsi="Century Gothic" w:cs="Arial"/>
          <w:b/>
          <w:bCs/>
          <w:u w:val="single"/>
          <w:lang w:val="es-ES"/>
        </w:rPr>
      </w:pPr>
      <w:r w:rsidRPr="00D3390B">
        <w:rPr>
          <w:rFonts w:ascii="Century Gothic" w:eastAsiaTheme="minorHAnsi" w:hAnsi="Century Gothic" w:cs="Arial"/>
          <w:b/>
          <w:bCs/>
          <w:u w:val="single"/>
          <w:lang w:val="es-ES"/>
        </w:rPr>
        <w:t>POR LA MUERTE DE MARIA LEONILDE GARCIA</w:t>
      </w:r>
    </w:p>
    <w:p w14:paraId="5F06FEE3" w14:textId="77777777" w:rsidR="00841FF9" w:rsidRPr="00D3390B" w:rsidRDefault="00841FF9" w:rsidP="00C62FCF">
      <w:pPr>
        <w:spacing w:after="0" w:line="240" w:lineRule="auto"/>
        <w:ind w:left="567" w:right="616"/>
        <w:jc w:val="both"/>
        <w:rPr>
          <w:rFonts w:ascii="Century Gothic" w:eastAsiaTheme="minorHAnsi" w:hAnsi="Century Gothic" w:cs="Arial"/>
          <w:bCs/>
          <w:lang w:val="es-ES"/>
        </w:rPr>
      </w:pPr>
    </w:p>
    <w:p w14:paraId="2A6D4460" w14:textId="36B51AE4" w:rsidR="00841FF9" w:rsidRPr="00D3390B" w:rsidRDefault="00841FF9" w:rsidP="00C62FCF">
      <w:pPr>
        <w:spacing w:after="0" w:line="240" w:lineRule="auto"/>
        <w:ind w:left="567" w:right="616"/>
        <w:jc w:val="both"/>
        <w:rPr>
          <w:rFonts w:ascii="Century Gothic" w:eastAsiaTheme="minorHAnsi" w:hAnsi="Century Gothic" w:cs="Arial"/>
          <w:bCs/>
          <w:lang w:val="es-ES"/>
        </w:rPr>
      </w:pPr>
      <w:r w:rsidRPr="00D3390B">
        <w:rPr>
          <w:rFonts w:ascii="Century Gothic" w:eastAsiaTheme="minorHAnsi" w:hAnsi="Century Gothic" w:cs="Arial"/>
          <w:b/>
          <w:bCs/>
          <w:lang w:val="es-ES"/>
        </w:rPr>
        <w:t xml:space="preserve">- </w:t>
      </w:r>
      <w:r w:rsidRPr="00D3390B">
        <w:rPr>
          <w:rFonts w:ascii="Century Gothic" w:eastAsiaTheme="minorHAnsi" w:hAnsi="Century Gothic" w:cs="Arial"/>
          <w:bCs/>
          <w:lang w:val="es-ES"/>
        </w:rPr>
        <w:t xml:space="preserve">Para MARIA LEONILDE GARCIA (q.e.p.d.), (en calidad de víctima directa), el equivalente a cien (100) salarios mínimos legales mensuales vigentes a la fecha de ejecutoria de la sentencia definitiva o el mayor valor que determine la jurisprudencia, suma ésta que debe ser reconocida a sus hijos LUIS JAVIER MEDINA </w:t>
      </w:r>
      <w:r w:rsidR="00A16EC5" w:rsidRPr="00D3390B">
        <w:rPr>
          <w:rFonts w:ascii="Century Gothic" w:eastAsiaTheme="minorHAnsi" w:hAnsi="Century Gothic" w:cs="Arial"/>
          <w:bCs/>
          <w:lang w:val="es-ES"/>
        </w:rPr>
        <w:t>GARCIA</w:t>
      </w:r>
      <w:r w:rsidRPr="00D3390B">
        <w:rPr>
          <w:rFonts w:ascii="Century Gothic" w:eastAsiaTheme="minorHAnsi" w:hAnsi="Century Gothic" w:cs="Arial"/>
          <w:bCs/>
          <w:lang w:val="es-ES"/>
        </w:rPr>
        <w:t>, LIBIA GARCIA DE RINCON y ROSALBA BOHORQUEZ DE VILLARRAGA, en virtud de la transmisibilidad, como principio informador del derecho a la reparación integral</w:t>
      </w:r>
      <w:r w:rsidR="005620C6" w:rsidRPr="00D3390B">
        <w:rPr>
          <w:rFonts w:ascii="Century Gothic" w:eastAsiaTheme="minorHAnsi" w:hAnsi="Century Gothic" w:cs="Arial"/>
          <w:bCs/>
          <w:lang w:val="es-ES"/>
        </w:rPr>
        <w:t>.</w:t>
      </w:r>
    </w:p>
    <w:p w14:paraId="37B85C2E" w14:textId="77777777" w:rsidR="005620C6" w:rsidRPr="00D3390B" w:rsidRDefault="005620C6" w:rsidP="00C62FCF">
      <w:pPr>
        <w:spacing w:after="0" w:line="240" w:lineRule="auto"/>
        <w:ind w:left="567" w:right="616"/>
        <w:jc w:val="both"/>
        <w:rPr>
          <w:rFonts w:ascii="Century Gothic" w:eastAsiaTheme="minorHAnsi" w:hAnsi="Century Gothic" w:cs="Arial"/>
          <w:b/>
          <w:bCs/>
          <w:lang w:val="es-ES"/>
        </w:rPr>
      </w:pPr>
    </w:p>
    <w:p w14:paraId="3CE4DEA8" w14:textId="4EC58753" w:rsidR="00841FF9" w:rsidRPr="00D3390B" w:rsidRDefault="00841FF9" w:rsidP="00C62FCF">
      <w:pPr>
        <w:spacing w:after="0" w:line="240" w:lineRule="auto"/>
        <w:ind w:left="567" w:right="616"/>
        <w:jc w:val="both"/>
        <w:rPr>
          <w:rFonts w:ascii="Century Gothic" w:eastAsiaTheme="minorHAnsi" w:hAnsi="Century Gothic" w:cs="Arial"/>
          <w:bCs/>
          <w:lang w:val="es-ES"/>
        </w:rPr>
      </w:pPr>
      <w:r w:rsidRPr="00D3390B">
        <w:rPr>
          <w:rFonts w:ascii="Century Gothic" w:eastAsiaTheme="minorHAnsi" w:hAnsi="Century Gothic" w:cs="Arial"/>
          <w:b/>
          <w:bCs/>
          <w:lang w:val="es-ES"/>
        </w:rPr>
        <w:t xml:space="preserve">- </w:t>
      </w:r>
      <w:r w:rsidRPr="00D3390B">
        <w:rPr>
          <w:rFonts w:ascii="Century Gothic" w:eastAsiaTheme="minorHAnsi" w:hAnsi="Century Gothic" w:cs="Arial"/>
          <w:bCs/>
          <w:lang w:val="es-ES"/>
        </w:rPr>
        <w:t xml:space="preserve">Para LUIS JAVIER MEDINA </w:t>
      </w:r>
      <w:r w:rsidR="00A16EC5" w:rsidRPr="00D3390B">
        <w:rPr>
          <w:rFonts w:ascii="Century Gothic" w:eastAsiaTheme="minorHAnsi" w:hAnsi="Century Gothic" w:cs="Arial"/>
          <w:bCs/>
          <w:lang w:val="es-ES"/>
        </w:rPr>
        <w:t>GARCIA</w:t>
      </w:r>
      <w:r w:rsidRPr="00D3390B">
        <w:rPr>
          <w:rFonts w:ascii="Century Gothic" w:eastAsiaTheme="minorHAnsi" w:hAnsi="Century Gothic" w:cs="Arial"/>
          <w:bCs/>
          <w:lang w:val="es-ES"/>
        </w:rPr>
        <w:t>, LIBIA GARCIA DE RINCON y ROSALBA BOHORQUEZ DE VILLARRAGA (</w:t>
      </w:r>
      <w:r w:rsidRPr="00D3390B">
        <w:rPr>
          <w:rFonts w:ascii="Century Gothic" w:eastAsiaTheme="minorHAnsi" w:hAnsi="Century Gothic" w:cs="Arial"/>
          <w:lang w:val="es-ES"/>
        </w:rPr>
        <w:t xml:space="preserve">en calidad de hijos de la víctima directa), </w:t>
      </w:r>
      <w:r w:rsidRPr="00D3390B">
        <w:rPr>
          <w:rFonts w:ascii="Century Gothic" w:eastAsiaTheme="minorHAnsi" w:hAnsi="Century Gothic" w:cs="Arial"/>
          <w:bCs/>
          <w:lang w:val="es-ES"/>
        </w:rPr>
        <w:t>el equivalente a cien salarios mínimos mensuales legales vigentes (100 SMMLV) para cada uno a la fecha de ejecutoria de la sentencia definitiva o el mayor valor que determine la jurisprudencia.</w:t>
      </w:r>
    </w:p>
    <w:p w14:paraId="333EAD52" w14:textId="77777777" w:rsidR="00841FF9" w:rsidRPr="00D3390B" w:rsidRDefault="00841FF9" w:rsidP="00C62FCF">
      <w:pPr>
        <w:widowControl w:val="0"/>
        <w:overflowPunct w:val="0"/>
        <w:autoSpaceDE w:val="0"/>
        <w:autoSpaceDN w:val="0"/>
        <w:adjustRightInd w:val="0"/>
        <w:spacing w:after="0" w:line="240" w:lineRule="auto"/>
        <w:ind w:left="567" w:right="616"/>
        <w:jc w:val="both"/>
        <w:rPr>
          <w:rFonts w:ascii="Century Gothic" w:eastAsiaTheme="minorHAnsi" w:hAnsi="Century Gothic" w:cs="Arial"/>
          <w:b/>
          <w:bCs/>
          <w:lang w:val="es-ES"/>
        </w:rPr>
      </w:pPr>
    </w:p>
    <w:p w14:paraId="068BF7E9" w14:textId="5CD56FEC" w:rsidR="00841FF9" w:rsidRPr="00D3390B" w:rsidRDefault="00841FF9" w:rsidP="00C62FCF">
      <w:pPr>
        <w:widowControl w:val="0"/>
        <w:overflowPunct w:val="0"/>
        <w:autoSpaceDE w:val="0"/>
        <w:autoSpaceDN w:val="0"/>
        <w:adjustRightInd w:val="0"/>
        <w:spacing w:after="0" w:line="240" w:lineRule="auto"/>
        <w:ind w:left="567" w:right="616"/>
        <w:jc w:val="both"/>
        <w:rPr>
          <w:rFonts w:ascii="Century Gothic" w:eastAsiaTheme="minorHAnsi" w:hAnsi="Century Gothic" w:cs="Arial"/>
          <w:b/>
          <w:bCs/>
          <w:lang w:val="es-ES"/>
        </w:rPr>
      </w:pPr>
      <w:r w:rsidRPr="00D3390B">
        <w:rPr>
          <w:rFonts w:ascii="Century Gothic" w:eastAsiaTheme="minorHAnsi" w:hAnsi="Century Gothic" w:cs="Arial"/>
          <w:b/>
          <w:bCs/>
          <w:u w:val="single"/>
          <w:lang w:val="es-ES"/>
        </w:rPr>
        <w:t>ALTERACIÓN GRAVE DE LAS CONDICIONES DE EXISTENCIA O DAÑO A LA VIDA DE RELACION</w:t>
      </w:r>
    </w:p>
    <w:p w14:paraId="42B2664F" w14:textId="77777777" w:rsidR="00841FF9" w:rsidRPr="00D3390B" w:rsidRDefault="00841FF9" w:rsidP="00C62FCF">
      <w:pPr>
        <w:spacing w:after="0" w:line="240" w:lineRule="auto"/>
        <w:ind w:left="567" w:right="616"/>
        <w:jc w:val="both"/>
        <w:rPr>
          <w:rFonts w:ascii="Century Gothic" w:eastAsiaTheme="minorHAnsi" w:hAnsi="Century Gothic" w:cs="Arial"/>
          <w:b/>
          <w:bCs/>
          <w:lang w:val="es-ES"/>
        </w:rPr>
      </w:pPr>
    </w:p>
    <w:p w14:paraId="510BB52C" w14:textId="77777777" w:rsidR="00841FF9" w:rsidRPr="00D3390B" w:rsidRDefault="00841FF9" w:rsidP="00C62FCF">
      <w:pPr>
        <w:spacing w:after="0" w:line="240" w:lineRule="auto"/>
        <w:ind w:left="567" w:right="616"/>
        <w:jc w:val="both"/>
        <w:rPr>
          <w:rFonts w:ascii="Century Gothic" w:eastAsiaTheme="minorHAnsi" w:hAnsi="Century Gothic" w:cs="Arial"/>
          <w:lang w:val="es-ES"/>
        </w:rPr>
      </w:pPr>
      <w:r w:rsidRPr="00D3390B">
        <w:rPr>
          <w:rFonts w:ascii="Century Gothic" w:eastAsiaTheme="minorHAnsi" w:hAnsi="Century Gothic" w:cs="Arial"/>
          <w:bCs/>
          <w:lang w:val="es-ES"/>
        </w:rPr>
        <w:t>Con la muerte de MARIA LEONILDE GARCIA, como consecuencia de la negligencia en la atención médica, carencia de medios básicos de atención y un retardo en el traslado de la paciente a un centro hospitalario de mayor nivel, sus hijos, tuvieron que afrontar las trágicas consecuencias de perder a un ser querido, lo que conlleva a tener que padecer</w:t>
      </w:r>
      <w:r w:rsidRPr="00D3390B">
        <w:rPr>
          <w:rFonts w:ascii="Century Gothic" w:eastAsiaTheme="minorHAnsi" w:hAnsi="Century Gothic" w:cs="Arial"/>
          <w:shd w:val="clear" w:color="auto" w:fill="FFFFFF"/>
          <w:lang w:val="es-ES"/>
        </w:rPr>
        <w:t xml:space="preserve"> una profunda tristeza, total desorientación, vulnerabilidad e inestabilidad, cada día reviven el dolor de la pérdida, aun así, sólo con el tiempo, lograrán la resignación, afrontar el duelo y luchar por conseguir una relativa normalidad; </w:t>
      </w:r>
      <w:r w:rsidRPr="00D3390B">
        <w:rPr>
          <w:rFonts w:ascii="Century Gothic" w:eastAsiaTheme="minorHAnsi" w:hAnsi="Century Gothic" w:cs="Arial"/>
          <w:lang w:val="es-ES"/>
        </w:rPr>
        <w:t>circunstancias que afectan su entorno familiar e implica una obstrucción en su vida de relación.</w:t>
      </w:r>
    </w:p>
    <w:p w14:paraId="212BD5E8" w14:textId="77777777" w:rsidR="00A16EC5" w:rsidRPr="00D3390B" w:rsidRDefault="00A16EC5" w:rsidP="00C62FCF">
      <w:pPr>
        <w:spacing w:after="0" w:line="240" w:lineRule="auto"/>
        <w:ind w:left="567" w:right="616"/>
        <w:jc w:val="both"/>
        <w:rPr>
          <w:rFonts w:ascii="Century Gothic" w:eastAsiaTheme="minorHAnsi" w:hAnsi="Century Gothic" w:cs="Arial"/>
          <w:lang w:val="es-ES"/>
        </w:rPr>
      </w:pPr>
    </w:p>
    <w:p w14:paraId="493235F8" w14:textId="77777777" w:rsidR="00841FF9" w:rsidRPr="00D3390B" w:rsidRDefault="00841FF9" w:rsidP="00C62FCF">
      <w:pPr>
        <w:spacing w:after="0" w:line="240" w:lineRule="auto"/>
        <w:ind w:left="567" w:right="616"/>
        <w:jc w:val="both"/>
        <w:rPr>
          <w:rFonts w:ascii="Century Gothic" w:eastAsiaTheme="minorHAnsi" w:hAnsi="Century Gothic" w:cs="Arial"/>
          <w:lang w:val="es-ES"/>
        </w:rPr>
      </w:pPr>
      <w:r w:rsidRPr="00D3390B">
        <w:rPr>
          <w:rFonts w:ascii="Century Gothic" w:eastAsiaTheme="minorHAnsi" w:hAnsi="Century Gothic" w:cs="Arial"/>
          <w:lang w:val="es-ES"/>
        </w:rPr>
        <w:t>Por tal razón, debe reconocerse esta tipología de daño a los convocantes de la siguiente manera:</w:t>
      </w:r>
    </w:p>
    <w:p w14:paraId="29B9EF50" w14:textId="77777777" w:rsidR="00A16EC5" w:rsidRPr="00D3390B" w:rsidRDefault="00A16EC5" w:rsidP="00C62FCF">
      <w:pPr>
        <w:spacing w:after="0" w:line="240" w:lineRule="auto"/>
        <w:ind w:left="567" w:right="616"/>
        <w:jc w:val="both"/>
        <w:rPr>
          <w:rFonts w:ascii="Century Gothic" w:eastAsiaTheme="minorHAnsi" w:hAnsi="Century Gothic" w:cs="Arial"/>
          <w:lang w:val="es-ES"/>
        </w:rPr>
      </w:pPr>
    </w:p>
    <w:p w14:paraId="264D54E5" w14:textId="1B0E850B" w:rsidR="00841FF9" w:rsidRPr="00D3390B" w:rsidRDefault="00841FF9" w:rsidP="00C62FCF">
      <w:pPr>
        <w:spacing w:after="0" w:line="240" w:lineRule="auto"/>
        <w:ind w:left="567" w:right="616"/>
        <w:jc w:val="both"/>
        <w:rPr>
          <w:rFonts w:ascii="Century Gothic" w:eastAsiaTheme="minorHAnsi" w:hAnsi="Century Gothic" w:cs="Arial"/>
          <w:bCs/>
          <w:lang w:val="es-ES"/>
        </w:rPr>
      </w:pPr>
      <w:r w:rsidRPr="00D3390B">
        <w:rPr>
          <w:rFonts w:ascii="Century Gothic" w:eastAsiaTheme="minorHAnsi" w:hAnsi="Century Gothic" w:cs="Arial"/>
          <w:b/>
          <w:bCs/>
          <w:lang w:val="es-ES"/>
        </w:rPr>
        <w:t xml:space="preserve">-. </w:t>
      </w:r>
      <w:r w:rsidRPr="00D3390B">
        <w:rPr>
          <w:rFonts w:ascii="Century Gothic" w:eastAsiaTheme="minorHAnsi" w:hAnsi="Century Gothic" w:cs="Arial"/>
          <w:bCs/>
          <w:lang w:val="es-ES"/>
        </w:rPr>
        <w:t xml:space="preserve">Para LUIS JAVIER MEDINA </w:t>
      </w:r>
      <w:r w:rsidR="00A16EC5" w:rsidRPr="00D3390B">
        <w:rPr>
          <w:rFonts w:ascii="Century Gothic" w:eastAsiaTheme="minorHAnsi" w:hAnsi="Century Gothic" w:cs="Arial"/>
          <w:bCs/>
          <w:lang w:val="es-ES"/>
        </w:rPr>
        <w:t>GARCIA</w:t>
      </w:r>
      <w:r w:rsidRPr="00D3390B">
        <w:rPr>
          <w:rFonts w:ascii="Century Gothic" w:eastAsiaTheme="minorHAnsi" w:hAnsi="Century Gothic" w:cs="Arial"/>
          <w:bCs/>
          <w:lang w:val="es-ES"/>
        </w:rPr>
        <w:t>, LIBIA GARCIA DE RINCON y ROSALBA BOHORQUEZ DE VILLARRAGA (</w:t>
      </w:r>
      <w:r w:rsidRPr="00D3390B">
        <w:rPr>
          <w:rFonts w:ascii="Century Gothic" w:eastAsiaTheme="minorHAnsi" w:hAnsi="Century Gothic" w:cs="Arial"/>
          <w:lang w:val="es-ES"/>
        </w:rPr>
        <w:t xml:space="preserve">en calidad de hijos de la víctima directa), </w:t>
      </w:r>
      <w:r w:rsidRPr="00D3390B">
        <w:rPr>
          <w:rFonts w:ascii="Century Gothic" w:eastAsiaTheme="minorHAnsi" w:hAnsi="Century Gothic" w:cs="Arial"/>
          <w:bCs/>
          <w:lang w:val="es-ES"/>
        </w:rPr>
        <w:t xml:space="preserve">el equivalente a cien salarios mínimos mensuales legales </w:t>
      </w:r>
      <w:r w:rsidRPr="00D3390B">
        <w:rPr>
          <w:rFonts w:ascii="Century Gothic" w:eastAsiaTheme="minorHAnsi" w:hAnsi="Century Gothic" w:cs="Arial"/>
          <w:bCs/>
          <w:lang w:val="es-ES"/>
        </w:rPr>
        <w:lastRenderedPageBreak/>
        <w:t>vigentes (100 SMMLV) para cada uno a la fecha de ejecutoria de la sentencia definitiva o el mayor valor que determine la jurisprudencia.</w:t>
      </w:r>
    </w:p>
    <w:p w14:paraId="5D1E9538" w14:textId="77777777" w:rsidR="00A16EC5" w:rsidRPr="00D3390B" w:rsidRDefault="00A16EC5" w:rsidP="00C62FCF">
      <w:pPr>
        <w:spacing w:after="0" w:line="240" w:lineRule="auto"/>
        <w:ind w:left="567" w:right="616"/>
        <w:jc w:val="both"/>
        <w:rPr>
          <w:rFonts w:ascii="Century Gothic" w:eastAsiaTheme="minorHAnsi" w:hAnsi="Century Gothic" w:cs="Arial"/>
          <w:bCs/>
          <w:lang w:val="es-ES"/>
        </w:rPr>
      </w:pPr>
    </w:p>
    <w:p w14:paraId="7FBE9AF2" w14:textId="77777777" w:rsidR="00841FF9" w:rsidRPr="00D3390B" w:rsidRDefault="00841FF9" w:rsidP="00C62FCF">
      <w:pPr>
        <w:spacing w:after="0" w:line="240" w:lineRule="auto"/>
        <w:ind w:left="567" w:right="616"/>
        <w:jc w:val="both"/>
        <w:rPr>
          <w:rFonts w:ascii="Century Gothic" w:eastAsiaTheme="minorHAnsi" w:hAnsi="Century Gothic" w:cs="Arial"/>
          <w:b/>
          <w:bCs/>
          <w:u w:val="single"/>
          <w:lang w:val="es-ES"/>
        </w:rPr>
      </w:pPr>
      <w:r w:rsidRPr="00D3390B">
        <w:rPr>
          <w:rFonts w:ascii="Century Gothic" w:eastAsiaTheme="minorHAnsi" w:hAnsi="Century Gothic" w:cs="Arial"/>
          <w:b/>
          <w:bCs/>
          <w:u w:val="single"/>
          <w:lang w:val="es-ES"/>
        </w:rPr>
        <w:t>DAÑO INMATERIAL POR AFECTACIÓN RELEVANTE A BIENES O DERECHOS CONVENCIONAL Y CONSTITUCIONALMENTE AMPARADOS</w:t>
      </w:r>
    </w:p>
    <w:p w14:paraId="794F7848" w14:textId="77777777" w:rsidR="00A16EC5" w:rsidRPr="00D3390B" w:rsidRDefault="00A16EC5" w:rsidP="00C62FCF">
      <w:pPr>
        <w:spacing w:after="0" w:line="240" w:lineRule="auto"/>
        <w:ind w:left="567" w:right="616"/>
        <w:jc w:val="both"/>
        <w:rPr>
          <w:rFonts w:ascii="Century Gothic" w:eastAsiaTheme="minorHAnsi" w:hAnsi="Century Gothic" w:cs="Arial"/>
          <w:bCs/>
          <w:lang w:val="es-ES"/>
        </w:rPr>
      </w:pPr>
    </w:p>
    <w:p w14:paraId="4E4B3A3D" w14:textId="77777777" w:rsidR="00841FF9" w:rsidRPr="00D3390B" w:rsidRDefault="00841FF9" w:rsidP="00C62FCF">
      <w:pPr>
        <w:spacing w:after="0" w:line="240" w:lineRule="auto"/>
        <w:ind w:left="567" w:right="616"/>
        <w:jc w:val="both"/>
        <w:rPr>
          <w:rFonts w:ascii="Century Gothic" w:eastAsiaTheme="minorHAnsi" w:hAnsi="Century Gothic" w:cs="Arial"/>
          <w:bCs/>
          <w:lang w:val="es-ES"/>
        </w:rPr>
      </w:pPr>
      <w:r w:rsidRPr="00D3390B">
        <w:rPr>
          <w:rFonts w:ascii="Century Gothic" w:eastAsiaTheme="minorHAnsi" w:hAnsi="Century Gothic" w:cs="Arial"/>
          <w:bCs/>
          <w:lang w:val="es-ES"/>
        </w:rPr>
        <w:t>Sin perjuicio de lo que el día de mañana llegue a catalogar el Honorable Consejo de Estado, referente a este tipo de daños y la afectación o vulneración relevante de bienes o derechos convencional y constitucionalmente establecidos, que aún de oficio deben ser amparados por el Juez, como lo son la salud, la vida y la familia, que en el caso bajo estudio fueron afectados y que solicitamos se tengan en cuenta para ser indemnizados con medidas de restablecimiento de derechos de carácter no pecuniario como que el Ejército Nacional de Colombia pida perdón público a los familiares de MARIA LEONILDE GARCIA, como consecuencia de la negligencia médica en la atención a la paciente que le provocó la muerte el pasado 11 de marzo de 2015, en el dispensario médico del Batallón A.S.P.C. No. 6 Francisco Antonio Zea.</w:t>
      </w:r>
    </w:p>
    <w:p w14:paraId="78C6546B" w14:textId="77777777" w:rsidR="00A16EC5" w:rsidRPr="00D3390B" w:rsidRDefault="00A16EC5" w:rsidP="00C62FCF">
      <w:pPr>
        <w:spacing w:after="0" w:line="240" w:lineRule="auto"/>
        <w:ind w:left="567" w:right="616"/>
        <w:jc w:val="both"/>
        <w:rPr>
          <w:rFonts w:ascii="Century Gothic" w:eastAsiaTheme="minorHAnsi" w:hAnsi="Century Gothic" w:cs="Arial"/>
          <w:bCs/>
          <w:lang w:val="es-ES"/>
        </w:rPr>
      </w:pPr>
    </w:p>
    <w:p w14:paraId="3706079C" w14:textId="3F572134" w:rsidR="00841FF9" w:rsidRPr="00D3390B" w:rsidRDefault="00841FF9" w:rsidP="00C62FCF">
      <w:pPr>
        <w:keepNext/>
        <w:spacing w:after="0" w:line="240" w:lineRule="auto"/>
        <w:ind w:left="567" w:right="616"/>
        <w:jc w:val="both"/>
        <w:outlineLvl w:val="1"/>
        <w:rPr>
          <w:rFonts w:ascii="Century Gothic" w:eastAsia="Times New Roman" w:hAnsi="Century Gothic" w:cs="Arial"/>
          <w:bCs/>
          <w:lang w:val="es-ES" w:eastAsia="es-ES"/>
        </w:rPr>
      </w:pPr>
      <w:proofErr w:type="gramStart"/>
      <w:r w:rsidRPr="00D3390B">
        <w:rPr>
          <w:rFonts w:ascii="Century Gothic" w:eastAsia="Times New Roman" w:hAnsi="Century Gothic" w:cs="Arial"/>
          <w:b/>
          <w:bCs/>
          <w:kern w:val="28"/>
          <w:lang w:val="es-ES" w:eastAsia="es-ES_tradnl"/>
        </w:rPr>
        <w:t>TERCERA.-</w:t>
      </w:r>
      <w:proofErr w:type="gramEnd"/>
      <w:r w:rsidRPr="00D3390B">
        <w:rPr>
          <w:rFonts w:ascii="Century Gothic" w:eastAsia="Times New Roman" w:hAnsi="Century Gothic" w:cs="Arial"/>
          <w:b/>
          <w:bCs/>
          <w:kern w:val="28"/>
          <w:lang w:val="es-ES" w:eastAsia="es-ES_tradnl"/>
        </w:rPr>
        <w:t xml:space="preserve"> </w:t>
      </w:r>
      <w:r w:rsidRPr="00D3390B">
        <w:rPr>
          <w:rFonts w:ascii="Century Gothic" w:eastAsia="Times New Roman" w:hAnsi="Century Gothic" w:cs="Arial"/>
          <w:bCs/>
          <w:lang w:val="es-ES" w:eastAsia="es-ES"/>
        </w:rPr>
        <w:t xml:space="preserve">Que la NACIÓN – </w:t>
      </w:r>
      <w:r w:rsidR="00CD4F10" w:rsidRPr="00D3390B">
        <w:rPr>
          <w:rFonts w:ascii="Century Gothic" w:eastAsia="Times New Roman" w:hAnsi="Century Gothic" w:cs="Arial"/>
          <w:bCs/>
          <w:lang w:val="es-ES" w:eastAsia="es-ES"/>
        </w:rPr>
        <w:t>MINISTERIO DE DEFENSA – EJÉ</w:t>
      </w:r>
      <w:r w:rsidRPr="00D3390B">
        <w:rPr>
          <w:rFonts w:ascii="Century Gothic" w:eastAsia="Times New Roman" w:hAnsi="Century Gothic" w:cs="Arial"/>
          <w:bCs/>
          <w:lang w:val="es-ES" w:eastAsia="es-ES"/>
        </w:rPr>
        <w:t>RCITO NACIONAL – DIRECCIÓN DE SANIDAD, reconozcan y paguen por perjuicios materiales los siguientes:</w:t>
      </w:r>
    </w:p>
    <w:p w14:paraId="7D5EB027" w14:textId="77777777" w:rsidR="00841FF9" w:rsidRPr="00D3390B" w:rsidRDefault="00841FF9" w:rsidP="00C62FCF">
      <w:pPr>
        <w:tabs>
          <w:tab w:val="left" w:pos="2410"/>
        </w:tabs>
        <w:spacing w:after="0" w:line="240" w:lineRule="auto"/>
        <w:ind w:left="567" w:right="616"/>
        <w:jc w:val="both"/>
        <w:rPr>
          <w:rFonts w:ascii="Century Gothic" w:eastAsiaTheme="minorHAnsi" w:hAnsi="Century Gothic" w:cs="Arial"/>
          <w:b/>
          <w:u w:val="single"/>
          <w:lang w:val="es-ES" w:eastAsia="es-ES_tradnl"/>
        </w:rPr>
      </w:pPr>
    </w:p>
    <w:p w14:paraId="646874F7" w14:textId="2FB3A364" w:rsidR="00841FF9" w:rsidRPr="00D3390B" w:rsidRDefault="00841FF9" w:rsidP="00C62FCF">
      <w:pPr>
        <w:tabs>
          <w:tab w:val="left" w:pos="2410"/>
        </w:tabs>
        <w:spacing w:after="0" w:line="240" w:lineRule="auto"/>
        <w:ind w:left="567" w:right="616"/>
        <w:jc w:val="both"/>
        <w:rPr>
          <w:rFonts w:ascii="Century Gothic" w:eastAsiaTheme="minorHAnsi" w:hAnsi="Century Gothic" w:cs="Arial"/>
          <w:lang w:val="es-ES"/>
        </w:rPr>
      </w:pPr>
      <w:r w:rsidRPr="00D3390B">
        <w:rPr>
          <w:rFonts w:ascii="Century Gothic" w:eastAsiaTheme="minorHAnsi" w:hAnsi="Century Gothic" w:cs="Arial"/>
          <w:b/>
          <w:u w:val="single"/>
          <w:lang w:val="es-ES" w:eastAsia="es-ES_tradnl"/>
        </w:rPr>
        <w:t>DAÑO EMERGENTE</w:t>
      </w:r>
      <w:r w:rsidRPr="00D3390B">
        <w:rPr>
          <w:rFonts w:ascii="Century Gothic" w:eastAsiaTheme="minorHAnsi" w:hAnsi="Century Gothic" w:cs="Arial"/>
          <w:b/>
          <w:lang w:val="es-ES" w:eastAsia="es-ES_tradnl"/>
        </w:rPr>
        <w:t>:</w:t>
      </w:r>
      <w:r w:rsidR="00A16EC5" w:rsidRPr="00D3390B">
        <w:rPr>
          <w:rFonts w:ascii="Century Gothic" w:eastAsiaTheme="minorHAnsi" w:hAnsi="Century Gothic" w:cs="Arial"/>
          <w:b/>
          <w:lang w:val="es-ES" w:eastAsia="es-ES_tradnl"/>
        </w:rPr>
        <w:t xml:space="preserve"> </w:t>
      </w:r>
      <w:r w:rsidRPr="00D3390B">
        <w:rPr>
          <w:rFonts w:ascii="Century Gothic" w:eastAsiaTheme="minorHAnsi" w:hAnsi="Century Gothic" w:cs="Arial"/>
          <w:bCs/>
          <w:lang w:val="es-ES"/>
        </w:rPr>
        <w:t>Por los gastos funerarios que la familia MEDINA GARCIA tuvo que asumir como consecuencia de la muerte de su madre MARIA LEONILDE GARCIA (</w:t>
      </w:r>
      <w:proofErr w:type="spellStart"/>
      <w:r w:rsidRPr="00D3390B">
        <w:rPr>
          <w:rFonts w:ascii="Century Gothic" w:eastAsiaTheme="minorHAnsi" w:hAnsi="Century Gothic" w:cs="Arial"/>
          <w:bCs/>
          <w:lang w:val="es-ES"/>
        </w:rPr>
        <w:t>q.e.</w:t>
      </w:r>
      <w:proofErr w:type="gramStart"/>
      <w:r w:rsidRPr="00D3390B">
        <w:rPr>
          <w:rFonts w:ascii="Century Gothic" w:eastAsiaTheme="minorHAnsi" w:hAnsi="Century Gothic" w:cs="Arial"/>
          <w:bCs/>
          <w:lang w:val="es-ES"/>
        </w:rPr>
        <w:t>p.d</w:t>
      </w:r>
      <w:proofErr w:type="spellEnd"/>
      <w:proofErr w:type="gramEnd"/>
      <w:r w:rsidRPr="00D3390B">
        <w:rPr>
          <w:rFonts w:ascii="Century Gothic" w:eastAsiaTheme="minorHAnsi" w:hAnsi="Century Gothic" w:cs="Arial"/>
          <w:bCs/>
          <w:lang w:val="es-ES"/>
        </w:rPr>
        <w:t xml:space="preserve">), y los cuales se cuantifican en DOS MILLONES DE PESOS ($2’000.000.oo MCTE), </w:t>
      </w:r>
      <w:r w:rsidRPr="00D3390B">
        <w:rPr>
          <w:rFonts w:ascii="Century Gothic" w:eastAsiaTheme="minorHAnsi" w:hAnsi="Century Gothic" w:cs="Arial"/>
          <w:lang w:val="es-ES"/>
        </w:rPr>
        <w:t>que es lo que la Jurisprudencia ha reconocido por gastos funerarios.</w:t>
      </w:r>
    </w:p>
    <w:p w14:paraId="19900B85" w14:textId="77777777" w:rsidR="00A16EC5" w:rsidRPr="00D3390B" w:rsidRDefault="00A16EC5" w:rsidP="00C62FCF">
      <w:pPr>
        <w:tabs>
          <w:tab w:val="left" w:pos="2410"/>
        </w:tabs>
        <w:spacing w:after="0" w:line="240" w:lineRule="auto"/>
        <w:ind w:left="567" w:right="616"/>
        <w:jc w:val="both"/>
        <w:rPr>
          <w:rFonts w:ascii="Century Gothic" w:eastAsiaTheme="minorHAnsi" w:hAnsi="Century Gothic" w:cs="Arial"/>
          <w:lang w:val="es-ES"/>
        </w:rPr>
      </w:pPr>
    </w:p>
    <w:p w14:paraId="165C053E" w14:textId="77777777" w:rsidR="00841FF9" w:rsidRPr="00D3390B" w:rsidRDefault="00841FF9" w:rsidP="00C62FCF">
      <w:pPr>
        <w:spacing w:after="0" w:line="240" w:lineRule="auto"/>
        <w:ind w:left="567" w:right="616"/>
        <w:jc w:val="both"/>
        <w:rPr>
          <w:rFonts w:ascii="Century Gothic" w:eastAsiaTheme="minorHAnsi" w:hAnsi="Century Gothic" w:cs="Arial"/>
          <w:lang w:val="es-ES"/>
        </w:rPr>
      </w:pPr>
      <w:r w:rsidRPr="00D3390B">
        <w:rPr>
          <w:rFonts w:ascii="Century Gothic" w:eastAsiaTheme="minorHAnsi" w:hAnsi="Century Gothic" w:cs="Arial"/>
          <w:lang w:val="es-ES"/>
        </w:rPr>
        <w:t xml:space="preserve">Las anteriores sumas dinerarias se deben actualizar de acuerdo con la variación del Índice de Precios al Consumidor IPC entre la fecha en que se ocasionaron y la fecha </w:t>
      </w:r>
      <w:r w:rsidRPr="00D3390B">
        <w:rPr>
          <w:rFonts w:ascii="Century Gothic" w:eastAsiaTheme="minorHAnsi" w:hAnsi="Century Gothic" w:cs="Arial"/>
          <w:bCs/>
          <w:lang w:val="es-ES"/>
        </w:rPr>
        <w:t xml:space="preserve">de </w:t>
      </w:r>
      <w:r w:rsidRPr="00D3390B">
        <w:rPr>
          <w:rFonts w:ascii="Century Gothic" w:eastAsia="Times New Roman" w:hAnsi="Century Gothic" w:cs="Arial"/>
          <w:bCs/>
          <w:kern w:val="28"/>
          <w:lang w:val="es-ES" w:eastAsia="es-ES_tradnl"/>
        </w:rPr>
        <w:t>ejecutoria de la sentencia definitiva</w:t>
      </w:r>
      <w:r w:rsidRPr="00D3390B">
        <w:rPr>
          <w:rFonts w:ascii="Century Gothic" w:eastAsiaTheme="minorHAnsi" w:hAnsi="Century Gothic" w:cs="Arial"/>
          <w:lang w:val="es-ES"/>
        </w:rPr>
        <w:t>.</w:t>
      </w:r>
    </w:p>
    <w:p w14:paraId="4616BF23" w14:textId="77777777" w:rsidR="00A16EC5" w:rsidRPr="00D3390B" w:rsidRDefault="00A16EC5" w:rsidP="00C62FCF">
      <w:pPr>
        <w:spacing w:after="0" w:line="240" w:lineRule="auto"/>
        <w:ind w:left="567" w:right="616"/>
        <w:jc w:val="both"/>
        <w:rPr>
          <w:rFonts w:ascii="Century Gothic" w:eastAsiaTheme="minorHAnsi" w:hAnsi="Century Gothic" w:cs="Arial"/>
          <w:lang w:val="es-ES"/>
        </w:rPr>
      </w:pPr>
    </w:p>
    <w:p w14:paraId="6341E95F" w14:textId="562AFE04" w:rsidR="00841FF9" w:rsidRPr="00D3390B" w:rsidRDefault="00841FF9" w:rsidP="00C62FCF">
      <w:pPr>
        <w:pStyle w:val="Prrafodelista"/>
        <w:tabs>
          <w:tab w:val="left" w:pos="567"/>
        </w:tabs>
        <w:ind w:left="567" w:right="616"/>
        <w:contextualSpacing w:val="0"/>
        <w:jc w:val="both"/>
        <w:rPr>
          <w:rFonts w:ascii="Century Gothic" w:hAnsi="Century Gothic"/>
          <w:sz w:val="22"/>
          <w:szCs w:val="22"/>
        </w:rPr>
      </w:pPr>
      <w:proofErr w:type="gramStart"/>
      <w:r w:rsidRPr="00D3390B">
        <w:rPr>
          <w:rFonts w:ascii="Century Gothic" w:eastAsiaTheme="minorHAnsi" w:hAnsi="Century Gothic"/>
          <w:b/>
          <w:color w:val="auto"/>
          <w:sz w:val="22"/>
          <w:szCs w:val="22"/>
          <w:lang w:eastAsia="en-US"/>
        </w:rPr>
        <w:t>CUARTO.-</w:t>
      </w:r>
      <w:proofErr w:type="gramEnd"/>
      <w:r w:rsidRPr="00D3390B">
        <w:rPr>
          <w:rFonts w:ascii="Century Gothic" w:eastAsiaTheme="minorHAnsi" w:hAnsi="Century Gothic"/>
          <w:b/>
          <w:color w:val="auto"/>
          <w:sz w:val="22"/>
          <w:szCs w:val="22"/>
          <w:lang w:eastAsia="en-US"/>
        </w:rPr>
        <w:t xml:space="preserve"> </w:t>
      </w:r>
      <w:r w:rsidRPr="00D3390B">
        <w:rPr>
          <w:rFonts w:ascii="Century Gothic" w:eastAsiaTheme="minorHAnsi" w:hAnsi="Century Gothic"/>
          <w:color w:val="auto"/>
          <w:sz w:val="22"/>
          <w:szCs w:val="22"/>
          <w:lang w:eastAsia="en-US"/>
        </w:rPr>
        <w:t>Las sumas así causadas devengaran los intereses previstos en los artículos 192 inciso 3, 195 numeral 4 del CPACA; se ejecutaran en los términos establecidos en el artículo 192 inciso 2 y se tramitará su pago de acuerdo al artículo 195 numerales 1, 2, 3 y se ajustará conforme al inciso 4 del artículo 187 del CPACA</w:t>
      </w:r>
      <w:r w:rsidRPr="00D3390B">
        <w:rPr>
          <w:rFonts w:ascii="Century Gothic" w:eastAsiaTheme="minorHAnsi" w:hAnsi="Century Gothic" w:cs="Tahoma"/>
          <w:color w:val="auto"/>
          <w:sz w:val="22"/>
          <w:szCs w:val="22"/>
          <w:lang w:eastAsia="en-US"/>
        </w:rPr>
        <w:t>.</w:t>
      </w:r>
      <w:r w:rsidR="004F0AB5" w:rsidRPr="00D3390B">
        <w:rPr>
          <w:rFonts w:ascii="Century Gothic" w:eastAsiaTheme="minorHAnsi" w:hAnsi="Century Gothic" w:cs="Tahoma"/>
          <w:color w:val="auto"/>
          <w:sz w:val="22"/>
          <w:szCs w:val="22"/>
          <w:lang w:eastAsia="en-US"/>
        </w:rPr>
        <w:t>”.</w:t>
      </w:r>
    </w:p>
    <w:p w14:paraId="17BF4FD3" w14:textId="77777777" w:rsidR="00F72139" w:rsidRPr="00D3390B" w:rsidRDefault="00F72139" w:rsidP="00C62FCF">
      <w:pPr>
        <w:pStyle w:val="Prrafodelista"/>
        <w:tabs>
          <w:tab w:val="left" w:pos="567"/>
        </w:tabs>
        <w:spacing w:line="360" w:lineRule="auto"/>
        <w:ind w:left="0"/>
        <w:contextualSpacing w:val="0"/>
        <w:jc w:val="both"/>
        <w:rPr>
          <w:rFonts w:ascii="Century Gothic" w:eastAsia="Calibri" w:hAnsi="Century Gothic" w:cs="Times New Roman"/>
          <w:bCs/>
          <w:color w:val="auto"/>
          <w:lang w:eastAsia="en-US"/>
        </w:rPr>
      </w:pPr>
    </w:p>
    <w:p w14:paraId="216607C1" w14:textId="41EBEE0A" w:rsidR="00F72139" w:rsidRPr="00D3390B" w:rsidRDefault="00F72139" w:rsidP="00C62FCF">
      <w:pPr>
        <w:pStyle w:val="Prrafodelista"/>
        <w:tabs>
          <w:tab w:val="left" w:pos="567"/>
        </w:tabs>
        <w:spacing w:line="360" w:lineRule="auto"/>
        <w:ind w:left="0"/>
        <w:contextualSpacing w:val="0"/>
        <w:jc w:val="both"/>
        <w:rPr>
          <w:rFonts w:ascii="Century Gothic" w:eastAsia="Calibri" w:hAnsi="Century Gothic" w:cs="Times New Roman"/>
          <w:b/>
          <w:bCs/>
          <w:color w:val="auto"/>
          <w:lang w:eastAsia="en-US"/>
        </w:rPr>
      </w:pPr>
      <w:r w:rsidRPr="00D3390B">
        <w:rPr>
          <w:rFonts w:ascii="Century Gothic" w:eastAsia="Calibri" w:hAnsi="Century Gothic" w:cs="Times New Roman"/>
          <w:b/>
          <w:bCs/>
          <w:color w:val="auto"/>
          <w:lang w:eastAsia="en-US"/>
        </w:rPr>
        <w:t>1.2. Parte demandada</w:t>
      </w:r>
    </w:p>
    <w:p w14:paraId="2F0A870E" w14:textId="77777777" w:rsidR="00F72139" w:rsidRPr="00D3390B" w:rsidRDefault="00F72139" w:rsidP="00C62FCF">
      <w:pPr>
        <w:pStyle w:val="Prrafodelista"/>
        <w:tabs>
          <w:tab w:val="left" w:pos="567"/>
        </w:tabs>
        <w:spacing w:line="360" w:lineRule="auto"/>
        <w:ind w:left="0"/>
        <w:contextualSpacing w:val="0"/>
        <w:jc w:val="both"/>
        <w:rPr>
          <w:rFonts w:ascii="Century Gothic" w:eastAsia="Calibri" w:hAnsi="Century Gothic" w:cs="Times New Roman"/>
          <w:bCs/>
          <w:color w:val="auto"/>
          <w:lang w:eastAsia="en-US"/>
        </w:rPr>
      </w:pPr>
    </w:p>
    <w:p w14:paraId="1317DA31" w14:textId="036F1E5D" w:rsidR="00F72139"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eastAsia="Calibri" w:hAnsi="Century Gothic" w:cs="Times New Roman"/>
          <w:bCs/>
          <w:color w:val="auto"/>
          <w:lang w:eastAsia="en-US"/>
        </w:rPr>
        <w:t xml:space="preserve">3. </w:t>
      </w:r>
      <w:r w:rsidR="00F72139" w:rsidRPr="00D3390B">
        <w:rPr>
          <w:rFonts w:ascii="Century Gothic" w:eastAsia="Calibri" w:hAnsi="Century Gothic" w:cs="Times New Roman"/>
          <w:bCs/>
          <w:color w:val="auto"/>
          <w:lang w:eastAsia="en-US"/>
        </w:rPr>
        <w:t xml:space="preserve">La Nación – Ministerio de Defensa Nacional – Ejército Nacional </w:t>
      </w:r>
      <w:r w:rsidR="0022708D" w:rsidRPr="00D3390B">
        <w:rPr>
          <w:rFonts w:ascii="Century Gothic" w:eastAsia="Calibri" w:hAnsi="Century Gothic" w:cs="Times New Roman"/>
          <w:bCs/>
          <w:color w:val="auto"/>
          <w:lang w:eastAsia="en-US"/>
        </w:rPr>
        <w:t xml:space="preserve">– Dirección de Sanidad </w:t>
      </w:r>
      <w:r w:rsidR="003F37B1" w:rsidRPr="00D3390B">
        <w:rPr>
          <w:rFonts w:ascii="Century Gothic" w:eastAsia="Calibri" w:hAnsi="Century Gothic" w:cs="Times New Roman"/>
          <w:bCs/>
          <w:color w:val="auto"/>
          <w:lang w:eastAsia="en-US"/>
        </w:rPr>
        <w:t>se opuso a la prosperidad de las pretensiones de la demanda</w:t>
      </w:r>
      <w:r w:rsidR="00302510" w:rsidRPr="00D3390B">
        <w:rPr>
          <w:rFonts w:ascii="Century Gothic" w:eastAsia="Calibri" w:hAnsi="Century Gothic" w:cs="Times New Roman"/>
          <w:bCs/>
          <w:color w:val="auto"/>
          <w:lang w:eastAsia="en-US"/>
        </w:rPr>
        <w:t xml:space="preserve">, pues consideró que la atención médica que se le proporcionó a la señora </w:t>
      </w:r>
      <w:r w:rsidR="00455CD8" w:rsidRPr="00D3390B">
        <w:rPr>
          <w:rFonts w:ascii="Century Gothic" w:hAnsi="Century Gothic"/>
        </w:rPr>
        <w:t>María Leonilde García</w:t>
      </w:r>
      <w:r w:rsidR="00670990" w:rsidRPr="00D3390B">
        <w:rPr>
          <w:rFonts w:ascii="Century Gothic" w:hAnsi="Century Gothic"/>
        </w:rPr>
        <w:t xml:space="preserve"> fue oportuna e idónea</w:t>
      </w:r>
      <w:r w:rsidR="00AD61B2" w:rsidRPr="00D3390B">
        <w:rPr>
          <w:rFonts w:ascii="Century Gothic" w:hAnsi="Century Gothic"/>
          <w:vertAlign w:val="superscript"/>
        </w:rPr>
        <w:footnoteReference w:id="2"/>
      </w:r>
      <w:r w:rsidR="00E05CAA" w:rsidRPr="00D3390B">
        <w:rPr>
          <w:rFonts w:ascii="Century Gothic" w:hAnsi="Century Gothic"/>
        </w:rPr>
        <w:t xml:space="preserve">. </w:t>
      </w:r>
    </w:p>
    <w:p w14:paraId="12BA5C19" w14:textId="58EC85D0" w:rsidR="00E05CAA"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lastRenderedPageBreak/>
        <w:t xml:space="preserve">4. </w:t>
      </w:r>
      <w:r w:rsidR="00485E4C" w:rsidRPr="00D3390B">
        <w:rPr>
          <w:rFonts w:ascii="Century Gothic" w:hAnsi="Century Gothic"/>
        </w:rPr>
        <w:t>De igual forma, la demandada señaló que la obligación médica era de medio</w:t>
      </w:r>
      <w:r w:rsidR="000C7374" w:rsidRPr="00D3390B">
        <w:rPr>
          <w:rFonts w:ascii="Century Gothic" w:hAnsi="Century Gothic"/>
        </w:rPr>
        <w:t>s y no se resultados. Agregó</w:t>
      </w:r>
      <w:r w:rsidR="00BA5AB0" w:rsidRPr="00D3390B">
        <w:rPr>
          <w:rFonts w:ascii="Century Gothic" w:hAnsi="Century Gothic"/>
        </w:rPr>
        <w:t xml:space="preserve"> que a la parte demandante </w:t>
      </w:r>
      <w:r w:rsidR="000C7374" w:rsidRPr="00D3390B">
        <w:rPr>
          <w:rFonts w:ascii="Century Gothic" w:hAnsi="Century Gothic"/>
        </w:rPr>
        <w:t>le correspondía demostrar la relaci</w:t>
      </w:r>
      <w:r w:rsidR="00AA7FDB" w:rsidRPr="00D3390B">
        <w:rPr>
          <w:rFonts w:ascii="Century Gothic" w:hAnsi="Century Gothic"/>
        </w:rPr>
        <w:t>ón de causalidad entre</w:t>
      </w:r>
      <w:r w:rsidR="000C7374" w:rsidRPr="00D3390B">
        <w:rPr>
          <w:rFonts w:ascii="Century Gothic" w:hAnsi="Century Gothic"/>
        </w:rPr>
        <w:t xml:space="preserve"> la prestaci</w:t>
      </w:r>
      <w:r w:rsidR="00AA7FDB" w:rsidRPr="00D3390B">
        <w:rPr>
          <w:rFonts w:ascii="Century Gothic" w:hAnsi="Century Gothic"/>
        </w:rPr>
        <w:t>ón del servicio m</w:t>
      </w:r>
      <w:r w:rsidR="00731190" w:rsidRPr="00D3390B">
        <w:rPr>
          <w:rFonts w:ascii="Century Gothic" w:hAnsi="Century Gothic"/>
        </w:rPr>
        <w:t>édico y el daño. Por lo anterior, solicitó negar las pretensiones de la demanda.</w:t>
      </w:r>
    </w:p>
    <w:p w14:paraId="09EA82C2" w14:textId="77777777" w:rsidR="00731190" w:rsidRPr="00D3390B" w:rsidRDefault="00731190" w:rsidP="00C62FCF">
      <w:pPr>
        <w:pStyle w:val="Prrafodelista"/>
        <w:tabs>
          <w:tab w:val="left" w:pos="567"/>
        </w:tabs>
        <w:spacing w:line="360" w:lineRule="auto"/>
        <w:ind w:left="0"/>
        <w:contextualSpacing w:val="0"/>
        <w:jc w:val="both"/>
        <w:rPr>
          <w:rFonts w:ascii="Century Gothic" w:hAnsi="Century Gothic"/>
        </w:rPr>
      </w:pPr>
    </w:p>
    <w:p w14:paraId="16E0F7DE" w14:textId="69044DAC" w:rsidR="00731190" w:rsidRPr="00D3390B" w:rsidRDefault="00E66C7B" w:rsidP="00C62FCF">
      <w:pPr>
        <w:pStyle w:val="Prrafodelista"/>
        <w:tabs>
          <w:tab w:val="left" w:pos="567"/>
        </w:tabs>
        <w:spacing w:line="360" w:lineRule="auto"/>
        <w:ind w:left="0"/>
        <w:contextualSpacing w:val="0"/>
        <w:jc w:val="both"/>
        <w:rPr>
          <w:rFonts w:ascii="Century Gothic" w:hAnsi="Century Gothic"/>
          <w:b/>
        </w:rPr>
      </w:pPr>
      <w:r w:rsidRPr="00D3390B">
        <w:rPr>
          <w:rFonts w:ascii="Century Gothic" w:hAnsi="Century Gothic"/>
          <w:b/>
        </w:rPr>
        <w:t>2. Trámite procesal</w:t>
      </w:r>
    </w:p>
    <w:p w14:paraId="1F71BA49" w14:textId="77777777" w:rsidR="00E66C7B" w:rsidRPr="00D3390B" w:rsidRDefault="00E66C7B" w:rsidP="00C62FCF">
      <w:pPr>
        <w:pStyle w:val="Prrafodelista"/>
        <w:tabs>
          <w:tab w:val="left" w:pos="567"/>
        </w:tabs>
        <w:spacing w:line="360" w:lineRule="auto"/>
        <w:ind w:left="0"/>
        <w:contextualSpacing w:val="0"/>
        <w:jc w:val="both"/>
        <w:rPr>
          <w:rFonts w:ascii="Century Gothic" w:hAnsi="Century Gothic"/>
        </w:rPr>
      </w:pPr>
    </w:p>
    <w:p w14:paraId="4BD93FDD" w14:textId="04D666F7" w:rsidR="003672A9"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5. </w:t>
      </w:r>
      <w:r w:rsidR="00741831" w:rsidRPr="00D3390B">
        <w:rPr>
          <w:rFonts w:ascii="Century Gothic" w:hAnsi="Century Gothic"/>
        </w:rPr>
        <w:t xml:space="preserve">La demanda se presentó el 12 de mayo de 2017 (folio 28 c.1). </w:t>
      </w:r>
      <w:r w:rsidR="003672A9" w:rsidRPr="00D3390B">
        <w:rPr>
          <w:rFonts w:ascii="Century Gothic" w:hAnsi="Century Gothic"/>
        </w:rPr>
        <w:t>En auto del 16 de agosto de 2017, se inadmitió (folio 30 c.1)</w:t>
      </w:r>
      <w:r w:rsidR="00D86DAC" w:rsidRPr="00D3390B">
        <w:rPr>
          <w:rFonts w:ascii="Century Gothic" w:hAnsi="Century Gothic"/>
        </w:rPr>
        <w:t xml:space="preserve">, y el 14 de marzo de 2018, se requirió a la parte actora </w:t>
      </w:r>
      <w:r w:rsidR="00276BAC" w:rsidRPr="00D3390B">
        <w:rPr>
          <w:rFonts w:ascii="Century Gothic" w:hAnsi="Century Gothic"/>
        </w:rPr>
        <w:t>(folio 38 c.1). El 15 de agosto de 2018, se admitió la demanda (folios 56 y 57c.1).</w:t>
      </w:r>
    </w:p>
    <w:p w14:paraId="42E1C9FE" w14:textId="77777777" w:rsidR="00276BAC" w:rsidRPr="00D3390B" w:rsidRDefault="00276BAC" w:rsidP="00C62FCF">
      <w:pPr>
        <w:pStyle w:val="Prrafodelista"/>
        <w:tabs>
          <w:tab w:val="left" w:pos="567"/>
        </w:tabs>
        <w:spacing w:line="360" w:lineRule="auto"/>
        <w:ind w:left="0"/>
        <w:contextualSpacing w:val="0"/>
        <w:jc w:val="both"/>
        <w:rPr>
          <w:rFonts w:ascii="Century Gothic" w:hAnsi="Century Gothic"/>
        </w:rPr>
      </w:pPr>
    </w:p>
    <w:p w14:paraId="2E402EA5" w14:textId="3038C283" w:rsidR="00386E1B"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6. </w:t>
      </w:r>
      <w:r w:rsidR="00875715" w:rsidRPr="00D3390B">
        <w:rPr>
          <w:rFonts w:ascii="Century Gothic" w:hAnsi="Century Gothic"/>
        </w:rPr>
        <w:t>La a</w:t>
      </w:r>
      <w:r w:rsidR="004E11AF" w:rsidRPr="00D3390B">
        <w:rPr>
          <w:rFonts w:ascii="Century Gothic" w:hAnsi="Century Gothic"/>
        </w:rPr>
        <w:t xml:space="preserve">udiencia inicial </w:t>
      </w:r>
      <w:r w:rsidR="00B527F8" w:rsidRPr="00D3390B">
        <w:rPr>
          <w:rFonts w:ascii="Century Gothic" w:hAnsi="Century Gothic"/>
        </w:rPr>
        <w:t>se realizó el</w:t>
      </w:r>
      <w:r w:rsidR="00AF22AA" w:rsidRPr="00D3390B">
        <w:rPr>
          <w:rFonts w:ascii="Century Gothic" w:hAnsi="Century Gothic"/>
        </w:rPr>
        <w:t xml:space="preserve"> 26 de noviembre de 2019</w:t>
      </w:r>
      <w:r w:rsidR="00C71C3B" w:rsidRPr="00D3390B">
        <w:rPr>
          <w:rFonts w:ascii="Century Gothic" w:hAnsi="Century Gothic"/>
          <w:vertAlign w:val="superscript"/>
        </w:rPr>
        <w:footnoteReference w:id="3"/>
      </w:r>
      <w:r w:rsidR="00AF22AA" w:rsidRPr="00D3390B">
        <w:rPr>
          <w:rFonts w:ascii="Century Gothic" w:hAnsi="Century Gothic"/>
        </w:rPr>
        <w:t xml:space="preserve"> (folios 112 y 113 c.1).</w:t>
      </w:r>
      <w:r w:rsidR="009A66E4" w:rsidRPr="00D3390B">
        <w:rPr>
          <w:rFonts w:ascii="Century Gothic" w:hAnsi="Century Gothic"/>
        </w:rPr>
        <w:t xml:space="preserve"> La audiencia de pruebas se llevó a cabo el </w:t>
      </w:r>
      <w:r w:rsidR="00F91D04" w:rsidRPr="00D3390B">
        <w:rPr>
          <w:rFonts w:ascii="Century Gothic" w:hAnsi="Century Gothic"/>
        </w:rPr>
        <w:t>4 de febrero de 2020 (folios 123 a 127 c.1)</w:t>
      </w:r>
      <w:r w:rsidR="005E1455" w:rsidRPr="00D3390B">
        <w:rPr>
          <w:rFonts w:ascii="Century Gothic" w:hAnsi="Century Gothic"/>
        </w:rPr>
        <w:t>. Una vez culminó lo anterior, se procedió a realizar la</w:t>
      </w:r>
      <w:r w:rsidR="00AF22AA" w:rsidRPr="00D3390B">
        <w:rPr>
          <w:rFonts w:ascii="Century Gothic" w:hAnsi="Century Gothic"/>
        </w:rPr>
        <w:t xml:space="preserve"> </w:t>
      </w:r>
      <w:r w:rsidR="005E1455" w:rsidRPr="00D3390B">
        <w:rPr>
          <w:rFonts w:ascii="Century Gothic" w:hAnsi="Century Gothic"/>
        </w:rPr>
        <w:t>audiencia de alegaciones y juzgamiento</w:t>
      </w:r>
      <w:r w:rsidR="00386E1B" w:rsidRPr="00D3390B">
        <w:rPr>
          <w:rFonts w:ascii="Century Gothic" w:hAnsi="Century Gothic"/>
        </w:rPr>
        <w:t xml:space="preserve"> (folio 218 y 129 c.1).</w:t>
      </w:r>
    </w:p>
    <w:p w14:paraId="0F73558A" w14:textId="77777777" w:rsidR="00386E1B" w:rsidRPr="00D3390B" w:rsidRDefault="00386E1B" w:rsidP="00C62FCF">
      <w:pPr>
        <w:pStyle w:val="Prrafodelista"/>
        <w:tabs>
          <w:tab w:val="left" w:pos="567"/>
        </w:tabs>
        <w:spacing w:line="360" w:lineRule="auto"/>
        <w:ind w:left="0"/>
        <w:contextualSpacing w:val="0"/>
        <w:jc w:val="both"/>
        <w:rPr>
          <w:rFonts w:ascii="Century Gothic" w:hAnsi="Century Gothic"/>
        </w:rPr>
      </w:pPr>
    </w:p>
    <w:p w14:paraId="0DB4FDAD" w14:textId="4D6E5A76" w:rsidR="002B2B41" w:rsidRPr="00D3390B" w:rsidRDefault="002B2B41" w:rsidP="00C62FCF">
      <w:pPr>
        <w:pStyle w:val="Prrafodelista"/>
        <w:tabs>
          <w:tab w:val="left" w:pos="567"/>
        </w:tabs>
        <w:spacing w:line="360" w:lineRule="auto"/>
        <w:ind w:left="0"/>
        <w:contextualSpacing w:val="0"/>
        <w:jc w:val="both"/>
        <w:rPr>
          <w:rFonts w:ascii="Century Gothic" w:hAnsi="Century Gothic"/>
          <w:b/>
        </w:rPr>
      </w:pPr>
      <w:r w:rsidRPr="00D3390B">
        <w:rPr>
          <w:rFonts w:ascii="Century Gothic" w:hAnsi="Century Gothic"/>
          <w:b/>
        </w:rPr>
        <w:t xml:space="preserve">3. </w:t>
      </w:r>
      <w:r w:rsidR="00D26E98" w:rsidRPr="00D3390B">
        <w:rPr>
          <w:rFonts w:ascii="Century Gothic" w:hAnsi="Century Gothic"/>
          <w:b/>
        </w:rPr>
        <w:t xml:space="preserve">Alegatos de conclusión </w:t>
      </w:r>
    </w:p>
    <w:p w14:paraId="34D0160A" w14:textId="6F4A462E" w:rsidR="00276BAC" w:rsidRPr="00D3390B" w:rsidRDefault="00B527F8"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 </w:t>
      </w:r>
    </w:p>
    <w:p w14:paraId="1D914A12" w14:textId="69D348E9" w:rsidR="00D26E98" w:rsidRPr="00D3390B" w:rsidRDefault="00D26E98" w:rsidP="00C62FCF">
      <w:pPr>
        <w:pStyle w:val="Prrafodelista"/>
        <w:tabs>
          <w:tab w:val="left" w:pos="567"/>
        </w:tabs>
        <w:spacing w:line="360" w:lineRule="auto"/>
        <w:ind w:left="0"/>
        <w:contextualSpacing w:val="0"/>
        <w:jc w:val="both"/>
        <w:rPr>
          <w:rFonts w:ascii="Century Gothic" w:hAnsi="Century Gothic"/>
          <w:b/>
        </w:rPr>
      </w:pPr>
      <w:r w:rsidRPr="00D3390B">
        <w:rPr>
          <w:rFonts w:ascii="Century Gothic" w:hAnsi="Century Gothic"/>
          <w:b/>
        </w:rPr>
        <w:t>3.1. Parte demandante</w:t>
      </w:r>
    </w:p>
    <w:p w14:paraId="3360CA5B" w14:textId="77777777" w:rsidR="00AD2BBA" w:rsidRPr="00D3390B" w:rsidRDefault="00AD2BBA" w:rsidP="00C62FCF">
      <w:pPr>
        <w:pStyle w:val="Prrafodelista"/>
        <w:tabs>
          <w:tab w:val="left" w:pos="567"/>
        </w:tabs>
        <w:spacing w:line="360" w:lineRule="auto"/>
        <w:ind w:left="0"/>
        <w:contextualSpacing w:val="0"/>
        <w:jc w:val="both"/>
        <w:rPr>
          <w:rFonts w:ascii="Century Gothic" w:hAnsi="Century Gothic"/>
          <w:b/>
        </w:rPr>
      </w:pPr>
    </w:p>
    <w:p w14:paraId="233FC2F4" w14:textId="0C8AD896" w:rsidR="00AD2BBA"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7. </w:t>
      </w:r>
      <w:r w:rsidR="00AD2BBA" w:rsidRPr="00D3390B">
        <w:rPr>
          <w:rFonts w:ascii="Century Gothic" w:hAnsi="Century Gothic"/>
        </w:rPr>
        <w:t>En sus alegatos de conclusión</w:t>
      </w:r>
      <w:r w:rsidR="00FD188C" w:rsidRPr="00D3390B">
        <w:rPr>
          <w:rFonts w:ascii="Century Gothic" w:hAnsi="Century Gothic"/>
        </w:rPr>
        <w:t xml:space="preserve"> solicitó acceder a las pretensiones de la demanda, pues indicó que la señora </w:t>
      </w:r>
      <w:r w:rsidR="00D90B95" w:rsidRPr="00D3390B">
        <w:rPr>
          <w:rFonts w:ascii="Century Gothic" w:hAnsi="Century Gothic"/>
        </w:rPr>
        <w:t xml:space="preserve">María Leonilde García ingresó al servicio médico de la demandada el </w:t>
      </w:r>
      <w:r w:rsidR="001A5D4B" w:rsidRPr="00D3390B">
        <w:rPr>
          <w:rFonts w:ascii="Century Gothic" w:hAnsi="Century Gothic"/>
        </w:rPr>
        <w:t>11 de marzo de 2015, pero no se le prestó la atención médica que requería.</w:t>
      </w:r>
      <w:r w:rsidR="00CB706E" w:rsidRPr="00D3390B">
        <w:rPr>
          <w:rFonts w:ascii="Century Gothic" w:hAnsi="Century Gothic"/>
        </w:rPr>
        <w:t xml:space="preserve"> Agregó</w:t>
      </w:r>
      <w:r w:rsidR="008E27E5" w:rsidRPr="00D3390B">
        <w:rPr>
          <w:rFonts w:ascii="Century Gothic" w:hAnsi="Century Gothic"/>
        </w:rPr>
        <w:t xml:space="preserve"> que con el dictamen que aportó al proceso </w:t>
      </w:r>
      <w:r w:rsidR="00F61387" w:rsidRPr="00D3390B">
        <w:rPr>
          <w:rFonts w:ascii="Century Gothic" w:hAnsi="Century Gothic"/>
        </w:rPr>
        <w:t xml:space="preserve">se </w:t>
      </w:r>
      <w:r w:rsidR="008E27E5" w:rsidRPr="00D3390B">
        <w:rPr>
          <w:rFonts w:ascii="Century Gothic" w:hAnsi="Century Gothic"/>
        </w:rPr>
        <w:t xml:space="preserve">acreditó </w:t>
      </w:r>
      <w:r w:rsidR="003359E9" w:rsidRPr="00D3390B">
        <w:rPr>
          <w:rFonts w:ascii="Century Gothic" w:hAnsi="Century Gothic"/>
        </w:rPr>
        <w:t>que el procedimiento de atenci</w:t>
      </w:r>
      <w:r w:rsidR="00ED7161" w:rsidRPr="00D3390B">
        <w:rPr>
          <w:rFonts w:ascii="Century Gothic" w:hAnsi="Century Gothic"/>
        </w:rPr>
        <w:t xml:space="preserve">ón de </w:t>
      </w:r>
      <w:r w:rsidR="003359E9" w:rsidRPr="00D3390B">
        <w:rPr>
          <w:rFonts w:ascii="Century Gothic" w:hAnsi="Century Gothic"/>
        </w:rPr>
        <w:t>la paciente no fue</w:t>
      </w:r>
      <w:r w:rsidR="00F61387" w:rsidRPr="00D3390B">
        <w:rPr>
          <w:rFonts w:ascii="Century Gothic" w:hAnsi="Century Gothic"/>
        </w:rPr>
        <w:t xml:space="preserve"> el</w:t>
      </w:r>
      <w:r w:rsidR="003359E9" w:rsidRPr="00D3390B">
        <w:rPr>
          <w:rFonts w:ascii="Century Gothic" w:hAnsi="Century Gothic"/>
        </w:rPr>
        <w:t xml:space="preserve"> idóneo.</w:t>
      </w:r>
      <w:r w:rsidR="00F67DD4" w:rsidRPr="00D3390B">
        <w:rPr>
          <w:rFonts w:ascii="Century Gothic" w:hAnsi="Century Gothic"/>
        </w:rPr>
        <w:t xml:space="preserve"> Finalmente, señaló que se presentaron falencias en el </w:t>
      </w:r>
      <w:r w:rsidR="009B4286" w:rsidRPr="00D3390B">
        <w:rPr>
          <w:rFonts w:ascii="Century Gothic" w:hAnsi="Century Gothic"/>
        </w:rPr>
        <w:t>lugar donde se prestó el servicio médico.</w:t>
      </w:r>
    </w:p>
    <w:p w14:paraId="657576D8" w14:textId="2CF6CAE3" w:rsidR="00F37FF1" w:rsidRPr="00D3390B" w:rsidRDefault="00F37FF1" w:rsidP="00C62FCF">
      <w:pPr>
        <w:pStyle w:val="Prrafodelista"/>
        <w:tabs>
          <w:tab w:val="left" w:pos="567"/>
        </w:tabs>
        <w:spacing w:line="360" w:lineRule="auto"/>
        <w:ind w:left="0"/>
        <w:contextualSpacing w:val="0"/>
        <w:jc w:val="both"/>
        <w:rPr>
          <w:rFonts w:ascii="Century Gothic" w:hAnsi="Century Gothic"/>
          <w:b/>
        </w:rPr>
      </w:pPr>
      <w:r w:rsidRPr="00D3390B">
        <w:rPr>
          <w:rFonts w:ascii="Century Gothic" w:hAnsi="Century Gothic"/>
          <w:b/>
        </w:rPr>
        <w:lastRenderedPageBreak/>
        <w:t>3.2. Parte demandada</w:t>
      </w:r>
    </w:p>
    <w:p w14:paraId="12D23285" w14:textId="77777777" w:rsidR="00F37FF1" w:rsidRPr="00D3390B" w:rsidRDefault="00F37FF1" w:rsidP="00C62FCF">
      <w:pPr>
        <w:pStyle w:val="Prrafodelista"/>
        <w:tabs>
          <w:tab w:val="left" w:pos="567"/>
        </w:tabs>
        <w:spacing w:line="360" w:lineRule="auto"/>
        <w:ind w:left="0"/>
        <w:contextualSpacing w:val="0"/>
        <w:jc w:val="both"/>
        <w:rPr>
          <w:rFonts w:ascii="Century Gothic" w:hAnsi="Century Gothic"/>
          <w:b/>
        </w:rPr>
      </w:pPr>
    </w:p>
    <w:p w14:paraId="292D586C" w14:textId="45A3A06C" w:rsidR="005228F0"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8. </w:t>
      </w:r>
      <w:r w:rsidR="00C76B01" w:rsidRPr="00D3390B">
        <w:rPr>
          <w:rFonts w:ascii="Century Gothic" w:hAnsi="Century Gothic"/>
        </w:rPr>
        <w:t xml:space="preserve">La parte demandada en sus alegatos </w:t>
      </w:r>
      <w:r w:rsidR="00BE1B0B" w:rsidRPr="00D3390B">
        <w:rPr>
          <w:rFonts w:ascii="Century Gothic" w:hAnsi="Century Gothic"/>
        </w:rPr>
        <w:t xml:space="preserve">de conclusión </w:t>
      </w:r>
      <w:r w:rsidR="00C76B01" w:rsidRPr="00D3390B">
        <w:rPr>
          <w:rFonts w:ascii="Century Gothic" w:hAnsi="Century Gothic"/>
        </w:rPr>
        <w:t>indicó que la prestación del servicio médico que le brindó a la señora María Leonilde García</w:t>
      </w:r>
      <w:r w:rsidR="000411AF" w:rsidRPr="00D3390B">
        <w:rPr>
          <w:rFonts w:ascii="Century Gothic" w:hAnsi="Century Gothic"/>
        </w:rPr>
        <w:t xml:space="preserve"> fue adecuada. Precisó </w:t>
      </w:r>
      <w:proofErr w:type="gramStart"/>
      <w:r w:rsidR="000411AF" w:rsidRPr="00D3390B">
        <w:rPr>
          <w:rFonts w:ascii="Century Gothic" w:hAnsi="Century Gothic"/>
        </w:rPr>
        <w:t>que</w:t>
      </w:r>
      <w:proofErr w:type="gramEnd"/>
      <w:r w:rsidR="000411AF" w:rsidRPr="00D3390B">
        <w:rPr>
          <w:rFonts w:ascii="Century Gothic" w:hAnsi="Century Gothic"/>
        </w:rPr>
        <w:t xml:space="preserve"> si bien uno de los m</w:t>
      </w:r>
      <w:r w:rsidR="00AE3782" w:rsidRPr="00D3390B">
        <w:rPr>
          <w:rFonts w:ascii="Century Gothic" w:hAnsi="Century Gothic"/>
        </w:rPr>
        <w:t xml:space="preserve">édicos no se encontraba registrado en la Secretaría del Departamento </w:t>
      </w:r>
      <w:r w:rsidR="00D8625D" w:rsidRPr="00D3390B">
        <w:rPr>
          <w:rFonts w:ascii="Century Gothic" w:hAnsi="Century Gothic"/>
        </w:rPr>
        <w:t>del Tolima</w:t>
      </w:r>
      <w:r w:rsidR="00AE3782" w:rsidRPr="00D3390B">
        <w:rPr>
          <w:rFonts w:ascii="Century Gothic" w:hAnsi="Century Gothic"/>
        </w:rPr>
        <w:t>, sí podía ejercer la profesión</w:t>
      </w:r>
      <w:r w:rsidR="0003366A" w:rsidRPr="00D3390B">
        <w:rPr>
          <w:rFonts w:ascii="Century Gothic" w:hAnsi="Century Gothic"/>
        </w:rPr>
        <w:t>. Solicitó tener en cuenta la edad de la paciente y sus condiciones médicas previas</w:t>
      </w:r>
      <w:r w:rsidR="005228F0" w:rsidRPr="00D3390B">
        <w:rPr>
          <w:rFonts w:ascii="Century Gothic" w:hAnsi="Century Gothic"/>
        </w:rPr>
        <w:t>. Finalmente, indicó que los familiares de la señora Garc</w:t>
      </w:r>
      <w:r w:rsidR="00BE1B0B" w:rsidRPr="00D3390B">
        <w:rPr>
          <w:rFonts w:ascii="Century Gothic" w:hAnsi="Century Gothic"/>
        </w:rPr>
        <w:t>ía la</w:t>
      </w:r>
      <w:r w:rsidR="005228F0" w:rsidRPr="00D3390B">
        <w:rPr>
          <w:rFonts w:ascii="Century Gothic" w:hAnsi="Century Gothic"/>
        </w:rPr>
        <w:t xml:space="preserve"> debieron llevar a un centro de salud de mayor complejidad.</w:t>
      </w:r>
    </w:p>
    <w:p w14:paraId="38A6DD0B" w14:textId="77777777" w:rsidR="005228F0" w:rsidRPr="00D3390B" w:rsidRDefault="005228F0" w:rsidP="00C62FCF">
      <w:pPr>
        <w:pStyle w:val="Prrafodelista"/>
        <w:tabs>
          <w:tab w:val="left" w:pos="567"/>
        </w:tabs>
        <w:spacing w:line="360" w:lineRule="auto"/>
        <w:ind w:left="0"/>
        <w:contextualSpacing w:val="0"/>
        <w:jc w:val="both"/>
        <w:rPr>
          <w:rFonts w:ascii="Century Gothic" w:hAnsi="Century Gothic"/>
        </w:rPr>
      </w:pPr>
    </w:p>
    <w:p w14:paraId="747AC1F0" w14:textId="1685DE9C" w:rsidR="005228F0" w:rsidRPr="00D3390B" w:rsidRDefault="00BE1B0B" w:rsidP="00C62FCF">
      <w:pPr>
        <w:pStyle w:val="Prrafodelista"/>
        <w:tabs>
          <w:tab w:val="left" w:pos="567"/>
        </w:tabs>
        <w:spacing w:line="360" w:lineRule="auto"/>
        <w:ind w:left="0"/>
        <w:contextualSpacing w:val="0"/>
        <w:jc w:val="both"/>
        <w:rPr>
          <w:rFonts w:ascii="Century Gothic" w:hAnsi="Century Gothic"/>
          <w:b/>
        </w:rPr>
      </w:pPr>
      <w:r w:rsidRPr="00D3390B">
        <w:rPr>
          <w:rFonts w:ascii="Century Gothic" w:hAnsi="Century Gothic"/>
          <w:b/>
        </w:rPr>
        <w:t>3.3. Ministerio público</w:t>
      </w:r>
    </w:p>
    <w:p w14:paraId="24E8D9CE" w14:textId="4BA5F4A3" w:rsidR="00F37FF1" w:rsidRPr="00D3390B" w:rsidRDefault="0003366A"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 </w:t>
      </w:r>
    </w:p>
    <w:p w14:paraId="28B9C17E" w14:textId="314E3656" w:rsidR="00BE1B0B"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9. </w:t>
      </w:r>
      <w:r w:rsidR="00BE1B0B" w:rsidRPr="00D3390B">
        <w:rPr>
          <w:rFonts w:ascii="Century Gothic" w:hAnsi="Century Gothic"/>
        </w:rPr>
        <w:t>El Ministerio Público no presentó concepto.</w:t>
      </w:r>
    </w:p>
    <w:p w14:paraId="2064D70F" w14:textId="77777777" w:rsidR="006A71F9" w:rsidRPr="00D3390B" w:rsidRDefault="006A71F9" w:rsidP="00C62FCF">
      <w:pPr>
        <w:pStyle w:val="Prrafodelista"/>
        <w:tabs>
          <w:tab w:val="left" w:pos="567"/>
        </w:tabs>
        <w:spacing w:line="360" w:lineRule="auto"/>
        <w:ind w:left="0"/>
        <w:contextualSpacing w:val="0"/>
        <w:jc w:val="both"/>
        <w:rPr>
          <w:rFonts w:ascii="Century Gothic" w:hAnsi="Century Gothic"/>
        </w:rPr>
      </w:pPr>
    </w:p>
    <w:p w14:paraId="579B2035" w14:textId="37CA6247" w:rsidR="006A71F9" w:rsidRPr="00D3390B" w:rsidRDefault="006A71F9" w:rsidP="00C62FCF">
      <w:pPr>
        <w:pStyle w:val="Prrafodelista"/>
        <w:tabs>
          <w:tab w:val="left" w:pos="567"/>
        </w:tabs>
        <w:spacing w:line="360" w:lineRule="auto"/>
        <w:ind w:left="0"/>
        <w:contextualSpacing w:val="0"/>
        <w:jc w:val="both"/>
        <w:rPr>
          <w:rFonts w:ascii="Century Gothic" w:hAnsi="Century Gothic"/>
          <w:b/>
        </w:rPr>
      </w:pPr>
      <w:r w:rsidRPr="00D3390B">
        <w:rPr>
          <w:rFonts w:ascii="Century Gothic" w:hAnsi="Century Gothic"/>
          <w:b/>
        </w:rPr>
        <w:t>4. Pruebas</w:t>
      </w:r>
    </w:p>
    <w:p w14:paraId="752F6F36" w14:textId="77777777" w:rsidR="006A71F9" w:rsidRPr="00D3390B" w:rsidRDefault="006A71F9" w:rsidP="00C62FCF">
      <w:pPr>
        <w:pStyle w:val="Prrafodelista"/>
        <w:tabs>
          <w:tab w:val="left" w:pos="567"/>
        </w:tabs>
        <w:spacing w:line="360" w:lineRule="auto"/>
        <w:ind w:left="0"/>
        <w:contextualSpacing w:val="0"/>
        <w:jc w:val="both"/>
        <w:rPr>
          <w:rFonts w:ascii="Century Gothic" w:hAnsi="Century Gothic"/>
        </w:rPr>
      </w:pPr>
    </w:p>
    <w:p w14:paraId="60061D74" w14:textId="08313F31" w:rsidR="006A71F9" w:rsidRPr="00D3390B" w:rsidRDefault="00253779" w:rsidP="00C62FCF">
      <w:pPr>
        <w:pStyle w:val="Prrafodelista"/>
        <w:numPr>
          <w:ilvl w:val="0"/>
          <w:numId w:val="20"/>
        </w:numPr>
        <w:tabs>
          <w:tab w:val="left" w:pos="567"/>
        </w:tabs>
        <w:spacing w:line="360" w:lineRule="auto"/>
        <w:ind w:left="426" w:hanging="426"/>
        <w:contextualSpacing w:val="0"/>
        <w:jc w:val="both"/>
        <w:rPr>
          <w:rFonts w:ascii="Century Gothic" w:hAnsi="Century Gothic"/>
        </w:rPr>
      </w:pPr>
      <w:r w:rsidRPr="00D3390B">
        <w:rPr>
          <w:rFonts w:ascii="Century Gothic" w:hAnsi="Century Gothic"/>
        </w:rPr>
        <w:t>Copia de la historia clínica de la señora M</w:t>
      </w:r>
      <w:r w:rsidR="00D8625D" w:rsidRPr="00D3390B">
        <w:rPr>
          <w:rFonts w:ascii="Century Gothic" w:hAnsi="Century Gothic"/>
        </w:rPr>
        <w:t xml:space="preserve">aría Leonilde García (folios 13-18, 26-224 del cuaderno 2 </w:t>
      </w:r>
      <w:proofErr w:type="gramStart"/>
      <w:r w:rsidR="00D8625D" w:rsidRPr="00D3390B">
        <w:rPr>
          <w:rFonts w:ascii="Century Gothic" w:hAnsi="Century Gothic"/>
        </w:rPr>
        <w:t>y  cuaderno</w:t>
      </w:r>
      <w:proofErr w:type="gramEnd"/>
      <w:r w:rsidR="00D8625D" w:rsidRPr="00D3390B">
        <w:rPr>
          <w:rFonts w:ascii="Century Gothic" w:hAnsi="Century Gothic"/>
        </w:rPr>
        <w:t xml:space="preserve"> 3</w:t>
      </w:r>
      <w:r w:rsidRPr="00D3390B">
        <w:rPr>
          <w:rFonts w:ascii="Century Gothic" w:hAnsi="Century Gothic"/>
        </w:rPr>
        <w:t>).</w:t>
      </w:r>
    </w:p>
    <w:p w14:paraId="3FD9DD80" w14:textId="2A8A5087" w:rsidR="00253779" w:rsidRPr="00D3390B" w:rsidRDefault="00253779" w:rsidP="00C62FCF">
      <w:pPr>
        <w:pStyle w:val="Prrafodelista"/>
        <w:numPr>
          <w:ilvl w:val="0"/>
          <w:numId w:val="20"/>
        </w:numPr>
        <w:tabs>
          <w:tab w:val="left" w:pos="567"/>
        </w:tabs>
        <w:spacing w:line="360" w:lineRule="auto"/>
        <w:ind w:left="426" w:hanging="426"/>
        <w:contextualSpacing w:val="0"/>
        <w:jc w:val="both"/>
        <w:rPr>
          <w:rFonts w:ascii="Century Gothic" w:hAnsi="Century Gothic"/>
        </w:rPr>
      </w:pPr>
      <w:r w:rsidRPr="00D3390B">
        <w:rPr>
          <w:rFonts w:ascii="Century Gothic" w:hAnsi="Century Gothic"/>
        </w:rPr>
        <w:t xml:space="preserve">Dictamen médico que sustentó en la audiencia de pruebas la </w:t>
      </w:r>
      <w:r w:rsidR="00D8625D" w:rsidRPr="00D3390B">
        <w:rPr>
          <w:rFonts w:ascii="Century Gothic" w:hAnsi="Century Gothic"/>
        </w:rPr>
        <w:t xml:space="preserve">médica ISABEL CRINTIA GARCAIA ALVAREZ </w:t>
      </w:r>
      <w:r w:rsidRPr="00D3390B">
        <w:rPr>
          <w:rFonts w:ascii="Century Gothic" w:hAnsi="Century Gothic"/>
        </w:rPr>
        <w:t xml:space="preserve">(folios </w:t>
      </w:r>
      <w:r w:rsidR="00D8625D" w:rsidRPr="00D3390B">
        <w:rPr>
          <w:rFonts w:ascii="Century Gothic" w:hAnsi="Century Gothic"/>
        </w:rPr>
        <w:t>232 -262 del cuaderno 2</w:t>
      </w:r>
      <w:r w:rsidRPr="00D3390B">
        <w:rPr>
          <w:rFonts w:ascii="Century Gothic" w:hAnsi="Century Gothic"/>
        </w:rPr>
        <w:t>.</w:t>
      </w:r>
    </w:p>
    <w:p w14:paraId="3A079951" w14:textId="7E43407C" w:rsidR="00253779" w:rsidRPr="00D3390B" w:rsidRDefault="00253779" w:rsidP="00C62FCF">
      <w:pPr>
        <w:pStyle w:val="Prrafodelista"/>
        <w:numPr>
          <w:ilvl w:val="0"/>
          <w:numId w:val="20"/>
        </w:numPr>
        <w:tabs>
          <w:tab w:val="left" w:pos="567"/>
        </w:tabs>
        <w:spacing w:line="360" w:lineRule="auto"/>
        <w:ind w:left="426" w:hanging="426"/>
        <w:contextualSpacing w:val="0"/>
        <w:jc w:val="both"/>
        <w:rPr>
          <w:rFonts w:ascii="Century Gothic" w:hAnsi="Century Gothic"/>
        </w:rPr>
      </w:pPr>
      <w:r w:rsidRPr="00D3390B">
        <w:rPr>
          <w:rFonts w:ascii="Century Gothic" w:hAnsi="Century Gothic"/>
        </w:rPr>
        <w:t>Testimonios de los señores</w:t>
      </w:r>
      <w:r w:rsidR="00180825" w:rsidRPr="00D3390B">
        <w:rPr>
          <w:rFonts w:ascii="Century Gothic" w:hAnsi="Century Gothic"/>
        </w:rPr>
        <w:t xml:space="preserve"> Jorge Obed Arenas Ospina y</w:t>
      </w:r>
      <w:r w:rsidR="00D8625D" w:rsidRPr="00D3390B">
        <w:rPr>
          <w:rFonts w:ascii="Century Gothic" w:hAnsi="Century Gothic"/>
        </w:rPr>
        <w:t xml:space="preserve"> Hermelinda Quiñones Cárdenas </w:t>
      </w:r>
      <w:r w:rsidRPr="00D3390B">
        <w:rPr>
          <w:rFonts w:ascii="Century Gothic" w:hAnsi="Century Gothic"/>
        </w:rPr>
        <w:t>(</w:t>
      </w:r>
      <w:r w:rsidR="00D8625D" w:rsidRPr="00D3390B">
        <w:rPr>
          <w:rFonts w:ascii="Century Gothic" w:hAnsi="Century Gothic"/>
        </w:rPr>
        <w:t>folios 117-127 del cuaderno principal</w:t>
      </w:r>
      <w:r w:rsidRPr="00D3390B">
        <w:rPr>
          <w:rFonts w:ascii="Century Gothic" w:hAnsi="Century Gothic"/>
        </w:rPr>
        <w:t>).</w:t>
      </w:r>
    </w:p>
    <w:p w14:paraId="7EF13B48" w14:textId="3BD2B62A" w:rsidR="00D8625D" w:rsidRPr="00D3390B" w:rsidRDefault="00D8625D" w:rsidP="00C62FCF">
      <w:pPr>
        <w:pStyle w:val="Prrafodelista"/>
        <w:numPr>
          <w:ilvl w:val="0"/>
          <w:numId w:val="20"/>
        </w:numPr>
        <w:tabs>
          <w:tab w:val="left" w:pos="567"/>
        </w:tabs>
        <w:spacing w:line="360" w:lineRule="auto"/>
        <w:ind w:left="426" w:hanging="426"/>
        <w:contextualSpacing w:val="0"/>
        <w:jc w:val="both"/>
        <w:rPr>
          <w:rFonts w:ascii="Century Gothic" w:hAnsi="Century Gothic"/>
        </w:rPr>
      </w:pPr>
      <w:r w:rsidRPr="00D3390B">
        <w:rPr>
          <w:rFonts w:ascii="Century Gothic" w:hAnsi="Century Gothic"/>
        </w:rPr>
        <w:t>Resultado de visita de verificación en el establecimiento de sanidad del BASPC Nº6 de la ciudad de Ibagué (folios 228-231 del cuaderno 2)</w:t>
      </w:r>
    </w:p>
    <w:p w14:paraId="65A4C80D" w14:textId="77777777" w:rsidR="006A71F9" w:rsidRPr="00D3390B" w:rsidRDefault="006A71F9" w:rsidP="00C62FCF">
      <w:pPr>
        <w:pStyle w:val="Prrafodelista"/>
        <w:tabs>
          <w:tab w:val="left" w:pos="567"/>
        </w:tabs>
        <w:spacing w:line="360" w:lineRule="auto"/>
        <w:ind w:left="0"/>
        <w:contextualSpacing w:val="0"/>
        <w:jc w:val="both"/>
        <w:rPr>
          <w:rFonts w:ascii="Century Gothic" w:hAnsi="Century Gothic"/>
        </w:rPr>
      </w:pPr>
    </w:p>
    <w:p w14:paraId="13F8843D" w14:textId="3373F89B" w:rsidR="00F37FF1" w:rsidRPr="00D3390B" w:rsidRDefault="0047177D" w:rsidP="00C62FCF">
      <w:pPr>
        <w:pStyle w:val="Prrafodelista"/>
        <w:tabs>
          <w:tab w:val="left" w:pos="567"/>
        </w:tabs>
        <w:spacing w:line="360" w:lineRule="auto"/>
        <w:ind w:left="0"/>
        <w:contextualSpacing w:val="0"/>
        <w:jc w:val="center"/>
        <w:rPr>
          <w:rFonts w:ascii="Century Gothic" w:hAnsi="Century Gothic"/>
          <w:b/>
        </w:rPr>
      </w:pPr>
      <w:r w:rsidRPr="00D3390B">
        <w:rPr>
          <w:rFonts w:ascii="Century Gothic" w:hAnsi="Century Gothic"/>
          <w:b/>
        </w:rPr>
        <w:t>II. CONSIDERACIONES</w:t>
      </w:r>
    </w:p>
    <w:p w14:paraId="3FF5C7D1" w14:textId="77777777" w:rsidR="00F37FF1" w:rsidRPr="00D3390B" w:rsidRDefault="00F37FF1" w:rsidP="00C62FCF">
      <w:pPr>
        <w:pStyle w:val="Prrafodelista"/>
        <w:tabs>
          <w:tab w:val="left" w:pos="567"/>
        </w:tabs>
        <w:spacing w:line="360" w:lineRule="auto"/>
        <w:ind w:left="0"/>
        <w:contextualSpacing w:val="0"/>
        <w:jc w:val="both"/>
        <w:rPr>
          <w:rFonts w:ascii="Century Gothic" w:hAnsi="Century Gothic"/>
          <w:b/>
        </w:rPr>
      </w:pPr>
    </w:p>
    <w:p w14:paraId="0DF5517C" w14:textId="145F894F" w:rsidR="009B4286" w:rsidRPr="00D3390B" w:rsidRDefault="004B714F" w:rsidP="00C62FCF">
      <w:pPr>
        <w:pStyle w:val="Prrafodelista"/>
        <w:tabs>
          <w:tab w:val="left" w:pos="567"/>
        </w:tabs>
        <w:spacing w:line="360" w:lineRule="auto"/>
        <w:ind w:left="0"/>
        <w:contextualSpacing w:val="0"/>
        <w:jc w:val="both"/>
        <w:rPr>
          <w:rFonts w:ascii="Century Gothic" w:hAnsi="Century Gothic"/>
          <w:b/>
        </w:rPr>
      </w:pPr>
      <w:r w:rsidRPr="00D3390B">
        <w:rPr>
          <w:rFonts w:ascii="Century Gothic" w:hAnsi="Century Gothic"/>
          <w:b/>
        </w:rPr>
        <w:t>5</w:t>
      </w:r>
      <w:r w:rsidR="0047177D" w:rsidRPr="00D3390B">
        <w:rPr>
          <w:rFonts w:ascii="Century Gothic" w:hAnsi="Century Gothic"/>
          <w:b/>
        </w:rPr>
        <w:t xml:space="preserve">. </w:t>
      </w:r>
      <w:r w:rsidR="00445350" w:rsidRPr="00D3390B">
        <w:rPr>
          <w:rFonts w:ascii="Century Gothic" w:hAnsi="Century Gothic"/>
          <w:b/>
        </w:rPr>
        <w:t>Competencia</w:t>
      </w:r>
    </w:p>
    <w:p w14:paraId="06C4BC21" w14:textId="77777777" w:rsidR="00445350" w:rsidRPr="00D3390B" w:rsidRDefault="00445350" w:rsidP="00C62FCF">
      <w:pPr>
        <w:pStyle w:val="Prrafodelista"/>
        <w:tabs>
          <w:tab w:val="left" w:pos="567"/>
        </w:tabs>
        <w:spacing w:line="360" w:lineRule="auto"/>
        <w:ind w:left="0"/>
        <w:contextualSpacing w:val="0"/>
        <w:jc w:val="both"/>
        <w:rPr>
          <w:rFonts w:ascii="Century Gothic" w:hAnsi="Century Gothic"/>
        </w:rPr>
      </w:pPr>
    </w:p>
    <w:p w14:paraId="60B6C602" w14:textId="208758B0" w:rsidR="00445350"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10. </w:t>
      </w:r>
      <w:r w:rsidR="00445350" w:rsidRPr="00D3390B">
        <w:rPr>
          <w:rFonts w:ascii="Century Gothic" w:hAnsi="Century Gothic"/>
        </w:rPr>
        <w:t xml:space="preserve">El despacho es competente para resolver en primera instancia el presente asunto, conforme al artículo </w:t>
      </w:r>
      <w:r w:rsidR="002B6BBD" w:rsidRPr="00D3390B">
        <w:rPr>
          <w:rFonts w:ascii="Century Gothic" w:hAnsi="Century Gothic"/>
        </w:rPr>
        <w:t xml:space="preserve">155.6 del Código de Procedimiento Administrativo </w:t>
      </w:r>
      <w:r w:rsidR="00A67970" w:rsidRPr="00D3390B">
        <w:rPr>
          <w:rFonts w:ascii="Century Gothic" w:hAnsi="Century Gothic"/>
        </w:rPr>
        <w:t>y de lo Contencioso Administrativo</w:t>
      </w:r>
      <w:r w:rsidR="00DC2AD5" w:rsidRPr="00D3390B">
        <w:rPr>
          <w:rFonts w:ascii="Century Gothic" w:hAnsi="Century Gothic"/>
          <w:vertAlign w:val="superscript"/>
        </w:rPr>
        <w:footnoteReference w:id="4"/>
      </w:r>
      <w:r w:rsidR="00A67970" w:rsidRPr="00D3390B">
        <w:rPr>
          <w:rFonts w:ascii="Century Gothic" w:hAnsi="Century Gothic"/>
        </w:rPr>
        <w:t>.</w:t>
      </w:r>
    </w:p>
    <w:p w14:paraId="1DA3395C" w14:textId="77777777" w:rsidR="00D8625D" w:rsidRPr="00D3390B" w:rsidRDefault="00D8625D" w:rsidP="00C62FCF">
      <w:pPr>
        <w:pStyle w:val="Prrafodelista"/>
        <w:tabs>
          <w:tab w:val="left" w:pos="567"/>
        </w:tabs>
        <w:spacing w:line="360" w:lineRule="auto"/>
        <w:ind w:left="0"/>
        <w:contextualSpacing w:val="0"/>
        <w:jc w:val="both"/>
        <w:rPr>
          <w:rFonts w:ascii="Century Gothic" w:hAnsi="Century Gothic"/>
        </w:rPr>
      </w:pPr>
    </w:p>
    <w:p w14:paraId="7C650E89" w14:textId="55596640" w:rsidR="00445350" w:rsidRPr="00D3390B" w:rsidRDefault="004B714F" w:rsidP="00C62FCF">
      <w:pPr>
        <w:pStyle w:val="Prrafodelista"/>
        <w:tabs>
          <w:tab w:val="left" w:pos="567"/>
        </w:tabs>
        <w:spacing w:line="360" w:lineRule="auto"/>
        <w:ind w:left="0"/>
        <w:contextualSpacing w:val="0"/>
        <w:jc w:val="both"/>
        <w:rPr>
          <w:rFonts w:ascii="Century Gothic" w:hAnsi="Century Gothic"/>
          <w:b/>
        </w:rPr>
      </w:pPr>
      <w:r w:rsidRPr="00D3390B">
        <w:rPr>
          <w:rFonts w:ascii="Century Gothic" w:hAnsi="Century Gothic"/>
          <w:b/>
        </w:rPr>
        <w:t>6</w:t>
      </w:r>
      <w:r w:rsidR="00A54901" w:rsidRPr="00D3390B">
        <w:rPr>
          <w:rFonts w:ascii="Century Gothic" w:hAnsi="Century Gothic"/>
          <w:b/>
        </w:rPr>
        <w:t>. Asunto a resolver</w:t>
      </w:r>
    </w:p>
    <w:p w14:paraId="7567ABB2" w14:textId="77777777" w:rsidR="009B4286" w:rsidRPr="00D3390B" w:rsidRDefault="009B4286" w:rsidP="00C62FCF">
      <w:pPr>
        <w:pStyle w:val="Prrafodelista"/>
        <w:tabs>
          <w:tab w:val="left" w:pos="567"/>
        </w:tabs>
        <w:spacing w:line="360" w:lineRule="auto"/>
        <w:ind w:left="0"/>
        <w:contextualSpacing w:val="0"/>
        <w:jc w:val="both"/>
        <w:rPr>
          <w:rFonts w:ascii="Century Gothic" w:hAnsi="Century Gothic"/>
        </w:rPr>
      </w:pPr>
    </w:p>
    <w:p w14:paraId="77620777" w14:textId="03620A71" w:rsidR="0000797D"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11. </w:t>
      </w:r>
      <w:r w:rsidR="006D65A2" w:rsidRPr="00D3390B">
        <w:rPr>
          <w:rFonts w:ascii="Century Gothic" w:hAnsi="Century Gothic"/>
        </w:rPr>
        <w:t xml:space="preserve">Corresponde establecer si </w:t>
      </w:r>
      <w:r w:rsidR="008B1F78" w:rsidRPr="00D3390B">
        <w:rPr>
          <w:rFonts w:ascii="Century Gothic" w:hAnsi="Century Gothic"/>
        </w:rPr>
        <w:t xml:space="preserve">a la Nación – Ministerio de Defensa Nacional – Ejército Nacional – Dirección de Sanidad </w:t>
      </w:r>
      <w:r w:rsidR="004804FD" w:rsidRPr="00D3390B">
        <w:rPr>
          <w:rFonts w:ascii="Century Gothic" w:hAnsi="Century Gothic"/>
        </w:rPr>
        <w:t>le es atribuible la muerte de la señora María Leonilde García, ante la aludida falla en la prestación del servicio m</w:t>
      </w:r>
      <w:r w:rsidR="0000797D" w:rsidRPr="00D3390B">
        <w:rPr>
          <w:rFonts w:ascii="Century Gothic" w:hAnsi="Century Gothic"/>
        </w:rPr>
        <w:t xml:space="preserve">édico que </w:t>
      </w:r>
      <w:r w:rsidR="00AC3767" w:rsidRPr="00D3390B">
        <w:rPr>
          <w:rFonts w:ascii="Century Gothic" w:hAnsi="Century Gothic"/>
        </w:rPr>
        <w:t xml:space="preserve">se </w:t>
      </w:r>
      <w:r w:rsidR="0000797D" w:rsidRPr="00D3390B">
        <w:rPr>
          <w:rFonts w:ascii="Century Gothic" w:hAnsi="Century Gothic"/>
        </w:rPr>
        <w:t>le</w:t>
      </w:r>
      <w:r w:rsidR="004804FD" w:rsidRPr="00D3390B">
        <w:rPr>
          <w:rFonts w:ascii="Century Gothic" w:hAnsi="Century Gothic"/>
        </w:rPr>
        <w:t xml:space="preserve"> prest</w:t>
      </w:r>
      <w:r w:rsidR="0000797D" w:rsidRPr="00D3390B">
        <w:rPr>
          <w:rFonts w:ascii="Century Gothic" w:hAnsi="Century Gothic"/>
        </w:rPr>
        <w:t>ó</w:t>
      </w:r>
      <w:r w:rsidR="00AC3767" w:rsidRPr="00D3390B">
        <w:rPr>
          <w:rFonts w:ascii="Century Gothic" w:hAnsi="Century Gothic"/>
        </w:rPr>
        <w:t xml:space="preserve"> a la paciente</w:t>
      </w:r>
      <w:r w:rsidR="0000797D" w:rsidRPr="00D3390B">
        <w:rPr>
          <w:rFonts w:ascii="Century Gothic" w:hAnsi="Century Gothic"/>
        </w:rPr>
        <w:t>. En evento de existir responsabilidad de la demandada, debe resolverse lo relativo a la indemnización de perjuicios.</w:t>
      </w:r>
    </w:p>
    <w:p w14:paraId="5C004048" w14:textId="77777777" w:rsidR="0000797D" w:rsidRPr="00D3390B" w:rsidRDefault="0000797D" w:rsidP="00C62FCF">
      <w:pPr>
        <w:pStyle w:val="Prrafodelista"/>
        <w:tabs>
          <w:tab w:val="left" w:pos="567"/>
        </w:tabs>
        <w:spacing w:line="360" w:lineRule="auto"/>
        <w:ind w:left="0"/>
        <w:contextualSpacing w:val="0"/>
        <w:jc w:val="both"/>
        <w:rPr>
          <w:rFonts w:ascii="Century Gothic" w:hAnsi="Century Gothic"/>
        </w:rPr>
      </w:pPr>
    </w:p>
    <w:p w14:paraId="4ED1D8DB" w14:textId="685C1A68" w:rsidR="00A340B3" w:rsidRPr="00D3390B" w:rsidRDefault="004B714F" w:rsidP="00C62FCF">
      <w:pPr>
        <w:pStyle w:val="Prrafodelista"/>
        <w:tabs>
          <w:tab w:val="left" w:pos="567"/>
        </w:tabs>
        <w:spacing w:line="360" w:lineRule="auto"/>
        <w:ind w:left="0"/>
        <w:contextualSpacing w:val="0"/>
        <w:jc w:val="both"/>
        <w:rPr>
          <w:rFonts w:ascii="Century Gothic" w:hAnsi="Century Gothic"/>
          <w:b/>
        </w:rPr>
      </w:pPr>
      <w:r w:rsidRPr="00D3390B">
        <w:rPr>
          <w:rFonts w:ascii="Century Gothic" w:hAnsi="Century Gothic"/>
          <w:b/>
        </w:rPr>
        <w:t>7</w:t>
      </w:r>
      <w:r w:rsidR="00A340B3" w:rsidRPr="00D3390B">
        <w:rPr>
          <w:rFonts w:ascii="Century Gothic" w:hAnsi="Century Gothic"/>
          <w:b/>
        </w:rPr>
        <w:t>. Tesis del juzgado.</w:t>
      </w:r>
    </w:p>
    <w:p w14:paraId="3C07726E" w14:textId="77777777" w:rsidR="00A340B3" w:rsidRPr="00D3390B" w:rsidRDefault="00A340B3" w:rsidP="00C62FCF">
      <w:pPr>
        <w:pStyle w:val="Prrafodelista"/>
        <w:tabs>
          <w:tab w:val="left" w:pos="567"/>
        </w:tabs>
        <w:spacing w:line="360" w:lineRule="auto"/>
        <w:ind w:left="0"/>
        <w:contextualSpacing w:val="0"/>
        <w:jc w:val="both"/>
        <w:rPr>
          <w:rFonts w:ascii="Century Gothic" w:hAnsi="Century Gothic"/>
        </w:rPr>
      </w:pPr>
    </w:p>
    <w:p w14:paraId="7E686DA9" w14:textId="4CBC5782" w:rsidR="00A340B3" w:rsidRPr="00D3390B" w:rsidRDefault="00D30133" w:rsidP="00C62FCF">
      <w:pPr>
        <w:pStyle w:val="Prrafodelista"/>
        <w:tabs>
          <w:tab w:val="left" w:pos="567"/>
        </w:tabs>
        <w:spacing w:line="360" w:lineRule="auto"/>
        <w:ind w:left="0"/>
        <w:contextualSpacing w:val="0"/>
        <w:jc w:val="both"/>
        <w:rPr>
          <w:rFonts w:ascii="Century Gothic" w:hAnsi="Century Gothic"/>
        </w:rPr>
      </w:pPr>
      <w:r w:rsidRPr="00D3390B">
        <w:rPr>
          <w:rFonts w:ascii="Century Gothic" w:hAnsi="Century Gothic"/>
        </w:rPr>
        <w:t xml:space="preserve">12. </w:t>
      </w:r>
      <w:r w:rsidR="00A340B3" w:rsidRPr="00D3390B">
        <w:rPr>
          <w:rFonts w:ascii="Century Gothic" w:hAnsi="Century Gothic"/>
        </w:rPr>
        <w:t xml:space="preserve">El despacho considera que en el presente asunto se debe declarar la responsabilidad de la demandada, pues dentro del proceso se acreditó la falla </w:t>
      </w:r>
      <w:r w:rsidR="000A1ABA" w:rsidRPr="00D3390B">
        <w:rPr>
          <w:rFonts w:ascii="Century Gothic" w:hAnsi="Century Gothic"/>
        </w:rPr>
        <w:t xml:space="preserve">en </w:t>
      </w:r>
      <w:r w:rsidR="00A340B3" w:rsidRPr="00D3390B">
        <w:rPr>
          <w:rFonts w:ascii="Century Gothic" w:hAnsi="Century Gothic"/>
        </w:rPr>
        <w:t xml:space="preserve">la prestación del servicio </w:t>
      </w:r>
      <w:r w:rsidR="000A1ABA" w:rsidRPr="00D3390B">
        <w:rPr>
          <w:rFonts w:ascii="Century Gothic" w:hAnsi="Century Gothic"/>
        </w:rPr>
        <w:t xml:space="preserve">médico </w:t>
      </w:r>
      <w:r w:rsidR="00A340B3" w:rsidRPr="00D3390B">
        <w:rPr>
          <w:rFonts w:ascii="Century Gothic" w:hAnsi="Century Gothic"/>
        </w:rPr>
        <w:t xml:space="preserve">que se le suministró a la paciente María Leonilde García, dado que </w:t>
      </w:r>
      <w:r w:rsidR="00180825" w:rsidRPr="00D3390B">
        <w:rPr>
          <w:rFonts w:ascii="Century Gothic" w:hAnsi="Century Gothic"/>
        </w:rPr>
        <w:t>no se le brindó</w:t>
      </w:r>
      <w:r w:rsidR="00EE795A" w:rsidRPr="00D3390B">
        <w:rPr>
          <w:rFonts w:ascii="Century Gothic" w:hAnsi="Century Gothic"/>
        </w:rPr>
        <w:t xml:space="preserve"> la atención adecuada en consideració</w:t>
      </w:r>
      <w:r w:rsidR="00180825" w:rsidRPr="00D3390B">
        <w:rPr>
          <w:rFonts w:ascii="Century Gothic" w:hAnsi="Century Gothic"/>
        </w:rPr>
        <w:t>n a la edad, patologías de base y</w:t>
      </w:r>
      <w:r w:rsidR="00EE795A" w:rsidRPr="00D3390B">
        <w:rPr>
          <w:rFonts w:ascii="Century Gothic" w:hAnsi="Century Gothic"/>
        </w:rPr>
        <w:t xml:space="preserve"> antecedentes </w:t>
      </w:r>
      <w:proofErr w:type="gramStart"/>
      <w:r w:rsidR="00EE795A" w:rsidRPr="00D3390B">
        <w:rPr>
          <w:rFonts w:ascii="Century Gothic" w:hAnsi="Century Gothic"/>
        </w:rPr>
        <w:t>clínicos</w:t>
      </w:r>
      <w:r w:rsidR="00180825" w:rsidRPr="00D3390B">
        <w:rPr>
          <w:rFonts w:ascii="Century Gothic" w:hAnsi="Century Gothic"/>
        </w:rPr>
        <w:t>,  ni</w:t>
      </w:r>
      <w:proofErr w:type="gramEnd"/>
      <w:r w:rsidR="00180825" w:rsidRPr="00D3390B">
        <w:rPr>
          <w:rFonts w:ascii="Century Gothic" w:hAnsi="Century Gothic"/>
        </w:rPr>
        <w:t xml:space="preserve"> se le procuró</w:t>
      </w:r>
      <w:r w:rsidR="00EE795A" w:rsidRPr="00D3390B">
        <w:rPr>
          <w:rFonts w:ascii="Century Gothic" w:hAnsi="Century Gothic"/>
        </w:rPr>
        <w:t xml:space="preserve"> una remisión a un centro de salud de mayor complejidad de manera inmediata.</w:t>
      </w:r>
    </w:p>
    <w:p w14:paraId="7C51A0A9" w14:textId="77777777" w:rsidR="00EA226D" w:rsidRPr="00D3390B" w:rsidRDefault="00EA226D" w:rsidP="00C62FCF">
      <w:pPr>
        <w:pStyle w:val="Prrafodelista"/>
        <w:tabs>
          <w:tab w:val="left" w:pos="709"/>
        </w:tabs>
        <w:spacing w:line="360" w:lineRule="auto"/>
        <w:ind w:left="0"/>
        <w:contextualSpacing w:val="0"/>
        <w:jc w:val="both"/>
        <w:rPr>
          <w:rFonts w:ascii="Century Gothic" w:hAnsi="Century Gothic"/>
        </w:rPr>
      </w:pPr>
    </w:p>
    <w:p w14:paraId="58DA78C0" w14:textId="07CAC502" w:rsidR="00451CD9" w:rsidRPr="00D3390B" w:rsidRDefault="004B714F" w:rsidP="00C62FCF">
      <w:pPr>
        <w:pStyle w:val="Prrafodelista"/>
        <w:tabs>
          <w:tab w:val="left" w:pos="709"/>
        </w:tabs>
        <w:spacing w:line="360" w:lineRule="auto"/>
        <w:ind w:left="0"/>
        <w:contextualSpacing w:val="0"/>
        <w:jc w:val="both"/>
        <w:rPr>
          <w:rFonts w:ascii="Century Gothic" w:hAnsi="Century Gothic"/>
          <w:b/>
        </w:rPr>
      </w:pPr>
      <w:r w:rsidRPr="00D3390B">
        <w:rPr>
          <w:rFonts w:ascii="Century Gothic" w:hAnsi="Century Gothic"/>
          <w:b/>
        </w:rPr>
        <w:t>8</w:t>
      </w:r>
      <w:r w:rsidR="00451CD9" w:rsidRPr="00D3390B">
        <w:rPr>
          <w:rFonts w:ascii="Century Gothic" w:hAnsi="Century Gothic"/>
          <w:b/>
        </w:rPr>
        <w:t>. Hechos probados</w:t>
      </w:r>
    </w:p>
    <w:p w14:paraId="50573E8F" w14:textId="77777777" w:rsidR="00451CD9" w:rsidRPr="00D3390B" w:rsidRDefault="00451CD9" w:rsidP="00C62FCF">
      <w:pPr>
        <w:pStyle w:val="Prrafodelista"/>
        <w:tabs>
          <w:tab w:val="left" w:pos="709"/>
        </w:tabs>
        <w:spacing w:line="360" w:lineRule="auto"/>
        <w:ind w:left="0"/>
        <w:contextualSpacing w:val="0"/>
        <w:jc w:val="both"/>
        <w:rPr>
          <w:rFonts w:ascii="Century Gothic" w:hAnsi="Century Gothic"/>
        </w:rPr>
      </w:pPr>
    </w:p>
    <w:p w14:paraId="026456BC" w14:textId="5CBF6485" w:rsidR="00974D15" w:rsidRPr="00D3390B" w:rsidRDefault="00D30133" w:rsidP="00C62FCF">
      <w:pPr>
        <w:pStyle w:val="Prrafodelista"/>
        <w:tabs>
          <w:tab w:val="left" w:pos="709"/>
        </w:tabs>
        <w:spacing w:line="360" w:lineRule="auto"/>
        <w:ind w:left="0"/>
        <w:contextualSpacing w:val="0"/>
        <w:jc w:val="both"/>
        <w:rPr>
          <w:rFonts w:ascii="Century Gothic" w:hAnsi="Century Gothic"/>
        </w:rPr>
      </w:pPr>
      <w:r w:rsidRPr="00D3390B">
        <w:rPr>
          <w:rFonts w:ascii="Century Gothic" w:hAnsi="Century Gothic"/>
        </w:rPr>
        <w:t xml:space="preserve">13. </w:t>
      </w:r>
      <w:r w:rsidR="0064247C" w:rsidRPr="00D3390B">
        <w:rPr>
          <w:rFonts w:ascii="Century Gothic" w:hAnsi="Century Gothic"/>
        </w:rPr>
        <w:t>En el proceso se probó que la señora María Leonilde García</w:t>
      </w:r>
      <w:r w:rsidR="007952FA" w:rsidRPr="00D3390B">
        <w:rPr>
          <w:rStyle w:val="Refdenotaalpie"/>
          <w:rFonts w:ascii="Century Gothic" w:hAnsi="Century Gothic"/>
        </w:rPr>
        <w:footnoteReference w:id="5"/>
      </w:r>
      <w:r w:rsidR="007952FA" w:rsidRPr="00D3390B">
        <w:rPr>
          <w:rFonts w:ascii="Century Gothic" w:hAnsi="Century Gothic"/>
        </w:rPr>
        <w:t xml:space="preserve"> </w:t>
      </w:r>
      <w:r w:rsidR="0064247C" w:rsidRPr="00D3390B">
        <w:rPr>
          <w:rFonts w:ascii="Century Gothic" w:hAnsi="Century Gothic"/>
        </w:rPr>
        <w:t xml:space="preserve">acudió al servicio médico de la demanda el </w:t>
      </w:r>
      <w:r w:rsidR="007952FA" w:rsidRPr="00D3390B">
        <w:rPr>
          <w:rFonts w:ascii="Century Gothic" w:hAnsi="Century Gothic"/>
        </w:rPr>
        <w:t>11 de marzo de 2015 sobre las 2:</w:t>
      </w:r>
      <w:r w:rsidR="00A5714D" w:rsidRPr="00D3390B">
        <w:rPr>
          <w:rFonts w:ascii="Century Gothic" w:hAnsi="Century Gothic"/>
        </w:rPr>
        <w:t>52</w:t>
      </w:r>
      <w:r w:rsidR="007952FA" w:rsidRPr="00D3390B">
        <w:rPr>
          <w:rFonts w:ascii="Century Gothic" w:hAnsi="Century Gothic"/>
        </w:rPr>
        <w:t xml:space="preserve"> a</w:t>
      </w:r>
      <w:r w:rsidR="00180825" w:rsidRPr="00D3390B">
        <w:rPr>
          <w:rFonts w:ascii="Century Gothic" w:hAnsi="Century Gothic"/>
        </w:rPr>
        <w:t>.</w:t>
      </w:r>
      <w:r w:rsidR="007952FA" w:rsidRPr="00D3390B">
        <w:rPr>
          <w:rFonts w:ascii="Century Gothic" w:hAnsi="Century Gothic"/>
        </w:rPr>
        <w:t>m</w:t>
      </w:r>
      <w:r w:rsidR="00180825" w:rsidRPr="00D3390B">
        <w:rPr>
          <w:rFonts w:ascii="Century Gothic" w:hAnsi="Century Gothic"/>
        </w:rPr>
        <w:t>.,</w:t>
      </w:r>
      <w:r w:rsidR="0064247C" w:rsidRPr="00D3390B">
        <w:rPr>
          <w:rFonts w:ascii="Century Gothic" w:hAnsi="Century Gothic"/>
        </w:rPr>
        <w:t xml:space="preserve"> por presentar </w:t>
      </w:r>
      <w:r w:rsidR="00CF5535" w:rsidRPr="00D3390B">
        <w:rPr>
          <w:rFonts w:ascii="Century Gothic" w:hAnsi="Century Gothic"/>
        </w:rPr>
        <w:t>dificultad respiratoria</w:t>
      </w:r>
      <w:r w:rsidR="007952FA" w:rsidRPr="00D3390B">
        <w:rPr>
          <w:rFonts w:ascii="Century Gothic" w:hAnsi="Century Gothic"/>
        </w:rPr>
        <w:t xml:space="preserve"> y falleció ese mismo día sobre las 11:00 am</w:t>
      </w:r>
      <w:r w:rsidR="00CF5535" w:rsidRPr="00D3390B">
        <w:rPr>
          <w:rFonts w:ascii="Century Gothic" w:hAnsi="Century Gothic"/>
        </w:rPr>
        <w:t>.</w:t>
      </w:r>
    </w:p>
    <w:p w14:paraId="277FF0D3" w14:textId="77777777" w:rsidR="00974D15" w:rsidRPr="00D3390B" w:rsidRDefault="00974D15" w:rsidP="00C62FCF">
      <w:pPr>
        <w:pStyle w:val="Prrafodelista"/>
        <w:tabs>
          <w:tab w:val="left" w:pos="709"/>
        </w:tabs>
        <w:spacing w:line="360" w:lineRule="auto"/>
        <w:ind w:left="0"/>
        <w:contextualSpacing w:val="0"/>
        <w:jc w:val="both"/>
        <w:rPr>
          <w:rFonts w:ascii="Century Gothic" w:hAnsi="Century Gothic"/>
        </w:rPr>
      </w:pPr>
    </w:p>
    <w:p w14:paraId="32BFCAAA" w14:textId="35803209" w:rsidR="00974D15" w:rsidRPr="00D3390B" w:rsidRDefault="00D30133" w:rsidP="00C62FCF">
      <w:pPr>
        <w:pStyle w:val="Prrafodelista"/>
        <w:tabs>
          <w:tab w:val="left" w:pos="709"/>
        </w:tabs>
        <w:spacing w:line="360" w:lineRule="auto"/>
        <w:ind w:left="0"/>
        <w:contextualSpacing w:val="0"/>
        <w:jc w:val="both"/>
        <w:rPr>
          <w:rFonts w:ascii="Century Gothic" w:hAnsi="Century Gothic"/>
        </w:rPr>
      </w:pPr>
      <w:r w:rsidRPr="00D3390B">
        <w:rPr>
          <w:rFonts w:ascii="Century Gothic" w:hAnsi="Century Gothic"/>
        </w:rPr>
        <w:t xml:space="preserve">14. </w:t>
      </w:r>
      <w:r w:rsidR="00974D15" w:rsidRPr="00D3390B">
        <w:rPr>
          <w:rFonts w:ascii="Century Gothic" w:hAnsi="Century Gothic"/>
        </w:rPr>
        <w:t>El despacho destaca respecto de la atención médica que se brindó a la señora María Leonilde García, las siguientes anotaciones de su historia clínica:</w:t>
      </w:r>
    </w:p>
    <w:p w14:paraId="6CE8C0F8" w14:textId="77777777" w:rsidR="00955800" w:rsidRPr="00D3390B" w:rsidRDefault="00955800" w:rsidP="00C62FCF">
      <w:pPr>
        <w:pStyle w:val="Textoindependiente2"/>
        <w:spacing w:line="240" w:lineRule="auto"/>
        <w:jc w:val="both"/>
        <w:rPr>
          <w:rFonts w:ascii="Century Gothic" w:hAnsi="Century Gothic" w:cs="Arial"/>
          <w:sz w:val="22"/>
          <w:szCs w:val="22"/>
          <w:lang w:val="es-ES"/>
        </w:rPr>
      </w:pPr>
    </w:p>
    <w:p w14:paraId="31982336" w14:textId="77777777" w:rsidR="00180825" w:rsidRPr="00D3390B" w:rsidRDefault="00180825" w:rsidP="00C62FCF">
      <w:pPr>
        <w:pStyle w:val="Textoindependiente2"/>
        <w:spacing w:line="240" w:lineRule="auto"/>
        <w:jc w:val="both"/>
        <w:rPr>
          <w:rFonts w:ascii="Century Gothic" w:hAnsi="Century Gothic" w:cs="Arial"/>
          <w:sz w:val="22"/>
          <w:szCs w:val="22"/>
          <w:lang w:val="es-ES"/>
        </w:rPr>
      </w:pPr>
    </w:p>
    <w:tbl>
      <w:tblPr>
        <w:tblStyle w:val="Tablaconcuadrcula"/>
        <w:tblW w:w="0" w:type="auto"/>
        <w:tblLook w:val="04A0" w:firstRow="1" w:lastRow="0" w:firstColumn="1" w:lastColumn="0" w:noHBand="0" w:noVBand="1"/>
      </w:tblPr>
      <w:tblGrid>
        <w:gridCol w:w="1483"/>
        <w:gridCol w:w="7345"/>
      </w:tblGrid>
      <w:tr w:rsidR="00955800" w:rsidRPr="00D3390B" w14:paraId="57415232" w14:textId="77777777" w:rsidTr="0093253F">
        <w:tc>
          <w:tcPr>
            <w:tcW w:w="1483" w:type="dxa"/>
          </w:tcPr>
          <w:p w14:paraId="383FEA72" w14:textId="77777777" w:rsidR="00955800" w:rsidRPr="00D3390B" w:rsidRDefault="00955800" w:rsidP="00C62FCF">
            <w:pPr>
              <w:pStyle w:val="Textoindependiente2"/>
              <w:spacing w:line="240" w:lineRule="auto"/>
              <w:jc w:val="center"/>
              <w:rPr>
                <w:rFonts w:ascii="Century Gothic" w:hAnsi="Century Gothic" w:cs="Arial"/>
                <w:b/>
                <w:i/>
                <w:sz w:val="22"/>
                <w:szCs w:val="22"/>
                <w:lang w:val="es-ES"/>
              </w:rPr>
            </w:pPr>
            <w:r w:rsidRPr="00D3390B">
              <w:rPr>
                <w:rFonts w:ascii="Century Gothic" w:hAnsi="Century Gothic" w:cs="Arial"/>
                <w:b/>
                <w:i/>
                <w:sz w:val="22"/>
                <w:szCs w:val="22"/>
                <w:lang w:val="es-ES"/>
              </w:rPr>
              <w:lastRenderedPageBreak/>
              <w:t>FECHA</w:t>
            </w:r>
          </w:p>
        </w:tc>
        <w:tc>
          <w:tcPr>
            <w:tcW w:w="7345" w:type="dxa"/>
          </w:tcPr>
          <w:p w14:paraId="0711F71A" w14:textId="77777777" w:rsidR="00955800" w:rsidRPr="00D3390B" w:rsidRDefault="00955800" w:rsidP="00C62FCF">
            <w:pPr>
              <w:pStyle w:val="Textoindependiente2"/>
              <w:spacing w:line="240" w:lineRule="auto"/>
              <w:jc w:val="center"/>
              <w:rPr>
                <w:rFonts w:ascii="Century Gothic" w:hAnsi="Century Gothic" w:cs="Arial"/>
                <w:b/>
                <w:i/>
                <w:sz w:val="22"/>
                <w:szCs w:val="22"/>
                <w:lang w:val="es-ES"/>
              </w:rPr>
            </w:pPr>
            <w:r w:rsidRPr="00D3390B">
              <w:rPr>
                <w:rFonts w:ascii="Century Gothic" w:hAnsi="Century Gothic" w:cs="Arial"/>
                <w:b/>
                <w:i/>
                <w:sz w:val="22"/>
                <w:szCs w:val="22"/>
                <w:lang w:val="es-ES"/>
              </w:rPr>
              <w:t>ANOTACIÓN HISTORIA CLÍNICA</w:t>
            </w:r>
          </w:p>
        </w:tc>
      </w:tr>
      <w:tr w:rsidR="000E7AA6" w:rsidRPr="00D3390B" w14:paraId="6BCE0AFF" w14:textId="77777777" w:rsidTr="0093253F">
        <w:tc>
          <w:tcPr>
            <w:tcW w:w="1483" w:type="dxa"/>
          </w:tcPr>
          <w:p w14:paraId="0D8E1B55" w14:textId="53CE0CE3" w:rsidR="000E7AA6" w:rsidRPr="00D3390B" w:rsidRDefault="007952FA" w:rsidP="00C62FCF">
            <w:pPr>
              <w:pStyle w:val="Textoindependiente2"/>
              <w:spacing w:line="240" w:lineRule="auto"/>
              <w:jc w:val="center"/>
              <w:rPr>
                <w:rFonts w:ascii="Century Gothic" w:hAnsi="Century Gothic" w:cs="Arial"/>
                <w:i/>
                <w:sz w:val="22"/>
                <w:szCs w:val="22"/>
                <w:lang w:val="es-ES"/>
              </w:rPr>
            </w:pPr>
            <w:r w:rsidRPr="00D3390B">
              <w:rPr>
                <w:rFonts w:ascii="Century Gothic" w:hAnsi="Century Gothic" w:cs="Arial"/>
                <w:i/>
                <w:sz w:val="22"/>
                <w:szCs w:val="22"/>
                <w:lang w:val="es-ES"/>
              </w:rPr>
              <w:t>07/03/2015</w:t>
            </w:r>
            <w:r w:rsidRPr="00D3390B">
              <w:rPr>
                <w:rStyle w:val="Refdenotaalpie"/>
                <w:rFonts w:ascii="Century Gothic" w:hAnsi="Century Gothic"/>
                <w:i/>
                <w:sz w:val="22"/>
                <w:szCs w:val="22"/>
                <w:lang w:val="es-ES"/>
              </w:rPr>
              <w:footnoteReference w:id="6"/>
            </w:r>
          </w:p>
        </w:tc>
        <w:tc>
          <w:tcPr>
            <w:tcW w:w="7345" w:type="dxa"/>
          </w:tcPr>
          <w:p w14:paraId="1FBB3431" w14:textId="7B8D975D" w:rsidR="000E7AA6" w:rsidRPr="00D3390B" w:rsidRDefault="007952FA" w:rsidP="00C62FCF">
            <w:pPr>
              <w:spacing w:line="360" w:lineRule="auto"/>
              <w:jc w:val="both"/>
              <w:rPr>
                <w:rFonts w:ascii="Century Gothic" w:hAnsi="Century Gothic"/>
                <w:i/>
                <w:lang w:val="es-ES"/>
              </w:rPr>
            </w:pPr>
            <w:r w:rsidRPr="00D3390B">
              <w:rPr>
                <w:rFonts w:ascii="Century Gothic" w:hAnsi="Century Gothic"/>
                <w:i/>
                <w:lang w:val="es-ES"/>
              </w:rPr>
              <w:t>Paciente ingresa con cuadro de disnea marcada muy mala información del acudiente pue</w:t>
            </w:r>
            <w:r w:rsidR="007C7B34" w:rsidRPr="00D3390B">
              <w:rPr>
                <w:rFonts w:ascii="Century Gothic" w:hAnsi="Century Gothic"/>
                <w:i/>
                <w:lang w:val="es-ES"/>
              </w:rPr>
              <w:t>s</w:t>
            </w:r>
            <w:r w:rsidRPr="00D3390B">
              <w:rPr>
                <w:rFonts w:ascii="Century Gothic" w:hAnsi="Century Gothic"/>
                <w:i/>
                <w:lang w:val="es-ES"/>
              </w:rPr>
              <w:t xml:space="preserve"> no da datos preciso</w:t>
            </w:r>
            <w:r w:rsidR="007C7B34" w:rsidRPr="00D3390B">
              <w:rPr>
                <w:rFonts w:ascii="Century Gothic" w:hAnsi="Century Gothic"/>
                <w:i/>
                <w:lang w:val="es-ES"/>
              </w:rPr>
              <w:t>s</w:t>
            </w:r>
            <w:r w:rsidRPr="00D3390B">
              <w:rPr>
                <w:rFonts w:ascii="Century Gothic" w:hAnsi="Century Gothic"/>
                <w:i/>
                <w:lang w:val="es-ES"/>
              </w:rPr>
              <w:t xml:space="preserve"> </w:t>
            </w:r>
          </w:p>
        </w:tc>
      </w:tr>
      <w:tr w:rsidR="00955800" w:rsidRPr="00D3390B" w14:paraId="709F746E" w14:textId="77777777" w:rsidTr="0093253F">
        <w:tc>
          <w:tcPr>
            <w:tcW w:w="1483" w:type="dxa"/>
          </w:tcPr>
          <w:p w14:paraId="7FFB3961" w14:textId="7525E5D8" w:rsidR="00955800" w:rsidRPr="00D3390B" w:rsidRDefault="002F2467" w:rsidP="00C62FCF">
            <w:pPr>
              <w:pStyle w:val="Textoindependiente2"/>
              <w:spacing w:line="240" w:lineRule="auto"/>
              <w:jc w:val="both"/>
              <w:rPr>
                <w:rFonts w:ascii="Century Gothic" w:hAnsi="Century Gothic" w:cs="Arial"/>
                <w:i/>
                <w:sz w:val="22"/>
                <w:szCs w:val="22"/>
                <w:lang w:val="es-ES"/>
              </w:rPr>
            </w:pPr>
            <w:r w:rsidRPr="00D3390B">
              <w:rPr>
                <w:rFonts w:ascii="Century Gothic" w:hAnsi="Century Gothic" w:cs="Arial"/>
                <w:i/>
                <w:sz w:val="22"/>
                <w:szCs w:val="22"/>
                <w:lang w:val="es-ES"/>
              </w:rPr>
              <w:t>11/03/2015</w:t>
            </w:r>
            <w:r w:rsidR="007952FA" w:rsidRPr="00D3390B">
              <w:rPr>
                <w:rStyle w:val="Refdenotaalpie"/>
                <w:rFonts w:ascii="Century Gothic" w:hAnsi="Century Gothic"/>
                <w:i/>
                <w:sz w:val="22"/>
                <w:szCs w:val="22"/>
                <w:lang w:val="es-ES"/>
              </w:rPr>
              <w:footnoteReference w:id="7"/>
            </w:r>
          </w:p>
        </w:tc>
        <w:tc>
          <w:tcPr>
            <w:tcW w:w="7345" w:type="dxa"/>
          </w:tcPr>
          <w:p w14:paraId="1BE80FCF" w14:textId="1445A7EF" w:rsidR="006B3954" w:rsidRPr="00D3390B" w:rsidRDefault="006B3954" w:rsidP="00C62FCF">
            <w:pPr>
              <w:pStyle w:val="Textoindependiente2"/>
              <w:spacing w:line="240" w:lineRule="auto"/>
              <w:ind w:right="567"/>
              <w:jc w:val="both"/>
              <w:rPr>
                <w:rFonts w:ascii="Century Gothic" w:hAnsi="Century Gothic" w:cs="Arial"/>
                <w:b/>
                <w:i/>
                <w:sz w:val="22"/>
                <w:szCs w:val="22"/>
                <w:lang w:val="es-ES"/>
              </w:rPr>
            </w:pPr>
            <w:r w:rsidRPr="00D3390B">
              <w:rPr>
                <w:rFonts w:ascii="Century Gothic" w:hAnsi="Century Gothic" w:cs="Arial"/>
                <w:b/>
                <w:i/>
                <w:sz w:val="22"/>
                <w:szCs w:val="22"/>
                <w:lang w:val="es-ES"/>
              </w:rPr>
              <w:t xml:space="preserve">MOTIVO CONSULTA: </w:t>
            </w:r>
            <w:r w:rsidRPr="00D3390B">
              <w:rPr>
                <w:rFonts w:ascii="Century Gothic" w:hAnsi="Century Gothic" w:cs="Arial"/>
                <w:i/>
                <w:sz w:val="22"/>
                <w:szCs w:val="22"/>
                <w:lang w:val="es-ES"/>
              </w:rPr>
              <w:t>DIFICULTAD PARA RESPIRAR.</w:t>
            </w:r>
          </w:p>
          <w:p w14:paraId="63D529AF" w14:textId="3C8A0F71" w:rsidR="00955800" w:rsidRPr="00D3390B" w:rsidRDefault="00955800" w:rsidP="00C62FCF">
            <w:pPr>
              <w:pStyle w:val="Textoindependiente2"/>
              <w:spacing w:after="0" w:line="240" w:lineRule="auto"/>
              <w:ind w:right="567"/>
              <w:jc w:val="both"/>
              <w:rPr>
                <w:rFonts w:ascii="Century Gothic" w:hAnsi="Century Gothic" w:cs="Arial"/>
                <w:b/>
                <w:i/>
                <w:sz w:val="22"/>
                <w:szCs w:val="22"/>
                <w:lang w:val="es-ES"/>
              </w:rPr>
            </w:pPr>
            <w:r w:rsidRPr="00D3390B">
              <w:rPr>
                <w:rFonts w:ascii="Century Gothic" w:hAnsi="Century Gothic" w:cs="Arial"/>
                <w:b/>
                <w:i/>
                <w:sz w:val="22"/>
                <w:szCs w:val="22"/>
                <w:lang w:val="es-ES"/>
              </w:rPr>
              <w:t>ENFERMEDAD ACTUAL</w:t>
            </w:r>
          </w:p>
          <w:p w14:paraId="0824A5CB" w14:textId="77777777" w:rsidR="007952FA" w:rsidRPr="00D3390B" w:rsidRDefault="007952FA" w:rsidP="00C62FCF">
            <w:pPr>
              <w:pStyle w:val="Textoindependiente2"/>
              <w:spacing w:after="0" w:line="240" w:lineRule="auto"/>
              <w:ind w:right="567"/>
              <w:jc w:val="both"/>
              <w:rPr>
                <w:rFonts w:ascii="Century Gothic" w:hAnsi="Century Gothic" w:cs="Arial"/>
                <w:b/>
                <w:i/>
                <w:sz w:val="22"/>
                <w:szCs w:val="22"/>
                <w:lang w:val="es-ES"/>
              </w:rPr>
            </w:pPr>
          </w:p>
          <w:p w14:paraId="7B8B5BEE" w14:textId="77777777" w:rsidR="007952FA" w:rsidRPr="00D3390B" w:rsidRDefault="00897D30" w:rsidP="00C62FCF">
            <w:pPr>
              <w:autoSpaceDE w:val="0"/>
              <w:autoSpaceDN w:val="0"/>
              <w:adjustRightInd w:val="0"/>
              <w:spacing w:after="0" w:line="240" w:lineRule="auto"/>
              <w:ind w:right="425"/>
              <w:jc w:val="both"/>
              <w:rPr>
                <w:rFonts w:ascii="Century Gothic" w:eastAsiaTheme="minorHAnsi" w:hAnsi="Century Gothic" w:cs="Arial"/>
                <w:bCs/>
                <w:i/>
                <w:lang w:val="es-ES"/>
              </w:rPr>
            </w:pPr>
            <w:r w:rsidRPr="00D3390B">
              <w:rPr>
                <w:rFonts w:ascii="Century Gothic" w:eastAsiaTheme="minorHAnsi" w:hAnsi="Century Gothic" w:cs="Arial"/>
                <w:bCs/>
                <w:i/>
                <w:lang w:val="es-ES"/>
              </w:rPr>
              <w:t xml:space="preserve">Cuadro de 3 </w:t>
            </w:r>
            <w:r w:rsidR="00B70A04" w:rsidRPr="00D3390B">
              <w:rPr>
                <w:rFonts w:ascii="Century Gothic" w:eastAsiaTheme="minorHAnsi" w:hAnsi="Century Gothic" w:cs="Arial"/>
                <w:bCs/>
                <w:i/>
                <w:lang w:val="es-ES"/>
              </w:rPr>
              <w:t>días</w:t>
            </w:r>
            <w:r w:rsidRPr="00D3390B">
              <w:rPr>
                <w:rFonts w:ascii="Century Gothic" w:eastAsiaTheme="minorHAnsi" w:hAnsi="Century Gothic" w:cs="Arial"/>
                <w:bCs/>
                <w:i/>
                <w:lang w:val="es-ES"/>
              </w:rPr>
              <w:t xml:space="preserve"> de evolución de dificultad respiratoria no fiebre tos con movilización de secreciones </w:t>
            </w:r>
            <w:r w:rsidR="001678CF" w:rsidRPr="00D3390B">
              <w:rPr>
                <w:rFonts w:ascii="Century Gothic" w:eastAsiaTheme="minorHAnsi" w:hAnsi="Century Gothic" w:cs="Arial"/>
                <w:bCs/>
                <w:i/>
                <w:lang w:val="es-ES"/>
              </w:rPr>
              <w:t>ingresa al servicio con dificultad respiratoria severa SO84%.</w:t>
            </w:r>
          </w:p>
          <w:p w14:paraId="336CEB60" w14:textId="77777777" w:rsidR="007952FA" w:rsidRPr="00D3390B" w:rsidRDefault="007952FA" w:rsidP="00C62FCF">
            <w:pPr>
              <w:autoSpaceDE w:val="0"/>
              <w:autoSpaceDN w:val="0"/>
              <w:adjustRightInd w:val="0"/>
              <w:spacing w:after="0" w:line="240" w:lineRule="auto"/>
              <w:ind w:right="425"/>
              <w:jc w:val="both"/>
              <w:rPr>
                <w:rFonts w:ascii="Century Gothic" w:eastAsiaTheme="minorHAnsi" w:hAnsi="Century Gothic" w:cs="Arial"/>
                <w:bCs/>
                <w:i/>
                <w:lang w:val="es-ES"/>
              </w:rPr>
            </w:pPr>
          </w:p>
          <w:p w14:paraId="19AE7E8F" w14:textId="77777777" w:rsidR="007952FA" w:rsidRPr="00D3390B" w:rsidRDefault="007952FA" w:rsidP="00C62FCF">
            <w:pPr>
              <w:spacing w:after="0" w:line="240" w:lineRule="auto"/>
              <w:jc w:val="both"/>
              <w:rPr>
                <w:rFonts w:ascii="Century Gothic" w:hAnsi="Century Gothic"/>
                <w:i/>
                <w:lang w:val="es-ES"/>
              </w:rPr>
            </w:pPr>
            <w:r w:rsidRPr="00D3390B">
              <w:rPr>
                <w:rFonts w:ascii="Century Gothic" w:hAnsi="Century Gothic"/>
                <w:i/>
                <w:lang w:val="es-ES"/>
              </w:rPr>
              <w:t xml:space="preserve">“paciente con dificultad respiratoria severa tirajes supraclaviculares y </w:t>
            </w:r>
            <w:proofErr w:type="spellStart"/>
            <w:r w:rsidRPr="00D3390B">
              <w:rPr>
                <w:rFonts w:ascii="Century Gothic" w:hAnsi="Century Gothic"/>
                <w:i/>
                <w:lang w:val="es-ES"/>
              </w:rPr>
              <w:t>subxifoideos</w:t>
            </w:r>
            <w:proofErr w:type="spellEnd"/>
            <w:r w:rsidRPr="00D3390B">
              <w:rPr>
                <w:rFonts w:ascii="Century Gothic" w:hAnsi="Century Gothic"/>
                <w:i/>
                <w:lang w:val="es-ES"/>
              </w:rPr>
              <w:t xml:space="preserve"> </w:t>
            </w:r>
            <w:proofErr w:type="spellStart"/>
            <w:r w:rsidRPr="00D3390B">
              <w:rPr>
                <w:rFonts w:ascii="Century Gothic" w:hAnsi="Century Gothic"/>
                <w:i/>
                <w:lang w:val="es-ES"/>
              </w:rPr>
              <w:t>roncus</w:t>
            </w:r>
            <w:proofErr w:type="spellEnd"/>
            <w:r w:rsidRPr="00D3390B">
              <w:rPr>
                <w:rFonts w:ascii="Century Gothic" w:hAnsi="Century Gothic"/>
                <w:i/>
                <w:lang w:val="es-ES"/>
              </w:rPr>
              <w:t xml:space="preserve"> </w:t>
            </w:r>
            <w:proofErr w:type="spellStart"/>
            <w:r w:rsidRPr="00D3390B">
              <w:rPr>
                <w:rFonts w:ascii="Century Gothic" w:hAnsi="Century Gothic"/>
                <w:i/>
                <w:lang w:val="es-ES"/>
              </w:rPr>
              <w:t>genralizados</w:t>
            </w:r>
            <w:proofErr w:type="spellEnd"/>
            <w:r w:rsidRPr="00D3390B">
              <w:rPr>
                <w:rFonts w:ascii="Century Gothic" w:hAnsi="Century Gothic"/>
                <w:i/>
                <w:lang w:val="es-ES"/>
              </w:rPr>
              <w:t xml:space="preserve"> en ambos campos pulmonares” medico ECCEHOMO MARIN VARON </w:t>
            </w:r>
          </w:p>
          <w:p w14:paraId="748E7F17" w14:textId="77777777" w:rsidR="007952FA" w:rsidRPr="00D3390B" w:rsidRDefault="007952FA" w:rsidP="00C62FCF">
            <w:pPr>
              <w:autoSpaceDE w:val="0"/>
              <w:autoSpaceDN w:val="0"/>
              <w:adjustRightInd w:val="0"/>
              <w:spacing w:after="0" w:line="240" w:lineRule="auto"/>
              <w:ind w:right="425"/>
              <w:jc w:val="both"/>
              <w:rPr>
                <w:rFonts w:ascii="Century Gothic" w:eastAsiaTheme="minorHAnsi" w:hAnsi="Century Gothic" w:cs="Arial"/>
                <w:bCs/>
                <w:i/>
                <w:lang w:val="es-ES"/>
              </w:rPr>
            </w:pPr>
          </w:p>
          <w:p w14:paraId="59236464" w14:textId="77777777" w:rsidR="007952FA" w:rsidRPr="00D3390B" w:rsidRDefault="007952FA" w:rsidP="00C62FCF">
            <w:pPr>
              <w:autoSpaceDE w:val="0"/>
              <w:autoSpaceDN w:val="0"/>
              <w:adjustRightInd w:val="0"/>
              <w:spacing w:after="0" w:line="240" w:lineRule="auto"/>
              <w:ind w:right="425"/>
              <w:jc w:val="both"/>
              <w:rPr>
                <w:rFonts w:ascii="Century Gothic" w:eastAsiaTheme="minorHAnsi" w:hAnsi="Century Gothic" w:cs="Arial"/>
                <w:bCs/>
                <w:i/>
                <w:lang w:val="es-ES"/>
              </w:rPr>
            </w:pPr>
          </w:p>
          <w:p w14:paraId="695A3049" w14:textId="5DF34FC6" w:rsidR="00421F1E" w:rsidRPr="00D3390B" w:rsidRDefault="00421F1E" w:rsidP="00C62FCF">
            <w:pPr>
              <w:autoSpaceDE w:val="0"/>
              <w:autoSpaceDN w:val="0"/>
              <w:adjustRightInd w:val="0"/>
              <w:spacing w:after="0" w:line="240" w:lineRule="auto"/>
              <w:ind w:right="425"/>
              <w:jc w:val="both"/>
              <w:rPr>
                <w:rFonts w:ascii="Century Gothic" w:eastAsiaTheme="minorHAnsi" w:hAnsi="Century Gothic" w:cs="Arial"/>
                <w:bCs/>
                <w:i/>
                <w:lang w:val="es-ES"/>
              </w:rPr>
            </w:pPr>
            <w:r w:rsidRPr="00D3390B">
              <w:rPr>
                <w:rFonts w:ascii="Century Gothic" w:eastAsiaTheme="minorHAnsi" w:hAnsi="Century Gothic" w:cs="Arial"/>
                <w:bCs/>
                <w:i/>
                <w:lang w:val="es-ES"/>
              </w:rPr>
              <w:t>Diagnóstico CIE 10: impresión diagnóstica J441: Enfermedad pulmonar obstructiva crónica con exacerbación aguda, no especificada.</w:t>
            </w:r>
          </w:p>
          <w:p w14:paraId="43FB59AE" w14:textId="77777777" w:rsidR="00421F1E" w:rsidRPr="00D3390B" w:rsidRDefault="00421F1E" w:rsidP="00C62FCF">
            <w:pPr>
              <w:autoSpaceDE w:val="0"/>
              <w:autoSpaceDN w:val="0"/>
              <w:adjustRightInd w:val="0"/>
              <w:spacing w:after="0" w:line="240" w:lineRule="auto"/>
              <w:ind w:right="425"/>
              <w:jc w:val="both"/>
              <w:rPr>
                <w:rFonts w:ascii="Century Gothic" w:eastAsiaTheme="minorHAnsi" w:hAnsi="Century Gothic" w:cs="Arial"/>
                <w:bCs/>
                <w:i/>
                <w:lang w:val="es-ES"/>
              </w:rPr>
            </w:pPr>
          </w:p>
          <w:p w14:paraId="5B6F1907" w14:textId="00F92189" w:rsidR="007952FA" w:rsidRPr="00D3390B" w:rsidRDefault="007952FA" w:rsidP="00C62FCF">
            <w:pPr>
              <w:autoSpaceDE w:val="0"/>
              <w:autoSpaceDN w:val="0"/>
              <w:adjustRightInd w:val="0"/>
              <w:spacing w:after="0" w:line="240" w:lineRule="auto"/>
              <w:ind w:right="425"/>
              <w:jc w:val="both"/>
              <w:rPr>
                <w:rFonts w:ascii="Century Gothic" w:eastAsiaTheme="minorHAnsi" w:hAnsi="Century Gothic" w:cs="Arial"/>
                <w:bCs/>
                <w:i/>
                <w:lang w:val="es-ES"/>
              </w:rPr>
            </w:pPr>
            <w:r w:rsidRPr="00D3390B">
              <w:rPr>
                <w:rFonts w:ascii="Century Gothic" w:eastAsiaTheme="minorHAnsi" w:hAnsi="Century Gothic" w:cs="Arial"/>
                <w:bCs/>
                <w:i/>
                <w:lang w:val="es-ES"/>
              </w:rPr>
              <w:t xml:space="preserve">(…) </w:t>
            </w:r>
            <w:r w:rsidRPr="00D3390B">
              <w:rPr>
                <w:rFonts w:ascii="Century Gothic" w:hAnsi="Century Gothic"/>
                <w:i/>
                <w:lang w:val="es-ES"/>
              </w:rPr>
              <w:t xml:space="preserve">Obra diligenciamiento de solicitud de </w:t>
            </w:r>
            <w:proofErr w:type="gramStart"/>
            <w:r w:rsidRPr="00D3390B">
              <w:rPr>
                <w:rFonts w:ascii="Century Gothic" w:hAnsi="Century Gothic"/>
                <w:i/>
                <w:lang w:val="es-ES"/>
              </w:rPr>
              <w:t>referencia  suscrito</w:t>
            </w:r>
            <w:proofErr w:type="gramEnd"/>
            <w:r w:rsidRPr="00D3390B">
              <w:rPr>
                <w:rFonts w:ascii="Century Gothic" w:hAnsi="Century Gothic"/>
                <w:i/>
                <w:lang w:val="es-ES"/>
              </w:rPr>
              <w:t xml:space="preserve"> por el medico Jorge Vásquez garay</w:t>
            </w:r>
            <w:r w:rsidRPr="00D3390B">
              <w:rPr>
                <w:rStyle w:val="Refdenotaalpie"/>
                <w:rFonts w:ascii="Century Gothic" w:hAnsi="Century Gothic"/>
                <w:i/>
                <w:lang w:val="es-ES"/>
              </w:rPr>
              <w:footnoteReference w:id="8"/>
            </w:r>
          </w:p>
          <w:p w14:paraId="50201ADA" w14:textId="77777777" w:rsidR="007952FA" w:rsidRPr="00D3390B" w:rsidRDefault="007952FA" w:rsidP="00C62FCF">
            <w:pPr>
              <w:pStyle w:val="Prrafodelista"/>
              <w:ind w:left="360"/>
              <w:contextualSpacing w:val="0"/>
              <w:jc w:val="both"/>
              <w:rPr>
                <w:rFonts w:ascii="Century Gothic" w:hAnsi="Century Gothic"/>
                <w:i/>
                <w:sz w:val="22"/>
                <w:szCs w:val="22"/>
              </w:rPr>
            </w:pPr>
          </w:p>
          <w:p w14:paraId="1AD175C3" w14:textId="71B17E0B" w:rsidR="00955800" w:rsidRPr="00D3390B" w:rsidRDefault="007952FA" w:rsidP="00C62FCF">
            <w:pPr>
              <w:spacing w:after="0" w:line="240" w:lineRule="auto"/>
              <w:jc w:val="both"/>
              <w:rPr>
                <w:rFonts w:ascii="Century Gothic" w:hAnsi="Century Gothic" w:cs="Arial"/>
                <w:i/>
                <w:lang w:val="es-ES"/>
              </w:rPr>
            </w:pPr>
            <w:r w:rsidRPr="00D3390B">
              <w:rPr>
                <w:rFonts w:ascii="Century Gothic" w:hAnsi="Century Gothic"/>
                <w:i/>
                <w:lang w:val="es-ES"/>
              </w:rPr>
              <w:t xml:space="preserve">(…) Nota diferida 9: 00 am se lee encuentro a paciente en camilla, monitorizada , en compañía de familiar, en muy malas condiciones generales, deshidratada, con respiración jadeante, saturando84% por cánula de oxígeno a 3 </w:t>
            </w:r>
            <w:proofErr w:type="spellStart"/>
            <w:r w:rsidRPr="00D3390B">
              <w:rPr>
                <w:rFonts w:ascii="Century Gothic" w:hAnsi="Century Gothic"/>
                <w:i/>
                <w:lang w:val="es-ES"/>
              </w:rPr>
              <w:t>lit</w:t>
            </w:r>
            <w:proofErr w:type="spellEnd"/>
            <w:r w:rsidRPr="00D3390B">
              <w:rPr>
                <w:rFonts w:ascii="Century Gothic" w:hAnsi="Century Gothic"/>
                <w:i/>
                <w:lang w:val="es-ES"/>
              </w:rPr>
              <w:t xml:space="preserve"> min, con gran esfuerzo ventilatorio, con </w:t>
            </w:r>
            <w:proofErr w:type="spellStart"/>
            <w:r w:rsidRPr="00D3390B">
              <w:rPr>
                <w:rFonts w:ascii="Century Gothic" w:hAnsi="Century Gothic"/>
                <w:i/>
                <w:lang w:val="es-ES"/>
              </w:rPr>
              <w:t>ta</w:t>
            </w:r>
            <w:proofErr w:type="spellEnd"/>
            <w:r w:rsidRPr="00D3390B">
              <w:rPr>
                <w:rFonts w:ascii="Century Gothic" w:hAnsi="Century Gothic"/>
                <w:i/>
                <w:lang w:val="es-ES"/>
              </w:rPr>
              <w:t xml:space="preserve"> 70-40 mm se realiza corta anamnesis a familiar encontrando como datos de importancia anticoagulación con </w:t>
            </w:r>
            <w:proofErr w:type="spellStart"/>
            <w:r w:rsidRPr="00D3390B">
              <w:rPr>
                <w:rFonts w:ascii="Century Gothic" w:hAnsi="Century Gothic"/>
                <w:i/>
                <w:lang w:val="es-ES"/>
              </w:rPr>
              <w:t>warfarina</w:t>
            </w:r>
            <w:proofErr w:type="spellEnd"/>
            <w:r w:rsidRPr="00D3390B">
              <w:rPr>
                <w:rFonts w:ascii="Century Gothic" w:hAnsi="Century Gothic"/>
                <w:i/>
                <w:lang w:val="es-ES"/>
              </w:rPr>
              <w:t xml:space="preserve">, trombosis venosa profunda bilateral dos eventos, HTA de clase funcional desde hace 3 días  que llega a disnea de reposo, paciente en inminencia de falla ventilatoria, en choque cardiogénico, se explica a familiar alto riesgo de complicaciones y muerte, se explica sospecha de evento coronario agudo o trombo embolismo pulmonar. Se pasa paciente a reanimación con miras a realizar IOT por mal patrón ventilatorio e inminente falla. Mientras se traslada hace paro cardiorrespiratorio asistido, al cual se le da respuesta inmediata, ritmo inicial actividad eléctrica en pulso, se procede a dar masaje cardiaco frecuencia mínima de 100 x 1 adrenalina directa impulsada cada 3 min, se verifica ritmo y puso cada 2 minutos evidenciando glicemia de 70 en ultima toma por lo cual se ordena bolo de dad 5% 250 </w:t>
            </w:r>
            <w:proofErr w:type="spellStart"/>
            <w:r w:rsidRPr="00D3390B">
              <w:rPr>
                <w:rFonts w:ascii="Century Gothic" w:hAnsi="Century Gothic"/>
                <w:i/>
                <w:lang w:val="es-ES"/>
              </w:rPr>
              <w:t>cc.</w:t>
            </w:r>
            <w:proofErr w:type="spellEnd"/>
            <w:r w:rsidRPr="00D3390B">
              <w:rPr>
                <w:rFonts w:ascii="Century Gothic" w:hAnsi="Century Gothic"/>
                <w:i/>
                <w:lang w:val="es-ES"/>
              </w:rPr>
              <w:t xml:space="preserve"> Luego de 3 ciclos sale con taquicardia </w:t>
            </w:r>
            <w:proofErr w:type="spellStart"/>
            <w:r w:rsidRPr="00D3390B">
              <w:rPr>
                <w:rFonts w:ascii="Century Gothic" w:hAnsi="Century Gothic"/>
                <w:i/>
                <w:lang w:val="es-ES"/>
              </w:rPr>
              <w:t>sinusual</w:t>
            </w:r>
            <w:proofErr w:type="spellEnd"/>
            <w:r w:rsidRPr="00D3390B">
              <w:rPr>
                <w:rFonts w:ascii="Century Gothic" w:hAnsi="Century Gothic"/>
                <w:i/>
                <w:lang w:val="es-ES"/>
              </w:rPr>
              <w:t xml:space="preserve">. Se realiza </w:t>
            </w:r>
            <w:proofErr w:type="spellStart"/>
            <w:r w:rsidRPr="00D3390B">
              <w:rPr>
                <w:rFonts w:ascii="Century Gothic" w:hAnsi="Century Gothic"/>
                <w:i/>
                <w:lang w:val="es-ES"/>
              </w:rPr>
              <w:t>oit</w:t>
            </w:r>
            <w:proofErr w:type="spellEnd"/>
            <w:r w:rsidRPr="00D3390B">
              <w:rPr>
                <w:rFonts w:ascii="Century Gothic" w:hAnsi="Century Gothic"/>
                <w:i/>
                <w:lang w:val="es-ES"/>
              </w:rPr>
              <w:t xml:space="preserve"> en primer intento, se evidencia adecuada ventilación, luego de unos minutos entra de nuevo en paro cardiorrespiratorio, se inicia nuevamente maniobrad de reanimación luego de 30 minutos sin tener </w:t>
            </w:r>
            <w:proofErr w:type="spellStart"/>
            <w:r w:rsidRPr="00D3390B">
              <w:rPr>
                <w:rFonts w:ascii="Century Gothic" w:hAnsi="Century Gothic"/>
                <w:i/>
                <w:lang w:val="es-ES"/>
              </w:rPr>
              <w:t>into</w:t>
            </w:r>
            <w:proofErr w:type="spellEnd"/>
            <w:r w:rsidRPr="00D3390B">
              <w:rPr>
                <w:rFonts w:ascii="Century Gothic" w:hAnsi="Century Gothic"/>
                <w:i/>
                <w:lang w:val="es-ES"/>
              </w:rPr>
              <w:t xml:space="preserve"> </w:t>
            </w:r>
            <w:proofErr w:type="spellStart"/>
            <w:r w:rsidRPr="00D3390B">
              <w:rPr>
                <w:rFonts w:ascii="Century Gothic" w:hAnsi="Century Gothic"/>
                <w:i/>
                <w:lang w:val="es-ES"/>
              </w:rPr>
              <w:t>sinucsl</w:t>
            </w:r>
            <w:proofErr w:type="spellEnd"/>
            <w:r w:rsidRPr="00D3390B">
              <w:rPr>
                <w:rFonts w:ascii="Century Gothic" w:hAnsi="Century Gothic"/>
                <w:i/>
                <w:lang w:val="es-ES"/>
              </w:rPr>
              <w:t>, se suspenden maniobras por evidenciar ausencia de reflejos de tallo de explica a familia hora de descenso 10:55 am</w:t>
            </w:r>
          </w:p>
        </w:tc>
      </w:tr>
    </w:tbl>
    <w:p w14:paraId="11B87046" w14:textId="77777777" w:rsidR="00A66580" w:rsidRPr="00D3390B" w:rsidRDefault="00A66580" w:rsidP="00C62FCF">
      <w:pPr>
        <w:spacing w:line="360" w:lineRule="auto"/>
        <w:jc w:val="both"/>
        <w:rPr>
          <w:rFonts w:ascii="Century Gothic" w:hAnsi="Century Gothic"/>
          <w:lang w:val="es-ES"/>
        </w:rPr>
      </w:pPr>
    </w:p>
    <w:p w14:paraId="1196AE67" w14:textId="120C5671" w:rsidR="003515E2" w:rsidRPr="00D3390B" w:rsidRDefault="00D30133" w:rsidP="00C62FCF">
      <w:pPr>
        <w:spacing w:line="360" w:lineRule="auto"/>
        <w:jc w:val="both"/>
        <w:rPr>
          <w:rFonts w:ascii="Century Gothic" w:hAnsi="Century Gothic"/>
          <w:sz w:val="24"/>
          <w:szCs w:val="24"/>
        </w:rPr>
      </w:pPr>
      <w:r w:rsidRPr="00D3390B">
        <w:rPr>
          <w:rFonts w:ascii="Century Gothic" w:hAnsi="Century Gothic"/>
          <w:sz w:val="24"/>
          <w:szCs w:val="24"/>
        </w:rPr>
        <w:lastRenderedPageBreak/>
        <w:t xml:space="preserve">15. </w:t>
      </w:r>
      <w:r w:rsidR="00520B6C" w:rsidRPr="00D3390B">
        <w:rPr>
          <w:rFonts w:ascii="Century Gothic" w:hAnsi="Century Gothic"/>
          <w:sz w:val="24"/>
          <w:szCs w:val="24"/>
        </w:rPr>
        <w:t>Según el resultado de la visita</w:t>
      </w:r>
      <w:r w:rsidR="007952FA" w:rsidRPr="00D3390B">
        <w:rPr>
          <w:rFonts w:ascii="Century Gothic" w:hAnsi="Century Gothic"/>
          <w:sz w:val="24"/>
          <w:szCs w:val="24"/>
        </w:rPr>
        <w:t xml:space="preserve"> al BASPC </w:t>
      </w:r>
      <w:proofErr w:type="spellStart"/>
      <w:r w:rsidR="007952FA" w:rsidRPr="00D3390B">
        <w:rPr>
          <w:rFonts w:ascii="Century Gothic" w:hAnsi="Century Gothic"/>
          <w:sz w:val="24"/>
          <w:szCs w:val="24"/>
        </w:rPr>
        <w:t>Nº</w:t>
      </w:r>
      <w:proofErr w:type="spellEnd"/>
      <w:r w:rsidR="007952FA" w:rsidRPr="00D3390B">
        <w:rPr>
          <w:rFonts w:ascii="Century Gothic" w:hAnsi="Century Gothic"/>
          <w:sz w:val="24"/>
          <w:szCs w:val="24"/>
        </w:rPr>
        <w:t xml:space="preserve"> 6 de la ciudad de Ibagué</w:t>
      </w:r>
      <w:r w:rsidR="007952FA" w:rsidRPr="00D3390B">
        <w:rPr>
          <w:rStyle w:val="Refdenotaalpie"/>
          <w:rFonts w:ascii="Century Gothic" w:hAnsi="Century Gothic"/>
          <w:sz w:val="24"/>
          <w:szCs w:val="24"/>
        </w:rPr>
        <w:footnoteReference w:id="9"/>
      </w:r>
      <w:r w:rsidR="001D2EDE" w:rsidRPr="00D3390B">
        <w:rPr>
          <w:rFonts w:ascii="Century Gothic" w:hAnsi="Century Gothic"/>
          <w:sz w:val="24"/>
          <w:szCs w:val="24"/>
        </w:rPr>
        <w:t>,</w:t>
      </w:r>
      <w:r w:rsidR="007952FA" w:rsidRPr="00D3390B">
        <w:rPr>
          <w:rFonts w:ascii="Century Gothic" w:hAnsi="Century Gothic"/>
          <w:sz w:val="24"/>
          <w:szCs w:val="24"/>
        </w:rPr>
        <w:t xml:space="preserve">  por parte del personal que evalúa los atributos de seguridad, pertin</w:t>
      </w:r>
      <w:r w:rsidR="00A5714D" w:rsidRPr="00D3390B">
        <w:rPr>
          <w:rFonts w:ascii="Century Gothic" w:hAnsi="Century Gothic"/>
          <w:sz w:val="24"/>
          <w:szCs w:val="24"/>
        </w:rPr>
        <w:t>encia</w:t>
      </w:r>
      <w:r w:rsidR="007952FA" w:rsidRPr="00D3390B">
        <w:rPr>
          <w:rFonts w:ascii="Century Gothic" w:hAnsi="Century Gothic"/>
          <w:sz w:val="24"/>
          <w:szCs w:val="24"/>
        </w:rPr>
        <w:t xml:space="preserve"> y continuidad del servicio de salud</w:t>
      </w:r>
      <w:r w:rsidR="00A5714D" w:rsidRPr="00D3390B">
        <w:rPr>
          <w:rFonts w:ascii="Century Gothic" w:hAnsi="Century Gothic"/>
          <w:sz w:val="24"/>
          <w:szCs w:val="24"/>
        </w:rPr>
        <w:t xml:space="preserve"> y c</w:t>
      </w:r>
      <w:r w:rsidR="003515E2" w:rsidRPr="00D3390B">
        <w:rPr>
          <w:rFonts w:ascii="Century Gothic" w:hAnsi="Century Gothic"/>
          <w:sz w:val="24"/>
          <w:szCs w:val="24"/>
        </w:rPr>
        <w:t xml:space="preserve">uyo resultado </w:t>
      </w:r>
      <w:r w:rsidR="004C3644" w:rsidRPr="00D3390B">
        <w:rPr>
          <w:rFonts w:ascii="Century Gothic" w:hAnsi="Century Gothic"/>
          <w:sz w:val="24"/>
          <w:szCs w:val="24"/>
        </w:rPr>
        <w:t xml:space="preserve">trato el fallecimiento del señor </w:t>
      </w:r>
      <w:r w:rsidR="001D2EDE" w:rsidRPr="00D3390B">
        <w:rPr>
          <w:rFonts w:ascii="Century Gothic" w:hAnsi="Century Gothic"/>
          <w:sz w:val="24"/>
          <w:szCs w:val="24"/>
        </w:rPr>
        <w:t xml:space="preserve">Antonio Castellón Moreno y María Leonilde García </w:t>
      </w:r>
      <w:r w:rsidR="003515E2" w:rsidRPr="00D3390B">
        <w:rPr>
          <w:rFonts w:ascii="Century Gothic" w:hAnsi="Century Gothic"/>
          <w:sz w:val="24"/>
          <w:szCs w:val="24"/>
        </w:rPr>
        <w:t>fue el siguiente</w:t>
      </w:r>
      <w:r w:rsidR="00550D32" w:rsidRPr="00D3390B">
        <w:rPr>
          <w:rFonts w:ascii="Century Gothic" w:hAnsi="Century Gothic"/>
          <w:sz w:val="24"/>
          <w:szCs w:val="24"/>
        </w:rPr>
        <w:t>:</w:t>
      </w:r>
    </w:p>
    <w:p w14:paraId="1823676E" w14:textId="77777777" w:rsidR="003515E2" w:rsidRPr="00D3390B" w:rsidRDefault="003515E2" w:rsidP="00C62FCF">
      <w:pPr>
        <w:pStyle w:val="Prrafodelista"/>
        <w:spacing w:line="360" w:lineRule="auto"/>
        <w:ind w:left="360"/>
        <w:contextualSpacing w:val="0"/>
        <w:jc w:val="both"/>
        <w:rPr>
          <w:rFonts w:ascii="Century Gothic" w:hAnsi="Century Gothic"/>
        </w:rPr>
      </w:pPr>
    </w:p>
    <w:p w14:paraId="3CD5A657" w14:textId="4A8B5FCB" w:rsidR="003515E2" w:rsidRPr="00D3390B" w:rsidRDefault="003515E2"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w:t>
      </w:r>
      <w:r w:rsidR="003C3347" w:rsidRPr="00D3390B">
        <w:rPr>
          <w:rFonts w:ascii="Century Gothic" w:hAnsi="Century Gothic"/>
          <w:i/>
          <w:sz w:val="22"/>
          <w:szCs w:val="22"/>
        </w:rPr>
        <w:t xml:space="preserve"> los aspectos inspeccionados fueron: proceso de atención prioritaria, capacidad mínimo técnico científico para los estándares de historias clínicas, talento humano, dotación y mantenimiento de dispositivos médicos, procesos prioritarios asistenciales, interdependencia de servicios y medicamentos, procesos de referencia, pertinencia bajo evidencia científica.</w:t>
      </w:r>
    </w:p>
    <w:p w14:paraId="7D9AD4F2" w14:textId="77777777" w:rsidR="00A5714D" w:rsidRPr="00D3390B" w:rsidRDefault="00A5714D" w:rsidP="00C62FCF">
      <w:pPr>
        <w:pStyle w:val="Prrafodelista"/>
        <w:ind w:left="567" w:right="616"/>
        <w:contextualSpacing w:val="0"/>
        <w:jc w:val="both"/>
        <w:rPr>
          <w:rFonts w:ascii="Century Gothic" w:hAnsi="Century Gothic"/>
          <w:i/>
          <w:sz w:val="22"/>
          <w:szCs w:val="22"/>
        </w:rPr>
      </w:pPr>
    </w:p>
    <w:p w14:paraId="701E03F9" w14:textId="2E9BD8D1" w:rsidR="003C3347" w:rsidRPr="00D3390B" w:rsidRDefault="003C3347"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Los documentos analizados fueron: historias clínicas y registros asistenciales, hojas de vida, acta de comité y formulas médicas.</w:t>
      </w:r>
    </w:p>
    <w:p w14:paraId="34968692" w14:textId="77777777" w:rsidR="003C3347" w:rsidRPr="00D3390B" w:rsidRDefault="003C3347" w:rsidP="00C62FCF">
      <w:pPr>
        <w:pStyle w:val="Prrafodelista"/>
        <w:ind w:left="567" w:right="616"/>
        <w:contextualSpacing w:val="0"/>
        <w:jc w:val="both"/>
        <w:rPr>
          <w:rFonts w:ascii="Century Gothic" w:hAnsi="Century Gothic"/>
          <w:i/>
          <w:sz w:val="22"/>
          <w:szCs w:val="22"/>
        </w:rPr>
      </w:pPr>
    </w:p>
    <w:p w14:paraId="7F21719C" w14:textId="7BAA1C79" w:rsidR="003C3347" w:rsidRPr="00D3390B" w:rsidRDefault="003C3347"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Durante la verificación se encontraron los siguientes hallazgos objeto de plan de mejoramiento por parte del establecimiento de sanidad militar</w:t>
      </w:r>
      <w:r w:rsidR="004C3644" w:rsidRPr="00D3390B">
        <w:rPr>
          <w:rFonts w:ascii="Century Gothic" w:hAnsi="Century Gothic"/>
          <w:i/>
          <w:sz w:val="22"/>
          <w:szCs w:val="22"/>
        </w:rPr>
        <w:t>: el</w:t>
      </w:r>
      <w:r w:rsidRPr="00D3390B">
        <w:rPr>
          <w:rFonts w:ascii="Century Gothic" w:hAnsi="Century Gothic"/>
          <w:i/>
          <w:sz w:val="22"/>
          <w:szCs w:val="22"/>
        </w:rPr>
        <w:t xml:space="preserve"> personal médico asistencial que atendió el caso de la señora </w:t>
      </w:r>
      <w:r w:rsidR="004C3644" w:rsidRPr="00D3390B">
        <w:rPr>
          <w:rFonts w:ascii="Century Gothic" w:hAnsi="Century Gothic"/>
          <w:i/>
          <w:sz w:val="22"/>
          <w:szCs w:val="22"/>
        </w:rPr>
        <w:t>María Leonilde</w:t>
      </w:r>
      <w:r w:rsidR="00743059" w:rsidRPr="00D3390B">
        <w:rPr>
          <w:rFonts w:ascii="Century Gothic" w:hAnsi="Century Gothic"/>
          <w:i/>
          <w:sz w:val="22"/>
          <w:szCs w:val="22"/>
        </w:rPr>
        <w:t xml:space="preserve"> no contó</w:t>
      </w:r>
      <w:r w:rsidRPr="00D3390B">
        <w:rPr>
          <w:rFonts w:ascii="Century Gothic" w:hAnsi="Century Gothic"/>
          <w:i/>
          <w:sz w:val="22"/>
          <w:szCs w:val="22"/>
        </w:rPr>
        <w:t xml:space="preserve"> con los exámenes necesarios requeridos para tomar decisiones </w:t>
      </w:r>
      <w:r w:rsidR="000355E7" w:rsidRPr="00D3390B">
        <w:rPr>
          <w:rFonts w:ascii="Century Gothic" w:hAnsi="Century Gothic"/>
          <w:i/>
          <w:sz w:val="22"/>
          <w:szCs w:val="22"/>
        </w:rPr>
        <w:t xml:space="preserve">pues el equipo </w:t>
      </w:r>
      <w:proofErr w:type="spellStart"/>
      <w:r w:rsidR="000355E7" w:rsidRPr="00D3390B">
        <w:rPr>
          <w:rFonts w:ascii="Century Gothic" w:hAnsi="Century Gothic"/>
          <w:i/>
          <w:sz w:val="22"/>
          <w:szCs w:val="22"/>
        </w:rPr>
        <w:t>imagenologico</w:t>
      </w:r>
      <w:proofErr w:type="spellEnd"/>
      <w:r w:rsidR="000355E7" w:rsidRPr="00D3390B">
        <w:rPr>
          <w:rFonts w:ascii="Century Gothic" w:hAnsi="Century Gothic"/>
          <w:i/>
          <w:sz w:val="22"/>
          <w:szCs w:val="22"/>
        </w:rPr>
        <w:t xml:space="preserve"> no se encontraba en funcionamiento</w:t>
      </w:r>
      <w:r w:rsidR="004C3644" w:rsidRPr="00D3390B">
        <w:rPr>
          <w:rFonts w:ascii="Century Gothic" w:hAnsi="Century Gothic"/>
          <w:i/>
          <w:sz w:val="22"/>
          <w:szCs w:val="22"/>
        </w:rPr>
        <w:t>.</w:t>
      </w:r>
    </w:p>
    <w:p w14:paraId="7E153564" w14:textId="77777777" w:rsidR="004C3644" w:rsidRPr="00D3390B" w:rsidRDefault="004C3644" w:rsidP="00C62FCF">
      <w:pPr>
        <w:pStyle w:val="Prrafodelista"/>
        <w:ind w:left="567" w:right="616"/>
        <w:contextualSpacing w:val="0"/>
        <w:jc w:val="both"/>
        <w:rPr>
          <w:rFonts w:ascii="Century Gothic" w:hAnsi="Century Gothic"/>
          <w:i/>
          <w:sz w:val="22"/>
          <w:szCs w:val="22"/>
        </w:rPr>
      </w:pPr>
    </w:p>
    <w:p w14:paraId="47355D65" w14:textId="7F81F91A" w:rsidR="004C3644" w:rsidRPr="00D3390B" w:rsidRDefault="004C3644"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No se evidencia publicidad para que los usuarios conozcan el portafolio se servicios tanto de la red interna como externa.</w:t>
      </w:r>
    </w:p>
    <w:p w14:paraId="14FE627E" w14:textId="77777777" w:rsidR="004C3644" w:rsidRPr="00D3390B" w:rsidRDefault="004C3644" w:rsidP="00C62FCF">
      <w:pPr>
        <w:pStyle w:val="Prrafodelista"/>
        <w:ind w:left="567" w:right="616"/>
        <w:contextualSpacing w:val="0"/>
        <w:jc w:val="both"/>
        <w:rPr>
          <w:rFonts w:ascii="Century Gothic" w:hAnsi="Century Gothic"/>
          <w:i/>
          <w:sz w:val="22"/>
          <w:szCs w:val="22"/>
        </w:rPr>
      </w:pPr>
    </w:p>
    <w:p w14:paraId="6B74EBAB" w14:textId="5791DFF2" w:rsidR="004C3644" w:rsidRPr="00D3390B" w:rsidRDefault="004C3644"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 xml:space="preserve">El BASPC N 6 de la ciudad de Ibagué es una unidad básica de atención (UBAM) con servicios adicionales de </w:t>
      </w:r>
      <w:proofErr w:type="spellStart"/>
      <w:r w:rsidRPr="00D3390B">
        <w:rPr>
          <w:rFonts w:ascii="Century Gothic" w:hAnsi="Century Gothic"/>
          <w:i/>
          <w:sz w:val="22"/>
          <w:szCs w:val="22"/>
        </w:rPr>
        <w:t>imagenenologia</w:t>
      </w:r>
      <w:proofErr w:type="spellEnd"/>
      <w:r w:rsidRPr="00D3390B">
        <w:rPr>
          <w:rFonts w:ascii="Century Gothic" w:hAnsi="Century Gothic"/>
          <w:i/>
          <w:sz w:val="22"/>
          <w:szCs w:val="22"/>
        </w:rPr>
        <w:t xml:space="preserve"> simple, sala de reanimación y observación, pero no se evidencia socialización ni conocimiento por parte del recurso humano acerca de la clasificación </w:t>
      </w:r>
      <w:r w:rsidR="004D79FE" w:rsidRPr="00D3390B">
        <w:rPr>
          <w:rFonts w:ascii="Century Gothic" w:hAnsi="Century Gothic"/>
          <w:i/>
          <w:sz w:val="22"/>
          <w:szCs w:val="22"/>
        </w:rPr>
        <w:t>del establecimiento con el objetivo de tener en cuenta la capacidad del ESM para asa definir conductas que requieran de la atención por parte de los niveles I, II, III O IV de ser necesario.</w:t>
      </w:r>
    </w:p>
    <w:p w14:paraId="28FB9BB9" w14:textId="77777777" w:rsidR="004D79FE" w:rsidRPr="00D3390B" w:rsidRDefault="004D79FE" w:rsidP="00C62FCF">
      <w:pPr>
        <w:pStyle w:val="Prrafodelista"/>
        <w:ind w:left="567" w:right="616"/>
        <w:contextualSpacing w:val="0"/>
        <w:jc w:val="both"/>
        <w:rPr>
          <w:rFonts w:ascii="Century Gothic" w:hAnsi="Century Gothic"/>
          <w:i/>
          <w:sz w:val="22"/>
          <w:szCs w:val="22"/>
        </w:rPr>
      </w:pPr>
    </w:p>
    <w:p w14:paraId="2EF541F6" w14:textId="051A8C9F" w:rsidR="00D04D8B" w:rsidRPr="00D3390B" w:rsidRDefault="002F6AA4"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 xml:space="preserve">De acuerdo a las 10 </w:t>
      </w:r>
      <w:r w:rsidR="00CB76FC" w:rsidRPr="00D3390B">
        <w:rPr>
          <w:rFonts w:ascii="Century Gothic" w:hAnsi="Century Gothic"/>
          <w:i/>
          <w:sz w:val="22"/>
          <w:szCs w:val="22"/>
        </w:rPr>
        <w:t>primeras</w:t>
      </w:r>
      <w:r w:rsidRPr="00D3390B">
        <w:rPr>
          <w:rFonts w:ascii="Century Gothic" w:hAnsi="Century Gothic"/>
          <w:i/>
          <w:sz w:val="22"/>
          <w:szCs w:val="22"/>
        </w:rPr>
        <w:t xml:space="preserve"> causas de consulta es necesario contar con el protocolo de atención, pero no se evidencia la guía de atención </w:t>
      </w:r>
      <w:r w:rsidR="00CB76FC" w:rsidRPr="00D3390B">
        <w:rPr>
          <w:rFonts w:ascii="Century Gothic" w:hAnsi="Century Gothic"/>
          <w:i/>
          <w:sz w:val="22"/>
          <w:szCs w:val="22"/>
        </w:rPr>
        <w:t xml:space="preserve"> para enfermedad obstructiva crónica ni insuficiencia respiratoria que permita ayudar al personal de salud en las decisiones sobre el cuidado de la salud apropiado de un cuadro clínico especifico como es el caso de la señor MARIA LEONILDE GARCIA, a quien se le diagnostico insuficiencia respiratoria aguda  segundaria a un broncoespasmo en las atenciones del 7 y 11 de marzo de 2015, además teniendo en cuanta que fue una paciente </w:t>
      </w:r>
      <w:r w:rsidR="002860E4" w:rsidRPr="00D3390B">
        <w:rPr>
          <w:rFonts w:ascii="Century Gothic" w:hAnsi="Century Gothic"/>
          <w:i/>
          <w:sz w:val="22"/>
          <w:szCs w:val="22"/>
        </w:rPr>
        <w:t xml:space="preserve">con múltiples antecedentes patológicos tales como EPOC, hipertensión arterial, fibrilación auricular, tromboembolismo pulmonar y trombosis venosa profunda de miembros inferiores, factores que afectan de manera importante su condición de salud y aumentan el riesgo </w:t>
      </w:r>
      <w:r w:rsidR="00CE77AE" w:rsidRPr="00D3390B">
        <w:rPr>
          <w:rFonts w:ascii="Century Gothic" w:hAnsi="Century Gothic"/>
          <w:i/>
          <w:sz w:val="22"/>
          <w:szCs w:val="22"/>
        </w:rPr>
        <w:t xml:space="preserve">de complicaciones de la cual se requiere </w:t>
      </w:r>
      <w:r w:rsidR="00CE77AE" w:rsidRPr="00D3390B">
        <w:rPr>
          <w:rFonts w:ascii="Century Gothic" w:hAnsi="Century Gothic"/>
          <w:i/>
          <w:sz w:val="22"/>
          <w:szCs w:val="22"/>
        </w:rPr>
        <w:lastRenderedPageBreak/>
        <w:t>atención inmediata de un mayor nivel de complejidad para cuidado</w:t>
      </w:r>
      <w:r w:rsidR="00D04D8B" w:rsidRPr="00D3390B">
        <w:rPr>
          <w:rFonts w:ascii="Century Gothic" w:hAnsi="Century Gothic"/>
          <w:i/>
          <w:sz w:val="22"/>
          <w:szCs w:val="22"/>
        </w:rPr>
        <w:t xml:space="preserve"> especializado tanto asistencial como de apoyo diagnóstico.(…)</w:t>
      </w:r>
    </w:p>
    <w:p w14:paraId="37E83D07" w14:textId="77777777" w:rsidR="00A5714D" w:rsidRPr="00D3390B" w:rsidRDefault="00A5714D" w:rsidP="00C62FCF">
      <w:pPr>
        <w:pStyle w:val="Prrafodelista"/>
        <w:ind w:left="567" w:right="616"/>
        <w:contextualSpacing w:val="0"/>
        <w:jc w:val="both"/>
        <w:rPr>
          <w:rFonts w:ascii="Century Gothic" w:hAnsi="Century Gothic"/>
          <w:i/>
          <w:sz w:val="22"/>
          <w:szCs w:val="22"/>
        </w:rPr>
      </w:pPr>
    </w:p>
    <w:p w14:paraId="66915BBE" w14:textId="5EEAAA78" w:rsidR="00D04D8B" w:rsidRPr="00D3390B" w:rsidRDefault="00D04D8B"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En lo que respecta al manejo de la historia clínica dentro de los criterios de calidad esta debe ser completa  y contener la totalidad de la información relevante solicitada en los diferentes</w:t>
      </w:r>
      <w:r w:rsidR="008A2287" w:rsidRPr="00D3390B">
        <w:rPr>
          <w:rFonts w:ascii="Century Gothic" w:hAnsi="Century Gothic"/>
          <w:i/>
          <w:sz w:val="22"/>
          <w:szCs w:val="22"/>
        </w:rPr>
        <w:t xml:space="preserve"> formatos de registro, anexando la totalidad de los soportes, para el proceso de la señora MARIA LEONILDE no se evidencia dentro de la historia clínica la fecha y hora de egreso ni se evidencia  el nivel de saturación en la atención prestada  </w:t>
      </w:r>
      <w:r w:rsidRPr="00D3390B">
        <w:rPr>
          <w:rFonts w:ascii="Century Gothic" w:hAnsi="Century Gothic"/>
          <w:i/>
          <w:sz w:val="22"/>
          <w:szCs w:val="22"/>
        </w:rPr>
        <w:t xml:space="preserve"> </w:t>
      </w:r>
      <w:r w:rsidR="008A2287" w:rsidRPr="00D3390B">
        <w:rPr>
          <w:rFonts w:ascii="Century Gothic" w:hAnsi="Century Gothic"/>
          <w:i/>
          <w:sz w:val="22"/>
          <w:szCs w:val="22"/>
        </w:rPr>
        <w:t>el día 7 de marzo de 2015, teniendo en cuenta que el motivo de consulta era insuficiencia respiratoria, lo que no permite aclara</w:t>
      </w:r>
      <w:r w:rsidR="00D9292A" w:rsidRPr="00D3390B">
        <w:rPr>
          <w:rFonts w:ascii="Century Gothic" w:hAnsi="Century Gothic"/>
          <w:i/>
          <w:sz w:val="22"/>
          <w:szCs w:val="22"/>
        </w:rPr>
        <w:t>r</w:t>
      </w:r>
      <w:r w:rsidR="008A2287" w:rsidRPr="00D3390B">
        <w:rPr>
          <w:rFonts w:ascii="Century Gothic" w:hAnsi="Century Gothic"/>
          <w:i/>
          <w:sz w:val="22"/>
          <w:szCs w:val="22"/>
        </w:rPr>
        <w:t xml:space="preserve"> el estado de salud de la paciente al momento de la salida del establecimiento de sanidad militar. De igual forma con el objetivo de dar continuidad en la atención no se evidencia formato de referencia a la red externa lo que no permite evidenciar activación del proceso de referencia.</w:t>
      </w:r>
    </w:p>
    <w:p w14:paraId="77C8AF2E" w14:textId="77777777" w:rsidR="008A2287" w:rsidRPr="00D3390B" w:rsidRDefault="008A2287" w:rsidP="00C62FCF">
      <w:pPr>
        <w:pStyle w:val="Prrafodelista"/>
        <w:ind w:left="567" w:right="616"/>
        <w:contextualSpacing w:val="0"/>
        <w:jc w:val="both"/>
        <w:rPr>
          <w:rFonts w:ascii="Century Gothic" w:hAnsi="Century Gothic"/>
          <w:i/>
          <w:sz w:val="22"/>
          <w:szCs w:val="22"/>
        </w:rPr>
      </w:pPr>
    </w:p>
    <w:p w14:paraId="3A2ED2B3" w14:textId="60C2A735" w:rsidR="00A85D46" w:rsidRPr="00D3390B" w:rsidRDefault="008A2287"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 xml:space="preserve">Teniendo en cuenta que dispositivos médicos tales como manómetros y </w:t>
      </w:r>
      <w:r w:rsidR="006467C6" w:rsidRPr="00D3390B">
        <w:rPr>
          <w:rFonts w:ascii="Century Gothic" w:hAnsi="Century Gothic"/>
          <w:i/>
          <w:sz w:val="22"/>
          <w:szCs w:val="22"/>
        </w:rPr>
        <w:t>fluxómetros requieren de mantenimiento y /o calibración</w:t>
      </w:r>
      <w:r w:rsidR="00A85D46" w:rsidRPr="00D3390B">
        <w:rPr>
          <w:rFonts w:ascii="Century Gothic" w:hAnsi="Century Gothic"/>
          <w:i/>
          <w:sz w:val="22"/>
          <w:szCs w:val="22"/>
        </w:rPr>
        <w:t xml:space="preserve">, no se evidencia que los manómetros que se encuentran en el servicio de atención prioritaria estén dentro de un registro de calibración y/o verificación de parámetros lo que no permite garantizar la seguridad en la administración de un flujo ajustable de forma precisa bajo </w:t>
      </w:r>
      <w:proofErr w:type="spellStart"/>
      <w:r w:rsidR="00A85D46" w:rsidRPr="00D3390B">
        <w:rPr>
          <w:rFonts w:ascii="Century Gothic" w:hAnsi="Century Gothic"/>
          <w:i/>
          <w:sz w:val="22"/>
          <w:szCs w:val="22"/>
        </w:rPr>
        <w:t>al</w:t>
      </w:r>
      <w:proofErr w:type="spellEnd"/>
      <w:r w:rsidR="00A85D46" w:rsidRPr="00D3390B">
        <w:rPr>
          <w:rFonts w:ascii="Century Gothic" w:hAnsi="Century Gothic"/>
          <w:i/>
          <w:sz w:val="22"/>
          <w:szCs w:val="22"/>
        </w:rPr>
        <w:t xml:space="preserve"> dirección de un profesional de la salud  ni de igual forma se evidencia que se tenga contratada la inspección técnica que certifique </w:t>
      </w:r>
      <w:r w:rsidRPr="00D3390B">
        <w:rPr>
          <w:rFonts w:ascii="Century Gothic" w:hAnsi="Century Gothic"/>
          <w:i/>
          <w:sz w:val="22"/>
          <w:szCs w:val="22"/>
        </w:rPr>
        <w:t xml:space="preserve"> </w:t>
      </w:r>
      <w:r w:rsidR="00A85D46" w:rsidRPr="00D3390B">
        <w:rPr>
          <w:rFonts w:ascii="Century Gothic" w:hAnsi="Century Gothic"/>
          <w:i/>
          <w:sz w:val="22"/>
          <w:szCs w:val="22"/>
        </w:rPr>
        <w:t>la calibración y funcionamiento correcto o si por el contrario están en calidad de préstamo no cuenta con la certificación de la  empresa que los suministra.</w:t>
      </w:r>
    </w:p>
    <w:p w14:paraId="26957C77" w14:textId="77777777" w:rsidR="00A85D46" w:rsidRPr="00D3390B" w:rsidRDefault="00A85D46" w:rsidP="00C62FCF">
      <w:pPr>
        <w:pStyle w:val="Prrafodelista"/>
        <w:ind w:left="567" w:right="616"/>
        <w:contextualSpacing w:val="0"/>
        <w:jc w:val="both"/>
        <w:rPr>
          <w:rFonts w:ascii="Century Gothic" w:hAnsi="Century Gothic"/>
          <w:i/>
          <w:sz w:val="22"/>
          <w:szCs w:val="22"/>
        </w:rPr>
      </w:pPr>
    </w:p>
    <w:p w14:paraId="4FD49D66" w14:textId="4CD0FEF0" w:rsidR="00A85D46" w:rsidRPr="00D3390B" w:rsidRDefault="00A85D46"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 xml:space="preserve">De igual forma en cumplimiento a la política de seguridad del paciente y con el objetico de identificar acciones inseguras y/o factores contributivos que pueden influir en el proceso de atención, no se evidencia un control de las cargas de </w:t>
      </w:r>
      <w:proofErr w:type="spellStart"/>
      <w:r w:rsidRPr="00D3390B">
        <w:rPr>
          <w:rFonts w:ascii="Century Gothic" w:hAnsi="Century Gothic"/>
          <w:i/>
          <w:sz w:val="22"/>
          <w:szCs w:val="22"/>
        </w:rPr>
        <w:t>oxigeno</w:t>
      </w:r>
      <w:proofErr w:type="spellEnd"/>
      <w:r w:rsidRPr="00D3390B">
        <w:rPr>
          <w:rFonts w:ascii="Century Gothic" w:hAnsi="Century Gothic"/>
          <w:i/>
          <w:sz w:val="22"/>
          <w:szCs w:val="22"/>
        </w:rPr>
        <w:t xml:space="preserve"> de las balas en el servicio de atención prioritaria que permita verificar la disponibilidad de oxígeno.</w:t>
      </w:r>
    </w:p>
    <w:p w14:paraId="2058F93A" w14:textId="77777777" w:rsidR="00A85D46" w:rsidRPr="00D3390B" w:rsidRDefault="00A85D46" w:rsidP="00C62FCF">
      <w:pPr>
        <w:pStyle w:val="Prrafodelista"/>
        <w:ind w:left="567" w:right="616"/>
        <w:contextualSpacing w:val="0"/>
        <w:jc w:val="both"/>
        <w:rPr>
          <w:rFonts w:ascii="Century Gothic" w:hAnsi="Century Gothic"/>
          <w:i/>
          <w:sz w:val="22"/>
          <w:szCs w:val="22"/>
        </w:rPr>
      </w:pPr>
    </w:p>
    <w:p w14:paraId="7FF8ED48" w14:textId="27F62290" w:rsidR="00A85D46" w:rsidRPr="00D3390B" w:rsidRDefault="00A85D46" w:rsidP="00C62FCF">
      <w:pPr>
        <w:pStyle w:val="Prrafodelista"/>
        <w:ind w:left="567" w:right="616"/>
        <w:contextualSpacing w:val="0"/>
        <w:jc w:val="both"/>
        <w:rPr>
          <w:rFonts w:ascii="Century Gothic" w:hAnsi="Century Gothic"/>
          <w:i/>
          <w:sz w:val="22"/>
          <w:szCs w:val="22"/>
        </w:rPr>
      </w:pPr>
      <w:r w:rsidRPr="00D3390B">
        <w:rPr>
          <w:rFonts w:ascii="Century Gothic" w:hAnsi="Century Gothic"/>
          <w:i/>
          <w:sz w:val="22"/>
          <w:szCs w:val="22"/>
        </w:rPr>
        <w:t>Dentro de las recomendaciones que se emitieron están:</w:t>
      </w:r>
    </w:p>
    <w:p w14:paraId="2898A8C2" w14:textId="77777777" w:rsidR="00A85D46" w:rsidRPr="00D3390B" w:rsidRDefault="00A85D46" w:rsidP="00C62FCF">
      <w:pPr>
        <w:pStyle w:val="Prrafodelista"/>
        <w:ind w:left="567" w:right="616"/>
        <w:contextualSpacing w:val="0"/>
        <w:jc w:val="both"/>
        <w:rPr>
          <w:rFonts w:ascii="Century Gothic" w:hAnsi="Century Gothic"/>
          <w:i/>
          <w:sz w:val="22"/>
          <w:szCs w:val="22"/>
        </w:rPr>
      </w:pPr>
    </w:p>
    <w:p w14:paraId="038EE808" w14:textId="3D67E7B8" w:rsidR="00A85D46" w:rsidRPr="00D3390B" w:rsidRDefault="00A85D46" w:rsidP="00C62FCF">
      <w:pPr>
        <w:pStyle w:val="Prrafodelista"/>
        <w:numPr>
          <w:ilvl w:val="0"/>
          <w:numId w:val="12"/>
        </w:numPr>
        <w:ind w:left="567" w:right="616" w:firstLine="0"/>
        <w:contextualSpacing w:val="0"/>
        <w:jc w:val="both"/>
        <w:rPr>
          <w:rFonts w:ascii="Century Gothic" w:hAnsi="Century Gothic"/>
          <w:i/>
          <w:sz w:val="22"/>
          <w:szCs w:val="22"/>
        </w:rPr>
      </w:pPr>
      <w:r w:rsidRPr="00D3390B">
        <w:rPr>
          <w:rFonts w:ascii="Century Gothic" w:hAnsi="Century Gothic"/>
          <w:i/>
          <w:sz w:val="22"/>
          <w:szCs w:val="22"/>
        </w:rPr>
        <w:t xml:space="preserve">El servicio de consulta prioritaria está </w:t>
      </w:r>
      <w:r w:rsidR="00E742ED" w:rsidRPr="00D3390B">
        <w:rPr>
          <w:rFonts w:ascii="Century Gothic" w:hAnsi="Century Gothic"/>
          <w:i/>
          <w:sz w:val="22"/>
          <w:szCs w:val="22"/>
        </w:rPr>
        <w:t>orientado</w:t>
      </w:r>
      <w:r w:rsidRPr="00D3390B">
        <w:rPr>
          <w:rFonts w:ascii="Century Gothic" w:hAnsi="Century Gothic"/>
          <w:i/>
          <w:sz w:val="22"/>
          <w:szCs w:val="22"/>
        </w:rPr>
        <w:t xml:space="preserve"> a atender las condiciones  </w:t>
      </w:r>
      <w:r w:rsidR="00E742ED" w:rsidRPr="00D3390B">
        <w:rPr>
          <w:rFonts w:ascii="Century Gothic" w:hAnsi="Century Gothic"/>
          <w:i/>
          <w:sz w:val="22"/>
          <w:szCs w:val="22"/>
        </w:rPr>
        <w:t>de baja complejidad que requieren ser atendidos con libre acceso para los usuarios el cual incluye una o varias de las actividades de consulta por un profesional  de la salud y procedimientos menores y que de igual forma se restringen en este servicio las actividades de observación para definición de conductas y las que requieran internación, es necesario que en los casos donde el diagnostico este clasificado como una urgencia vital, sea remitido de forma inmediata a la red prestadora de un nivel de mayor atención.</w:t>
      </w:r>
    </w:p>
    <w:p w14:paraId="34252CF7" w14:textId="77777777" w:rsidR="00DC659C" w:rsidRPr="00D3390B" w:rsidRDefault="00DC659C" w:rsidP="00C62FCF">
      <w:pPr>
        <w:pStyle w:val="Prrafodelista"/>
        <w:ind w:left="567" w:right="616"/>
        <w:contextualSpacing w:val="0"/>
        <w:jc w:val="both"/>
        <w:rPr>
          <w:rFonts w:ascii="Century Gothic" w:hAnsi="Century Gothic"/>
          <w:i/>
          <w:sz w:val="22"/>
          <w:szCs w:val="22"/>
        </w:rPr>
      </w:pPr>
    </w:p>
    <w:p w14:paraId="56315895" w14:textId="62B0B508" w:rsidR="00E742ED" w:rsidRPr="00D3390B" w:rsidRDefault="00E742ED" w:rsidP="00C62FCF">
      <w:pPr>
        <w:pStyle w:val="Prrafodelista"/>
        <w:numPr>
          <w:ilvl w:val="0"/>
          <w:numId w:val="12"/>
        </w:numPr>
        <w:ind w:left="567" w:right="616" w:firstLine="0"/>
        <w:contextualSpacing w:val="0"/>
        <w:jc w:val="both"/>
        <w:rPr>
          <w:rFonts w:ascii="Century Gothic" w:hAnsi="Century Gothic"/>
          <w:i/>
          <w:sz w:val="22"/>
          <w:szCs w:val="22"/>
        </w:rPr>
      </w:pPr>
      <w:r w:rsidRPr="00D3390B">
        <w:rPr>
          <w:rFonts w:ascii="Century Gothic" w:hAnsi="Century Gothic"/>
          <w:i/>
          <w:sz w:val="22"/>
          <w:szCs w:val="22"/>
        </w:rPr>
        <w:t>Una vez se prepare el manejo inicial si los signos y síntomas no demuestran evidencia de mejoría es necesario dar remisión inmediata al tercer nivel de atención.</w:t>
      </w:r>
    </w:p>
    <w:p w14:paraId="43DF52D8" w14:textId="77777777" w:rsidR="00E742ED" w:rsidRPr="00D3390B" w:rsidRDefault="00E742ED" w:rsidP="00C62FCF">
      <w:pPr>
        <w:pStyle w:val="Prrafodelista"/>
        <w:ind w:left="567" w:right="616"/>
        <w:contextualSpacing w:val="0"/>
        <w:jc w:val="both"/>
        <w:rPr>
          <w:rFonts w:ascii="Century Gothic" w:hAnsi="Century Gothic"/>
          <w:i/>
          <w:sz w:val="22"/>
          <w:szCs w:val="22"/>
        </w:rPr>
      </w:pPr>
    </w:p>
    <w:p w14:paraId="301DDEFB" w14:textId="3551253D" w:rsidR="00E742ED" w:rsidRPr="00D3390B" w:rsidRDefault="00E742ED" w:rsidP="00C62FCF">
      <w:pPr>
        <w:spacing w:line="240" w:lineRule="auto"/>
        <w:ind w:left="567" w:right="616"/>
        <w:jc w:val="both"/>
        <w:rPr>
          <w:rFonts w:ascii="Century Gothic" w:hAnsi="Century Gothic"/>
          <w:i/>
          <w:lang w:val="es-ES"/>
        </w:rPr>
      </w:pPr>
      <w:r w:rsidRPr="00D3390B">
        <w:rPr>
          <w:rFonts w:ascii="Century Gothic" w:hAnsi="Century Gothic"/>
          <w:i/>
          <w:lang w:val="es-ES"/>
        </w:rPr>
        <w:t xml:space="preserve">Una vez evaluados los atributos de calidad además de la pertinencia medica bajo la evidencia científica por concepto médico especialista en cirugía general, se solicitó al ESM el plan de </w:t>
      </w:r>
      <w:proofErr w:type="gramStart"/>
      <w:r w:rsidRPr="00D3390B">
        <w:rPr>
          <w:rFonts w:ascii="Century Gothic" w:hAnsi="Century Gothic"/>
          <w:i/>
          <w:lang w:val="es-ES"/>
        </w:rPr>
        <w:t xml:space="preserve">mejoramiento  </w:t>
      </w:r>
      <w:r w:rsidR="00550D32" w:rsidRPr="00D3390B">
        <w:rPr>
          <w:rFonts w:ascii="Century Gothic" w:hAnsi="Century Gothic"/>
          <w:i/>
          <w:lang w:val="es-ES"/>
        </w:rPr>
        <w:t>de</w:t>
      </w:r>
      <w:proofErr w:type="gramEnd"/>
      <w:r w:rsidR="00550D32" w:rsidRPr="00D3390B">
        <w:rPr>
          <w:rFonts w:ascii="Century Gothic" w:hAnsi="Century Gothic"/>
          <w:i/>
          <w:lang w:val="es-ES"/>
        </w:rPr>
        <w:t xml:space="preserve"> los hallazgos expuestos y los soportes de las recomendaciones registradas </w:t>
      </w:r>
      <w:r w:rsidR="00550D32" w:rsidRPr="00D3390B">
        <w:rPr>
          <w:rFonts w:ascii="Century Gothic" w:hAnsi="Century Gothic"/>
          <w:i/>
          <w:lang w:val="es-ES"/>
        </w:rPr>
        <w:lastRenderedPageBreak/>
        <w:t>con el fin de dar cumplimento al mejoramiento continuo enmarcado dentro de las características de calidad.</w:t>
      </w:r>
      <w:r w:rsidR="00550D32" w:rsidRPr="00D3390B">
        <w:rPr>
          <w:rStyle w:val="Refdenotaalpie"/>
          <w:rFonts w:ascii="Century Gothic" w:hAnsi="Century Gothic"/>
          <w:i/>
          <w:lang w:val="es-ES"/>
        </w:rPr>
        <w:footnoteReference w:id="10"/>
      </w:r>
      <w:r w:rsidR="00550D32" w:rsidRPr="00D3390B">
        <w:rPr>
          <w:rFonts w:ascii="Century Gothic" w:hAnsi="Century Gothic"/>
          <w:i/>
          <w:lang w:val="es-ES"/>
        </w:rPr>
        <w:t xml:space="preserve"> (…)</w:t>
      </w:r>
    </w:p>
    <w:p w14:paraId="03AA09CB" w14:textId="7209F92E" w:rsidR="00A66580" w:rsidRPr="00D3390B" w:rsidRDefault="00D04D8B" w:rsidP="00C62FCF">
      <w:pPr>
        <w:pStyle w:val="Prrafodelista"/>
        <w:spacing w:line="360" w:lineRule="auto"/>
        <w:ind w:left="360"/>
        <w:contextualSpacing w:val="0"/>
        <w:jc w:val="both"/>
        <w:rPr>
          <w:rFonts w:ascii="Century Gothic" w:hAnsi="Century Gothic"/>
        </w:rPr>
      </w:pPr>
      <w:r w:rsidRPr="00D3390B">
        <w:rPr>
          <w:rFonts w:ascii="Century Gothic" w:hAnsi="Century Gothic"/>
          <w:i/>
        </w:rPr>
        <w:t xml:space="preserve"> </w:t>
      </w:r>
      <w:r w:rsidR="002860E4" w:rsidRPr="00D3390B">
        <w:rPr>
          <w:rFonts w:ascii="Century Gothic" w:hAnsi="Century Gothic"/>
          <w:i/>
        </w:rPr>
        <w:t xml:space="preserve"> </w:t>
      </w:r>
    </w:p>
    <w:p w14:paraId="076CE2B8" w14:textId="209A573E" w:rsidR="00DC659C" w:rsidRPr="00D3390B" w:rsidRDefault="00D30133" w:rsidP="00C62FCF">
      <w:pPr>
        <w:spacing w:line="360" w:lineRule="auto"/>
        <w:jc w:val="both"/>
        <w:rPr>
          <w:rFonts w:ascii="Century Gothic" w:hAnsi="Century Gothic"/>
          <w:sz w:val="24"/>
          <w:szCs w:val="24"/>
        </w:rPr>
      </w:pPr>
      <w:r w:rsidRPr="00D3390B">
        <w:rPr>
          <w:rFonts w:ascii="Century Gothic" w:hAnsi="Century Gothic"/>
          <w:sz w:val="24"/>
          <w:szCs w:val="24"/>
        </w:rPr>
        <w:t xml:space="preserve">16. </w:t>
      </w:r>
      <w:r w:rsidR="00A5714D" w:rsidRPr="00D3390B">
        <w:rPr>
          <w:rFonts w:ascii="Century Gothic" w:hAnsi="Century Gothic"/>
          <w:sz w:val="24"/>
          <w:szCs w:val="24"/>
        </w:rPr>
        <w:t>E</w:t>
      </w:r>
      <w:r w:rsidR="003515E2" w:rsidRPr="00D3390B">
        <w:rPr>
          <w:rFonts w:ascii="Century Gothic" w:hAnsi="Century Gothic"/>
          <w:sz w:val="24"/>
          <w:szCs w:val="24"/>
        </w:rPr>
        <w:t>l Tribunal seccio</w:t>
      </w:r>
      <w:r w:rsidR="006C3BEB" w:rsidRPr="00D3390B">
        <w:rPr>
          <w:rFonts w:ascii="Century Gothic" w:hAnsi="Century Gothic"/>
          <w:sz w:val="24"/>
          <w:szCs w:val="24"/>
        </w:rPr>
        <w:t xml:space="preserve">nal de ética médica del Tolima </w:t>
      </w:r>
      <w:r w:rsidR="003515E2" w:rsidRPr="00D3390B">
        <w:rPr>
          <w:rFonts w:ascii="Century Gothic" w:hAnsi="Century Gothic"/>
          <w:sz w:val="24"/>
          <w:szCs w:val="24"/>
        </w:rPr>
        <w:t xml:space="preserve">adelantó una investigación disciplinaria </w:t>
      </w:r>
      <w:proofErr w:type="spellStart"/>
      <w:r w:rsidR="003515E2" w:rsidRPr="00D3390B">
        <w:rPr>
          <w:rFonts w:ascii="Century Gothic" w:hAnsi="Century Gothic"/>
          <w:sz w:val="24"/>
          <w:szCs w:val="24"/>
        </w:rPr>
        <w:t>N°</w:t>
      </w:r>
      <w:proofErr w:type="spellEnd"/>
      <w:r w:rsidR="003515E2" w:rsidRPr="00D3390B">
        <w:rPr>
          <w:rFonts w:ascii="Century Gothic" w:hAnsi="Century Gothic"/>
          <w:sz w:val="24"/>
          <w:szCs w:val="24"/>
        </w:rPr>
        <w:t xml:space="preserve"> 740</w:t>
      </w:r>
      <w:r w:rsidR="00A5714D" w:rsidRPr="00D3390B">
        <w:rPr>
          <w:rFonts w:ascii="Century Gothic" w:hAnsi="Century Gothic"/>
          <w:sz w:val="24"/>
          <w:szCs w:val="24"/>
        </w:rPr>
        <w:t xml:space="preserve"> por el fallecimiento de </w:t>
      </w:r>
      <w:proofErr w:type="gramStart"/>
      <w:r w:rsidR="00A5714D" w:rsidRPr="00D3390B">
        <w:rPr>
          <w:rFonts w:ascii="Century Gothic" w:hAnsi="Century Gothic"/>
          <w:sz w:val="24"/>
          <w:szCs w:val="24"/>
        </w:rPr>
        <w:t xml:space="preserve">la </w:t>
      </w:r>
      <w:r w:rsidR="003C4803" w:rsidRPr="00D3390B">
        <w:rPr>
          <w:rFonts w:ascii="Century Gothic" w:hAnsi="Century Gothic"/>
          <w:sz w:val="24"/>
          <w:szCs w:val="24"/>
        </w:rPr>
        <w:t xml:space="preserve"> </w:t>
      </w:r>
      <w:r w:rsidR="00A5714D" w:rsidRPr="00D3390B">
        <w:rPr>
          <w:rFonts w:ascii="Century Gothic" w:hAnsi="Century Gothic"/>
          <w:sz w:val="24"/>
          <w:szCs w:val="24"/>
        </w:rPr>
        <w:t>señora</w:t>
      </w:r>
      <w:proofErr w:type="gramEnd"/>
      <w:r w:rsidR="00A5714D" w:rsidRPr="00D3390B">
        <w:rPr>
          <w:rFonts w:ascii="Century Gothic" w:hAnsi="Century Gothic"/>
          <w:sz w:val="24"/>
          <w:szCs w:val="24"/>
        </w:rPr>
        <w:t xml:space="preserve"> María Leonilde </w:t>
      </w:r>
      <w:r w:rsidR="003C4803" w:rsidRPr="00D3390B">
        <w:rPr>
          <w:rFonts w:ascii="Century Gothic" w:hAnsi="Century Gothic"/>
          <w:sz w:val="24"/>
          <w:szCs w:val="24"/>
        </w:rPr>
        <w:t>cuyo resultado no se tiene conocimiento</w:t>
      </w:r>
      <w:r w:rsidR="003515E2" w:rsidRPr="00D3390B">
        <w:rPr>
          <w:rStyle w:val="Refdenotaalpie"/>
          <w:rFonts w:ascii="Century Gothic" w:hAnsi="Century Gothic"/>
          <w:sz w:val="24"/>
          <w:szCs w:val="24"/>
        </w:rPr>
        <w:footnoteReference w:id="11"/>
      </w:r>
      <w:r w:rsidR="00DC659C" w:rsidRPr="00D3390B">
        <w:rPr>
          <w:rFonts w:ascii="Century Gothic" w:hAnsi="Century Gothic"/>
          <w:sz w:val="24"/>
          <w:szCs w:val="24"/>
        </w:rPr>
        <w:t>.</w:t>
      </w:r>
    </w:p>
    <w:p w14:paraId="4FB08397" w14:textId="77777777" w:rsidR="00D30133" w:rsidRPr="00D3390B" w:rsidRDefault="00D30133" w:rsidP="00C62FCF">
      <w:pPr>
        <w:spacing w:line="360" w:lineRule="auto"/>
        <w:jc w:val="both"/>
        <w:rPr>
          <w:rFonts w:ascii="Century Gothic" w:hAnsi="Century Gothic"/>
          <w:sz w:val="24"/>
          <w:szCs w:val="24"/>
        </w:rPr>
      </w:pPr>
    </w:p>
    <w:p w14:paraId="359BA1DF" w14:textId="5C11B9AB" w:rsidR="000F3FD4" w:rsidRPr="00D3390B" w:rsidRDefault="00D30133" w:rsidP="00C62FCF">
      <w:pPr>
        <w:spacing w:line="360" w:lineRule="auto"/>
        <w:jc w:val="both"/>
        <w:rPr>
          <w:rFonts w:ascii="Century Gothic" w:hAnsi="Century Gothic"/>
          <w:sz w:val="24"/>
          <w:szCs w:val="24"/>
        </w:rPr>
      </w:pPr>
      <w:r w:rsidRPr="00D3390B">
        <w:rPr>
          <w:rFonts w:ascii="Century Gothic" w:hAnsi="Century Gothic"/>
          <w:sz w:val="24"/>
          <w:szCs w:val="24"/>
        </w:rPr>
        <w:t xml:space="preserve">17. </w:t>
      </w:r>
      <w:r w:rsidR="00C650CE" w:rsidRPr="00D3390B">
        <w:rPr>
          <w:rFonts w:ascii="Century Gothic" w:hAnsi="Century Gothic"/>
          <w:sz w:val="24"/>
          <w:szCs w:val="24"/>
        </w:rPr>
        <w:t xml:space="preserve">En el </w:t>
      </w:r>
      <w:r w:rsidR="00C650CE" w:rsidRPr="00D3390B">
        <w:rPr>
          <w:rFonts w:ascii="Century Gothic" w:hAnsi="Century Gothic"/>
          <w:b/>
          <w:sz w:val="24"/>
          <w:szCs w:val="24"/>
        </w:rPr>
        <w:t>informe médico</w:t>
      </w:r>
      <w:r w:rsidR="00C650CE" w:rsidRPr="00D3390B">
        <w:rPr>
          <w:rFonts w:ascii="Century Gothic" w:hAnsi="Century Gothic"/>
          <w:sz w:val="24"/>
          <w:szCs w:val="24"/>
        </w:rPr>
        <w:t xml:space="preserve"> pericial realizado por </w:t>
      </w:r>
      <w:r w:rsidR="000F3FD4" w:rsidRPr="00D3390B">
        <w:rPr>
          <w:rFonts w:ascii="Century Gothic" w:hAnsi="Century Gothic"/>
          <w:sz w:val="24"/>
          <w:szCs w:val="24"/>
        </w:rPr>
        <w:t xml:space="preserve">la doctora Isabel cristina García Álvarez </w:t>
      </w:r>
      <w:r w:rsidR="006C3BEB" w:rsidRPr="00D3390B">
        <w:rPr>
          <w:rFonts w:ascii="Century Gothic" w:hAnsi="Century Gothic"/>
          <w:sz w:val="24"/>
          <w:szCs w:val="24"/>
        </w:rPr>
        <w:t xml:space="preserve">se </w:t>
      </w:r>
      <w:r w:rsidR="000F3FD4" w:rsidRPr="00D3390B">
        <w:rPr>
          <w:rFonts w:ascii="Century Gothic" w:hAnsi="Century Gothic"/>
          <w:sz w:val="24"/>
          <w:szCs w:val="24"/>
        </w:rPr>
        <w:t>anotó:</w:t>
      </w:r>
    </w:p>
    <w:p w14:paraId="2E9DAEAC" w14:textId="77777777" w:rsidR="000F3FD4" w:rsidRPr="00D3390B" w:rsidRDefault="000F3FD4" w:rsidP="00C62FCF">
      <w:pPr>
        <w:pStyle w:val="Prrafodelista"/>
        <w:spacing w:line="360" w:lineRule="auto"/>
        <w:contextualSpacing w:val="0"/>
        <w:rPr>
          <w:rFonts w:ascii="Century Gothic" w:hAnsi="Century Gothic"/>
        </w:rPr>
      </w:pPr>
    </w:p>
    <w:p w14:paraId="7242BAF9" w14:textId="77777777" w:rsidR="000F3FD4" w:rsidRPr="00D3390B" w:rsidRDefault="000F3FD4"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w:t>
      </w:r>
      <w:r w:rsidR="00A66580" w:rsidRPr="00D3390B">
        <w:rPr>
          <w:rFonts w:ascii="Century Gothic" w:hAnsi="Century Gothic"/>
          <w:i/>
          <w:lang w:val="es-ES"/>
        </w:rPr>
        <w:t>De</w:t>
      </w:r>
      <w:r w:rsidRPr="00D3390B">
        <w:rPr>
          <w:rFonts w:ascii="Century Gothic" w:hAnsi="Century Gothic"/>
          <w:i/>
          <w:lang w:val="es-ES"/>
        </w:rPr>
        <w:t xml:space="preserve"> acuerdo con la información allegada por la perito, lo aportado, es la historia </w:t>
      </w:r>
      <w:r w:rsidR="00F34BD3" w:rsidRPr="00D3390B">
        <w:rPr>
          <w:rFonts w:ascii="Century Gothic" w:hAnsi="Century Gothic"/>
          <w:i/>
          <w:lang w:val="es-ES"/>
        </w:rPr>
        <w:t>clínica</w:t>
      </w:r>
      <w:r w:rsidRPr="00D3390B">
        <w:rPr>
          <w:rFonts w:ascii="Century Gothic" w:hAnsi="Century Gothic"/>
          <w:i/>
          <w:lang w:val="es-ES"/>
        </w:rPr>
        <w:t xml:space="preserve"> completa de la paciente en el </w:t>
      </w:r>
      <w:proofErr w:type="gramStart"/>
      <w:r w:rsidRPr="00D3390B">
        <w:rPr>
          <w:rFonts w:ascii="Century Gothic" w:hAnsi="Century Gothic"/>
          <w:i/>
          <w:lang w:val="es-ES"/>
        </w:rPr>
        <w:t>caso  no</w:t>
      </w:r>
      <w:proofErr w:type="gramEnd"/>
      <w:r w:rsidRPr="00D3390B">
        <w:rPr>
          <w:rFonts w:ascii="Century Gothic" w:hAnsi="Century Gothic"/>
          <w:i/>
          <w:lang w:val="es-ES"/>
        </w:rPr>
        <w:t xml:space="preserve"> existe más historia clínica. Según lo anterior se analiza que </w:t>
      </w:r>
      <w:proofErr w:type="gramStart"/>
      <w:r w:rsidRPr="00D3390B">
        <w:rPr>
          <w:rFonts w:ascii="Century Gothic" w:hAnsi="Century Gothic"/>
          <w:i/>
          <w:lang w:val="es-ES"/>
        </w:rPr>
        <w:t>en relación a</w:t>
      </w:r>
      <w:proofErr w:type="gramEnd"/>
      <w:r w:rsidRPr="00D3390B">
        <w:rPr>
          <w:rFonts w:ascii="Century Gothic" w:hAnsi="Century Gothic"/>
          <w:i/>
          <w:lang w:val="es-ES"/>
        </w:rPr>
        <w:t xml:space="preserve"> la atención brindada a la señora MARIA LEONILDA GARCÍA, se presentaron retrasos y faltas por ejemplo al no cumplir con la resolución 1995 de 1999 por la cual se establecen normas para el manejo de la historia clínica, faltando así a sus características básicas.</w:t>
      </w:r>
    </w:p>
    <w:p w14:paraId="050BCF08" w14:textId="77777777" w:rsidR="000F3FD4" w:rsidRPr="00D3390B" w:rsidRDefault="000F3FD4" w:rsidP="00C62FCF">
      <w:pPr>
        <w:pStyle w:val="Prrafodelista"/>
        <w:ind w:left="567" w:right="474"/>
        <w:contextualSpacing w:val="0"/>
        <w:jc w:val="both"/>
        <w:rPr>
          <w:rFonts w:ascii="Century Gothic" w:hAnsi="Century Gothic" w:cs="Times New Roman"/>
          <w:i/>
          <w:sz w:val="22"/>
          <w:szCs w:val="22"/>
        </w:rPr>
      </w:pPr>
    </w:p>
    <w:p w14:paraId="31122107" w14:textId="7606EFF6" w:rsidR="000F3FD4" w:rsidRPr="00D3390B" w:rsidRDefault="003C4803"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L</w:t>
      </w:r>
      <w:r w:rsidR="000F3FD4" w:rsidRPr="00D3390B">
        <w:rPr>
          <w:rFonts w:ascii="Century Gothic" w:hAnsi="Century Gothic"/>
          <w:i/>
          <w:lang w:val="es-ES"/>
        </w:rPr>
        <w:t xml:space="preserve">a atención brindada a esta paciente con la historia clínica </w:t>
      </w:r>
      <w:proofErr w:type="gramStart"/>
      <w:r w:rsidR="000F3FD4" w:rsidRPr="00D3390B">
        <w:rPr>
          <w:rFonts w:ascii="Century Gothic" w:hAnsi="Century Gothic"/>
          <w:i/>
          <w:lang w:val="es-ES"/>
        </w:rPr>
        <w:t>aportada,</w:t>
      </w:r>
      <w:proofErr w:type="gramEnd"/>
      <w:r w:rsidR="000F3FD4" w:rsidRPr="00D3390B">
        <w:rPr>
          <w:rFonts w:ascii="Century Gothic" w:hAnsi="Century Gothic"/>
          <w:i/>
          <w:lang w:val="es-ES"/>
        </w:rPr>
        <w:t xml:space="preserve"> se aleja de la Lex </w:t>
      </w:r>
      <w:proofErr w:type="spellStart"/>
      <w:r w:rsidR="000F3FD4" w:rsidRPr="00D3390B">
        <w:rPr>
          <w:rFonts w:ascii="Century Gothic" w:hAnsi="Century Gothic"/>
          <w:i/>
          <w:lang w:val="es-ES"/>
        </w:rPr>
        <w:t>artis</w:t>
      </w:r>
      <w:proofErr w:type="spellEnd"/>
      <w:r w:rsidR="000F3FD4" w:rsidRPr="00D3390B">
        <w:rPr>
          <w:rFonts w:ascii="Century Gothic" w:hAnsi="Century Gothic"/>
          <w:i/>
          <w:lang w:val="es-ES"/>
        </w:rPr>
        <w:t xml:space="preserve"> ad hoc, toda vez no hay una aproximación a la severidad de la exacerbación, al riesgo de paro o muerte para así iniciar medidas orientadas a pensar en una remisión oportuna a un servicio que cuente con los recursos necesarios para la práctica de estudios complementarios y manejo integral.</w:t>
      </w:r>
    </w:p>
    <w:p w14:paraId="1F89C916" w14:textId="77777777" w:rsidR="000F3FD4" w:rsidRPr="00D3390B" w:rsidRDefault="000F3FD4" w:rsidP="00C62FCF">
      <w:pPr>
        <w:pStyle w:val="Prrafodelista"/>
        <w:ind w:left="567" w:right="474"/>
        <w:contextualSpacing w:val="0"/>
        <w:jc w:val="both"/>
        <w:rPr>
          <w:rFonts w:ascii="Century Gothic" w:hAnsi="Century Gothic" w:cs="Times New Roman"/>
          <w:i/>
          <w:sz w:val="22"/>
          <w:szCs w:val="22"/>
        </w:rPr>
      </w:pPr>
    </w:p>
    <w:p w14:paraId="0330ABC7" w14:textId="77777777" w:rsidR="003C4803" w:rsidRPr="00D3390B" w:rsidRDefault="000F3FD4"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 xml:space="preserve">De igual manera durante su estancia en el establecimiento de sanidad militar no se conocieron los resultados de las pruebas paraclínicas solicitadas a la paciente, ni se realizó la placa de tórax. El tratamiento suministrado a la paciente se aleja de lo propuesto en las guías clínicas de manejo de la EPOC y así mismo no se tienen en cuenta las comorbilidades de la paciente, HTA, F.A, anticoagulación, TVP, edad avanzada, 89 años, su taquipnea persistente que llevó a un deterioro progresivo, descendiendo en un paro cardiorrespiratorio que culmina con la muerte de la señora </w:t>
      </w:r>
      <w:r w:rsidR="00F34BD3" w:rsidRPr="00D3390B">
        <w:rPr>
          <w:rFonts w:ascii="Century Gothic" w:hAnsi="Century Gothic"/>
          <w:i/>
          <w:lang w:val="es-ES"/>
        </w:rPr>
        <w:t>MARIA LEONILDA frente a una remisión tardía, a las 8:50 A.M., como consta en la historia clínica aportada.”</w:t>
      </w:r>
    </w:p>
    <w:p w14:paraId="4EC16060" w14:textId="77777777" w:rsidR="003C4803" w:rsidRPr="00D3390B" w:rsidRDefault="003C4803" w:rsidP="00C62FCF">
      <w:pPr>
        <w:spacing w:after="0" w:line="240" w:lineRule="auto"/>
        <w:ind w:left="567" w:right="474"/>
        <w:jc w:val="both"/>
        <w:rPr>
          <w:rFonts w:ascii="Century Gothic" w:hAnsi="Century Gothic"/>
          <w:i/>
          <w:lang w:val="es-ES"/>
        </w:rPr>
      </w:pPr>
    </w:p>
    <w:p w14:paraId="03F405AC" w14:textId="3F98F720" w:rsidR="00F36277" w:rsidRPr="00D3390B" w:rsidRDefault="004E5EBB"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 xml:space="preserve">Sin embargo de haber sido remitida inmediatamente después de haber ingresado, </w:t>
      </w:r>
      <w:proofErr w:type="gramStart"/>
      <w:r w:rsidRPr="00D3390B">
        <w:rPr>
          <w:rFonts w:ascii="Century Gothic" w:hAnsi="Century Gothic"/>
          <w:i/>
          <w:lang w:val="es-ES"/>
        </w:rPr>
        <w:t>si  es</w:t>
      </w:r>
      <w:proofErr w:type="gramEnd"/>
      <w:r w:rsidRPr="00D3390B">
        <w:rPr>
          <w:rFonts w:ascii="Century Gothic" w:hAnsi="Century Gothic"/>
          <w:i/>
          <w:lang w:val="es-ES"/>
        </w:rPr>
        <w:t xml:space="preserve"> posible que las probabilidades de recuperar su salud  y de tener una atención más especializadas hubiera sido mayores a las esperadas en el centro de primer nivel  </w:t>
      </w:r>
      <w:r w:rsidR="00F34BD3" w:rsidRPr="00D3390B">
        <w:rPr>
          <w:rStyle w:val="Refdenotaalpie"/>
          <w:rFonts w:ascii="Century Gothic" w:hAnsi="Century Gothic"/>
          <w:i/>
          <w:lang w:val="es-ES"/>
        </w:rPr>
        <w:footnoteReference w:id="12"/>
      </w:r>
    </w:p>
    <w:p w14:paraId="1A6BDFAF" w14:textId="77777777" w:rsidR="00053CBA" w:rsidRPr="00D3390B" w:rsidRDefault="00053CBA" w:rsidP="00C62FCF">
      <w:pPr>
        <w:spacing w:after="0" w:line="240" w:lineRule="auto"/>
        <w:ind w:left="567" w:right="474"/>
        <w:jc w:val="both"/>
        <w:rPr>
          <w:rFonts w:ascii="Century Gothic" w:hAnsi="Century Gothic"/>
          <w:i/>
          <w:lang w:val="es-ES"/>
        </w:rPr>
      </w:pPr>
    </w:p>
    <w:p w14:paraId="620F7BA4" w14:textId="77777777" w:rsidR="00053CBA" w:rsidRPr="00D3390B" w:rsidRDefault="00053CBA"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 xml:space="preserve">Según la historia clínica aportada, las falencias que se </w:t>
      </w:r>
      <w:proofErr w:type="gramStart"/>
      <w:r w:rsidRPr="00D3390B">
        <w:rPr>
          <w:rFonts w:ascii="Century Gothic" w:hAnsi="Century Gothic"/>
          <w:i/>
          <w:lang w:val="es-ES"/>
        </w:rPr>
        <w:t>presentaron,</w:t>
      </w:r>
      <w:proofErr w:type="gramEnd"/>
      <w:r w:rsidRPr="00D3390B">
        <w:rPr>
          <w:rFonts w:ascii="Century Gothic" w:hAnsi="Century Gothic"/>
          <w:i/>
          <w:lang w:val="es-ES"/>
        </w:rPr>
        <w:t xml:space="preserve"> fueron:</w:t>
      </w:r>
    </w:p>
    <w:p w14:paraId="07072377" w14:textId="77777777" w:rsidR="00053CBA" w:rsidRPr="00D3390B" w:rsidRDefault="00053CBA"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 xml:space="preserve">No aproximarse a la severidad de la exacerbación, al riesgo de falla ventilatoria y paro cardiorrespiratorio, para iniciar medidas urgentes tratando de predecir si requería hospitalización o remisión a un servicio </w:t>
      </w:r>
      <w:r w:rsidRPr="00D3390B">
        <w:rPr>
          <w:rFonts w:ascii="Century Gothic" w:hAnsi="Century Gothic"/>
          <w:i/>
          <w:lang w:val="es-ES"/>
        </w:rPr>
        <w:lastRenderedPageBreak/>
        <w:t>que contará con todos los recursos para practicar estudios y manejos complementarios, bien por la severidad de la enfermedad o por el riesgo de complicaciones y muerte.</w:t>
      </w:r>
    </w:p>
    <w:p w14:paraId="37E83A63" w14:textId="77777777" w:rsidR="00053CBA" w:rsidRPr="00D3390B" w:rsidRDefault="00053CBA" w:rsidP="00C62FCF">
      <w:pPr>
        <w:spacing w:after="0" w:line="240" w:lineRule="auto"/>
        <w:ind w:left="567" w:right="474"/>
        <w:jc w:val="both"/>
        <w:rPr>
          <w:rFonts w:ascii="Century Gothic" w:hAnsi="Century Gothic"/>
          <w:i/>
          <w:lang w:val="es-ES"/>
        </w:rPr>
      </w:pPr>
    </w:p>
    <w:p w14:paraId="49E744DF" w14:textId="77777777" w:rsidR="00053CBA" w:rsidRPr="00D3390B" w:rsidRDefault="00053CBA"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En la valoración inicial se presentaron falencias, al no evidenciarse en la enfermedad actual el registro de una anamnesis dirigida a la severidad y causa de la descompensación con énfasis en la clase funcional, actividad física, limitación al ejercicio, disnea, la tos, la expectoración y sus características (purulenta o no), exacerbaciones previas, severidad de la enfermedad previa y tener en cuenta las comorbilidades que pudieran influir en el tratamiento o ser causas de desencadenantes de exacerbación para asimismo evaluar con toda la información necesaria si existía o no el requerimiento de ventilación mecánica, evaluación por especialista, ingreso a unidad de cuidados intensivos o remisión a otra institución.</w:t>
      </w:r>
    </w:p>
    <w:p w14:paraId="4849EBD0" w14:textId="77777777" w:rsidR="00053CBA" w:rsidRPr="00D3390B" w:rsidRDefault="00053CBA" w:rsidP="00C62FCF">
      <w:pPr>
        <w:spacing w:after="0" w:line="240" w:lineRule="auto"/>
        <w:ind w:left="567" w:right="474"/>
        <w:jc w:val="both"/>
        <w:rPr>
          <w:rFonts w:ascii="Century Gothic" w:hAnsi="Century Gothic"/>
          <w:i/>
          <w:lang w:val="es-ES"/>
        </w:rPr>
      </w:pPr>
    </w:p>
    <w:p w14:paraId="56E86B5E" w14:textId="77777777" w:rsidR="00053CBA" w:rsidRPr="00D3390B" w:rsidRDefault="00053CBA"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 xml:space="preserve">La falta de resultados de exámenes paraclínicos: cuadro hemático, glicemia, electrolitos, </w:t>
      </w:r>
      <w:proofErr w:type="spellStart"/>
      <w:r w:rsidRPr="00D3390B">
        <w:rPr>
          <w:rFonts w:ascii="Century Gothic" w:hAnsi="Century Gothic"/>
          <w:i/>
          <w:lang w:val="es-ES"/>
        </w:rPr>
        <w:t>creatinína</w:t>
      </w:r>
      <w:proofErr w:type="spellEnd"/>
      <w:r w:rsidRPr="00D3390B">
        <w:rPr>
          <w:rFonts w:ascii="Century Gothic" w:hAnsi="Century Gothic"/>
          <w:i/>
          <w:lang w:val="es-ES"/>
        </w:rPr>
        <w:t xml:space="preserve">, </w:t>
      </w:r>
      <w:proofErr w:type="spellStart"/>
      <w:r w:rsidRPr="00D3390B">
        <w:rPr>
          <w:rFonts w:ascii="Century Gothic" w:hAnsi="Century Gothic"/>
          <w:i/>
          <w:lang w:val="es-ES"/>
        </w:rPr>
        <w:t>Rx</w:t>
      </w:r>
      <w:proofErr w:type="spellEnd"/>
      <w:r w:rsidRPr="00D3390B">
        <w:rPr>
          <w:rFonts w:ascii="Century Gothic" w:hAnsi="Century Gothic"/>
          <w:i/>
          <w:lang w:val="es-ES"/>
        </w:rPr>
        <w:t xml:space="preserve"> de tórax, gases arteriales, de contar con ellos para toma de conducta.</w:t>
      </w:r>
    </w:p>
    <w:p w14:paraId="2D6BE910" w14:textId="77777777" w:rsidR="00053CBA" w:rsidRPr="00D3390B" w:rsidRDefault="00053CBA" w:rsidP="00C62FCF">
      <w:pPr>
        <w:spacing w:after="0" w:line="240" w:lineRule="auto"/>
        <w:ind w:left="567" w:right="474"/>
        <w:jc w:val="both"/>
        <w:rPr>
          <w:rFonts w:ascii="Century Gothic" w:hAnsi="Century Gothic"/>
          <w:i/>
          <w:lang w:val="es-ES"/>
        </w:rPr>
      </w:pPr>
    </w:p>
    <w:p w14:paraId="1FD8E494" w14:textId="77777777" w:rsidR="00053CBA" w:rsidRPr="00D3390B" w:rsidRDefault="00053CBA"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 xml:space="preserve">En cuanto al tratamiento, falta de adherencia a lo propuesto por las guías existentes, las cuales sugieren manejo con broncodilatadores B2 agonistas inhalados de acción corta, siendo los de elección, si no hay respuesta después de dosis máximas se agrega un segundo (Bromuro de </w:t>
      </w:r>
      <w:proofErr w:type="spellStart"/>
      <w:r w:rsidRPr="00D3390B">
        <w:rPr>
          <w:rFonts w:ascii="Century Gothic" w:hAnsi="Century Gothic"/>
          <w:i/>
          <w:lang w:val="es-ES"/>
        </w:rPr>
        <w:t>Ipatropium</w:t>
      </w:r>
      <w:proofErr w:type="spellEnd"/>
      <w:r w:rsidRPr="00D3390B">
        <w:rPr>
          <w:rFonts w:ascii="Century Gothic" w:hAnsi="Century Gothic"/>
          <w:i/>
          <w:lang w:val="es-ES"/>
        </w:rPr>
        <w:t>). Esferoides (Prednisolona 30 a 40 mg/día por 7-10 días o metilprednisolona 0.5 mg/kg IV cada 8-12 horas por 3 días), antibióticos de estar indicados.</w:t>
      </w:r>
    </w:p>
    <w:p w14:paraId="5EC5CC78" w14:textId="77777777" w:rsidR="00053CBA" w:rsidRPr="00D3390B" w:rsidRDefault="00053CBA" w:rsidP="00C62FCF">
      <w:pPr>
        <w:spacing w:after="0" w:line="240" w:lineRule="auto"/>
        <w:ind w:left="567" w:right="474"/>
        <w:jc w:val="both"/>
        <w:rPr>
          <w:rFonts w:ascii="Century Gothic" w:hAnsi="Century Gothic"/>
          <w:i/>
          <w:lang w:val="es-ES"/>
        </w:rPr>
      </w:pPr>
    </w:p>
    <w:p w14:paraId="6541F51A" w14:textId="77777777" w:rsidR="00053CBA" w:rsidRPr="00D3390B" w:rsidRDefault="00053CBA"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 xml:space="preserve">Falta en el uso o inicio de terapias adjuntas las cuales dependen del estado clínico de la paciente: anticoagulantes como medida </w:t>
      </w:r>
      <w:proofErr w:type="spellStart"/>
      <w:r w:rsidRPr="00D3390B">
        <w:rPr>
          <w:rFonts w:ascii="Century Gothic" w:hAnsi="Century Gothic"/>
          <w:i/>
          <w:lang w:val="es-ES"/>
        </w:rPr>
        <w:t>tromboprofiláctica</w:t>
      </w:r>
      <w:proofErr w:type="spellEnd"/>
      <w:r w:rsidRPr="00D3390B">
        <w:rPr>
          <w:rFonts w:ascii="Century Gothic" w:hAnsi="Century Gothic"/>
          <w:i/>
          <w:lang w:val="es-ES"/>
        </w:rPr>
        <w:t xml:space="preserve"> por riesgo incrementado de trombosis venosa profunda o tromboembolismo pulmonar.</w:t>
      </w:r>
    </w:p>
    <w:p w14:paraId="2E64DAA9" w14:textId="77777777" w:rsidR="00053CBA" w:rsidRPr="00D3390B" w:rsidRDefault="00053CBA" w:rsidP="00C62FCF">
      <w:pPr>
        <w:spacing w:after="0" w:line="240" w:lineRule="auto"/>
        <w:ind w:left="567" w:right="474"/>
        <w:jc w:val="both"/>
        <w:rPr>
          <w:rFonts w:ascii="Century Gothic" w:hAnsi="Century Gothic"/>
          <w:i/>
          <w:lang w:val="es-ES"/>
        </w:rPr>
      </w:pPr>
    </w:p>
    <w:p w14:paraId="3A5844BE" w14:textId="77777777" w:rsidR="00053CBA" w:rsidRPr="00D3390B" w:rsidRDefault="00053CBA" w:rsidP="00C62FCF">
      <w:pPr>
        <w:spacing w:after="0" w:line="240" w:lineRule="auto"/>
        <w:ind w:left="567" w:right="474"/>
        <w:jc w:val="both"/>
        <w:rPr>
          <w:rFonts w:ascii="Century Gothic" w:hAnsi="Century Gothic"/>
          <w:i/>
          <w:lang w:val="es-ES"/>
        </w:rPr>
      </w:pPr>
      <w:r w:rsidRPr="00D3390B">
        <w:rPr>
          <w:rFonts w:ascii="Century Gothic" w:hAnsi="Century Gothic"/>
          <w:i/>
          <w:lang w:val="es-ES"/>
        </w:rPr>
        <w:t>La no evaluación inicial de la necesidad de remisión oportuna y hospitalización por: Incremento e intensidad de los síntomas como la taquipnea persistente. S Falla en la respuesta de la exacerbación al manejo médico inicial. / Presencia de comorbilidades y anticoagulación previa.  Edad avanzada de la paciente, 89 años.</w:t>
      </w:r>
    </w:p>
    <w:p w14:paraId="511D5B1C" w14:textId="77777777" w:rsidR="00053CBA" w:rsidRPr="00D3390B" w:rsidRDefault="00053CBA" w:rsidP="00C62FCF">
      <w:pPr>
        <w:spacing w:after="0" w:line="240" w:lineRule="auto"/>
        <w:ind w:left="567" w:right="474"/>
        <w:jc w:val="both"/>
        <w:rPr>
          <w:rFonts w:ascii="Century Gothic" w:hAnsi="Century Gothic"/>
          <w:i/>
          <w:lang w:val="es-ES"/>
        </w:rPr>
      </w:pPr>
    </w:p>
    <w:p w14:paraId="3CD9EA61" w14:textId="77777777" w:rsidR="00053CBA" w:rsidRPr="00D3390B" w:rsidRDefault="00053CBA" w:rsidP="00C62FCF">
      <w:pPr>
        <w:spacing w:after="0" w:line="240" w:lineRule="auto"/>
        <w:ind w:left="567" w:right="474"/>
        <w:jc w:val="both"/>
        <w:rPr>
          <w:rStyle w:val="FontStyle64"/>
          <w:rFonts w:ascii="Century Gothic" w:hAnsi="Century Gothic"/>
          <w:i/>
          <w:sz w:val="22"/>
          <w:szCs w:val="22"/>
          <w:lang w:val="es-ES" w:eastAsia="es-ES_tradnl"/>
        </w:rPr>
      </w:pPr>
      <w:r w:rsidRPr="00D3390B">
        <w:rPr>
          <w:rFonts w:ascii="Century Gothic" w:hAnsi="Century Gothic"/>
          <w:i/>
          <w:lang w:val="es-ES"/>
        </w:rPr>
        <w:t xml:space="preserve">Como falencia importante, la no evidencia de registro al seguimiento por parte del personal médico, en compañía con el personal asistencial de la respuesta al tratamiento por parte de la paciente, que se manifiesta por mejoría o estabilidad de los síntomas como disminución de la disnea y </w:t>
      </w:r>
      <w:r w:rsidRPr="00D3390B">
        <w:rPr>
          <w:rStyle w:val="FontStyle64"/>
          <w:rFonts w:ascii="Century Gothic" w:hAnsi="Century Gothic"/>
          <w:i/>
          <w:sz w:val="22"/>
          <w:szCs w:val="22"/>
          <w:lang w:val="es-ES" w:eastAsia="es-ES_tradnl"/>
        </w:rPr>
        <w:t>frecuencia respiratoria, mejoría en la movilización del aire y disminución del uso de músculos accesorios, evaluar si existía necesidad de hospitalización, ingreso a UCI, ventilación mecánica o remisión a otro nivel de atención (1)</w:t>
      </w:r>
    </w:p>
    <w:p w14:paraId="415C1B49" w14:textId="77777777" w:rsidR="00053CBA" w:rsidRPr="00D3390B" w:rsidRDefault="00053CBA" w:rsidP="00C62FCF">
      <w:pPr>
        <w:spacing w:after="0" w:line="240" w:lineRule="auto"/>
        <w:ind w:left="567" w:right="474"/>
        <w:jc w:val="both"/>
        <w:rPr>
          <w:rStyle w:val="FontStyle64"/>
          <w:rFonts w:ascii="Century Gothic" w:hAnsi="Century Gothic"/>
          <w:i/>
          <w:sz w:val="22"/>
          <w:szCs w:val="22"/>
          <w:lang w:val="es-ES" w:eastAsia="es-ES_tradnl"/>
        </w:rPr>
      </w:pPr>
    </w:p>
    <w:p w14:paraId="729CF9AD" w14:textId="0F015665" w:rsidR="00053CBA" w:rsidRPr="00D3390B" w:rsidRDefault="00053CBA" w:rsidP="00C62FCF">
      <w:pPr>
        <w:spacing w:after="0" w:line="240" w:lineRule="auto"/>
        <w:ind w:left="567" w:right="474"/>
        <w:jc w:val="both"/>
        <w:rPr>
          <w:rStyle w:val="FontStyle64"/>
          <w:rFonts w:ascii="Century Gothic" w:hAnsi="Century Gothic" w:cs="Times New Roman"/>
          <w:i/>
          <w:spacing w:val="0"/>
          <w:sz w:val="22"/>
          <w:szCs w:val="22"/>
          <w:lang w:val="es-ES"/>
        </w:rPr>
      </w:pPr>
      <w:r w:rsidRPr="00D3390B">
        <w:rPr>
          <w:rStyle w:val="FontStyle64"/>
          <w:rFonts w:ascii="Century Gothic" w:hAnsi="Century Gothic"/>
          <w:i/>
          <w:sz w:val="22"/>
          <w:szCs w:val="22"/>
          <w:lang w:val="es-ES" w:eastAsia="es-ES_tradnl"/>
        </w:rPr>
        <w:t>Un adecuado diligenciamiento de la historia clínica por parte del personal médico acerca de la evolución de la paciente, órdenes, solicitudes, estado y seguimiento a la paciente, en consecuencia como lo indican las características básicas de la historia clínica, como lo son la integralidad, secuencialidad, racionalidad científica, oportunidad, así como la obligatoriedad del registro, expuestos en la resolución 1995 de 1999 por la cual se establecen normas para el manejo de la historia clínica (2).</w:t>
      </w:r>
    </w:p>
    <w:p w14:paraId="3770FB24" w14:textId="2DBAD4C0" w:rsidR="00053CBA" w:rsidRPr="00D3390B" w:rsidRDefault="00053CBA" w:rsidP="00C62FCF">
      <w:pPr>
        <w:spacing w:after="0" w:line="360" w:lineRule="auto"/>
        <w:ind w:left="360"/>
        <w:jc w:val="both"/>
        <w:rPr>
          <w:rFonts w:ascii="Century Gothic" w:hAnsi="Century Gothic"/>
          <w:i/>
          <w:sz w:val="24"/>
          <w:szCs w:val="24"/>
          <w:lang w:val="es-ES"/>
        </w:rPr>
      </w:pPr>
    </w:p>
    <w:p w14:paraId="4E1365B1" w14:textId="77777777" w:rsidR="0066282E" w:rsidRPr="00D3390B" w:rsidRDefault="0066282E" w:rsidP="00C62FCF">
      <w:pPr>
        <w:spacing w:after="0" w:line="360" w:lineRule="auto"/>
        <w:jc w:val="both"/>
        <w:rPr>
          <w:rFonts w:ascii="Century Gothic" w:hAnsi="Century Gothic"/>
          <w:sz w:val="24"/>
          <w:szCs w:val="24"/>
          <w:lang w:val="es-ES"/>
        </w:rPr>
      </w:pPr>
    </w:p>
    <w:p w14:paraId="438A3F32" w14:textId="38822807" w:rsidR="003C2B94" w:rsidRPr="00D3390B" w:rsidRDefault="00D30133" w:rsidP="00C62FCF">
      <w:pPr>
        <w:spacing w:after="0" w:line="360" w:lineRule="auto"/>
        <w:jc w:val="both"/>
        <w:rPr>
          <w:rFonts w:ascii="Century Gothic" w:hAnsi="Century Gothic"/>
          <w:sz w:val="24"/>
          <w:szCs w:val="24"/>
          <w:lang w:val="es-ES"/>
        </w:rPr>
      </w:pPr>
      <w:r w:rsidRPr="00D3390B">
        <w:rPr>
          <w:rFonts w:ascii="Century Gothic" w:hAnsi="Century Gothic"/>
          <w:sz w:val="24"/>
          <w:szCs w:val="24"/>
          <w:lang w:val="es-ES"/>
        </w:rPr>
        <w:t xml:space="preserve">18. </w:t>
      </w:r>
      <w:r w:rsidR="00311EF2" w:rsidRPr="00D3390B">
        <w:rPr>
          <w:rFonts w:ascii="Century Gothic" w:hAnsi="Century Gothic"/>
          <w:sz w:val="24"/>
          <w:szCs w:val="24"/>
          <w:lang w:val="es-ES"/>
        </w:rPr>
        <w:t xml:space="preserve">En </w:t>
      </w:r>
      <w:r w:rsidR="00311EF2" w:rsidRPr="00D3390B">
        <w:rPr>
          <w:rFonts w:ascii="Century Gothic" w:hAnsi="Century Gothic"/>
          <w:b/>
          <w:sz w:val="24"/>
          <w:szCs w:val="24"/>
          <w:lang w:val="es-ES"/>
        </w:rPr>
        <w:t>diligencia de control de dictamen</w:t>
      </w:r>
      <w:r w:rsidR="00311EF2" w:rsidRPr="00D3390B">
        <w:rPr>
          <w:rFonts w:ascii="Century Gothic" w:hAnsi="Century Gothic"/>
          <w:sz w:val="24"/>
          <w:szCs w:val="24"/>
          <w:lang w:val="es-ES"/>
        </w:rPr>
        <w:t xml:space="preserve"> </w:t>
      </w:r>
      <w:r w:rsidR="00C758BF" w:rsidRPr="00D3390B">
        <w:rPr>
          <w:rFonts w:ascii="Century Gothic" w:hAnsi="Century Gothic"/>
          <w:sz w:val="24"/>
          <w:szCs w:val="24"/>
          <w:lang w:val="es-ES"/>
        </w:rPr>
        <w:t>ade</w:t>
      </w:r>
      <w:r w:rsidR="00184DD8" w:rsidRPr="00D3390B">
        <w:rPr>
          <w:rFonts w:ascii="Century Gothic" w:hAnsi="Century Gothic"/>
          <w:sz w:val="24"/>
          <w:szCs w:val="24"/>
          <w:lang w:val="es-ES"/>
        </w:rPr>
        <w:t xml:space="preserve">lantado el 4 de febrero de 2020 </w:t>
      </w:r>
      <w:r w:rsidR="00311EF2" w:rsidRPr="00D3390B">
        <w:rPr>
          <w:rFonts w:ascii="Century Gothic" w:hAnsi="Century Gothic"/>
          <w:sz w:val="24"/>
          <w:szCs w:val="24"/>
          <w:lang w:val="es-ES"/>
        </w:rPr>
        <w:t>l</w:t>
      </w:r>
      <w:r w:rsidR="00C758BF" w:rsidRPr="00D3390B">
        <w:rPr>
          <w:rFonts w:ascii="Century Gothic" w:hAnsi="Century Gothic"/>
          <w:sz w:val="24"/>
          <w:szCs w:val="24"/>
          <w:lang w:val="es-ES"/>
        </w:rPr>
        <w:t>a</w:t>
      </w:r>
      <w:r w:rsidR="00311EF2" w:rsidRPr="00D3390B">
        <w:rPr>
          <w:rFonts w:ascii="Century Gothic" w:hAnsi="Century Gothic"/>
          <w:sz w:val="24"/>
          <w:szCs w:val="24"/>
          <w:lang w:val="es-ES"/>
        </w:rPr>
        <w:t xml:space="preserve"> perito </w:t>
      </w:r>
      <w:r w:rsidR="00184DD8" w:rsidRPr="00D3390B">
        <w:rPr>
          <w:rFonts w:ascii="Century Gothic" w:hAnsi="Century Gothic"/>
          <w:sz w:val="24"/>
          <w:szCs w:val="24"/>
          <w:lang w:val="es-ES"/>
        </w:rPr>
        <w:t>indicó</w:t>
      </w:r>
      <w:r w:rsidR="00C758BF" w:rsidRPr="00D3390B">
        <w:rPr>
          <w:rFonts w:ascii="Century Gothic" w:hAnsi="Century Gothic"/>
          <w:sz w:val="24"/>
          <w:szCs w:val="24"/>
          <w:lang w:val="es-ES"/>
        </w:rPr>
        <w:t xml:space="preserve"> que la paciente tuvo un manejo médico, </w:t>
      </w:r>
      <w:r w:rsidR="00184DD8" w:rsidRPr="00D3390B">
        <w:rPr>
          <w:rFonts w:ascii="Century Gothic" w:hAnsi="Century Gothic"/>
          <w:sz w:val="24"/>
          <w:szCs w:val="24"/>
          <w:lang w:val="es-ES"/>
        </w:rPr>
        <w:t xml:space="preserve">pero no </w:t>
      </w:r>
      <w:proofErr w:type="gramStart"/>
      <w:r w:rsidR="00184DD8" w:rsidRPr="00D3390B">
        <w:rPr>
          <w:rFonts w:ascii="Century Gothic" w:hAnsi="Century Gothic"/>
          <w:sz w:val="24"/>
          <w:szCs w:val="24"/>
          <w:lang w:val="es-ES"/>
        </w:rPr>
        <w:t>se  siguieron</w:t>
      </w:r>
      <w:proofErr w:type="gramEnd"/>
      <w:r w:rsidR="00184DD8" w:rsidRPr="00D3390B">
        <w:rPr>
          <w:rFonts w:ascii="Century Gothic" w:hAnsi="Century Gothic"/>
          <w:sz w:val="24"/>
          <w:szCs w:val="24"/>
          <w:lang w:val="es-ES"/>
        </w:rPr>
        <w:t xml:space="preserve"> los </w:t>
      </w:r>
      <w:r w:rsidR="00C758BF" w:rsidRPr="00D3390B">
        <w:rPr>
          <w:rFonts w:ascii="Century Gothic" w:hAnsi="Century Gothic"/>
          <w:sz w:val="24"/>
          <w:szCs w:val="24"/>
          <w:lang w:val="es-ES"/>
        </w:rPr>
        <w:t xml:space="preserve">protocolos del centro de salud </w:t>
      </w:r>
      <w:r w:rsidR="00184DD8" w:rsidRPr="00D3390B">
        <w:rPr>
          <w:rFonts w:ascii="Century Gothic" w:hAnsi="Century Gothic"/>
          <w:sz w:val="24"/>
          <w:szCs w:val="24"/>
          <w:lang w:val="es-ES"/>
        </w:rPr>
        <w:t xml:space="preserve">que en todo caso son los que </w:t>
      </w:r>
      <w:r w:rsidR="004D278C" w:rsidRPr="00D3390B">
        <w:rPr>
          <w:rFonts w:ascii="Century Gothic" w:hAnsi="Century Gothic"/>
          <w:sz w:val="24"/>
          <w:szCs w:val="24"/>
          <w:lang w:val="es-ES"/>
        </w:rPr>
        <w:t xml:space="preserve"> tiene el Ministerio de S</w:t>
      </w:r>
      <w:r w:rsidR="00C758BF" w:rsidRPr="00D3390B">
        <w:rPr>
          <w:rFonts w:ascii="Century Gothic" w:hAnsi="Century Gothic"/>
          <w:sz w:val="24"/>
          <w:szCs w:val="24"/>
          <w:lang w:val="es-ES"/>
        </w:rPr>
        <w:t>alud.</w:t>
      </w:r>
    </w:p>
    <w:p w14:paraId="73028376" w14:textId="627B6B99" w:rsidR="00184DD8" w:rsidRPr="00D3390B" w:rsidRDefault="00184DD8" w:rsidP="00C62FCF">
      <w:pPr>
        <w:spacing w:after="0" w:line="360" w:lineRule="auto"/>
        <w:jc w:val="both"/>
        <w:rPr>
          <w:rFonts w:ascii="Century Gothic" w:hAnsi="Century Gothic"/>
          <w:sz w:val="24"/>
          <w:szCs w:val="24"/>
          <w:lang w:val="es-ES"/>
        </w:rPr>
      </w:pPr>
    </w:p>
    <w:p w14:paraId="5427B2DC" w14:textId="78C0307D" w:rsidR="00C758BF" w:rsidRPr="00D3390B" w:rsidRDefault="00D30133" w:rsidP="00C62FCF">
      <w:pPr>
        <w:spacing w:after="0" w:line="360" w:lineRule="auto"/>
        <w:jc w:val="both"/>
        <w:rPr>
          <w:rFonts w:ascii="Century Gothic" w:hAnsi="Century Gothic"/>
          <w:sz w:val="24"/>
          <w:szCs w:val="24"/>
          <w:lang w:val="es-ES"/>
        </w:rPr>
      </w:pPr>
      <w:r w:rsidRPr="00D3390B">
        <w:rPr>
          <w:rFonts w:ascii="Century Gothic" w:hAnsi="Century Gothic"/>
          <w:sz w:val="24"/>
          <w:szCs w:val="24"/>
          <w:lang w:val="es-ES"/>
        </w:rPr>
        <w:t xml:space="preserve">19. </w:t>
      </w:r>
      <w:r w:rsidR="004D278C" w:rsidRPr="00D3390B">
        <w:rPr>
          <w:rFonts w:ascii="Century Gothic" w:hAnsi="Century Gothic"/>
          <w:sz w:val="24"/>
          <w:szCs w:val="24"/>
          <w:lang w:val="es-ES"/>
        </w:rPr>
        <w:t>La historia no se realizó</w:t>
      </w:r>
      <w:r w:rsidR="00184DD8" w:rsidRPr="00D3390B">
        <w:rPr>
          <w:rFonts w:ascii="Century Gothic" w:hAnsi="Century Gothic"/>
          <w:sz w:val="24"/>
          <w:szCs w:val="24"/>
          <w:lang w:val="es-ES"/>
        </w:rPr>
        <w:t xml:space="preserve"> de manera completa</w:t>
      </w:r>
      <w:r w:rsidR="004D278C" w:rsidRPr="00D3390B">
        <w:rPr>
          <w:rFonts w:ascii="Century Gothic" w:hAnsi="Century Gothic"/>
          <w:sz w:val="24"/>
          <w:szCs w:val="24"/>
          <w:lang w:val="es-ES"/>
        </w:rPr>
        <w:t>,</w:t>
      </w:r>
      <w:r w:rsidR="00184DD8" w:rsidRPr="00D3390B">
        <w:rPr>
          <w:rFonts w:ascii="Century Gothic" w:hAnsi="Century Gothic"/>
          <w:sz w:val="24"/>
          <w:szCs w:val="24"/>
          <w:lang w:val="es-ES"/>
        </w:rPr>
        <w:t xml:space="preserve"> pues las notas de enfermería señalan el cumplimento de ordenes médicas que no tiene una nota del </w:t>
      </w:r>
      <w:r w:rsidR="00A5714D" w:rsidRPr="00D3390B">
        <w:rPr>
          <w:rFonts w:ascii="Century Gothic" w:hAnsi="Century Gothic"/>
          <w:sz w:val="24"/>
          <w:szCs w:val="24"/>
          <w:lang w:val="es-ES"/>
        </w:rPr>
        <w:t>médico</w:t>
      </w:r>
      <w:r w:rsidR="00184DD8" w:rsidRPr="00D3390B">
        <w:rPr>
          <w:rFonts w:ascii="Century Gothic" w:hAnsi="Century Gothic"/>
          <w:sz w:val="24"/>
          <w:szCs w:val="24"/>
          <w:lang w:val="es-ES"/>
        </w:rPr>
        <w:t xml:space="preserve"> tratante</w:t>
      </w:r>
      <w:r w:rsidR="001F71AB" w:rsidRPr="00D3390B">
        <w:rPr>
          <w:rFonts w:ascii="Century Gothic" w:hAnsi="Century Gothic"/>
          <w:sz w:val="24"/>
          <w:szCs w:val="24"/>
          <w:lang w:val="es-ES"/>
        </w:rPr>
        <w:t xml:space="preserve">. </w:t>
      </w:r>
      <w:r w:rsidR="00C758BF" w:rsidRPr="00D3390B">
        <w:rPr>
          <w:rFonts w:ascii="Century Gothic" w:hAnsi="Century Gothic"/>
          <w:sz w:val="24"/>
          <w:szCs w:val="24"/>
          <w:lang w:val="es-ES"/>
        </w:rPr>
        <w:t xml:space="preserve">Si no </w:t>
      </w:r>
      <w:r w:rsidR="00184DD8" w:rsidRPr="00D3390B">
        <w:rPr>
          <w:rFonts w:ascii="Century Gothic" w:hAnsi="Century Gothic"/>
          <w:sz w:val="24"/>
          <w:szCs w:val="24"/>
          <w:lang w:val="es-ES"/>
        </w:rPr>
        <w:t xml:space="preserve">se contaba </w:t>
      </w:r>
      <w:r w:rsidR="00C758BF" w:rsidRPr="00D3390B">
        <w:rPr>
          <w:rFonts w:ascii="Century Gothic" w:hAnsi="Century Gothic"/>
          <w:sz w:val="24"/>
          <w:szCs w:val="24"/>
          <w:lang w:val="es-ES"/>
        </w:rPr>
        <w:t xml:space="preserve">con laboratorio en el centro de salud, se debe acudir a la red de apoyo que pueda procesar las muestras </w:t>
      </w:r>
    </w:p>
    <w:p w14:paraId="5D997AE6" w14:textId="77777777" w:rsidR="00311EF2" w:rsidRPr="00D3390B" w:rsidRDefault="00311EF2" w:rsidP="00C62FCF">
      <w:pPr>
        <w:spacing w:after="0" w:line="360" w:lineRule="auto"/>
        <w:jc w:val="both"/>
        <w:rPr>
          <w:rFonts w:ascii="Century Gothic" w:hAnsi="Century Gothic"/>
          <w:sz w:val="24"/>
          <w:szCs w:val="24"/>
          <w:lang w:val="es-ES"/>
        </w:rPr>
      </w:pPr>
    </w:p>
    <w:p w14:paraId="540DF437" w14:textId="6E0FA9E8" w:rsidR="00184DD8" w:rsidRPr="00D3390B" w:rsidRDefault="001F71AB" w:rsidP="00C62FCF">
      <w:pPr>
        <w:spacing w:line="360" w:lineRule="auto"/>
        <w:jc w:val="both"/>
        <w:rPr>
          <w:rFonts w:ascii="Century Gothic" w:hAnsi="Century Gothic"/>
          <w:bCs/>
          <w:sz w:val="24"/>
        </w:rPr>
      </w:pPr>
      <w:r w:rsidRPr="00D3390B">
        <w:rPr>
          <w:rFonts w:ascii="Century Gothic" w:hAnsi="Century Gothic"/>
          <w:sz w:val="24"/>
        </w:rPr>
        <w:t xml:space="preserve">20. </w:t>
      </w:r>
      <w:r w:rsidR="003F32B4" w:rsidRPr="00D3390B">
        <w:rPr>
          <w:rFonts w:ascii="Century Gothic" w:hAnsi="Century Gothic"/>
          <w:sz w:val="24"/>
        </w:rPr>
        <w:t xml:space="preserve">En diligencia de testimonios la señora </w:t>
      </w:r>
      <w:r w:rsidR="003F32B4" w:rsidRPr="00D3390B">
        <w:rPr>
          <w:rFonts w:ascii="Century Gothic" w:hAnsi="Century Gothic"/>
          <w:b/>
          <w:bCs/>
          <w:sz w:val="24"/>
        </w:rPr>
        <w:t>HE</w:t>
      </w:r>
      <w:r w:rsidR="00195B64" w:rsidRPr="00D3390B">
        <w:rPr>
          <w:rFonts w:ascii="Century Gothic" w:hAnsi="Century Gothic"/>
          <w:b/>
          <w:bCs/>
          <w:sz w:val="24"/>
        </w:rPr>
        <w:t>R</w:t>
      </w:r>
      <w:r w:rsidR="003F32B4" w:rsidRPr="00D3390B">
        <w:rPr>
          <w:rFonts w:ascii="Century Gothic" w:hAnsi="Century Gothic"/>
          <w:b/>
          <w:bCs/>
          <w:sz w:val="24"/>
        </w:rPr>
        <w:t>MELINDA QUIÑONES CÁRDENAS</w:t>
      </w:r>
      <w:r w:rsidR="003F32B4" w:rsidRPr="00D3390B">
        <w:rPr>
          <w:rFonts w:ascii="Century Gothic" w:hAnsi="Century Gothic"/>
          <w:bCs/>
          <w:sz w:val="24"/>
        </w:rPr>
        <w:t xml:space="preserve"> manifestó que trabajo en dispensario de salud en donde falleció la señora </w:t>
      </w:r>
      <w:r w:rsidR="00195B64" w:rsidRPr="00D3390B">
        <w:rPr>
          <w:rFonts w:ascii="Century Gothic" w:hAnsi="Century Gothic"/>
          <w:bCs/>
          <w:sz w:val="24"/>
        </w:rPr>
        <w:t>MARÍA</w:t>
      </w:r>
      <w:r w:rsidR="003F32B4" w:rsidRPr="00D3390B">
        <w:rPr>
          <w:rFonts w:ascii="Century Gothic" w:hAnsi="Century Gothic"/>
          <w:bCs/>
          <w:sz w:val="24"/>
        </w:rPr>
        <w:t xml:space="preserve"> LEONILDE </w:t>
      </w:r>
      <w:r w:rsidR="00195B64" w:rsidRPr="00D3390B">
        <w:rPr>
          <w:rFonts w:ascii="Century Gothic" w:hAnsi="Century Gothic"/>
          <w:bCs/>
          <w:sz w:val="24"/>
        </w:rPr>
        <w:t xml:space="preserve">GARCÍA, el dispensario se encuentra en el casco urbano de IBAGUÉ, el dispensario cuenta </w:t>
      </w:r>
      <w:proofErr w:type="gramStart"/>
      <w:r w:rsidR="00195B64" w:rsidRPr="00D3390B">
        <w:rPr>
          <w:rFonts w:ascii="Century Gothic" w:hAnsi="Century Gothic"/>
          <w:bCs/>
          <w:sz w:val="24"/>
        </w:rPr>
        <w:t xml:space="preserve">con </w:t>
      </w:r>
      <w:r w:rsidR="003F32B4" w:rsidRPr="00D3390B">
        <w:rPr>
          <w:rFonts w:ascii="Century Gothic" w:hAnsi="Century Gothic"/>
          <w:bCs/>
          <w:sz w:val="24"/>
        </w:rPr>
        <w:t xml:space="preserve"> un</w:t>
      </w:r>
      <w:proofErr w:type="gramEnd"/>
      <w:r w:rsidR="003F32B4" w:rsidRPr="00D3390B">
        <w:rPr>
          <w:rFonts w:ascii="Century Gothic" w:hAnsi="Century Gothic"/>
          <w:bCs/>
          <w:sz w:val="24"/>
        </w:rPr>
        <w:t xml:space="preserve"> servicio de consulta externa y consulta prioritaria</w:t>
      </w:r>
      <w:r w:rsidR="00F15241" w:rsidRPr="00D3390B">
        <w:rPr>
          <w:rFonts w:ascii="Century Gothic" w:hAnsi="Century Gothic"/>
          <w:bCs/>
          <w:sz w:val="24"/>
        </w:rPr>
        <w:t xml:space="preserve"> (la gente lo llama urgencias, pero el dispensario </w:t>
      </w:r>
      <w:r w:rsidR="00184DD8" w:rsidRPr="00D3390B">
        <w:rPr>
          <w:rFonts w:ascii="Century Gothic" w:hAnsi="Century Gothic"/>
          <w:bCs/>
          <w:sz w:val="24"/>
        </w:rPr>
        <w:t xml:space="preserve">no </w:t>
      </w:r>
      <w:r w:rsidR="00F15241" w:rsidRPr="00D3390B">
        <w:rPr>
          <w:rFonts w:ascii="Century Gothic" w:hAnsi="Century Gothic"/>
          <w:bCs/>
          <w:sz w:val="24"/>
        </w:rPr>
        <w:t>reúne características de urgencias)</w:t>
      </w:r>
      <w:r w:rsidR="004411E9" w:rsidRPr="00D3390B">
        <w:rPr>
          <w:rFonts w:ascii="Century Gothic" w:hAnsi="Century Gothic"/>
          <w:bCs/>
          <w:sz w:val="24"/>
        </w:rPr>
        <w:t>.</w:t>
      </w:r>
      <w:r w:rsidR="00184DD8" w:rsidRPr="00D3390B">
        <w:rPr>
          <w:rFonts w:ascii="Century Gothic" w:hAnsi="Century Gothic"/>
          <w:bCs/>
          <w:sz w:val="24"/>
        </w:rPr>
        <w:t xml:space="preserve"> </w:t>
      </w:r>
      <w:r w:rsidR="00F15241" w:rsidRPr="00D3390B">
        <w:rPr>
          <w:rFonts w:ascii="Century Gothic" w:hAnsi="Century Gothic"/>
          <w:bCs/>
          <w:sz w:val="24"/>
        </w:rPr>
        <w:t>El dispensario</w:t>
      </w:r>
      <w:r w:rsidR="001C222E" w:rsidRPr="00D3390B">
        <w:rPr>
          <w:rFonts w:ascii="Century Gothic" w:hAnsi="Century Gothic"/>
          <w:bCs/>
          <w:sz w:val="24"/>
        </w:rPr>
        <w:t xml:space="preserve"> se encuentra dentro del batallón,</w:t>
      </w:r>
      <w:r w:rsidR="00F15241" w:rsidRPr="00D3390B">
        <w:rPr>
          <w:rFonts w:ascii="Century Gothic" w:hAnsi="Century Gothic"/>
          <w:bCs/>
          <w:sz w:val="24"/>
        </w:rPr>
        <w:t xml:space="preserve"> contaba con p</w:t>
      </w:r>
      <w:r w:rsidR="004411E9" w:rsidRPr="00D3390B">
        <w:rPr>
          <w:rFonts w:ascii="Century Gothic" w:hAnsi="Century Gothic"/>
          <w:bCs/>
          <w:sz w:val="24"/>
        </w:rPr>
        <w:t>ersonal de enfermería auxiliares</w:t>
      </w:r>
      <w:r w:rsidR="00F15241" w:rsidRPr="00D3390B">
        <w:rPr>
          <w:rFonts w:ascii="Century Gothic" w:hAnsi="Century Gothic"/>
          <w:bCs/>
          <w:sz w:val="24"/>
        </w:rPr>
        <w:t xml:space="preserve"> 2 en la noche</w:t>
      </w:r>
      <w:r w:rsidR="004411E9" w:rsidRPr="00D3390B">
        <w:rPr>
          <w:rFonts w:ascii="Century Gothic" w:hAnsi="Century Gothic"/>
          <w:bCs/>
          <w:sz w:val="24"/>
        </w:rPr>
        <w:t xml:space="preserve"> </w:t>
      </w:r>
      <w:r w:rsidR="00F15241" w:rsidRPr="00D3390B">
        <w:rPr>
          <w:rFonts w:ascii="Century Gothic" w:hAnsi="Century Gothic"/>
          <w:bCs/>
          <w:sz w:val="24"/>
        </w:rPr>
        <w:t>y dos enfermeras jefes para el día, médico uno.</w:t>
      </w:r>
      <w:r w:rsidR="00184DD8" w:rsidRPr="00D3390B">
        <w:rPr>
          <w:rFonts w:ascii="Century Gothic" w:hAnsi="Century Gothic"/>
          <w:bCs/>
          <w:sz w:val="24"/>
        </w:rPr>
        <w:t xml:space="preserve"> </w:t>
      </w:r>
      <w:r w:rsidR="00F15241" w:rsidRPr="00D3390B">
        <w:rPr>
          <w:rFonts w:ascii="Century Gothic" w:hAnsi="Century Gothic"/>
          <w:bCs/>
          <w:sz w:val="24"/>
        </w:rPr>
        <w:t>Más o menos llegan 5 pacientes por noche.</w:t>
      </w:r>
    </w:p>
    <w:p w14:paraId="797208D7" w14:textId="77777777" w:rsidR="001F71AB" w:rsidRPr="00D3390B" w:rsidRDefault="001F71AB" w:rsidP="00C62FCF">
      <w:pPr>
        <w:spacing w:line="360" w:lineRule="auto"/>
        <w:jc w:val="both"/>
        <w:rPr>
          <w:rFonts w:ascii="Century Gothic" w:hAnsi="Century Gothic"/>
          <w:bCs/>
          <w:sz w:val="24"/>
        </w:rPr>
      </w:pPr>
    </w:p>
    <w:p w14:paraId="5E66C575" w14:textId="26CA1DC3" w:rsidR="001F436D" w:rsidRPr="00D3390B" w:rsidRDefault="001F71AB" w:rsidP="00C62FCF">
      <w:pPr>
        <w:spacing w:line="360" w:lineRule="auto"/>
        <w:jc w:val="both"/>
        <w:rPr>
          <w:rFonts w:ascii="Century Gothic" w:hAnsi="Century Gothic"/>
          <w:bCs/>
          <w:sz w:val="24"/>
          <w:szCs w:val="24"/>
        </w:rPr>
      </w:pPr>
      <w:r w:rsidRPr="00D3390B">
        <w:rPr>
          <w:rFonts w:ascii="Century Gothic" w:hAnsi="Century Gothic"/>
          <w:bCs/>
          <w:sz w:val="24"/>
          <w:szCs w:val="24"/>
        </w:rPr>
        <w:t xml:space="preserve">21. </w:t>
      </w:r>
      <w:r w:rsidR="004B25CD" w:rsidRPr="00D3390B">
        <w:rPr>
          <w:rFonts w:ascii="Century Gothic" w:hAnsi="Century Gothic"/>
          <w:bCs/>
          <w:sz w:val="24"/>
          <w:szCs w:val="24"/>
        </w:rPr>
        <w:t>Los</w:t>
      </w:r>
      <w:r w:rsidR="00F15241" w:rsidRPr="00D3390B">
        <w:rPr>
          <w:rFonts w:ascii="Century Gothic" w:hAnsi="Century Gothic"/>
          <w:bCs/>
          <w:sz w:val="24"/>
          <w:szCs w:val="24"/>
        </w:rPr>
        <w:t xml:space="preserve"> hospitales </w:t>
      </w:r>
      <w:r w:rsidR="004B25CD" w:rsidRPr="00D3390B">
        <w:rPr>
          <w:rFonts w:ascii="Century Gothic" w:hAnsi="Century Gothic"/>
          <w:bCs/>
          <w:sz w:val="24"/>
          <w:szCs w:val="24"/>
        </w:rPr>
        <w:t xml:space="preserve">aledaños </w:t>
      </w:r>
      <w:r w:rsidR="00F15241" w:rsidRPr="00D3390B">
        <w:rPr>
          <w:rFonts w:ascii="Century Gothic" w:hAnsi="Century Gothic"/>
          <w:bCs/>
          <w:sz w:val="24"/>
          <w:szCs w:val="24"/>
        </w:rPr>
        <w:t>deben contar con autorización del dispensario para atender usuarios del sistema.</w:t>
      </w:r>
      <w:r w:rsidRPr="00D3390B">
        <w:rPr>
          <w:rFonts w:ascii="Century Gothic" w:hAnsi="Century Gothic"/>
          <w:bCs/>
          <w:sz w:val="24"/>
          <w:szCs w:val="24"/>
        </w:rPr>
        <w:t xml:space="preserve"> </w:t>
      </w:r>
      <w:r w:rsidR="004411E9" w:rsidRPr="00D3390B">
        <w:rPr>
          <w:rFonts w:ascii="Century Gothic" w:hAnsi="Century Gothic"/>
          <w:bCs/>
          <w:sz w:val="24"/>
          <w:szCs w:val="24"/>
        </w:rPr>
        <w:t>Se enteró de la muerte de la señora</w:t>
      </w:r>
      <w:r w:rsidR="00184DD8" w:rsidRPr="00D3390B">
        <w:rPr>
          <w:rFonts w:ascii="Century Gothic" w:hAnsi="Century Gothic"/>
          <w:bCs/>
          <w:sz w:val="24"/>
          <w:szCs w:val="24"/>
        </w:rPr>
        <w:t xml:space="preserve"> supo que</w:t>
      </w:r>
      <w:r w:rsidR="004411E9" w:rsidRPr="00D3390B">
        <w:rPr>
          <w:rFonts w:ascii="Century Gothic" w:hAnsi="Century Gothic"/>
          <w:bCs/>
          <w:sz w:val="24"/>
          <w:szCs w:val="24"/>
        </w:rPr>
        <w:t xml:space="preserve"> ingreso</w:t>
      </w:r>
      <w:r w:rsidR="00184DD8" w:rsidRPr="00D3390B">
        <w:rPr>
          <w:rFonts w:ascii="Century Gothic" w:hAnsi="Century Gothic"/>
          <w:bCs/>
          <w:sz w:val="24"/>
          <w:szCs w:val="24"/>
        </w:rPr>
        <w:t xml:space="preserve"> a las 2 am y murió a las 10 am. </w:t>
      </w:r>
      <w:r w:rsidR="001F436D" w:rsidRPr="00D3390B">
        <w:rPr>
          <w:rFonts w:ascii="Century Gothic" w:hAnsi="Century Gothic"/>
          <w:bCs/>
          <w:sz w:val="24"/>
          <w:szCs w:val="24"/>
        </w:rPr>
        <w:t xml:space="preserve">El sargento hijo de la señora, le mando un oficio y ella </w:t>
      </w:r>
      <w:r w:rsidR="00184DD8" w:rsidRPr="00D3390B">
        <w:rPr>
          <w:rFonts w:ascii="Century Gothic" w:hAnsi="Century Gothic"/>
          <w:bCs/>
          <w:sz w:val="24"/>
          <w:szCs w:val="24"/>
        </w:rPr>
        <w:t xml:space="preserve">veedora </w:t>
      </w:r>
      <w:r w:rsidR="001F436D" w:rsidRPr="00D3390B">
        <w:rPr>
          <w:rFonts w:ascii="Century Gothic" w:hAnsi="Century Gothic"/>
          <w:bCs/>
          <w:sz w:val="24"/>
          <w:szCs w:val="24"/>
        </w:rPr>
        <w:t>lo paso a la secretaria de salud.</w:t>
      </w:r>
    </w:p>
    <w:p w14:paraId="59311FC0" w14:textId="77777777" w:rsidR="0066282E" w:rsidRPr="00D3390B" w:rsidRDefault="0066282E" w:rsidP="00C62FCF">
      <w:pPr>
        <w:spacing w:after="0" w:line="360" w:lineRule="auto"/>
        <w:jc w:val="both"/>
        <w:rPr>
          <w:rFonts w:ascii="Century Gothic" w:hAnsi="Century Gothic" w:cs="Arial"/>
          <w:sz w:val="24"/>
          <w:szCs w:val="24"/>
          <w:lang w:val="es-ES"/>
        </w:rPr>
      </w:pPr>
    </w:p>
    <w:p w14:paraId="2F02DF77" w14:textId="639234BD" w:rsidR="00184DD8" w:rsidRPr="00D3390B" w:rsidRDefault="001F71AB" w:rsidP="00C62FCF">
      <w:pPr>
        <w:spacing w:line="360" w:lineRule="auto"/>
        <w:jc w:val="both"/>
        <w:rPr>
          <w:rFonts w:ascii="Century Gothic" w:hAnsi="Century Gothic"/>
          <w:sz w:val="24"/>
          <w:szCs w:val="24"/>
        </w:rPr>
      </w:pPr>
      <w:r w:rsidRPr="00D3390B">
        <w:rPr>
          <w:rFonts w:ascii="Century Gothic" w:hAnsi="Century Gothic"/>
          <w:sz w:val="24"/>
          <w:szCs w:val="24"/>
        </w:rPr>
        <w:t xml:space="preserve">22. </w:t>
      </w:r>
      <w:r w:rsidR="00B15672" w:rsidRPr="00D3390B">
        <w:rPr>
          <w:rFonts w:ascii="Century Gothic" w:hAnsi="Century Gothic"/>
          <w:sz w:val="24"/>
          <w:szCs w:val="24"/>
        </w:rPr>
        <w:t>E</w:t>
      </w:r>
      <w:r w:rsidR="00A5714D" w:rsidRPr="00D3390B">
        <w:rPr>
          <w:rFonts w:ascii="Century Gothic" w:hAnsi="Century Gothic"/>
          <w:sz w:val="24"/>
          <w:szCs w:val="24"/>
        </w:rPr>
        <w:t>n diligencia de testimonios e</w:t>
      </w:r>
      <w:r w:rsidR="00B15672" w:rsidRPr="00D3390B">
        <w:rPr>
          <w:rFonts w:ascii="Century Gothic" w:hAnsi="Century Gothic"/>
          <w:sz w:val="24"/>
          <w:szCs w:val="24"/>
        </w:rPr>
        <w:t xml:space="preserve">l señor </w:t>
      </w:r>
      <w:r w:rsidR="00B15672" w:rsidRPr="00D3390B">
        <w:rPr>
          <w:rFonts w:ascii="Century Gothic" w:hAnsi="Century Gothic"/>
          <w:b/>
          <w:sz w:val="24"/>
          <w:szCs w:val="24"/>
        </w:rPr>
        <w:t>JORGE OBED ARENAS OSPINA</w:t>
      </w:r>
      <w:r w:rsidR="00B15672" w:rsidRPr="00D3390B">
        <w:rPr>
          <w:rFonts w:ascii="Century Gothic" w:hAnsi="Century Gothic"/>
          <w:sz w:val="24"/>
          <w:szCs w:val="24"/>
        </w:rPr>
        <w:t xml:space="preserve"> manifestó q</w:t>
      </w:r>
      <w:r w:rsidR="003E5C37" w:rsidRPr="00D3390B">
        <w:rPr>
          <w:rFonts w:ascii="Century Gothic" w:hAnsi="Century Gothic"/>
          <w:sz w:val="24"/>
          <w:szCs w:val="24"/>
        </w:rPr>
        <w:t>ue después de lo sucedido</w:t>
      </w:r>
      <w:r w:rsidR="00867EDA" w:rsidRPr="00D3390B">
        <w:rPr>
          <w:rFonts w:ascii="Century Gothic" w:hAnsi="Century Gothic"/>
          <w:sz w:val="24"/>
          <w:szCs w:val="24"/>
        </w:rPr>
        <w:t xml:space="preserve"> con la </w:t>
      </w:r>
      <w:proofErr w:type="gramStart"/>
      <w:r w:rsidR="00867EDA" w:rsidRPr="00D3390B">
        <w:rPr>
          <w:rFonts w:ascii="Century Gothic" w:hAnsi="Century Gothic"/>
          <w:sz w:val="24"/>
          <w:szCs w:val="24"/>
        </w:rPr>
        <w:t xml:space="preserve">señora </w:t>
      </w:r>
      <w:r w:rsidR="003E5C37" w:rsidRPr="00D3390B">
        <w:rPr>
          <w:rFonts w:ascii="Century Gothic" w:hAnsi="Century Gothic"/>
          <w:sz w:val="24"/>
          <w:szCs w:val="24"/>
        </w:rPr>
        <w:t xml:space="preserve"> mandó</w:t>
      </w:r>
      <w:proofErr w:type="gramEnd"/>
      <w:r w:rsidR="003E5C37" w:rsidRPr="00D3390B">
        <w:rPr>
          <w:rFonts w:ascii="Century Gothic" w:hAnsi="Century Gothic"/>
          <w:sz w:val="24"/>
          <w:szCs w:val="24"/>
        </w:rPr>
        <w:t xml:space="preserve"> un oficio a la Secretaria Departamental de Salud del D</w:t>
      </w:r>
      <w:r w:rsidR="00B15672" w:rsidRPr="00D3390B">
        <w:rPr>
          <w:rFonts w:ascii="Century Gothic" w:hAnsi="Century Gothic"/>
          <w:sz w:val="24"/>
          <w:szCs w:val="24"/>
        </w:rPr>
        <w:t>epartamento del</w:t>
      </w:r>
      <w:r w:rsidR="003E5C37" w:rsidRPr="00D3390B">
        <w:rPr>
          <w:rFonts w:ascii="Century Gothic" w:hAnsi="Century Gothic"/>
          <w:sz w:val="24"/>
          <w:szCs w:val="24"/>
        </w:rPr>
        <w:t xml:space="preserve"> Tolima pidiendo información</w:t>
      </w:r>
      <w:r w:rsidR="00B15672" w:rsidRPr="00D3390B">
        <w:rPr>
          <w:rFonts w:ascii="Century Gothic" w:hAnsi="Century Gothic"/>
          <w:sz w:val="24"/>
          <w:szCs w:val="24"/>
        </w:rPr>
        <w:t xml:space="preserve"> </w:t>
      </w:r>
      <w:r w:rsidR="003E5C37" w:rsidRPr="00D3390B">
        <w:rPr>
          <w:rFonts w:ascii="Century Gothic" w:hAnsi="Century Gothic"/>
          <w:sz w:val="24"/>
          <w:szCs w:val="24"/>
        </w:rPr>
        <w:t>d</w:t>
      </w:r>
      <w:r w:rsidR="00B15672" w:rsidRPr="00D3390B">
        <w:rPr>
          <w:rFonts w:ascii="Century Gothic" w:hAnsi="Century Gothic"/>
          <w:sz w:val="24"/>
          <w:szCs w:val="24"/>
        </w:rPr>
        <w:t>el personal que atendió</w:t>
      </w:r>
      <w:r w:rsidR="00E04967" w:rsidRPr="00D3390B">
        <w:rPr>
          <w:rFonts w:ascii="Century Gothic" w:hAnsi="Century Gothic"/>
          <w:sz w:val="24"/>
          <w:szCs w:val="24"/>
        </w:rPr>
        <w:t xml:space="preserve"> a la </w:t>
      </w:r>
      <w:r w:rsidR="00867EDA" w:rsidRPr="00D3390B">
        <w:rPr>
          <w:rFonts w:ascii="Century Gothic" w:hAnsi="Century Gothic"/>
          <w:sz w:val="24"/>
          <w:szCs w:val="24"/>
        </w:rPr>
        <w:t>atendió y le respondieron</w:t>
      </w:r>
      <w:r w:rsidR="00E04967" w:rsidRPr="00D3390B">
        <w:rPr>
          <w:rFonts w:ascii="Century Gothic" w:hAnsi="Century Gothic"/>
          <w:sz w:val="24"/>
          <w:szCs w:val="24"/>
        </w:rPr>
        <w:t xml:space="preserve"> que </w:t>
      </w:r>
      <w:r w:rsidR="00867EDA" w:rsidRPr="00D3390B">
        <w:rPr>
          <w:rFonts w:ascii="Century Gothic" w:hAnsi="Century Gothic"/>
          <w:sz w:val="24"/>
          <w:szCs w:val="24"/>
        </w:rPr>
        <w:t>uno de los</w:t>
      </w:r>
      <w:r w:rsidR="00E04967" w:rsidRPr="00D3390B">
        <w:rPr>
          <w:rFonts w:ascii="Century Gothic" w:hAnsi="Century Gothic"/>
          <w:sz w:val="24"/>
          <w:szCs w:val="24"/>
        </w:rPr>
        <w:t xml:space="preserve"> médico</w:t>
      </w:r>
      <w:r w:rsidR="00867EDA" w:rsidRPr="00D3390B">
        <w:rPr>
          <w:rFonts w:ascii="Century Gothic" w:hAnsi="Century Gothic"/>
          <w:sz w:val="24"/>
          <w:szCs w:val="24"/>
        </w:rPr>
        <w:t>s</w:t>
      </w:r>
      <w:r w:rsidR="00E04967" w:rsidRPr="00D3390B">
        <w:rPr>
          <w:rFonts w:ascii="Century Gothic" w:hAnsi="Century Gothic"/>
          <w:sz w:val="24"/>
          <w:szCs w:val="24"/>
        </w:rPr>
        <w:t xml:space="preserve"> no estaba registrado en el departamento. Desde el año 2016 </w:t>
      </w:r>
      <w:r w:rsidR="00867EDA" w:rsidRPr="00D3390B">
        <w:rPr>
          <w:rFonts w:ascii="Century Gothic" w:hAnsi="Century Gothic"/>
          <w:sz w:val="24"/>
          <w:szCs w:val="24"/>
        </w:rPr>
        <w:t xml:space="preserve">esa exigencia </w:t>
      </w:r>
      <w:r w:rsidR="00E04967" w:rsidRPr="00D3390B">
        <w:rPr>
          <w:rFonts w:ascii="Century Gothic" w:hAnsi="Century Gothic"/>
          <w:sz w:val="24"/>
          <w:szCs w:val="24"/>
        </w:rPr>
        <w:t>cambio.</w:t>
      </w:r>
    </w:p>
    <w:p w14:paraId="67F9FD6A" w14:textId="77777777" w:rsidR="00184DD8" w:rsidRPr="00D3390B" w:rsidRDefault="00184DD8" w:rsidP="00C62FCF">
      <w:pPr>
        <w:pStyle w:val="Prrafodelista"/>
        <w:spacing w:line="360" w:lineRule="auto"/>
        <w:ind w:left="360"/>
        <w:contextualSpacing w:val="0"/>
        <w:jc w:val="both"/>
        <w:rPr>
          <w:rFonts w:ascii="Century Gothic" w:hAnsi="Century Gothic"/>
        </w:rPr>
      </w:pPr>
    </w:p>
    <w:p w14:paraId="1F3E82B1" w14:textId="68D2E1AD" w:rsidR="00184DD8" w:rsidRPr="00D3390B" w:rsidRDefault="001F71AB" w:rsidP="00C62FCF">
      <w:pPr>
        <w:spacing w:line="360" w:lineRule="auto"/>
        <w:jc w:val="both"/>
        <w:rPr>
          <w:rFonts w:ascii="Century Gothic" w:hAnsi="Century Gothic"/>
          <w:sz w:val="24"/>
          <w:szCs w:val="24"/>
        </w:rPr>
      </w:pPr>
      <w:r w:rsidRPr="00D3390B">
        <w:rPr>
          <w:rFonts w:ascii="Century Gothic" w:hAnsi="Century Gothic"/>
          <w:sz w:val="24"/>
          <w:szCs w:val="24"/>
        </w:rPr>
        <w:lastRenderedPageBreak/>
        <w:t xml:space="preserve">23. </w:t>
      </w:r>
      <w:r w:rsidR="00E04967" w:rsidRPr="00D3390B">
        <w:rPr>
          <w:rFonts w:ascii="Century Gothic" w:hAnsi="Century Gothic"/>
          <w:sz w:val="24"/>
          <w:szCs w:val="24"/>
        </w:rPr>
        <w:t xml:space="preserve">El dispensario de salud atendía consulta externa y una consulta prioritaria una mal llamada </w:t>
      </w:r>
      <w:r w:rsidR="00B15672" w:rsidRPr="00D3390B">
        <w:rPr>
          <w:rFonts w:ascii="Century Gothic" w:hAnsi="Century Gothic"/>
          <w:sz w:val="24"/>
          <w:szCs w:val="24"/>
        </w:rPr>
        <w:t>urgencias</w:t>
      </w:r>
      <w:r w:rsidR="006B27D2" w:rsidRPr="00D3390B">
        <w:rPr>
          <w:rFonts w:ascii="Century Gothic" w:hAnsi="Century Gothic"/>
          <w:sz w:val="24"/>
          <w:szCs w:val="24"/>
        </w:rPr>
        <w:t>,</w:t>
      </w:r>
      <w:r w:rsidR="00B15672" w:rsidRPr="00D3390B">
        <w:rPr>
          <w:rFonts w:ascii="Century Gothic" w:hAnsi="Century Gothic"/>
          <w:sz w:val="24"/>
          <w:szCs w:val="24"/>
        </w:rPr>
        <w:t xml:space="preserve"> pero no contaba con los equipos </w:t>
      </w:r>
      <w:r w:rsidR="00E04967" w:rsidRPr="00D3390B">
        <w:rPr>
          <w:rFonts w:ascii="Century Gothic" w:hAnsi="Century Gothic"/>
          <w:sz w:val="24"/>
          <w:szCs w:val="24"/>
        </w:rPr>
        <w:t xml:space="preserve">como bombas de infusión, equipo de resucitación, carro de paro cardiorrespiratorio, ambulancia medicalizada </w:t>
      </w:r>
      <w:r w:rsidR="00B15672" w:rsidRPr="00D3390B">
        <w:rPr>
          <w:rFonts w:ascii="Century Gothic" w:hAnsi="Century Gothic"/>
          <w:sz w:val="24"/>
          <w:szCs w:val="24"/>
        </w:rPr>
        <w:t xml:space="preserve">o el personal idóneo </w:t>
      </w:r>
      <w:r w:rsidR="00E04967" w:rsidRPr="00D3390B">
        <w:rPr>
          <w:rFonts w:ascii="Century Gothic" w:hAnsi="Century Gothic"/>
          <w:sz w:val="24"/>
          <w:szCs w:val="24"/>
        </w:rPr>
        <w:t>para atender lo que era una urgencia, las auxiliares de enfermería no tenían experiencia para poner una inyección pinchaban al paciente hasta 3 veces</w:t>
      </w:r>
      <w:r w:rsidR="00184DD8" w:rsidRPr="00D3390B">
        <w:rPr>
          <w:rFonts w:ascii="Century Gothic" w:hAnsi="Century Gothic"/>
          <w:sz w:val="24"/>
          <w:szCs w:val="24"/>
        </w:rPr>
        <w:t xml:space="preserve">, </w:t>
      </w:r>
      <w:r w:rsidR="00E04967" w:rsidRPr="00D3390B">
        <w:rPr>
          <w:rFonts w:ascii="Century Gothic" w:hAnsi="Century Gothic"/>
          <w:sz w:val="24"/>
          <w:szCs w:val="24"/>
        </w:rPr>
        <w:t xml:space="preserve">Solo atendía un medico  </w:t>
      </w:r>
    </w:p>
    <w:p w14:paraId="7869D9E4" w14:textId="77777777" w:rsidR="00184DD8" w:rsidRPr="00D3390B" w:rsidRDefault="00184DD8" w:rsidP="00C62FCF">
      <w:pPr>
        <w:pStyle w:val="Prrafodelista"/>
        <w:spacing w:line="360" w:lineRule="auto"/>
        <w:ind w:left="360"/>
        <w:contextualSpacing w:val="0"/>
        <w:jc w:val="both"/>
        <w:rPr>
          <w:rFonts w:ascii="Century Gothic" w:hAnsi="Century Gothic"/>
        </w:rPr>
      </w:pPr>
    </w:p>
    <w:p w14:paraId="5A100C76" w14:textId="48156500" w:rsidR="000939B1" w:rsidRPr="00D3390B" w:rsidRDefault="001F71AB" w:rsidP="00C62FCF">
      <w:pPr>
        <w:spacing w:line="360" w:lineRule="auto"/>
        <w:jc w:val="both"/>
        <w:rPr>
          <w:rFonts w:ascii="Century Gothic" w:hAnsi="Century Gothic"/>
          <w:sz w:val="24"/>
          <w:szCs w:val="24"/>
        </w:rPr>
      </w:pPr>
      <w:r w:rsidRPr="00D3390B">
        <w:rPr>
          <w:rFonts w:ascii="Century Gothic" w:hAnsi="Century Gothic"/>
          <w:sz w:val="24"/>
          <w:szCs w:val="24"/>
        </w:rPr>
        <w:t xml:space="preserve">24. </w:t>
      </w:r>
      <w:r w:rsidR="00D11BEF" w:rsidRPr="00D3390B">
        <w:rPr>
          <w:rFonts w:ascii="Century Gothic" w:hAnsi="Century Gothic"/>
          <w:sz w:val="24"/>
          <w:szCs w:val="24"/>
        </w:rPr>
        <w:t>El dispensario atiende a los a</w:t>
      </w:r>
      <w:r w:rsidR="00E04967" w:rsidRPr="00D3390B">
        <w:rPr>
          <w:rFonts w:ascii="Century Gothic" w:hAnsi="Century Gothic"/>
          <w:sz w:val="24"/>
          <w:szCs w:val="24"/>
        </w:rPr>
        <w:t>filiados de las fuerzas militares incluidos su beneficiaros.</w:t>
      </w:r>
      <w:r w:rsidRPr="00D3390B">
        <w:rPr>
          <w:rFonts w:ascii="Century Gothic" w:hAnsi="Century Gothic"/>
          <w:sz w:val="24"/>
          <w:szCs w:val="24"/>
        </w:rPr>
        <w:t xml:space="preserve"> </w:t>
      </w:r>
      <w:r w:rsidR="007B7C80" w:rsidRPr="00D3390B">
        <w:rPr>
          <w:rFonts w:ascii="Century Gothic" w:hAnsi="Century Gothic"/>
          <w:sz w:val="24"/>
          <w:szCs w:val="24"/>
        </w:rPr>
        <w:t xml:space="preserve">Conoció de </w:t>
      </w:r>
      <w:r w:rsidR="006B27D2" w:rsidRPr="00D3390B">
        <w:rPr>
          <w:rFonts w:ascii="Century Gothic" w:hAnsi="Century Gothic"/>
          <w:sz w:val="24"/>
          <w:szCs w:val="24"/>
        </w:rPr>
        <w:t>los hechos por lo que le comentó</w:t>
      </w:r>
      <w:r w:rsidR="007B7C80" w:rsidRPr="00D3390B">
        <w:rPr>
          <w:rFonts w:ascii="Century Gothic" w:hAnsi="Century Gothic"/>
          <w:sz w:val="24"/>
          <w:szCs w:val="24"/>
        </w:rPr>
        <w:t xml:space="preserve"> </w:t>
      </w:r>
      <w:r w:rsidR="006B27D2" w:rsidRPr="00D3390B">
        <w:rPr>
          <w:rFonts w:ascii="Century Gothic" w:hAnsi="Century Gothic"/>
          <w:sz w:val="24"/>
          <w:szCs w:val="24"/>
        </w:rPr>
        <w:t xml:space="preserve">a </w:t>
      </w:r>
      <w:r w:rsidR="007B7C80" w:rsidRPr="00D3390B">
        <w:rPr>
          <w:rFonts w:ascii="Century Gothic" w:hAnsi="Century Gothic"/>
          <w:sz w:val="24"/>
          <w:szCs w:val="24"/>
        </w:rPr>
        <w:t>la señora Hermelinda quien es la directora de la veeduría, que la señora falleció porque no la remitieron a un centro</w:t>
      </w:r>
      <w:r w:rsidRPr="00D3390B">
        <w:rPr>
          <w:rFonts w:ascii="Century Gothic" w:hAnsi="Century Gothic"/>
          <w:sz w:val="24"/>
          <w:szCs w:val="24"/>
        </w:rPr>
        <w:t xml:space="preserve"> de salud de mayor especialidad. </w:t>
      </w:r>
      <w:r w:rsidR="006B27D2" w:rsidRPr="00D3390B">
        <w:rPr>
          <w:rFonts w:ascii="Century Gothic" w:hAnsi="Century Gothic"/>
          <w:sz w:val="24"/>
          <w:szCs w:val="24"/>
        </w:rPr>
        <w:t>Supo que se efectuó un</w:t>
      </w:r>
      <w:r w:rsidR="000939B1" w:rsidRPr="00D3390B">
        <w:rPr>
          <w:rFonts w:ascii="Century Gothic" w:hAnsi="Century Gothic"/>
          <w:sz w:val="24"/>
          <w:szCs w:val="24"/>
        </w:rPr>
        <w:t xml:space="preserve"> acta </w:t>
      </w:r>
      <w:proofErr w:type="gramStart"/>
      <w:r w:rsidR="000939B1" w:rsidRPr="00D3390B">
        <w:rPr>
          <w:rFonts w:ascii="Century Gothic" w:hAnsi="Century Gothic"/>
          <w:sz w:val="24"/>
          <w:szCs w:val="24"/>
        </w:rPr>
        <w:t>de  informe</w:t>
      </w:r>
      <w:proofErr w:type="gramEnd"/>
      <w:r w:rsidR="000939B1" w:rsidRPr="00D3390B">
        <w:rPr>
          <w:rFonts w:ascii="Century Gothic" w:hAnsi="Century Gothic"/>
          <w:sz w:val="24"/>
          <w:szCs w:val="24"/>
        </w:rPr>
        <w:t xml:space="preserve"> de inspección, las bala</w:t>
      </w:r>
      <w:r w:rsidR="00184DD8" w:rsidRPr="00D3390B">
        <w:rPr>
          <w:rFonts w:ascii="Century Gothic" w:hAnsi="Century Gothic"/>
          <w:sz w:val="24"/>
          <w:szCs w:val="24"/>
        </w:rPr>
        <w:t xml:space="preserve">s de </w:t>
      </w:r>
      <w:proofErr w:type="spellStart"/>
      <w:r w:rsidR="00184DD8" w:rsidRPr="00D3390B">
        <w:rPr>
          <w:rFonts w:ascii="Century Gothic" w:hAnsi="Century Gothic"/>
          <w:sz w:val="24"/>
          <w:szCs w:val="24"/>
        </w:rPr>
        <w:t>oxigeno</w:t>
      </w:r>
      <w:proofErr w:type="spellEnd"/>
      <w:r w:rsidR="00184DD8" w:rsidRPr="00D3390B">
        <w:rPr>
          <w:rFonts w:ascii="Century Gothic" w:hAnsi="Century Gothic"/>
          <w:sz w:val="24"/>
          <w:szCs w:val="24"/>
        </w:rPr>
        <w:t xml:space="preserve"> no estaba calibradas</w:t>
      </w:r>
      <w:r w:rsidR="000939B1" w:rsidRPr="00D3390B">
        <w:rPr>
          <w:rFonts w:ascii="Century Gothic" w:hAnsi="Century Gothic"/>
          <w:sz w:val="24"/>
          <w:szCs w:val="24"/>
        </w:rPr>
        <w:t xml:space="preserve">, que el laboratorio no funcionaba de noche y que no se siguieron unos protocolos. </w:t>
      </w:r>
    </w:p>
    <w:p w14:paraId="652588DE" w14:textId="77777777" w:rsidR="00902DD1" w:rsidRPr="00D3390B" w:rsidRDefault="00902DD1" w:rsidP="00C62FCF">
      <w:pPr>
        <w:spacing w:after="0" w:line="360" w:lineRule="auto"/>
        <w:jc w:val="both"/>
        <w:rPr>
          <w:rFonts w:ascii="Century Gothic" w:hAnsi="Century Gothic" w:cs="Arial"/>
          <w:sz w:val="24"/>
          <w:szCs w:val="24"/>
          <w:lang w:val="es-ES"/>
        </w:rPr>
      </w:pPr>
    </w:p>
    <w:p w14:paraId="5773060E" w14:textId="293CAC05" w:rsidR="00906444" w:rsidRPr="00D3390B" w:rsidRDefault="004B714F" w:rsidP="00C62FCF">
      <w:pPr>
        <w:pStyle w:val="Prrafodelista"/>
        <w:tabs>
          <w:tab w:val="left" w:pos="709"/>
        </w:tabs>
        <w:spacing w:line="360" w:lineRule="auto"/>
        <w:ind w:left="0"/>
        <w:contextualSpacing w:val="0"/>
        <w:jc w:val="both"/>
        <w:rPr>
          <w:rFonts w:ascii="Century Gothic" w:hAnsi="Century Gothic"/>
          <w:b/>
        </w:rPr>
      </w:pPr>
      <w:r w:rsidRPr="00D3390B">
        <w:rPr>
          <w:rFonts w:ascii="Century Gothic" w:hAnsi="Century Gothic"/>
          <w:b/>
        </w:rPr>
        <w:t>9</w:t>
      </w:r>
      <w:r w:rsidR="00906444" w:rsidRPr="00D3390B">
        <w:rPr>
          <w:rFonts w:ascii="Century Gothic" w:hAnsi="Century Gothic"/>
          <w:b/>
        </w:rPr>
        <w:t>. El daño</w:t>
      </w:r>
    </w:p>
    <w:p w14:paraId="475DC23A" w14:textId="77777777" w:rsidR="00906444" w:rsidRPr="00D3390B" w:rsidRDefault="00906444" w:rsidP="00C62FCF">
      <w:pPr>
        <w:pStyle w:val="Prrafodelista"/>
        <w:tabs>
          <w:tab w:val="left" w:pos="709"/>
        </w:tabs>
        <w:spacing w:line="360" w:lineRule="auto"/>
        <w:ind w:left="0"/>
        <w:contextualSpacing w:val="0"/>
        <w:jc w:val="both"/>
        <w:rPr>
          <w:rFonts w:ascii="Century Gothic" w:hAnsi="Century Gothic"/>
          <w:b/>
        </w:rPr>
      </w:pPr>
    </w:p>
    <w:p w14:paraId="0AA27D3F" w14:textId="2CCFC0E3" w:rsidR="00906444" w:rsidRPr="00D3390B" w:rsidRDefault="001F71AB" w:rsidP="00C62FCF">
      <w:pPr>
        <w:pStyle w:val="Prrafodelista"/>
        <w:tabs>
          <w:tab w:val="left" w:pos="709"/>
        </w:tabs>
        <w:spacing w:line="360" w:lineRule="auto"/>
        <w:ind w:left="0"/>
        <w:contextualSpacing w:val="0"/>
        <w:jc w:val="both"/>
        <w:rPr>
          <w:rFonts w:ascii="Century Gothic" w:hAnsi="Century Gothic"/>
        </w:rPr>
      </w:pPr>
      <w:r w:rsidRPr="00D3390B">
        <w:rPr>
          <w:rFonts w:ascii="Century Gothic" w:hAnsi="Century Gothic"/>
        </w:rPr>
        <w:t xml:space="preserve">25. </w:t>
      </w:r>
      <w:r w:rsidR="00F57528" w:rsidRPr="00D3390B">
        <w:rPr>
          <w:rFonts w:ascii="Century Gothic" w:hAnsi="Century Gothic"/>
        </w:rPr>
        <w:t xml:space="preserve">Respecto de este elemento de la responsabilidad, el despacho no tiene duda de la existencia </w:t>
      </w:r>
      <w:proofErr w:type="gramStart"/>
      <w:r w:rsidR="00F57528" w:rsidRPr="00D3390B">
        <w:rPr>
          <w:rFonts w:ascii="Century Gothic" w:hAnsi="Century Gothic"/>
        </w:rPr>
        <w:t>del mismo</w:t>
      </w:r>
      <w:proofErr w:type="gramEnd"/>
      <w:r w:rsidR="00F57528" w:rsidRPr="00D3390B">
        <w:rPr>
          <w:rFonts w:ascii="Century Gothic" w:hAnsi="Century Gothic"/>
        </w:rPr>
        <w:t xml:space="preserve">, dado que dentro del proceso obra registro civil de defunción de la señora </w:t>
      </w:r>
      <w:r w:rsidR="00F57528" w:rsidRPr="00D3390B">
        <w:rPr>
          <w:rFonts w:ascii="Century Gothic" w:hAnsi="Century Gothic" w:cs="Tahoma"/>
        </w:rPr>
        <w:t>María Leonilde García</w:t>
      </w:r>
      <w:r w:rsidR="00F57528" w:rsidRPr="00D3390B">
        <w:rPr>
          <w:rFonts w:ascii="Century Gothic" w:hAnsi="Century Gothic"/>
        </w:rPr>
        <w:t xml:space="preserve"> del 11 de marzo de </w:t>
      </w:r>
      <w:r w:rsidR="00F57528" w:rsidRPr="00D3390B">
        <w:rPr>
          <w:rFonts w:ascii="Century Gothic" w:hAnsi="Century Gothic"/>
          <w:color w:val="000000" w:themeColor="text1"/>
        </w:rPr>
        <w:t xml:space="preserve">2015 (folio </w:t>
      </w:r>
      <w:r w:rsidR="00007B7B" w:rsidRPr="00D3390B">
        <w:rPr>
          <w:rFonts w:ascii="Century Gothic" w:hAnsi="Century Gothic"/>
          <w:color w:val="000000" w:themeColor="text1"/>
        </w:rPr>
        <w:t>8 del cuaderno 2</w:t>
      </w:r>
      <w:r w:rsidR="00F57528" w:rsidRPr="00D3390B">
        <w:rPr>
          <w:rFonts w:ascii="Century Gothic" w:hAnsi="Century Gothic"/>
          <w:color w:val="000000" w:themeColor="text1"/>
        </w:rPr>
        <w:t>)</w:t>
      </w:r>
    </w:p>
    <w:p w14:paraId="75ECFA95" w14:textId="77777777" w:rsidR="00841FF9" w:rsidRPr="00D3390B" w:rsidRDefault="00841FF9" w:rsidP="00C62FCF">
      <w:pPr>
        <w:pStyle w:val="Prrafodelista"/>
        <w:spacing w:line="360" w:lineRule="auto"/>
        <w:ind w:left="0"/>
        <w:contextualSpacing w:val="0"/>
        <w:jc w:val="both"/>
        <w:rPr>
          <w:rFonts w:ascii="Century Gothic" w:hAnsi="Century Gothic"/>
          <w:b/>
        </w:rPr>
      </w:pPr>
    </w:p>
    <w:p w14:paraId="28F673F7" w14:textId="7396BDC3" w:rsidR="00C53C67" w:rsidRPr="00D3390B" w:rsidRDefault="004B714F" w:rsidP="00C62FCF">
      <w:pPr>
        <w:pStyle w:val="Prrafodelista"/>
        <w:spacing w:line="360" w:lineRule="auto"/>
        <w:ind w:left="0"/>
        <w:contextualSpacing w:val="0"/>
        <w:jc w:val="both"/>
        <w:rPr>
          <w:rFonts w:ascii="Century Gothic" w:hAnsi="Century Gothic"/>
          <w:b/>
        </w:rPr>
      </w:pPr>
      <w:r w:rsidRPr="00D3390B">
        <w:rPr>
          <w:rFonts w:ascii="Century Gothic" w:hAnsi="Century Gothic"/>
          <w:b/>
        </w:rPr>
        <w:t>10</w:t>
      </w:r>
      <w:r w:rsidR="00C53C67" w:rsidRPr="00D3390B">
        <w:rPr>
          <w:rFonts w:ascii="Century Gothic" w:hAnsi="Century Gothic"/>
          <w:b/>
        </w:rPr>
        <w:t>. Imputabilidad</w:t>
      </w:r>
    </w:p>
    <w:p w14:paraId="0169916E" w14:textId="77777777" w:rsidR="00DD717B" w:rsidRPr="00D3390B" w:rsidRDefault="00DD717B" w:rsidP="00C62FCF">
      <w:pPr>
        <w:pStyle w:val="Prrafodelista"/>
        <w:spacing w:line="360" w:lineRule="auto"/>
        <w:ind w:left="0"/>
        <w:contextualSpacing w:val="0"/>
        <w:jc w:val="both"/>
        <w:rPr>
          <w:rFonts w:ascii="Century Gothic" w:hAnsi="Century Gothic"/>
          <w:b/>
        </w:rPr>
      </w:pPr>
    </w:p>
    <w:p w14:paraId="02943E3B" w14:textId="39278282" w:rsidR="00A5714D" w:rsidRPr="00D3390B" w:rsidRDefault="001F71AB" w:rsidP="00C62FCF">
      <w:pPr>
        <w:pStyle w:val="Prrafodelista"/>
        <w:spacing w:line="360" w:lineRule="auto"/>
        <w:ind w:left="0"/>
        <w:contextualSpacing w:val="0"/>
        <w:jc w:val="both"/>
        <w:rPr>
          <w:rFonts w:ascii="Century Gothic" w:hAnsi="Century Gothic"/>
        </w:rPr>
      </w:pPr>
      <w:r w:rsidRPr="00D3390B">
        <w:rPr>
          <w:rFonts w:ascii="Century Gothic" w:hAnsi="Century Gothic"/>
        </w:rPr>
        <w:t xml:space="preserve">26. </w:t>
      </w:r>
      <w:r w:rsidR="00A5714D" w:rsidRPr="00D3390B">
        <w:rPr>
          <w:rFonts w:ascii="Century Gothic" w:hAnsi="Century Gothic"/>
        </w:rPr>
        <w:t>La Sección Tercera del Consejo de Estado frente a la imputabilidad del daño indicó lo siguiente</w:t>
      </w:r>
      <w:r w:rsidR="00A5714D" w:rsidRPr="00D3390B">
        <w:rPr>
          <w:rStyle w:val="Refdenotaalpie"/>
          <w:rFonts w:ascii="Century Gothic" w:hAnsi="Century Gothic"/>
        </w:rPr>
        <w:footnoteReference w:id="13"/>
      </w:r>
      <w:r w:rsidR="00A5714D" w:rsidRPr="00D3390B">
        <w:rPr>
          <w:rFonts w:ascii="Century Gothic" w:hAnsi="Century Gothic"/>
        </w:rPr>
        <w:t xml:space="preserve"> </w:t>
      </w:r>
    </w:p>
    <w:p w14:paraId="0C242152" w14:textId="77777777" w:rsidR="00A5714D" w:rsidRPr="00D3390B" w:rsidRDefault="00A5714D" w:rsidP="00C62FCF">
      <w:pPr>
        <w:pStyle w:val="Prrafodelista"/>
        <w:spacing w:line="360" w:lineRule="auto"/>
        <w:ind w:left="0"/>
        <w:contextualSpacing w:val="0"/>
        <w:jc w:val="both"/>
        <w:rPr>
          <w:rFonts w:ascii="Century Gothic" w:hAnsi="Century Gothic"/>
        </w:rPr>
      </w:pPr>
    </w:p>
    <w:p w14:paraId="611F0FFF" w14:textId="77777777" w:rsidR="00A5714D" w:rsidRPr="00D3390B" w:rsidRDefault="00A5714D" w:rsidP="00C62FCF">
      <w:pPr>
        <w:pStyle w:val="Prrafodelista"/>
        <w:ind w:left="567" w:right="616"/>
        <w:contextualSpacing w:val="0"/>
        <w:jc w:val="both"/>
        <w:rPr>
          <w:rFonts w:ascii="Century Gothic" w:hAnsi="Century Gothic"/>
          <w:sz w:val="22"/>
          <w:szCs w:val="22"/>
        </w:rPr>
      </w:pPr>
      <w:r w:rsidRPr="00D3390B">
        <w:rPr>
          <w:rFonts w:ascii="Century Gothic" w:hAnsi="Century Gothic"/>
          <w:i/>
          <w:sz w:val="22"/>
          <w:szCs w:val="22"/>
        </w:rPr>
        <w:t xml:space="preserve">(…) para que pueda predicarse la existencia de una falla en la prestación del servicio médico se requiere la demostración de que la atención médica no cumplió con estándares de calidad fijados por el estado del arte de la ciencia médica, vigente en el momento de la ocurrencia del hecho dañoso. Del mismo modo, deberá probarse que </w:t>
      </w:r>
      <w:r w:rsidRPr="00D3390B">
        <w:rPr>
          <w:rFonts w:ascii="Century Gothic" w:hAnsi="Century Gothic"/>
          <w:i/>
          <w:sz w:val="22"/>
          <w:szCs w:val="22"/>
        </w:rPr>
        <w:lastRenderedPageBreak/>
        <w:t xml:space="preserve">el servicio médico no ha sido cubierto en forma diligente, esto es, que no se prestó el servicio con el empleo de todos y cada uno de los medios humanos, científicos, farmacéuticos y técnicos que se tengan al alcance </w:t>
      </w:r>
      <w:r w:rsidRPr="00D3390B">
        <w:rPr>
          <w:rFonts w:ascii="Century Gothic" w:hAnsi="Century Gothic"/>
          <w:sz w:val="22"/>
          <w:szCs w:val="22"/>
        </w:rPr>
        <w:t>(…)</w:t>
      </w:r>
    </w:p>
    <w:p w14:paraId="57FC3BF0" w14:textId="77777777" w:rsidR="00A5714D" w:rsidRPr="00D3390B" w:rsidRDefault="00A5714D" w:rsidP="00C62FCF">
      <w:pPr>
        <w:pStyle w:val="Prrafodelista"/>
        <w:spacing w:line="360" w:lineRule="auto"/>
        <w:ind w:left="0"/>
        <w:contextualSpacing w:val="0"/>
        <w:jc w:val="both"/>
        <w:rPr>
          <w:rFonts w:ascii="Century Gothic" w:hAnsi="Century Gothic"/>
        </w:rPr>
      </w:pPr>
    </w:p>
    <w:p w14:paraId="4E5F11EF" w14:textId="0377C5E3" w:rsidR="00A5714D" w:rsidRPr="00D3390B" w:rsidRDefault="001F71AB" w:rsidP="00C62FCF">
      <w:pPr>
        <w:pStyle w:val="Prrafodelista"/>
        <w:spacing w:line="360" w:lineRule="auto"/>
        <w:ind w:left="0"/>
        <w:contextualSpacing w:val="0"/>
        <w:jc w:val="both"/>
        <w:rPr>
          <w:rFonts w:ascii="Century Gothic" w:hAnsi="Century Gothic"/>
        </w:rPr>
      </w:pPr>
      <w:r w:rsidRPr="00D3390B">
        <w:rPr>
          <w:rFonts w:ascii="Century Gothic" w:hAnsi="Century Gothic"/>
        </w:rPr>
        <w:t xml:space="preserve">27. </w:t>
      </w:r>
      <w:r w:rsidR="00D836AD" w:rsidRPr="00D3390B">
        <w:rPr>
          <w:rFonts w:ascii="Century Gothic" w:hAnsi="Century Gothic"/>
        </w:rPr>
        <w:t>El d</w:t>
      </w:r>
      <w:r w:rsidR="00DD717B" w:rsidRPr="00D3390B">
        <w:rPr>
          <w:rFonts w:ascii="Century Gothic" w:hAnsi="Century Gothic"/>
        </w:rPr>
        <w:t>espacho considera</w:t>
      </w:r>
      <w:r w:rsidR="00867EDA" w:rsidRPr="00D3390B">
        <w:rPr>
          <w:rFonts w:ascii="Century Gothic" w:hAnsi="Century Gothic"/>
        </w:rPr>
        <w:t>,</w:t>
      </w:r>
      <w:r w:rsidR="00DD717B" w:rsidRPr="00D3390B">
        <w:rPr>
          <w:rFonts w:ascii="Century Gothic" w:hAnsi="Century Gothic"/>
        </w:rPr>
        <w:t xml:space="preserve"> una vez analizados los hechos probados en relación con la atención médica que se le brindó a la señora </w:t>
      </w:r>
      <w:r w:rsidR="009F1051" w:rsidRPr="00D3390B">
        <w:rPr>
          <w:rFonts w:ascii="Century Gothic" w:hAnsi="Century Gothic" w:cs="Tahoma"/>
        </w:rPr>
        <w:t>María Leonilde García</w:t>
      </w:r>
      <w:r w:rsidR="00867EDA" w:rsidRPr="00D3390B">
        <w:rPr>
          <w:rFonts w:ascii="Century Gothic" w:hAnsi="Century Gothic" w:cs="Tahoma"/>
        </w:rPr>
        <w:t>,</w:t>
      </w:r>
      <w:r w:rsidR="00DA1964" w:rsidRPr="00D3390B">
        <w:rPr>
          <w:rFonts w:ascii="Century Gothic" w:hAnsi="Century Gothic" w:cs="Tahoma"/>
        </w:rPr>
        <w:t xml:space="preserve"> </w:t>
      </w:r>
      <w:r w:rsidR="00A5714D" w:rsidRPr="00D3390B">
        <w:rPr>
          <w:rFonts w:ascii="Century Gothic" w:hAnsi="Century Gothic" w:cs="Tahoma"/>
        </w:rPr>
        <w:t xml:space="preserve">que se encuentra </w:t>
      </w:r>
      <w:r w:rsidR="00D836AD" w:rsidRPr="00D3390B">
        <w:rPr>
          <w:rFonts w:ascii="Century Gothic" w:hAnsi="Century Gothic"/>
        </w:rPr>
        <w:t xml:space="preserve">acreditada una falla en la prestación del servicio médico a cargo de la </w:t>
      </w:r>
      <w:r w:rsidR="00D836AD" w:rsidRPr="00D3390B">
        <w:rPr>
          <w:rFonts w:ascii="Century Gothic" w:hAnsi="Century Gothic" w:cs="Tahoma"/>
          <w:b/>
        </w:rPr>
        <w:t xml:space="preserve">NACIÓN - MINISTERIO DE DEFENSA - EJERCITO NACIONAL - DIRECCIÓN DE SANIDAD - </w:t>
      </w:r>
      <w:r w:rsidR="00D836AD" w:rsidRPr="00D3390B">
        <w:rPr>
          <w:rFonts w:ascii="Century Gothic" w:hAnsi="Century Gothic"/>
          <w:b/>
          <w:i/>
        </w:rPr>
        <w:t xml:space="preserve">BASPC N 6 de la ciudad de Ibagué, </w:t>
      </w:r>
      <w:r w:rsidR="00A5714D" w:rsidRPr="00D3390B">
        <w:rPr>
          <w:rFonts w:ascii="Century Gothic" w:hAnsi="Century Gothic"/>
        </w:rPr>
        <w:t xml:space="preserve">pues </w:t>
      </w:r>
      <w:r w:rsidR="00D836AD" w:rsidRPr="00D3390B">
        <w:rPr>
          <w:rFonts w:ascii="Century Gothic" w:hAnsi="Century Gothic"/>
        </w:rPr>
        <w:t>quedó en evidencia que la atención brindada a la señora en el centro de atención primaria no fue la idónea</w:t>
      </w:r>
      <w:r w:rsidR="00A5714D" w:rsidRPr="00D3390B">
        <w:rPr>
          <w:rFonts w:ascii="Century Gothic" w:hAnsi="Century Gothic"/>
        </w:rPr>
        <w:t>.</w:t>
      </w:r>
    </w:p>
    <w:p w14:paraId="302EC6CA" w14:textId="77777777" w:rsidR="00A5714D" w:rsidRPr="00D3390B" w:rsidRDefault="00A5714D" w:rsidP="00C62FCF">
      <w:pPr>
        <w:pStyle w:val="Prrafodelista"/>
        <w:spacing w:line="360" w:lineRule="auto"/>
        <w:ind w:left="0"/>
        <w:contextualSpacing w:val="0"/>
        <w:jc w:val="both"/>
        <w:rPr>
          <w:rFonts w:ascii="Century Gothic" w:hAnsi="Century Gothic"/>
        </w:rPr>
      </w:pPr>
    </w:p>
    <w:p w14:paraId="09C9FC65" w14:textId="47FF4C04" w:rsidR="004D7C89" w:rsidRPr="00D3390B" w:rsidRDefault="001F71AB" w:rsidP="00C62FCF">
      <w:pPr>
        <w:spacing w:after="0" w:line="360" w:lineRule="auto"/>
        <w:jc w:val="both"/>
        <w:rPr>
          <w:rFonts w:ascii="Century Gothic" w:hAnsi="Century Gothic"/>
          <w:sz w:val="24"/>
          <w:szCs w:val="24"/>
          <w:lang w:val="es-ES"/>
        </w:rPr>
      </w:pPr>
      <w:r w:rsidRPr="00D3390B">
        <w:rPr>
          <w:rFonts w:ascii="Century Gothic" w:hAnsi="Century Gothic"/>
          <w:sz w:val="24"/>
          <w:szCs w:val="24"/>
          <w:lang w:val="es-ES"/>
        </w:rPr>
        <w:t xml:space="preserve">28. </w:t>
      </w:r>
      <w:r w:rsidR="00867EDA" w:rsidRPr="00D3390B">
        <w:rPr>
          <w:rFonts w:ascii="Century Gothic" w:hAnsi="Century Gothic"/>
          <w:sz w:val="24"/>
          <w:szCs w:val="24"/>
          <w:lang w:val="es-ES"/>
        </w:rPr>
        <w:t xml:space="preserve"> En efecto, n</w:t>
      </w:r>
      <w:r w:rsidR="00D836AD" w:rsidRPr="00D3390B">
        <w:rPr>
          <w:rFonts w:ascii="Century Gothic" w:hAnsi="Century Gothic"/>
          <w:sz w:val="24"/>
          <w:szCs w:val="24"/>
          <w:lang w:val="es-ES"/>
        </w:rPr>
        <w:t>o se tuv</w:t>
      </w:r>
      <w:r w:rsidR="00867EDA" w:rsidRPr="00D3390B">
        <w:rPr>
          <w:rFonts w:ascii="Century Gothic" w:hAnsi="Century Gothic"/>
          <w:sz w:val="24"/>
          <w:szCs w:val="24"/>
          <w:lang w:val="es-ES"/>
        </w:rPr>
        <w:t>ieron</w:t>
      </w:r>
      <w:r w:rsidR="00D836AD" w:rsidRPr="00D3390B">
        <w:rPr>
          <w:rFonts w:ascii="Century Gothic" w:hAnsi="Century Gothic"/>
          <w:sz w:val="24"/>
          <w:szCs w:val="24"/>
          <w:lang w:val="es-ES"/>
        </w:rPr>
        <w:t xml:space="preserve"> en cuenta las patologías de base </w:t>
      </w:r>
      <w:r w:rsidR="00867EDA" w:rsidRPr="00D3390B">
        <w:rPr>
          <w:rFonts w:ascii="Century Gothic" w:hAnsi="Century Gothic"/>
          <w:sz w:val="24"/>
          <w:szCs w:val="24"/>
          <w:lang w:val="es-ES"/>
        </w:rPr>
        <w:t xml:space="preserve"> que presentaba la señora, tales como enfermedad pulmonar obstructiva crónica (EPOC</w:t>
      </w:r>
      <w:r w:rsidR="00867EDA" w:rsidRPr="00D3390B">
        <w:rPr>
          <w:rStyle w:val="Refdenotaalpie"/>
          <w:rFonts w:ascii="Century Gothic" w:hAnsi="Century Gothic"/>
          <w:sz w:val="24"/>
          <w:szCs w:val="24"/>
          <w:lang w:val="es-ES"/>
        </w:rPr>
        <w:footnoteReference w:id="14"/>
      </w:r>
      <w:r w:rsidR="00867EDA" w:rsidRPr="00D3390B">
        <w:rPr>
          <w:rFonts w:ascii="Century Gothic" w:hAnsi="Century Gothic"/>
          <w:sz w:val="24"/>
          <w:szCs w:val="24"/>
          <w:lang w:val="es-ES"/>
        </w:rPr>
        <w:t xml:space="preserve">), hipertensión arterial (HTA), </w:t>
      </w:r>
      <w:r w:rsidR="00867EDA" w:rsidRPr="00D3390B">
        <w:rPr>
          <w:rStyle w:val="FontStyle64"/>
          <w:rFonts w:ascii="Century Gothic" w:hAnsi="Century Gothic"/>
          <w:sz w:val="24"/>
          <w:szCs w:val="24"/>
          <w:lang w:val="es-ES" w:eastAsia="es-ES_tradnl"/>
        </w:rPr>
        <w:t xml:space="preserve">ANTICOAGULACIÓN, TVP, edad avanzada, (89 años) </w:t>
      </w:r>
      <w:r w:rsidR="004D7C89" w:rsidRPr="00D3390B">
        <w:rPr>
          <w:rStyle w:val="FontStyle64"/>
          <w:rFonts w:ascii="Century Gothic" w:hAnsi="Century Gothic"/>
          <w:sz w:val="24"/>
          <w:szCs w:val="24"/>
          <w:lang w:val="es-ES" w:eastAsia="es-ES_tradnl"/>
        </w:rPr>
        <w:t>así</w:t>
      </w:r>
      <w:r w:rsidR="00867EDA" w:rsidRPr="00D3390B">
        <w:rPr>
          <w:rStyle w:val="FontStyle64"/>
          <w:rFonts w:ascii="Century Gothic" w:hAnsi="Century Gothic"/>
          <w:sz w:val="24"/>
          <w:szCs w:val="24"/>
          <w:lang w:val="es-ES" w:eastAsia="es-ES_tradnl"/>
        </w:rPr>
        <w:t xml:space="preserve"> como la  </w:t>
      </w:r>
      <w:r w:rsidR="00867EDA" w:rsidRPr="00D3390B">
        <w:rPr>
          <w:rFonts w:ascii="Century Gothic" w:hAnsi="Century Gothic"/>
          <w:sz w:val="24"/>
          <w:szCs w:val="24"/>
          <w:lang w:val="es-ES"/>
        </w:rPr>
        <w:t>recurrente presencia de episodios de dificultad respiratoria que se evidencian en las dos consultas realizadas en los días anteriores próximos a  su deceso</w:t>
      </w:r>
      <w:r w:rsidR="004D7C89" w:rsidRPr="00D3390B">
        <w:rPr>
          <w:rFonts w:ascii="Century Gothic" w:hAnsi="Century Gothic"/>
          <w:sz w:val="24"/>
          <w:szCs w:val="24"/>
          <w:lang w:val="es-ES"/>
        </w:rPr>
        <w:t xml:space="preserve">, tal desatención generó </w:t>
      </w:r>
      <w:r w:rsidR="00D836AD" w:rsidRPr="00D3390B">
        <w:rPr>
          <w:rFonts w:ascii="Century Gothic" w:hAnsi="Century Gothic"/>
          <w:sz w:val="24"/>
          <w:szCs w:val="24"/>
          <w:lang w:val="es-ES"/>
        </w:rPr>
        <w:t xml:space="preserve">dificultades mayores al momento de manejar  la </w:t>
      </w:r>
      <w:r w:rsidR="004D7C89" w:rsidRPr="00D3390B">
        <w:rPr>
          <w:rFonts w:ascii="Century Gothic" w:hAnsi="Century Gothic"/>
          <w:sz w:val="24"/>
          <w:szCs w:val="24"/>
          <w:lang w:val="es-ES"/>
        </w:rPr>
        <w:t xml:space="preserve">crisis </w:t>
      </w:r>
      <w:r w:rsidR="00D836AD" w:rsidRPr="00D3390B">
        <w:rPr>
          <w:rFonts w:ascii="Century Gothic" w:hAnsi="Century Gothic"/>
          <w:sz w:val="24"/>
          <w:szCs w:val="24"/>
          <w:lang w:val="es-ES"/>
        </w:rPr>
        <w:t>respirat</w:t>
      </w:r>
      <w:r w:rsidR="00421F1E" w:rsidRPr="00D3390B">
        <w:rPr>
          <w:rFonts w:ascii="Century Gothic" w:hAnsi="Century Gothic"/>
          <w:sz w:val="24"/>
          <w:szCs w:val="24"/>
          <w:lang w:val="es-ES"/>
        </w:rPr>
        <w:t>oria</w:t>
      </w:r>
      <w:r w:rsidR="00A5714D" w:rsidRPr="00D3390B">
        <w:rPr>
          <w:rFonts w:ascii="Century Gothic" w:hAnsi="Century Gothic"/>
          <w:sz w:val="24"/>
          <w:szCs w:val="24"/>
          <w:lang w:val="es-ES"/>
        </w:rPr>
        <w:t xml:space="preserve"> que presentaba la </w:t>
      </w:r>
      <w:r w:rsidR="004D7C89" w:rsidRPr="00D3390B">
        <w:rPr>
          <w:rFonts w:ascii="Century Gothic" w:hAnsi="Century Gothic"/>
          <w:sz w:val="24"/>
          <w:szCs w:val="24"/>
          <w:lang w:val="es-ES"/>
        </w:rPr>
        <w:t xml:space="preserve">paciente,  pues no se brindó a está la atención diferenciada que la presencia de tales comorbilidades indica según la </w:t>
      </w:r>
      <w:r w:rsidR="004D7C89" w:rsidRPr="008C780D">
        <w:rPr>
          <w:rFonts w:ascii="Century Gothic" w:hAnsi="Century Gothic"/>
          <w:i/>
          <w:sz w:val="24"/>
          <w:szCs w:val="24"/>
          <w:lang w:val="es-ES"/>
        </w:rPr>
        <w:t xml:space="preserve">lex </w:t>
      </w:r>
      <w:proofErr w:type="spellStart"/>
      <w:r w:rsidR="004D7C89" w:rsidRPr="008C780D">
        <w:rPr>
          <w:rFonts w:ascii="Century Gothic" w:hAnsi="Century Gothic"/>
          <w:i/>
          <w:sz w:val="24"/>
          <w:szCs w:val="24"/>
          <w:lang w:val="es-ES"/>
        </w:rPr>
        <w:t>artis</w:t>
      </w:r>
      <w:proofErr w:type="spellEnd"/>
      <w:r w:rsidR="004D7C89" w:rsidRPr="00D3390B">
        <w:rPr>
          <w:rFonts w:ascii="Century Gothic" w:hAnsi="Century Gothic"/>
          <w:sz w:val="24"/>
          <w:szCs w:val="24"/>
          <w:lang w:val="es-ES"/>
        </w:rPr>
        <w:t xml:space="preserve"> de la ciencia médica y que ciertamente habrían podido representar un mejor pronóstico para la citada señora García, afirmaciones estas que encuentran sustento en el análisis en conjunto que se hace del material probatorio así como, principalmente, de lo señalado por la perito médico, </w:t>
      </w:r>
    </w:p>
    <w:p w14:paraId="6906F83F" w14:textId="77777777" w:rsidR="004D7C89" w:rsidRPr="00D3390B" w:rsidRDefault="004D7C89" w:rsidP="00C62FCF">
      <w:pPr>
        <w:spacing w:after="0" w:line="360" w:lineRule="auto"/>
        <w:jc w:val="both"/>
        <w:rPr>
          <w:rFonts w:ascii="Century Gothic" w:hAnsi="Century Gothic"/>
          <w:sz w:val="24"/>
          <w:szCs w:val="24"/>
          <w:lang w:val="es-ES"/>
        </w:rPr>
      </w:pPr>
    </w:p>
    <w:p w14:paraId="2DB0B695" w14:textId="7D9A4052" w:rsidR="008C780D" w:rsidRDefault="00B07786" w:rsidP="00C62FCF">
      <w:pPr>
        <w:spacing w:after="0" w:line="360" w:lineRule="auto"/>
        <w:jc w:val="both"/>
        <w:rPr>
          <w:rFonts w:ascii="Century Gothic" w:hAnsi="Century Gothic"/>
          <w:sz w:val="24"/>
          <w:szCs w:val="24"/>
          <w:lang w:val="es-ES"/>
        </w:rPr>
      </w:pPr>
      <w:r w:rsidRPr="00D3390B">
        <w:rPr>
          <w:rFonts w:ascii="Century Gothic" w:hAnsi="Century Gothic"/>
          <w:sz w:val="24"/>
          <w:szCs w:val="24"/>
          <w:lang w:val="es-ES"/>
        </w:rPr>
        <w:t xml:space="preserve">29. </w:t>
      </w:r>
      <w:r w:rsidR="004D7C89" w:rsidRPr="00D3390B">
        <w:rPr>
          <w:rFonts w:ascii="Century Gothic" w:hAnsi="Century Gothic"/>
          <w:sz w:val="24"/>
          <w:szCs w:val="24"/>
          <w:lang w:val="es-ES"/>
        </w:rPr>
        <w:t xml:space="preserve">Resulta procedente, en todo caso, que el despacho se refiera con mayor detalle a la atención brindada a la señora </w:t>
      </w:r>
      <w:r w:rsidR="003872A2" w:rsidRPr="00D3390B">
        <w:rPr>
          <w:rFonts w:ascii="Century Gothic" w:hAnsi="Century Gothic"/>
          <w:sz w:val="24"/>
          <w:szCs w:val="24"/>
          <w:lang w:val="es-ES"/>
        </w:rPr>
        <w:t>García</w:t>
      </w:r>
      <w:r w:rsidR="004D7C89" w:rsidRPr="00D3390B">
        <w:rPr>
          <w:rFonts w:ascii="Century Gothic" w:hAnsi="Century Gothic"/>
          <w:sz w:val="24"/>
          <w:szCs w:val="24"/>
          <w:lang w:val="es-ES"/>
        </w:rPr>
        <w:t xml:space="preserve">, </w:t>
      </w:r>
      <w:r w:rsidR="003872A2" w:rsidRPr="00D3390B">
        <w:rPr>
          <w:rFonts w:ascii="Century Gothic" w:hAnsi="Century Gothic"/>
          <w:sz w:val="24"/>
          <w:szCs w:val="24"/>
          <w:lang w:val="es-ES"/>
        </w:rPr>
        <w:t>y en efecto se encuentra que e</w:t>
      </w:r>
      <w:r w:rsidR="009B149B" w:rsidRPr="00D3390B">
        <w:rPr>
          <w:rFonts w:ascii="Century Gothic" w:hAnsi="Century Gothic"/>
          <w:sz w:val="24"/>
          <w:szCs w:val="24"/>
          <w:lang w:val="es-ES"/>
        </w:rPr>
        <w:t xml:space="preserve">l personal médico </w:t>
      </w:r>
      <w:r w:rsidR="008C780D">
        <w:rPr>
          <w:rFonts w:ascii="Century Gothic" w:hAnsi="Century Gothic"/>
          <w:sz w:val="24"/>
          <w:szCs w:val="24"/>
          <w:lang w:val="es-ES"/>
        </w:rPr>
        <w:t>ejecutó</w:t>
      </w:r>
      <w:r w:rsidR="003872A2" w:rsidRPr="00D3390B">
        <w:rPr>
          <w:rFonts w:ascii="Century Gothic" w:hAnsi="Century Gothic"/>
          <w:sz w:val="24"/>
          <w:szCs w:val="24"/>
          <w:lang w:val="es-ES"/>
        </w:rPr>
        <w:t xml:space="preserve"> las maniobras tendientes a estabilizar a la </w:t>
      </w:r>
      <w:r w:rsidR="003872A2" w:rsidRPr="00D3390B">
        <w:rPr>
          <w:rFonts w:ascii="Century Gothic" w:hAnsi="Century Gothic"/>
          <w:sz w:val="24"/>
          <w:szCs w:val="24"/>
          <w:lang w:val="es-ES"/>
        </w:rPr>
        <w:lastRenderedPageBreak/>
        <w:t xml:space="preserve">paciente brindándole el </w:t>
      </w:r>
      <w:proofErr w:type="gramStart"/>
      <w:r w:rsidR="003872A2" w:rsidRPr="00D3390B">
        <w:rPr>
          <w:rFonts w:ascii="Century Gothic" w:hAnsi="Century Gothic"/>
          <w:sz w:val="24"/>
          <w:szCs w:val="24"/>
          <w:lang w:val="es-ES"/>
        </w:rPr>
        <w:t xml:space="preserve">soporte </w:t>
      </w:r>
      <w:r w:rsidR="00B66BF2" w:rsidRPr="00D3390B">
        <w:rPr>
          <w:rFonts w:ascii="Century Gothic" w:hAnsi="Century Gothic"/>
          <w:sz w:val="24"/>
          <w:szCs w:val="24"/>
          <w:lang w:val="es-ES"/>
        </w:rPr>
        <w:t xml:space="preserve"> ventilatorio</w:t>
      </w:r>
      <w:proofErr w:type="gramEnd"/>
      <w:r w:rsidR="003872A2" w:rsidRPr="00D3390B">
        <w:rPr>
          <w:rFonts w:ascii="Century Gothic" w:hAnsi="Century Gothic"/>
          <w:sz w:val="24"/>
          <w:szCs w:val="24"/>
          <w:lang w:val="es-ES"/>
        </w:rPr>
        <w:t xml:space="preserve"> indicado en tal escenario clínico </w:t>
      </w:r>
      <w:r w:rsidR="00B66BF2" w:rsidRPr="00D3390B">
        <w:rPr>
          <w:rFonts w:ascii="Century Gothic" w:hAnsi="Century Gothic"/>
          <w:sz w:val="24"/>
          <w:szCs w:val="24"/>
          <w:lang w:val="es-ES"/>
        </w:rPr>
        <w:t xml:space="preserve"> procurando</w:t>
      </w:r>
      <w:r w:rsidR="003872A2" w:rsidRPr="00D3390B">
        <w:rPr>
          <w:rFonts w:ascii="Century Gothic" w:hAnsi="Century Gothic"/>
          <w:sz w:val="24"/>
          <w:szCs w:val="24"/>
          <w:lang w:val="es-ES"/>
        </w:rPr>
        <w:t xml:space="preserve"> con ello,</w:t>
      </w:r>
      <w:r w:rsidR="00B66BF2" w:rsidRPr="00D3390B">
        <w:rPr>
          <w:rFonts w:ascii="Century Gothic" w:hAnsi="Century Gothic"/>
          <w:sz w:val="24"/>
          <w:szCs w:val="24"/>
          <w:lang w:val="es-ES"/>
        </w:rPr>
        <w:t xml:space="preserve"> que la saturación</w:t>
      </w:r>
      <w:r w:rsidR="003872A2" w:rsidRPr="00D3390B">
        <w:rPr>
          <w:rFonts w:ascii="Century Gothic" w:hAnsi="Century Gothic"/>
          <w:sz w:val="24"/>
          <w:szCs w:val="24"/>
          <w:lang w:val="es-ES"/>
        </w:rPr>
        <w:t xml:space="preserve"> de oxígeno</w:t>
      </w:r>
      <w:r w:rsidR="00B66BF2" w:rsidRPr="00D3390B">
        <w:rPr>
          <w:rFonts w:ascii="Century Gothic" w:hAnsi="Century Gothic"/>
          <w:sz w:val="24"/>
          <w:szCs w:val="24"/>
          <w:lang w:val="es-ES"/>
        </w:rPr>
        <w:t xml:space="preserve"> de la </w:t>
      </w:r>
      <w:r w:rsidR="003872A2" w:rsidRPr="00D3390B">
        <w:rPr>
          <w:rFonts w:ascii="Century Gothic" w:hAnsi="Century Gothic"/>
          <w:sz w:val="24"/>
          <w:szCs w:val="24"/>
          <w:lang w:val="es-ES"/>
        </w:rPr>
        <w:t xml:space="preserve">referida </w:t>
      </w:r>
      <w:r w:rsidR="00B66BF2" w:rsidRPr="00D3390B">
        <w:rPr>
          <w:rFonts w:ascii="Century Gothic" w:hAnsi="Century Gothic"/>
          <w:sz w:val="24"/>
          <w:szCs w:val="24"/>
          <w:lang w:val="es-ES"/>
        </w:rPr>
        <w:t>señora estuviera dentro de los rangos normales</w:t>
      </w:r>
      <w:r w:rsidR="008F7C3D">
        <w:rPr>
          <w:rFonts w:ascii="Century Gothic" w:hAnsi="Century Gothic"/>
          <w:sz w:val="24"/>
          <w:szCs w:val="24"/>
          <w:lang w:val="es-ES"/>
        </w:rPr>
        <w:t>.</w:t>
      </w:r>
    </w:p>
    <w:p w14:paraId="4E5A0B0F" w14:textId="77777777" w:rsidR="008C780D" w:rsidRDefault="008C780D" w:rsidP="00C62FCF">
      <w:pPr>
        <w:spacing w:after="0" w:line="360" w:lineRule="auto"/>
        <w:jc w:val="both"/>
        <w:rPr>
          <w:rFonts w:ascii="Century Gothic" w:hAnsi="Century Gothic"/>
          <w:sz w:val="24"/>
          <w:szCs w:val="24"/>
          <w:lang w:val="es-ES"/>
        </w:rPr>
      </w:pPr>
    </w:p>
    <w:p w14:paraId="717ABE5C" w14:textId="00822703" w:rsidR="00B66BF2" w:rsidRPr="00D3390B" w:rsidRDefault="00C2721D" w:rsidP="00C62FCF">
      <w:pPr>
        <w:spacing w:after="0" w:line="360" w:lineRule="auto"/>
        <w:jc w:val="both"/>
        <w:rPr>
          <w:rFonts w:ascii="Century Gothic" w:eastAsia="Times New Roman" w:hAnsi="Century Gothic" w:cs="Arial"/>
          <w:color w:val="000000"/>
          <w:sz w:val="24"/>
          <w:szCs w:val="24"/>
          <w:lang w:val="es-ES" w:eastAsia="es-ES"/>
        </w:rPr>
      </w:pPr>
      <w:r>
        <w:rPr>
          <w:rFonts w:ascii="Century Gothic" w:hAnsi="Century Gothic"/>
          <w:sz w:val="24"/>
          <w:szCs w:val="24"/>
          <w:lang w:val="es-ES"/>
        </w:rPr>
        <w:t xml:space="preserve">30. </w:t>
      </w:r>
      <w:r w:rsidR="008C780D">
        <w:rPr>
          <w:rFonts w:ascii="Century Gothic" w:hAnsi="Century Gothic"/>
          <w:sz w:val="24"/>
          <w:szCs w:val="24"/>
          <w:lang w:val="es-ES"/>
        </w:rPr>
        <w:t>S</w:t>
      </w:r>
      <w:r w:rsidR="003872A2" w:rsidRPr="00D3390B">
        <w:rPr>
          <w:rFonts w:ascii="Century Gothic" w:hAnsi="Century Gothic"/>
          <w:sz w:val="24"/>
          <w:szCs w:val="24"/>
          <w:lang w:val="es-ES"/>
        </w:rPr>
        <w:t xml:space="preserve">in embargo, y es aquí donde se encuentra el principal motivo de reproche frente a la atención brindada por la demandada, la existencia </w:t>
      </w:r>
      <w:r w:rsidR="00B66BF2" w:rsidRPr="00D3390B">
        <w:rPr>
          <w:rFonts w:ascii="Century Gothic" w:hAnsi="Century Gothic"/>
          <w:sz w:val="24"/>
          <w:szCs w:val="24"/>
          <w:lang w:val="es-ES"/>
        </w:rPr>
        <w:t xml:space="preserve">de </w:t>
      </w:r>
      <w:r w:rsidR="003872A2" w:rsidRPr="00D3390B">
        <w:rPr>
          <w:rFonts w:ascii="Century Gothic" w:hAnsi="Century Gothic"/>
          <w:sz w:val="24"/>
          <w:szCs w:val="24"/>
          <w:lang w:val="es-ES"/>
        </w:rPr>
        <w:t xml:space="preserve">unos </w:t>
      </w:r>
      <w:r w:rsidR="00B66BF2" w:rsidRPr="00D3390B">
        <w:rPr>
          <w:rFonts w:ascii="Century Gothic" w:hAnsi="Century Gothic"/>
          <w:sz w:val="24"/>
          <w:szCs w:val="24"/>
          <w:lang w:val="es-ES"/>
        </w:rPr>
        <w:t xml:space="preserve">riesgos </w:t>
      </w:r>
      <w:r w:rsidR="003872A2" w:rsidRPr="00D3390B">
        <w:rPr>
          <w:rFonts w:ascii="Century Gothic" w:hAnsi="Century Gothic"/>
          <w:sz w:val="24"/>
          <w:szCs w:val="24"/>
          <w:lang w:val="es-ES"/>
        </w:rPr>
        <w:t>particulares a los que se encontraba expuesta la señora García, los cuales se encuentran anotados en la historia clínica y dejan evidencia de un</w:t>
      </w:r>
      <w:r w:rsidR="00522D71" w:rsidRPr="00D3390B">
        <w:rPr>
          <w:rFonts w:ascii="Century Gothic" w:hAnsi="Century Gothic"/>
          <w:sz w:val="24"/>
          <w:szCs w:val="24"/>
          <w:lang w:val="es-ES"/>
        </w:rPr>
        <w:t>a</w:t>
      </w:r>
      <w:r w:rsidR="003872A2" w:rsidRPr="00D3390B">
        <w:rPr>
          <w:rFonts w:ascii="Century Gothic" w:hAnsi="Century Gothic"/>
          <w:sz w:val="24"/>
          <w:szCs w:val="24"/>
          <w:lang w:val="es-ES"/>
        </w:rPr>
        <w:t xml:space="preserve"> evolución </w:t>
      </w:r>
      <w:r w:rsidR="0004557E" w:rsidRPr="00D3390B">
        <w:rPr>
          <w:rFonts w:ascii="Century Gothic" w:hAnsi="Century Gothic"/>
          <w:sz w:val="24"/>
          <w:szCs w:val="24"/>
          <w:lang w:val="es-ES"/>
        </w:rPr>
        <w:t>desfavorable</w:t>
      </w:r>
      <w:r w:rsidR="003872A2" w:rsidRPr="00D3390B">
        <w:rPr>
          <w:rFonts w:ascii="Century Gothic" w:hAnsi="Century Gothic"/>
          <w:sz w:val="24"/>
          <w:szCs w:val="24"/>
          <w:lang w:val="es-ES"/>
        </w:rPr>
        <w:t xml:space="preserve"> en términos respiratorios </w:t>
      </w:r>
      <w:r w:rsidR="0004557E" w:rsidRPr="00D3390B">
        <w:rPr>
          <w:rFonts w:ascii="Century Gothic" w:hAnsi="Century Gothic"/>
          <w:sz w:val="24"/>
          <w:szCs w:val="24"/>
          <w:lang w:val="es-ES"/>
        </w:rPr>
        <w:t xml:space="preserve">que la hacían especialmente vulnerable a lo que a la postre resultó ser la causa de su deceso, esto es, </w:t>
      </w:r>
      <w:r w:rsidR="00B66BF2" w:rsidRPr="00D3390B">
        <w:rPr>
          <w:rFonts w:ascii="Century Gothic" w:eastAsia="Times New Roman" w:hAnsi="Century Gothic" w:cs="Arial"/>
          <w:color w:val="000000"/>
          <w:sz w:val="24"/>
          <w:szCs w:val="24"/>
          <w:lang w:val="es-ES" w:eastAsia="es-ES"/>
        </w:rPr>
        <w:t>un paro cardiorrespiratorio secundario a una falla ventilatoria por un posible EPOC exacerbado</w:t>
      </w:r>
      <w:r w:rsidR="0004557E" w:rsidRPr="00D3390B">
        <w:rPr>
          <w:rFonts w:ascii="Century Gothic" w:eastAsia="Times New Roman" w:hAnsi="Century Gothic" w:cs="Arial"/>
          <w:color w:val="000000"/>
          <w:sz w:val="24"/>
          <w:szCs w:val="24"/>
          <w:lang w:val="es-ES" w:eastAsia="es-ES"/>
        </w:rPr>
        <w:t>, riesgo cuyo manejo indicado es el seguimiento estricto de la evolución del paciente a partir, necesariamente, de los resultados de los exámenes practicados a</w:t>
      </w:r>
      <w:r w:rsidR="00AD2479" w:rsidRPr="00D3390B">
        <w:rPr>
          <w:rFonts w:ascii="Century Gothic" w:eastAsia="Times New Roman" w:hAnsi="Century Gothic" w:cs="Arial"/>
          <w:color w:val="000000"/>
          <w:sz w:val="24"/>
          <w:szCs w:val="24"/>
          <w:lang w:val="es-ES" w:eastAsia="es-ES"/>
        </w:rPr>
        <w:t xml:space="preserve"> </w:t>
      </w:r>
      <w:r w:rsidR="0004557E" w:rsidRPr="00D3390B">
        <w:rPr>
          <w:rFonts w:ascii="Century Gothic" w:eastAsia="Times New Roman" w:hAnsi="Century Gothic" w:cs="Arial"/>
          <w:color w:val="000000"/>
          <w:sz w:val="24"/>
          <w:szCs w:val="24"/>
          <w:lang w:val="es-ES" w:eastAsia="es-ES"/>
        </w:rPr>
        <w:t>l</w:t>
      </w:r>
      <w:r w:rsidR="00AD2479" w:rsidRPr="00D3390B">
        <w:rPr>
          <w:rFonts w:ascii="Century Gothic" w:eastAsia="Times New Roman" w:hAnsi="Century Gothic" w:cs="Arial"/>
          <w:color w:val="000000"/>
          <w:sz w:val="24"/>
          <w:szCs w:val="24"/>
          <w:lang w:val="es-ES" w:eastAsia="es-ES"/>
        </w:rPr>
        <w:t>a</w:t>
      </w:r>
      <w:r w:rsidR="0004557E" w:rsidRPr="00D3390B">
        <w:rPr>
          <w:rFonts w:ascii="Century Gothic" w:eastAsia="Times New Roman" w:hAnsi="Century Gothic" w:cs="Arial"/>
          <w:color w:val="000000"/>
          <w:sz w:val="24"/>
          <w:szCs w:val="24"/>
          <w:lang w:val="es-ES" w:eastAsia="es-ES"/>
        </w:rPr>
        <w:t xml:space="preserve"> mism</w:t>
      </w:r>
      <w:r w:rsidR="00AD2479" w:rsidRPr="00D3390B">
        <w:rPr>
          <w:rFonts w:ascii="Century Gothic" w:eastAsia="Times New Roman" w:hAnsi="Century Gothic" w:cs="Arial"/>
          <w:color w:val="000000"/>
          <w:sz w:val="24"/>
          <w:szCs w:val="24"/>
          <w:lang w:val="es-ES" w:eastAsia="es-ES"/>
        </w:rPr>
        <w:t>a</w:t>
      </w:r>
      <w:r w:rsidR="0004557E" w:rsidRPr="00D3390B">
        <w:rPr>
          <w:rFonts w:ascii="Century Gothic" w:eastAsia="Times New Roman" w:hAnsi="Century Gothic" w:cs="Arial"/>
          <w:color w:val="000000"/>
          <w:sz w:val="24"/>
          <w:szCs w:val="24"/>
          <w:lang w:val="es-ES" w:eastAsia="es-ES"/>
        </w:rPr>
        <w:t>, los cuales marcan la pauta en</w:t>
      </w:r>
      <w:r w:rsidR="008C780D">
        <w:rPr>
          <w:rFonts w:ascii="Century Gothic" w:eastAsia="Times New Roman" w:hAnsi="Century Gothic" w:cs="Arial"/>
          <w:color w:val="000000"/>
          <w:sz w:val="24"/>
          <w:szCs w:val="24"/>
          <w:lang w:val="es-ES" w:eastAsia="es-ES"/>
        </w:rPr>
        <w:t xml:space="preserve"> cuanto al tratamiento a seguir. A</w:t>
      </w:r>
      <w:r w:rsidR="0004557E" w:rsidRPr="00D3390B">
        <w:rPr>
          <w:rFonts w:ascii="Century Gothic" w:eastAsia="Times New Roman" w:hAnsi="Century Gothic" w:cs="Arial"/>
          <w:color w:val="000000"/>
          <w:sz w:val="24"/>
          <w:szCs w:val="24"/>
          <w:lang w:val="es-ES" w:eastAsia="es-ES"/>
        </w:rPr>
        <w:t xml:space="preserve">sí las cosas, el despacho observa </w:t>
      </w:r>
      <w:proofErr w:type="gramStart"/>
      <w:r w:rsidR="0004557E" w:rsidRPr="00D3390B">
        <w:rPr>
          <w:rFonts w:ascii="Century Gothic" w:eastAsia="Times New Roman" w:hAnsi="Century Gothic" w:cs="Arial"/>
          <w:color w:val="000000"/>
          <w:sz w:val="24"/>
          <w:szCs w:val="24"/>
          <w:lang w:val="es-ES" w:eastAsia="es-ES"/>
        </w:rPr>
        <w:t>que  la</w:t>
      </w:r>
      <w:proofErr w:type="gramEnd"/>
      <w:r w:rsidR="0004557E" w:rsidRPr="00D3390B">
        <w:rPr>
          <w:rFonts w:ascii="Century Gothic" w:eastAsia="Times New Roman" w:hAnsi="Century Gothic" w:cs="Arial"/>
          <w:color w:val="000000"/>
          <w:sz w:val="24"/>
          <w:szCs w:val="24"/>
          <w:lang w:val="es-ES" w:eastAsia="es-ES"/>
        </w:rPr>
        <w:t xml:space="preserve"> accionada no realizó los esfuerzos necesarios para</w:t>
      </w:r>
      <w:r w:rsidR="00B66BF2" w:rsidRPr="00D3390B">
        <w:rPr>
          <w:rFonts w:ascii="Century Gothic" w:eastAsia="Times New Roman" w:hAnsi="Century Gothic" w:cs="Arial"/>
          <w:color w:val="000000"/>
          <w:sz w:val="24"/>
          <w:szCs w:val="24"/>
          <w:lang w:val="es-ES" w:eastAsia="es-ES"/>
        </w:rPr>
        <w:t xml:space="preserve"> </w:t>
      </w:r>
      <w:r w:rsidR="00053CBA" w:rsidRPr="00D3390B">
        <w:rPr>
          <w:rFonts w:ascii="Century Gothic" w:eastAsia="Times New Roman" w:hAnsi="Century Gothic" w:cs="Arial"/>
          <w:color w:val="000000"/>
          <w:sz w:val="24"/>
          <w:szCs w:val="24"/>
          <w:lang w:val="es-ES" w:eastAsia="es-ES"/>
        </w:rPr>
        <w:t xml:space="preserve">contar con los resultados de los exámenes </w:t>
      </w:r>
      <w:r w:rsidR="00B07786" w:rsidRPr="00D3390B">
        <w:rPr>
          <w:rFonts w:ascii="Century Gothic" w:eastAsia="Times New Roman" w:hAnsi="Century Gothic" w:cs="Arial"/>
          <w:color w:val="000000"/>
          <w:sz w:val="24"/>
          <w:szCs w:val="24"/>
          <w:lang w:val="es-ES" w:eastAsia="es-ES"/>
        </w:rPr>
        <w:t xml:space="preserve">de manera oportuna con el fin de </w:t>
      </w:r>
      <w:r w:rsidR="00053CBA" w:rsidRPr="00D3390B">
        <w:rPr>
          <w:rFonts w:ascii="Century Gothic" w:eastAsia="Times New Roman" w:hAnsi="Century Gothic" w:cs="Arial"/>
          <w:color w:val="000000"/>
          <w:sz w:val="24"/>
          <w:szCs w:val="24"/>
          <w:lang w:val="es-ES" w:eastAsia="es-ES"/>
        </w:rPr>
        <w:t xml:space="preserve">verificar un cambio en el manejo </w:t>
      </w:r>
      <w:r w:rsidR="00B07786" w:rsidRPr="00D3390B">
        <w:rPr>
          <w:rFonts w:ascii="Century Gothic" w:eastAsia="Times New Roman" w:hAnsi="Century Gothic" w:cs="Arial"/>
          <w:color w:val="000000"/>
          <w:sz w:val="24"/>
          <w:szCs w:val="24"/>
          <w:lang w:val="es-ES" w:eastAsia="es-ES"/>
        </w:rPr>
        <w:t>médico a seguir.</w:t>
      </w:r>
    </w:p>
    <w:p w14:paraId="11B4623D" w14:textId="53655500" w:rsidR="00A5714D" w:rsidRPr="00D3390B" w:rsidRDefault="00A5714D" w:rsidP="00C62FCF">
      <w:pPr>
        <w:pStyle w:val="Prrafodelista"/>
        <w:spacing w:line="360" w:lineRule="auto"/>
        <w:ind w:left="0"/>
        <w:contextualSpacing w:val="0"/>
        <w:jc w:val="both"/>
        <w:rPr>
          <w:rFonts w:ascii="Century Gothic" w:hAnsi="Century Gothic"/>
        </w:rPr>
      </w:pPr>
    </w:p>
    <w:p w14:paraId="4968A0E6" w14:textId="78D975B9" w:rsidR="00421F1E" w:rsidRPr="00D3390B" w:rsidRDefault="00C2721D" w:rsidP="00C62FCF">
      <w:pPr>
        <w:pStyle w:val="Prrafodelista"/>
        <w:spacing w:line="360" w:lineRule="auto"/>
        <w:ind w:left="0"/>
        <w:contextualSpacing w:val="0"/>
        <w:jc w:val="both"/>
        <w:rPr>
          <w:rFonts w:ascii="Century Gothic" w:hAnsi="Century Gothic"/>
        </w:rPr>
      </w:pPr>
      <w:r>
        <w:rPr>
          <w:rFonts w:ascii="Century Gothic" w:hAnsi="Century Gothic"/>
        </w:rPr>
        <w:t>31.</w:t>
      </w:r>
      <w:r w:rsidR="00B07786" w:rsidRPr="00D3390B">
        <w:rPr>
          <w:rFonts w:ascii="Century Gothic" w:hAnsi="Century Gothic"/>
        </w:rPr>
        <w:t xml:space="preserve"> </w:t>
      </w:r>
      <w:r w:rsidR="001F71AB" w:rsidRPr="00D3390B">
        <w:rPr>
          <w:rFonts w:ascii="Century Gothic" w:hAnsi="Century Gothic"/>
        </w:rPr>
        <w:t xml:space="preserve"> </w:t>
      </w:r>
      <w:r w:rsidR="00D17B34" w:rsidRPr="00D3390B">
        <w:rPr>
          <w:rFonts w:ascii="Century Gothic" w:hAnsi="Century Gothic"/>
        </w:rPr>
        <w:t>El despacho destaca que n</w:t>
      </w:r>
      <w:r w:rsidR="00A5714D" w:rsidRPr="00D3390B">
        <w:rPr>
          <w:rFonts w:ascii="Century Gothic" w:hAnsi="Century Gothic"/>
        </w:rPr>
        <w:t>o</w:t>
      </w:r>
      <w:r w:rsidR="00D836AD" w:rsidRPr="00D3390B">
        <w:rPr>
          <w:rFonts w:ascii="Century Gothic" w:hAnsi="Century Gothic"/>
        </w:rPr>
        <w:t xml:space="preserve"> </w:t>
      </w:r>
      <w:r w:rsidR="00A5714D" w:rsidRPr="00D3390B">
        <w:rPr>
          <w:rFonts w:ascii="Century Gothic" w:hAnsi="Century Gothic"/>
        </w:rPr>
        <w:t xml:space="preserve">se </w:t>
      </w:r>
      <w:r w:rsidR="00D836AD" w:rsidRPr="00D3390B">
        <w:rPr>
          <w:rFonts w:ascii="Century Gothic" w:hAnsi="Century Gothic"/>
        </w:rPr>
        <w:t xml:space="preserve">efectuó un seguimiento al desarrollo de su cuadro médico, de ello da cuenta que la historia clínica </w:t>
      </w:r>
      <w:r w:rsidR="00421F1E" w:rsidRPr="00D3390B">
        <w:rPr>
          <w:rFonts w:ascii="Century Gothic" w:hAnsi="Century Gothic"/>
        </w:rPr>
        <w:t>fue elaborada</w:t>
      </w:r>
      <w:r w:rsidR="00D836AD" w:rsidRPr="00D3390B">
        <w:rPr>
          <w:rFonts w:ascii="Century Gothic" w:hAnsi="Century Gothic"/>
        </w:rPr>
        <w:t xml:space="preserve"> de manera </w:t>
      </w:r>
      <w:r w:rsidR="00421F1E" w:rsidRPr="00D3390B">
        <w:rPr>
          <w:rFonts w:ascii="Century Gothic" w:hAnsi="Century Gothic"/>
        </w:rPr>
        <w:t>incompleta</w:t>
      </w:r>
      <w:r w:rsidR="00D17B34" w:rsidRPr="00D3390B">
        <w:rPr>
          <w:rFonts w:ascii="Century Gothic" w:hAnsi="Century Gothic"/>
        </w:rPr>
        <w:t>,</w:t>
      </w:r>
      <w:r w:rsidR="00D836AD" w:rsidRPr="00D3390B">
        <w:rPr>
          <w:rFonts w:ascii="Century Gothic" w:hAnsi="Century Gothic"/>
        </w:rPr>
        <w:t xml:space="preserve"> pues faltan notas por parte del médico tratante </w:t>
      </w:r>
      <w:r w:rsidR="00421F1E" w:rsidRPr="00D3390B">
        <w:rPr>
          <w:rFonts w:ascii="Century Gothic" w:hAnsi="Century Gothic"/>
        </w:rPr>
        <w:t xml:space="preserve">en palabras de la perito no hay correlación clínica y médico legal, las notas de enfermería revelan ordenamientos y solicitudes realizadas por personal médico, como la toma de rayos X de tórax, el inicio de </w:t>
      </w:r>
      <w:proofErr w:type="spellStart"/>
      <w:r w:rsidR="00421F1E" w:rsidRPr="00D3390B">
        <w:rPr>
          <w:rFonts w:ascii="Century Gothic" w:hAnsi="Century Gothic"/>
        </w:rPr>
        <w:t>Berodual</w:t>
      </w:r>
      <w:proofErr w:type="spellEnd"/>
      <w:r w:rsidR="00421F1E" w:rsidRPr="00D3390B">
        <w:rPr>
          <w:rFonts w:ascii="Century Gothic" w:hAnsi="Century Gothic"/>
        </w:rPr>
        <w:t>, el servicio de terapia respiratoria y la remisión solicitada a otra institución, las cuales constan en dichas hojas de enfermería, mas no se evidencia historia clínica o notas médicas firmadas por éstos, lo cual impidió tener un seguimiento adecuado y congruente al caso de la señora.</w:t>
      </w:r>
    </w:p>
    <w:p w14:paraId="540D30C0" w14:textId="77777777" w:rsidR="00421F1E" w:rsidRPr="00D3390B" w:rsidRDefault="00421F1E" w:rsidP="00C62FCF">
      <w:pPr>
        <w:pStyle w:val="Prrafodelista"/>
        <w:spacing w:line="360" w:lineRule="auto"/>
        <w:ind w:left="0"/>
        <w:contextualSpacing w:val="0"/>
        <w:jc w:val="both"/>
        <w:rPr>
          <w:rFonts w:ascii="Century Gothic" w:hAnsi="Century Gothic"/>
        </w:rPr>
      </w:pPr>
    </w:p>
    <w:p w14:paraId="77506C87" w14:textId="10A3C439" w:rsidR="00D836AD" w:rsidRPr="00D3390B" w:rsidRDefault="001F71AB" w:rsidP="00C62FCF">
      <w:pPr>
        <w:pStyle w:val="Prrafodelista"/>
        <w:spacing w:line="360" w:lineRule="auto"/>
        <w:ind w:left="0"/>
        <w:contextualSpacing w:val="0"/>
        <w:jc w:val="both"/>
        <w:rPr>
          <w:rFonts w:ascii="Century Gothic" w:hAnsi="Century Gothic"/>
        </w:rPr>
      </w:pPr>
      <w:r w:rsidRPr="00D3390B">
        <w:rPr>
          <w:rFonts w:ascii="Century Gothic" w:hAnsi="Century Gothic"/>
        </w:rPr>
        <w:t>3</w:t>
      </w:r>
      <w:r w:rsidR="00C2721D">
        <w:rPr>
          <w:rFonts w:ascii="Century Gothic" w:hAnsi="Century Gothic"/>
        </w:rPr>
        <w:t>2</w:t>
      </w:r>
      <w:r w:rsidRPr="00D3390B">
        <w:rPr>
          <w:rFonts w:ascii="Century Gothic" w:hAnsi="Century Gothic"/>
        </w:rPr>
        <w:t xml:space="preserve">. </w:t>
      </w:r>
      <w:r w:rsidR="00421F1E" w:rsidRPr="00D3390B">
        <w:rPr>
          <w:rFonts w:ascii="Century Gothic" w:hAnsi="Century Gothic"/>
        </w:rPr>
        <w:t>Además</w:t>
      </w:r>
      <w:r w:rsidR="008F7C3D">
        <w:rPr>
          <w:rFonts w:ascii="Century Gothic" w:hAnsi="Century Gothic"/>
        </w:rPr>
        <w:t>,</w:t>
      </w:r>
      <w:r w:rsidR="00421F1E" w:rsidRPr="00D3390B">
        <w:rPr>
          <w:rFonts w:ascii="Century Gothic" w:hAnsi="Century Gothic"/>
        </w:rPr>
        <w:t xml:space="preserve"> </w:t>
      </w:r>
      <w:r w:rsidR="00D836AD" w:rsidRPr="00D3390B">
        <w:rPr>
          <w:rFonts w:ascii="Century Gothic" w:hAnsi="Century Gothic"/>
        </w:rPr>
        <w:t xml:space="preserve">no se efectuó con prontitud la remisión a un centro de mayor complejidad aunque el personal </w:t>
      </w:r>
      <w:r w:rsidR="00B66BF2" w:rsidRPr="00D3390B">
        <w:rPr>
          <w:rFonts w:ascii="Century Gothic" w:hAnsi="Century Gothic"/>
        </w:rPr>
        <w:t xml:space="preserve">médico </w:t>
      </w:r>
      <w:r w:rsidR="00D836AD" w:rsidRPr="00D3390B">
        <w:rPr>
          <w:rFonts w:ascii="Century Gothic" w:hAnsi="Century Gothic"/>
        </w:rPr>
        <w:t xml:space="preserve">era consciente de sus limitaciones </w:t>
      </w:r>
      <w:r w:rsidR="00B66BF2" w:rsidRPr="00D3390B">
        <w:rPr>
          <w:rFonts w:ascii="Century Gothic" w:hAnsi="Century Gothic"/>
        </w:rPr>
        <w:t xml:space="preserve">y dados los antecedentes de la paciente, comorbilidades previas como la HTA, F.A, anticoagulación, trombosis venosa profunda, EPOC, su edad avanzada, el incremento e intensidad de los síntomas como la taquipnea </w:t>
      </w:r>
      <w:r w:rsidR="00B66BF2" w:rsidRPr="00D3390B">
        <w:rPr>
          <w:rFonts w:ascii="Century Gothic" w:hAnsi="Century Gothic"/>
        </w:rPr>
        <w:lastRenderedPageBreak/>
        <w:t xml:space="preserve">persistente, el uso de músculos accesorios, y en sí una pobre respuesta al manejo médico inicial, sumándole a ello el no contar con servicio de imagenología </w:t>
      </w:r>
      <w:r w:rsidR="00D836AD" w:rsidRPr="00D3390B">
        <w:rPr>
          <w:rFonts w:ascii="Century Gothic" w:hAnsi="Century Gothic"/>
        </w:rPr>
        <w:t xml:space="preserve">solo </w:t>
      </w:r>
      <w:r w:rsidR="00421F1E" w:rsidRPr="00D3390B">
        <w:rPr>
          <w:rFonts w:ascii="Century Gothic" w:hAnsi="Century Gothic"/>
        </w:rPr>
        <w:t xml:space="preserve">casi </w:t>
      </w:r>
      <w:r w:rsidR="00D836AD" w:rsidRPr="00D3390B">
        <w:rPr>
          <w:rFonts w:ascii="Century Gothic" w:hAnsi="Century Gothic"/>
        </w:rPr>
        <w:t xml:space="preserve">seis horas después del ingreso de la paciente </w:t>
      </w:r>
      <w:r w:rsidR="00B66BF2" w:rsidRPr="00D3390B">
        <w:rPr>
          <w:rFonts w:ascii="Century Gothic" w:hAnsi="Century Gothic"/>
        </w:rPr>
        <w:t xml:space="preserve">se </w:t>
      </w:r>
      <w:r w:rsidR="00D836AD" w:rsidRPr="00D3390B">
        <w:rPr>
          <w:rFonts w:ascii="Century Gothic" w:hAnsi="Century Gothic"/>
        </w:rPr>
        <w:t xml:space="preserve">decidió iniciar el proceso de referencia sin que en el plenario se evidencia </w:t>
      </w:r>
      <w:r w:rsidR="00B66BF2" w:rsidRPr="00D3390B">
        <w:rPr>
          <w:rFonts w:ascii="Century Gothic" w:hAnsi="Century Gothic"/>
        </w:rPr>
        <w:t xml:space="preserve">la </w:t>
      </w:r>
      <w:r w:rsidR="005D2EDF">
        <w:rPr>
          <w:rFonts w:ascii="Century Gothic" w:hAnsi="Century Gothic"/>
        </w:rPr>
        <w:t>c</w:t>
      </w:r>
      <w:r w:rsidR="00261F8D" w:rsidRPr="00D3390B">
        <w:rPr>
          <w:rFonts w:ascii="Century Gothic" w:hAnsi="Century Gothic"/>
        </w:rPr>
        <w:t>ontra referencia</w:t>
      </w:r>
      <w:r w:rsidR="00261F8D">
        <w:rPr>
          <w:rFonts w:ascii="Century Gothic" w:hAnsi="Century Gothic"/>
        </w:rPr>
        <w:t>.</w:t>
      </w:r>
      <w:r w:rsidR="00B66BF2" w:rsidRPr="00D3390B">
        <w:rPr>
          <w:rFonts w:ascii="Century Gothic" w:hAnsi="Century Gothic"/>
        </w:rPr>
        <w:t xml:space="preserve"> </w:t>
      </w:r>
    </w:p>
    <w:p w14:paraId="58BE3111" w14:textId="77777777" w:rsidR="00B147F1" w:rsidRPr="00D3390B" w:rsidRDefault="00B147F1" w:rsidP="00C62FCF">
      <w:pPr>
        <w:pStyle w:val="Prrafodelista"/>
        <w:spacing w:line="360" w:lineRule="auto"/>
        <w:ind w:left="0"/>
        <w:contextualSpacing w:val="0"/>
        <w:jc w:val="both"/>
        <w:rPr>
          <w:rFonts w:ascii="Century Gothic" w:hAnsi="Century Gothic"/>
          <w:b/>
        </w:rPr>
      </w:pPr>
    </w:p>
    <w:p w14:paraId="1861DBA9" w14:textId="27B263F1" w:rsidR="00132D28" w:rsidRPr="00D3390B" w:rsidRDefault="001F71AB" w:rsidP="00C62FCF">
      <w:pPr>
        <w:pStyle w:val="Prrafodelista"/>
        <w:spacing w:line="360" w:lineRule="auto"/>
        <w:ind w:left="0"/>
        <w:contextualSpacing w:val="0"/>
        <w:jc w:val="both"/>
        <w:rPr>
          <w:rFonts w:ascii="Century Gothic" w:hAnsi="Century Gothic"/>
          <w:b/>
        </w:rPr>
      </w:pPr>
      <w:r w:rsidRPr="00D3390B">
        <w:rPr>
          <w:rFonts w:ascii="Century Gothic" w:hAnsi="Century Gothic"/>
        </w:rPr>
        <w:t>3</w:t>
      </w:r>
      <w:r w:rsidR="009271B8">
        <w:rPr>
          <w:rFonts w:ascii="Century Gothic" w:hAnsi="Century Gothic"/>
        </w:rPr>
        <w:t>3</w:t>
      </w:r>
      <w:r w:rsidRPr="00D3390B">
        <w:rPr>
          <w:rFonts w:ascii="Century Gothic" w:hAnsi="Century Gothic"/>
        </w:rPr>
        <w:t>.</w:t>
      </w:r>
      <w:r w:rsidRPr="00D3390B">
        <w:rPr>
          <w:rFonts w:ascii="Century Gothic" w:hAnsi="Century Gothic"/>
          <w:b/>
        </w:rPr>
        <w:t xml:space="preserve"> </w:t>
      </w:r>
      <w:r w:rsidR="001F762E" w:rsidRPr="00D3390B">
        <w:rPr>
          <w:rFonts w:ascii="Century Gothic" w:hAnsi="Century Gothic"/>
          <w:b/>
        </w:rPr>
        <w:t>En conclusión</w:t>
      </w:r>
      <w:r w:rsidR="00D30133" w:rsidRPr="00D3390B">
        <w:rPr>
          <w:rFonts w:ascii="Century Gothic" w:hAnsi="Century Gothic"/>
        </w:rPr>
        <w:t xml:space="preserve"> el manejo dado resultó</w:t>
      </w:r>
      <w:r w:rsidR="001F762E" w:rsidRPr="00D3390B">
        <w:rPr>
          <w:rFonts w:ascii="Century Gothic" w:hAnsi="Century Gothic"/>
        </w:rPr>
        <w:t xml:space="preserve"> inadecuado y determinante en la causación del daño.</w:t>
      </w:r>
    </w:p>
    <w:p w14:paraId="767F09B4" w14:textId="77777777" w:rsidR="00132D28" w:rsidRPr="00D3390B" w:rsidRDefault="00132D28" w:rsidP="00C62FCF">
      <w:pPr>
        <w:spacing w:after="0" w:line="360" w:lineRule="auto"/>
        <w:jc w:val="both"/>
        <w:rPr>
          <w:rFonts w:ascii="Century Gothic" w:eastAsia="Times New Roman" w:hAnsi="Century Gothic" w:cs="Arial"/>
          <w:color w:val="000000"/>
          <w:sz w:val="24"/>
          <w:szCs w:val="24"/>
          <w:lang w:val="es-ES" w:eastAsia="es-ES"/>
        </w:rPr>
      </w:pPr>
    </w:p>
    <w:p w14:paraId="7C5DE138" w14:textId="7B154B3D" w:rsidR="00347D7A" w:rsidRPr="00D3390B" w:rsidRDefault="001F71AB" w:rsidP="00C62FCF">
      <w:pPr>
        <w:spacing w:after="0" w:line="360" w:lineRule="auto"/>
        <w:jc w:val="both"/>
        <w:rPr>
          <w:rFonts w:ascii="Century Gothic" w:hAnsi="Century Gothic" w:cs="Tahoma"/>
          <w:sz w:val="24"/>
          <w:szCs w:val="24"/>
          <w:lang w:val="es-ES"/>
        </w:rPr>
      </w:pPr>
      <w:r w:rsidRPr="00D3390B">
        <w:rPr>
          <w:rFonts w:ascii="Century Gothic" w:eastAsia="Times New Roman" w:hAnsi="Century Gothic" w:cs="Arial"/>
          <w:color w:val="000000"/>
          <w:sz w:val="24"/>
          <w:szCs w:val="24"/>
          <w:lang w:val="es-ES" w:eastAsia="es-ES"/>
        </w:rPr>
        <w:t>3</w:t>
      </w:r>
      <w:r w:rsidR="009271B8">
        <w:rPr>
          <w:rFonts w:ascii="Century Gothic" w:eastAsia="Times New Roman" w:hAnsi="Century Gothic" w:cs="Arial"/>
          <w:color w:val="000000"/>
          <w:sz w:val="24"/>
          <w:szCs w:val="24"/>
          <w:lang w:val="es-ES" w:eastAsia="es-ES"/>
        </w:rPr>
        <w:t>4</w:t>
      </w:r>
      <w:r w:rsidRPr="00D3390B">
        <w:rPr>
          <w:rFonts w:ascii="Century Gothic" w:eastAsia="Times New Roman" w:hAnsi="Century Gothic" w:cs="Arial"/>
          <w:color w:val="000000"/>
          <w:sz w:val="24"/>
          <w:szCs w:val="24"/>
          <w:lang w:val="es-ES" w:eastAsia="es-ES"/>
        </w:rPr>
        <w:t xml:space="preserve">. </w:t>
      </w:r>
      <w:r w:rsidR="00347D7A" w:rsidRPr="00D3390B">
        <w:rPr>
          <w:rFonts w:ascii="Century Gothic" w:eastAsia="Times New Roman" w:hAnsi="Century Gothic" w:cs="Arial"/>
          <w:color w:val="000000"/>
          <w:sz w:val="24"/>
          <w:szCs w:val="24"/>
          <w:lang w:val="es-ES" w:eastAsia="es-ES"/>
        </w:rPr>
        <w:t xml:space="preserve">Por lo anterior, el despacho declarará administrativamente responsable a la Nación – Ministerio de Defensa Nacional – Ejército Nacional – Dirección de Sanidad, por los daños </w:t>
      </w:r>
      <w:r w:rsidR="00973773" w:rsidRPr="00D3390B">
        <w:rPr>
          <w:rFonts w:ascii="Century Gothic" w:eastAsia="Times New Roman" w:hAnsi="Century Gothic" w:cs="Arial"/>
          <w:color w:val="000000"/>
          <w:sz w:val="24"/>
          <w:szCs w:val="24"/>
          <w:lang w:val="es-ES" w:eastAsia="es-ES"/>
        </w:rPr>
        <w:t>causados</w:t>
      </w:r>
      <w:r w:rsidR="00347D7A" w:rsidRPr="00D3390B">
        <w:rPr>
          <w:rFonts w:ascii="Century Gothic" w:eastAsia="Times New Roman" w:hAnsi="Century Gothic" w:cs="Arial"/>
          <w:color w:val="000000"/>
          <w:sz w:val="24"/>
          <w:szCs w:val="24"/>
          <w:lang w:val="es-ES" w:eastAsia="es-ES"/>
        </w:rPr>
        <w:t xml:space="preserve"> a los demandantes con motivo de la atención médica y posterior muerte de la señora </w:t>
      </w:r>
      <w:r w:rsidR="00347D7A" w:rsidRPr="00D3390B">
        <w:rPr>
          <w:rFonts w:ascii="Century Gothic" w:hAnsi="Century Gothic" w:cs="Tahoma"/>
          <w:sz w:val="24"/>
          <w:szCs w:val="24"/>
          <w:lang w:val="es-ES"/>
        </w:rPr>
        <w:t>María Leonilde García.</w:t>
      </w:r>
    </w:p>
    <w:p w14:paraId="2E0D40C4" w14:textId="77777777" w:rsidR="00347D7A" w:rsidRPr="00D3390B" w:rsidRDefault="00347D7A" w:rsidP="00C62FCF">
      <w:pPr>
        <w:spacing w:after="0" w:line="360" w:lineRule="auto"/>
        <w:jc w:val="both"/>
        <w:rPr>
          <w:rFonts w:ascii="Century Gothic" w:hAnsi="Century Gothic" w:cs="Tahoma"/>
          <w:sz w:val="24"/>
          <w:szCs w:val="24"/>
          <w:lang w:val="es-ES"/>
        </w:rPr>
      </w:pPr>
    </w:p>
    <w:p w14:paraId="4D7A7119" w14:textId="48299AEC" w:rsidR="00347D7A" w:rsidRPr="00D3390B" w:rsidRDefault="004B714F" w:rsidP="00C62FCF">
      <w:pPr>
        <w:spacing w:after="0" w:line="360" w:lineRule="auto"/>
        <w:jc w:val="both"/>
        <w:rPr>
          <w:rFonts w:ascii="Century Gothic" w:hAnsi="Century Gothic" w:cs="Tahoma"/>
          <w:b/>
          <w:sz w:val="24"/>
          <w:szCs w:val="24"/>
          <w:lang w:val="es-ES"/>
        </w:rPr>
      </w:pPr>
      <w:r w:rsidRPr="00D3390B">
        <w:rPr>
          <w:rFonts w:ascii="Century Gothic" w:hAnsi="Century Gothic" w:cs="Tahoma"/>
          <w:b/>
          <w:sz w:val="24"/>
          <w:szCs w:val="24"/>
          <w:lang w:val="es-ES"/>
        </w:rPr>
        <w:t>11</w:t>
      </w:r>
      <w:r w:rsidR="00FB1593" w:rsidRPr="00D3390B">
        <w:rPr>
          <w:rFonts w:ascii="Century Gothic" w:hAnsi="Century Gothic" w:cs="Tahoma"/>
          <w:b/>
          <w:sz w:val="24"/>
          <w:szCs w:val="24"/>
          <w:lang w:val="es-ES"/>
        </w:rPr>
        <w:t>. Indemnización de perjuicios</w:t>
      </w:r>
    </w:p>
    <w:p w14:paraId="6AA82D00" w14:textId="77777777" w:rsidR="004B714F" w:rsidRPr="00D3390B" w:rsidRDefault="004B714F" w:rsidP="00C62FCF">
      <w:pPr>
        <w:spacing w:after="0" w:line="360" w:lineRule="auto"/>
        <w:jc w:val="both"/>
        <w:rPr>
          <w:rFonts w:ascii="Century Gothic" w:eastAsia="Times New Roman" w:hAnsi="Century Gothic" w:cs="Arial"/>
          <w:color w:val="000000"/>
          <w:sz w:val="24"/>
          <w:szCs w:val="24"/>
          <w:lang w:val="es-ES" w:eastAsia="es-ES"/>
        </w:rPr>
      </w:pPr>
    </w:p>
    <w:p w14:paraId="01DFA55F" w14:textId="50D35202" w:rsidR="00FB1593" w:rsidRPr="00D3390B" w:rsidRDefault="004B714F" w:rsidP="00C62FCF">
      <w:pPr>
        <w:spacing w:after="0" w:line="360" w:lineRule="auto"/>
        <w:jc w:val="both"/>
        <w:rPr>
          <w:rFonts w:ascii="Century Gothic" w:eastAsia="Times New Roman" w:hAnsi="Century Gothic" w:cs="Arial"/>
          <w:b/>
          <w:color w:val="000000"/>
          <w:sz w:val="24"/>
          <w:szCs w:val="24"/>
          <w:lang w:val="es-ES" w:eastAsia="es-ES"/>
        </w:rPr>
      </w:pPr>
      <w:r w:rsidRPr="00D3390B">
        <w:rPr>
          <w:rFonts w:ascii="Century Gothic" w:eastAsia="Times New Roman" w:hAnsi="Century Gothic" w:cs="Arial"/>
          <w:b/>
          <w:color w:val="000000"/>
          <w:sz w:val="24"/>
          <w:szCs w:val="24"/>
          <w:lang w:val="es-ES" w:eastAsia="es-ES"/>
        </w:rPr>
        <w:t>11</w:t>
      </w:r>
      <w:r w:rsidR="00FB1593" w:rsidRPr="00D3390B">
        <w:rPr>
          <w:rFonts w:ascii="Century Gothic" w:eastAsia="Times New Roman" w:hAnsi="Century Gothic" w:cs="Arial"/>
          <w:b/>
          <w:color w:val="000000"/>
          <w:sz w:val="24"/>
          <w:szCs w:val="24"/>
          <w:lang w:val="es-ES" w:eastAsia="es-ES"/>
        </w:rPr>
        <w:t>.1. Perjuicios inmateriales</w:t>
      </w:r>
    </w:p>
    <w:p w14:paraId="23F764FF" w14:textId="77777777" w:rsidR="00945720" w:rsidRPr="00D3390B" w:rsidRDefault="00945720" w:rsidP="00C62FCF">
      <w:pPr>
        <w:spacing w:after="0" w:line="360" w:lineRule="auto"/>
        <w:jc w:val="both"/>
        <w:rPr>
          <w:rFonts w:ascii="Century Gothic" w:eastAsia="Times New Roman" w:hAnsi="Century Gothic" w:cs="Arial"/>
          <w:b/>
          <w:color w:val="000000"/>
          <w:sz w:val="24"/>
          <w:szCs w:val="24"/>
          <w:lang w:val="es-ES" w:eastAsia="es-ES"/>
        </w:rPr>
      </w:pPr>
    </w:p>
    <w:p w14:paraId="64EA4527" w14:textId="5F1AA8A3" w:rsidR="00945720" w:rsidRPr="00D3390B" w:rsidRDefault="004B714F" w:rsidP="00C62FCF">
      <w:pPr>
        <w:spacing w:after="0" w:line="360" w:lineRule="auto"/>
        <w:jc w:val="both"/>
        <w:rPr>
          <w:rFonts w:ascii="Century Gothic" w:eastAsia="Times New Roman" w:hAnsi="Century Gothic" w:cs="Arial"/>
          <w:b/>
          <w:color w:val="000000"/>
          <w:sz w:val="24"/>
          <w:szCs w:val="24"/>
          <w:lang w:val="es-ES" w:eastAsia="es-ES"/>
        </w:rPr>
      </w:pPr>
      <w:r w:rsidRPr="00D3390B">
        <w:rPr>
          <w:rFonts w:ascii="Century Gothic" w:eastAsia="Times New Roman" w:hAnsi="Century Gothic" w:cs="Arial"/>
          <w:b/>
          <w:color w:val="000000"/>
          <w:sz w:val="24"/>
          <w:szCs w:val="24"/>
          <w:lang w:val="es-ES" w:eastAsia="es-ES"/>
        </w:rPr>
        <w:t>11</w:t>
      </w:r>
      <w:r w:rsidR="00945720" w:rsidRPr="00D3390B">
        <w:rPr>
          <w:rFonts w:ascii="Century Gothic" w:eastAsia="Times New Roman" w:hAnsi="Century Gothic" w:cs="Arial"/>
          <w:b/>
          <w:color w:val="000000"/>
          <w:sz w:val="24"/>
          <w:szCs w:val="24"/>
          <w:lang w:val="es-ES" w:eastAsia="es-ES"/>
        </w:rPr>
        <w:t>.1.</w:t>
      </w:r>
      <w:r w:rsidR="006167A3" w:rsidRPr="00D3390B">
        <w:rPr>
          <w:rFonts w:ascii="Century Gothic" w:eastAsia="Times New Roman" w:hAnsi="Century Gothic" w:cs="Arial"/>
          <w:b/>
          <w:color w:val="000000"/>
          <w:sz w:val="24"/>
          <w:szCs w:val="24"/>
          <w:lang w:val="es-ES" w:eastAsia="es-ES"/>
        </w:rPr>
        <w:t>1.</w:t>
      </w:r>
      <w:r w:rsidR="00945720" w:rsidRPr="00D3390B">
        <w:rPr>
          <w:rFonts w:ascii="Century Gothic" w:eastAsia="Times New Roman" w:hAnsi="Century Gothic" w:cs="Arial"/>
          <w:b/>
          <w:color w:val="000000"/>
          <w:sz w:val="24"/>
          <w:szCs w:val="24"/>
          <w:lang w:val="es-ES" w:eastAsia="es-ES"/>
        </w:rPr>
        <w:t xml:space="preserve"> Perjuicios morales </w:t>
      </w:r>
    </w:p>
    <w:p w14:paraId="68189C5D" w14:textId="77777777" w:rsidR="00945720" w:rsidRPr="00D3390B" w:rsidRDefault="00945720" w:rsidP="00C62FCF">
      <w:pPr>
        <w:spacing w:after="0" w:line="360" w:lineRule="auto"/>
        <w:jc w:val="both"/>
        <w:rPr>
          <w:rFonts w:ascii="Century Gothic" w:eastAsia="Times New Roman" w:hAnsi="Century Gothic" w:cs="Arial"/>
          <w:color w:val="000000"/>
          <w:sz w:val="24"/>
          <w:szCs w:val="24"/>
          <w:lang w:val="es-ES" w:eastAsia="es-ES"/>
        </w:rPr>
      </w:pPr>
    </w:p>
    <w:p w14:paraId="4D9505B2" w14:textId="0C9A8F34" w:rsidR="00945720" w:rsidRPr="00D3390B" w:rsidRDefault="001F71AB" w:rsidP="00C62FCF">
      <w:pPr>
        <w:tabs>
          <w:tab w:val="left" w:pos="926"/>
        </w:tabs>
        <w:spacing w:after="0" w:line="360" w:lineRule="auto"/>
        <w:jc w:val="both"/>
        <w:rPr>
          <w:rFonts w:ascii="Century Gothic" w:hAnsi="Century Gothic" w:cs="Arial"/>
          <w:color w:val="000000"/>
          <w:sz w:val="24"/>
          <w:szCs w:val="24"/>
          <w:lang w:val="es-ES" w:eastAsia="es-ES"/>
        </w:rPr>
      </w:pPr>
      <w:r w:rsidRPr="00D3390B">
        <w:rPr>
          <w:rStyle w:val="FontStyle17"/>
          <w:rFonts w:ascii="Century Gothic" w:hAnsi="Century Gothic"/>
          <w:sz w:val="24"/>
          <w:szCs w:val="24"/>
          <w:lang w:val="es-ES" w:eastAsia="es-ES_tradnl"/>
        </w:rPr>
        <w:t>3</w:t>
      </w:r>
      <w:r w:rsidR="009271B8">
        <w:rPr>
          <w:rStyle w:val="FontStyle17"/>
          <w:rFonts w:ascii="Century Gothic" w:hAnsi="Century Gothic"/>
          <w:sz w:val="24"/>
          <w:szCs w:val="24"/>
          <w:lang w:val="es-ES" w:eastAsia="es-ES_tradnl"/>
        </w:rPr>
        <w:t>5</w:t>
      </w:r>
      <w:r w:rsidRPr="00D3390B">
        <w:rPr>
          <w:rStyle w:val="FontStyle17"/>
          <w:rFonts w:ascii="Century Gothic" w:hAnsi="Century Gothic"/>
          <w:sz w:val="24"/>
          <w:szCs w:val="24"/>
          <w:lang w:val="es-ES" w:eastAsia="es-ES_tradnl"/>
        </w:rPr>
        <w:t xml:space="preserve">. </w:t>
      </w:r>
      <w:r w:rsidR="00945720" w:rsidRPr="00D3390B">
        <w:rPr>
          <w:rStyle w:val="FontStyle17"/>
          <w:rFonts w:ascii="Century Gothic" w:hAnsi="Century Gothic"/>
          <w:sz w:val="24"/>
          <w:szCs w:val="24"/>
          <w:lang w:val="es-ES" w:eastAsia="es-ES_tradnl"/>
        </w:rPr>
        <w:t xml:space="preserve">Teniendo en cuenta los hechos probados en el proceso y el daño causado con la muerte de la señora </w:t>
      </w:r>
      <w:r w:rsidR="00945720" w:rsidRPr="00D3390B">
        <w:rPr>
          <w:rFonts w:ascii="Century Gothic" w:hAnsi="Century Gothic" w:cs="Tahoma"/>
          <w:sz w:val="24"/>
          <w:szCs w:val="24"/>
          <w:lang w:val="es-ES"/>
        </w:rPr>
        <w:t>María Leonilde García</w:t>
      </w:r>
      <w:r w:rsidR="00945720" w:rsidRPr="00D3390B">
        <w:rPr>
          <w:rFonts w:ascii="Century Gothic" w:hAnsi="Century Gothic" w:cs="Arial"/>
          <w:b/>
          <w:sz w:val="24"/>
          <w:szCs w:val="24"/>
          <w:lang w:val="es-ES"/>
        </w:rPr>
        <w:t>,</w:t>
      </w:r>
      <w:r w:rsidR="00945720" w:rsidRPr="00D3390B">
        <w:rPr>
          <w:rStyle w:val="FontStyle17"/>
          <w:rFonts w:ascii="Century Gothic" w:hAnsi="Century Gothic"/>
          <w:sz w:val="24"/>
          <w:szCs w:val="24"/>
          <w:lang w:val="es-ES" w:eastAsia="es-ES_tradnl"/>
        </w:rPr>
        <w:t xml:space="preserve"> se reconocerá a favor de sus hijos, </w:t>
      </w:r>
      <w:r w:rsidR="00945720" w:rsidRPr="00D3390B">
        <w:rPr>
          <w:rFonts w:ascii="Century Gothic" w:hAnsi="Century Gothic" w:cs="Arial"/>
          <w:color w:val="000000"/>
          <w:sz w:val="24"/>
          <w:szCs w:val="24"/>
          <w:lang w:val="es-ES" w:eastAsia="es-ES"/>
        </w:rPr>
        <w:t>a título de daño moral lo</w:t>
      </w:r>
      <w:r w:rsidR="00945720" w:rsidRPr="00D3390B">
        <w:rPr>
          <w:rFonts w:ascii="Century Gothic" w:hAnsi="Century Gothic" w:cs="Arial"/>
          <w:sz w:val="24"/>
          <w:szCs w:val="24"/>
          <w:lang w:val="es-ES"/>
        </w:rPr>
        <w:t xml:space="preserve"> </w:t>
      </w:r>
      <w:r w:rsidR="00945720" w:rsidRPr="00D3390B">
        <w:rPr>
          <w:rFonts w:ascii="Century Gothic" w:hAnsi="Century Gothic" w:cs="Arial"/>
          <w:color w:val="000000"/>
          <w:sz w:val="24"/>
          <w:szCs w:val="24"/>
          <w:lang w:val="es-ES" w:eastAsia="es-ES"/>
        </w:rPr>
        <w:t>correspondiente a en SMLMV</w:t>
      </w:r>
      <w:r w:rsidR="00945720" w:rsidRPr="00D3390B">
        <w:rPr>
          <w:rStyle w:val="Refdenotaalpie"/>
          <w:rFonts w:ascii="Century Gothic" w:hAnsi="Century Gothic"/>
          <w:color w:val="000000"/>
          <w:sz w:val="24"/>
          <w:szCs w:val="24"/>
          <w:lang w:val="es-ES" w:eastAsia="es-ES"/>
        </w:rPr>
        <w:footnoteReference w:id="15"/>
      </w:r>
      <w:r w:rsidR="00945720" w:rsidRPr="00D3390B">
        <w:rPr>
          <w:rFonts w:ascii="Century Gothic" w:hAnsi="Century Gothic" w:cs="Arial"/>
          <w:color w:val="000000"/>
          <w:sz w:val="24"/>
          <w:szCs w:val="24"/>
          <w:lang w:val="es-ES" w:eastAsia="es-ES"/>
        </w:rPr>
        <w:t xml:space="preserve"> conforme a lo señalado por </w:t>
      </w:r>
      <w:proofErr w:type="gramStart"/>
      <w:r w:rsidR="00945720" w:rsidRPr="00D3390B">
        <w:rPr>
          <w:rFonts w:ascii="Century Gothic" w:hAnsi="Century Gothic" w:cs="Arial"/>
          <w:color w:val="000000"/>
          <w:sz w:val="24"/>
          <w:szCs w:val="24"/>
          <w:lang w:val="es-ES" w:eastAsia="es-ES"/>
        </w:rPr>
        <w:t>las sentencia</w:t>
      </w:r>
      <w:proofErr w:type="gramEnd"/>
      <w:r w:rsidR="00945720" w:rsidRPr="00D3390B">
        <w:rPr>
          <w:rFonts w:ascii="Century Gothic" w:hAnsi="Century Gothic" w:cs="Arial"/>
          <w:color w:val="000000"/>
          <w:sz w:val="24"/>
          <w:szCs w:val="24"/>
          <w:lang w:val="es-ES" w:eastAsia="es-ES"/>
        </w:rPr>
        <w:t xml:space="preserve"> de unificación proferida por el Consejo de Estado</w:t>
      </w:r>
      <w:r w:rsidR="00945720" w:rsidRPr="00D3390B">
        <w:rPr>
          <w:rStyle w:val="Refdenotaalpie"/>
          <w:rFonts w:ascii="Century Gothic" w:hAnsi="Century Gothic" w:cs="Arial"/>
          <w:color w:val="000000"/>
          <w:sz w:val="24"/>
          <w:szCs w:val="24"/>
          <w:lang w:val="es-ES" w:eastAsia="es-ES"/>
        </w:rPr>
        <w:footnoteReference w:id="16"/>
      </w:r>
      <w:r w:rsidR="000F6AB0" w:rsidRPr="00D3390B">
        <w:rPr>
          <w:rFonts w:ascii="Century Gothic" w:hAnsi="Century Gothic" w:cs="Arial"/>
          <w:color w:val="000000"/>
          <w:sz w:val="24"/>
          <w:szCs w:val="24"/>
          <w:lang w:val="es-ES" w:eastAsia="es-ES"/>
        </w:rPr>
        <w:t>.</w:t>
      </w:r>
    </w:p>
    <w:p w14:paraId="3AB7B7E1" w14:textId="77777777" w:rsidR="000F6AB0" w:rsidRPr="00D3390B" w:rsidRDefault="000F6AB0" w:rsidP="00C62FCF">
      <w:pPr>
        <w:tabs>
          <w:tab w:val="left" w:pos="926"/>
        </w:tabs>
        <w:spacing w:after="0" w:line="360" w:lineRule="auto"/>
        <w:jc w:val="both"/>
        <w:rPr>
          <w:rFonts w:ascii="Century Gothic" w:hAnsi="Century Gothic" w:cs="Arial"/>
          <w:color w:val="000000"/>
          <w:sz w:val="24"/>
          <w:szCs w:val="24"/>
          <w:lang w:val="es-ES" w:eastAsia="es-ES"/>
        </w:rPr>
      </w:pPr>
    </w:p>
    <w:tbl>
      <w:tblPr>
        <w:tblStyle w:val="Tablaconcuadrcula"/>
        <w:tblW w:w="0" w:type="auto"/>
        <w:tblLook w:val="04A0" w:firstRow="1" w:lastRow="0" w:firstColumn="1" w:lastColumn="0" w:noHBand="0" w:noVBand="1"/>
      </w:tblPr>
      <w:tblGrid>
        <w:gridCol w:w="5941"/>
        <w:gridCol w:w="1709"/>
        <w:gridCol w:w="1134"/>
      </w:tblGrid>
      <w:tr w:rsidR="00945720" w:rsidRPr="00D3390B" w14:paraId="7C1EB26C" w14:textId="77777777" w:rsidTr="008D1AEC">
        <w:tc>
          <w:tcPr>
            <w:tcW w:w="5941" w:type="dxa"/>
          </w:tcPr>
          <w:p w14:paraId="69085822" w14:textId="77777777" w:rsidR="00945720" w:rsidRPr="00D3390B" w:rsidRDefault="00945720" w:rsidP="00C62FCF">
            <w:pPr>
              <w:tabs>
                <w:tab w:val="left" w:pos="6804"/>
              </w:tabs>
              <w:spacing w:after="0" w:line="360" w:lineRule="auto"/>
              <w:rPr>
                <w:rFonts w:ascii="Century Gothic" w:hAnsi="Century Gothic" w:cs="Arial"/>
                <w:b/>
                <w:sz w:val="24"/>
                <w:szCs w:val="24"/>
                <w:lang w:val="es-ES"/>
              </w:rPr>
            </w:pPr>
            <w:r w:rsidRPr="00D3390B">
              <w:rPr>
                <w:rFonts w:ascii="Century Gothic" w:hAnsi="Century Gothic" w:cs="Arial"/>
                <w:b/>
                <w:sz w:val="24"/>
                <w:szCs w:val="24"/>
                <w:lang w:val="es-ES"/>
              </w:rPr>
              <w:t>NOMBRE</w:t>
            </w:r>
          </w:p>
        </w:tc>
        <w:tc>
          <w:tcPr>
            <w:tcW w:w="1709" w:type="dxa"/>
          </w:tcPr>
          <w:p w14:paraId="002A0279" w14:textId="77777777" w:rsidR="00945720" w:rsidRPr="00D3390B" w:rsidRDefault="00945720" w:rsidP="00C62FCF">
            <w:pPr>
              <w:tabs>
                <w:tab w:val="left" w:pos="6804"/>
              </w:tabs>
              <w:spacing w:after="0" w:line="360" w:lineRule="auto"/>
              <w:jc w:val="center"/>
              <w:rPr>
                <w:rFonts w:ascii="Century Gothic" w:hAnsi="Century Gothic" w:cs="Arial"/>
                <w:b/>
                <w:sz w:val="24"/>
                <w:szCs w:val="24"/>
                <w:lang w:val="es-ES"/>
              </w:rPr>
            </w:pPr>
            <w:r w:rsidRPr="00D3390B">
              <w:rPr>
                <w:rFonts w:ascii="Century Gothic" w:hAnsi="Century Gothic" w:cs="Arial"/>
                <w:b/>
                <w:sz w:val="24"/>
                <w:szCs w:val="24"/>
                <w:lang w:val="es-ES"/>
              </w:rPr>
              <w:t>PARENTESCO</w:t>
            </w:r>
          </w:p>
        </w:tc>
        <w:tc>
          <w:tcPr>
            <w:tcW w:w="1134" w:type="dxa"/>
          </w:tcPr>
          <w:p w14:paraId="66AD8192" w14:textId="77777777" w:rsidR="00945720" w:rsidRPr="00D3390B" w:rsidRDefault="00945720" w:rsidP="00C62FCF">
            <w:pPr>
              <w:tabs>
                <w:tab w:val="left" w:pos="6804"/>
              </w:tabs>
              <w:spacing w:after="0" w:line="360" w:lineRule="auto"/>
              <w:jc w:val="center"/>
              <w:rPr>
                <w:rFonts w:ascii="Century Gothic" w:hAnsi="Century Gothic" w:cs="Arial"/>
                <w:b/>
                <w:sz w:val="24"/>
                <w:szCs w:val="24"/>
                <w:lang w:val="es-ES"/>
              </w:rPr>
            </w:pPr>
            <w:r w:rsidRPr="00D3390B">
              <w:rPr>
                <w:rFonts w:ascii="Century Gothic" w:hAnsi="Century Gothic" w:cs="Arial"/>
                <w:b/>
                <w:sz w:val="24"/>
                <w:szCs w:val="24"/>
                <w:lang w:val="es-ES"/>
              </w:rPr>
              <w:t>SMLMV</w:t>
            </w:r>
          </w:p>
          <w:p w14:paraId="29509EED" w14:textId="77777777" w:rsidR="00945720" w:rsidRPr="00D3390B" w:rsidRDefault="00945720" w:rsidP="00C62FCF">
            <w:pPr>
              <w:tabs>
                <w:tab w:val="left" w:pos="6804"/>
              </w:tabs>
              <w:spacing w:after="0" w:line="360" w:lineRule="auto"/>
              <w:jc w:val="center"/>
              <w:rPr>
                <w:rFonts w:ascii="Century Gothic" w:hAnsi="Century Gothic" w:cs="Arial"/>
                <w:b/>
                <w:sz w:val="24"/>
                <w:szCs w:val="24"/>
                <w:lang w:val="es-ES"/>
              </w:rPr>
            </w:pPr>
          </w:p>
        </w:tc>
      </w:tr>
      <w:tr w:rsidR="00945720" w:rsidRPr="00D3390B" w14:paraId="7BD54EB1" w14:textId="77777777" w:rsidTr="008D1AEC">
        <w:trPr>
          <w:trHeight w:val="76"/>
        </w:trPr>
        <w:tc>
          <w:tcPr>
            <w:tcW w:w="5941" w:type="dxa"/>
          </w:tcPr>
          <w:p w14:paraId="40AFD910" w14:textId="77777777" w:rsidR="00945720" w:rsidRPr="00D3390B" w:rsidRDefault="00945720" w:rsidP="00C62FCF">
            <w:pPr>
              <w:tabs>
                <w:tab w:val="left" w:pos="142"/>
                <w:tab w:val="left" w:pos="709"/>
              </w:tabs>
              <w:spacing w:after="0" w:line="360" w:lineRule="auto"/>
              <w:jc w:val="both"/>
              <w:rPr>
                <w:rFonts w:ascii="Century Gothic" w:hAnsi="Century Gothic" w:cs="Arial"/>
                <w:sz w:val="24"/>
                <w:szCs w:val="24"/>
                <w:lang w:val="es-ES"/>
              </w:rPr>
            </w:pPr>
            <w:r w:rsidRPr="00D3390B">
              <w:rPr>
                <w:rFonts w:ascii="Century Gothic" w:hAnsi="Century Gothic" w:cs="Arial"/>
                <w:sz w:val="24"/>
                <w:szCs w:val="24"/>
                <w:lang w:val="es-ES"/>
              </w:rPr>
              <w:lastRenderedPageBreak/>
              <w:t xml:space="preserve">LUIS JAVIER MEDINA GARCIA  </w:t>
            </w:r>
          </w:p>
        </w:tc>
        <w:tc>
          <w:tcPr>
            <w:tcW w:w="1709" w:type="dxa"/>
            <w:vMerge w:val="restart"/>
          </w:tcPr>
          <w:p w14:paraId="35271028" w14:textId="77777777" w:rsidR="00945720" w:rsidRPr="00D3390B" w:rsidRDefault="00945720" w:rsidP="00C62FCF">
            <w:pPr>
              <w:tabs>
                <w:tab w:val="left" w:pos="6804"/>
              </w:tabs>
              <w:spacing w:after="0" w:line="360" w:lineRule="auto"/>
              <w:jc w:val="center"/>
              <w:rPr>
                <w:rFonts w:ascii="Century Gothic" w:hAnsi="Century Gothic" w:cs="Arial"/>
                <w:sz w:val="24"/>
                <w:szCs w:val="24"/>
                <w:lang w:val="es-ES"/>
              </w:rPr>
            </w:pPr>
            <w:r w:rsidRPr="00D3390B">
              <w:rPr>
                <w:rFonts w:ascii="Century Gothic" w:hAnsi="Century Gothic" w:cs="Arial"/>
                <w:sz w:val="24"/>
                <w:szCs w:val="24"/>
                <w:lang w:val="es-ES"/>
              </w:rPr>
              <w:t>hijos</w:t>
            </w:r>
          </w:p>
        </w:tc>
        <w:tc>
          <w:tcPr>
            <w:tcW w:w="1134" w:type="dxa"/>
          </w:tcPr>
          <w:p w14:paraId="36A3A41A" w14:textId="77777777" w:rsidR="00945720" w:rsidRPr="00D3390B" w:rsidRDefault="00945720" w:rsidP="00C62FCF">
            <w:pPr>
              <w:tabs>
                <w:tab w:val="left" w:pos="6804"/>
              </w:tabs>
              <w:spacing w:after="0" w:line="360" w:lineRule="auto"/>
              <w:jc w:val="center"/>
              <w:rPr>
                <w:rFonts w:ascii="Century Gothic" w:hAnsi="Century Gothic" w:cs="Arial"/>
                <w:sz w:val="24"/>
                <w:szCs w:val="24"/>
                <w:lang w:val="es-ES"/>
              </w:rPr>
            </w:pPr>
            <w:r w:rsidRPr="00D3390B">
              <w:rPr>
                <w:rFonts w:ascii="Century Gothic" w:hAnsi="Century Gothic" w:cs="Arial"/>
                <w:sz w:val="24"/>
                <w:szCs w:val="24"/>
                <w:lang w:val="es-ES"/>
              </w:rPr>
              <w:t>100</w:t>
            </w:r>
          </w:p>
        </w:tc>
      </w:tr>
      <w:tr w:rsidR="00945720" w:rsidRPr="00D3390B" w14:paraId="09A11DCA" w14:textId="77777777" w:rsidTr="008D1AEC">
        <w:trPr>
          <w:trHeight w:val="76"/>
        </w:trPr>
        <w:tc>
          <w:tcPr>
            <w:tcW w:w="5941" w:type="dxa"/>
          </w:tcPr>
          <w:p w14:paraId="4138E1E6" w14:textId="77777777" w:rsidR="00945720" w:rsidRPr="00D3390B" w:rsidRDefault="00945720" w:rsidP="00C62FCF">
            <w:pPr>
              <w:tabs>
                <w:tab w:val="left" w:pos="142"/>
                <w:tab w:val="left" w:pos="709"/>
              </w:tabs>
              <w:spacing w:after="0" w:line="360" w:lineRule="auto"/>
              <w:jc w:val="both"/>
              <w:rPr>
                <w:rFonts w:ascii="Century Gothic" w:hAnsi="Century Gothic" w:cs="Arial"/>
                <w:sz w:val="24"/>
                <w:szCs w:val="24"/>
                <w:lang w:val="es-ES"/>
              </w:rPr>
            </w:pPr>
            <w:r w:rsidRPr="00D3390B">
              <w:rPr>
                <w:rFonts w:ascii="Century Gothic" w:hAnsi="Century Gothic" w:cs="Arial"/>
                <w:sz w:val="24"/>
                <w:szCs w:val="24"/>
                <w:lang w:val="es-ES"/>
              </w:rPr>
              <w:t xml:space="preserve">LIBIA GARCIA DE RINCON    </w:t>
            </w:r>
          </w:p>
        </w:tc>
        <w:tc>
          <w:tcPr>
            <w:tcW w:w="1709" w:type="dxa"/>
            <w:vMerge/>
          </w:tcPr>
          <w:p w14:paraId="3E3F094D" w14:textId="77777777" w:rsidR="00945720" w:rsidRPr="00D3390B" w:rsidRDefault="00945720" w:rsidP="00C62FCF">
            <w:pPr>
              <w:tabs>
                <w:tab w:val="left" w:pos="6804"/>
              </w:tabs>
              <w:spacing w:after="0" w:line="360" w:lineRule="auto"/>
              <w:jc w:val="center"/>
              <w:rPr>
                <w:rFonts w:ascii="Century Gothic" w:hAnsi="Century Gothic" w:cs="Arial"/>
                <w:sz w:val="24"/>
                <w:szCs w:val="24"/>
                <w:lang w:val="es-ES"/>
              </w:rPr>
            </w:pPr>
          </w:p>
        </w:tc>
        <w:tc>
          <w:tcPr>
            <w:tcW w:w="1134" w:type="dxa"/>
          </w:tcPr>
          <w:p w14:paraId="13549329" w14:textId="77777777" w:rsidR="00945720" w:rsidRPr="00D3390B" w:rsidRDefault="00945720" w:rsidP="00C62FCF">
            <w:pPr>
              <w:tabs>
                <w:tab w:val="left" w:pos="6804"/>
              </w:tabs>
              <w:spacing w:after="0" w:line="360" w:lineRule="auto"/>
              <w:jc w:val="center"/>
              <w:rPr>
                <w:rFonts w:ascii="Century Gothic" w:hAnsi="Century Gothic" w:cs="Arial"/>
                <w:sz w:val="24"/>
                <w:szCs w:val="24"/>
                <w:lang w:val="es-ES"/>
              </w:rPr>
            </w:pPr>
            <w:r w:rsidRPr="00D3390B">
              <w:rPr>
                <w:rFonts w:ascii="Century Gothic" w:hAnsi="Century Gothic" w:cs="Arial"/>
                <w:sz w:val="24"/>
                <w:szCs w:val="24"/>
                <w:lang w:val="es-ES"/>
              </w:rPr>
              <w:t>100</w:t>
            </w:r>
          </w:p>
        </w:tc>
      </w:tr>
      <w:tr w:rsidR="00945720" w:rsidRPr="00D3390B" w14:paraId="0B4ADF91" w14:textId="77777777" w:rsidTr="008D1AEC">
        <w:trPr>
          <w:trHeight w:val="76"/>
        </w:trPr>
        <w:tc>
          <w:tcPr>
            <w:tcW w:w="5941" w:type="dxa"/>
          </w:tcPr>
          <w:p w14:paraId="05007D11" w14:textId="17F6B708" w:rsidR="00945720" w:rsidRPr="00D3390B" w:rsidRDefault="00945720" w:rsidP="00C62FCF">
            <w:pPr>
              <w:tabs>
                <w:tab w:val="left" w:pos="142"/>
                <w:tab w:val="left" w:pos="709"/>
              </w:tabs>
              <w:spacing w:after="0" w:line="360" w:lineRule="auto"/>
              <w:jc w:val="both"/>
              <w:rPr>
                <w:rFonts w:ascii="Century Gothic" w:hAnsi="Century Gothic" w:cs="Arial"/>
                <w:sz w:val="24"/>
                <w:szCs w:val="24"/>
                <w:lang w:val="es-ES"/>
              </w:rPr>
            </w:pPr>
            <w:r w:rsidRPr="00D3390B">
              <w:rPr>
                <w:rFonts w:ascii="Century Gothic" w:hAnsi="Century Gothic" w:cs="Arial"/>
                <w:sz w:val="24"/>
                <w:szCs w:val="24"/>
                <w:lang w:val="es-ES"/>
              </w:rPr>
              <w:t xml:space="preserve">ROSALBA BOHORQUEZ </w:t>
            </w:r>
            <w:r w:rsidR="008D1AEC" w:rsidRPr="00D3390B">
              <w:rPr>
                <w:rFonts w:ascii="Century Gothic" w:hAnsi="Century Gothic" w:cs="Arial"/>
                <w:sz w:val="24"/>
                <w:szCs w:val="24"/>
                <w:lang w:val="es-ES"/>
              </w:rPr>
              <w:t>GARCIA</w:t>
            </w:r>
            <w:r w:rsidRPr="00D3390B">
              <w:rPr>
                <w:rFonts w:ascii="Century Gothic" w:hAnsi="Century Gothic" w:cs="Arial"/>
                <w:sz w:val="24"/>
                <w:szCs w:val="24"/>
                <w:lang w:val="es-ES"/>
              </w:rPr>
              <w:t xml:space="preserve"> DE VILLARRAGA  </w:t>
            </w:r>
          </w:p>
        </w:tc>
        <w:tc>
          <w:tcPr>
            <w:tcW w:w="1709" w:type="dxa"/>
            <w:vMerge/>
          </w:tcPr>
          <w:p w14:paraId="7ECAAEDE" w14:textId="77777777" w:rsidR="00945720" w:rsidRPr="00D3390B" w:rsidRDefault="00945720" w:rsidP="00C62FCF">
            <w:pPr>
              <w:tabs>
                <w:tab w:val="left" w:pos="6804"/>
              </w:tabs>
              <w:spacing w:after="0" w:line="360" w:lineRule="auto"/>
              <w:jc w:val="center"/>
              <w:rPr>
                <w:rFonts w:ascii="Century Gothic" w:hAnsi="Century Gothic" w:cs="Arial"/>
                <w:sz w:val="24"/>
                <w:szCs w:val="24"/>
                <w:lang w:val="es-ES"/>
              </w:rPr>
            </w:pPr>
          </w:p>
        </w:tc>
        <w:tc>
          <w:tcPr>
            <w:tcW w:w="1134" w:type="dxa"/>
          </w:tcPr>
          <w:p w14:paraId="40A3759B" w14:textId="77777777" w:rsidR="00945720" w:rsidRPr="00D3390B" w:rsidRDefault="00945720" w:rsidP="00C62FCF">
            <w:pPr>
              <w:tabs>
                <w:tab w:val="left" w:pos="6804"/>
              </w:tabs>
              <w:spacing w:after="0" w:line="360" w:lineRule="auto"/>
              <w:jc w:val="center"/>
              <w:rPr>
                <w:rFonts w:ascii="Century Gothic" w:hAnsi="Century Gothic" w:cs="Arial"/>
                <w:sz w:val="24"/>
                <w:szCs w:val="24"/>
                <w:lang w:val="es-ES"/>
              </w:rPr>
            </w:pPr>
            <w:r w:rsidRPr="00D3390B">
              <w:rPr>
                <w:rFonts w:ascii="Century Gothic" w:hAnsi="Century Gothic" w:cs="Arial"/>
                <w:sz w:val="24"/>
                <w:szCs w:val="24"/>
                <w:lang w:val="es-ES"/>
              </w:rPr>
              <w:t>100</w:t>
            </w:r>
          </w:p>
        </w:tc>
      </w:tr>
      <w:tr w:rsidR="00945720" w:rsidRPr="00D3390B" w14:paraId="7B96DFA0" w14:textId="77777777" w:rsidTr="008D1AEC">
        <w:tc>
          <w:tcPr>
            <w:tcW w:w="7650" w:type="dxa"/>
            <w:gridSpan w:val="2"/>
          </w:tcPr>
          <w:p w14:paraId="526F6D8E" w14:textId="77777777" w:rsidR="00945720" w:rsidRPr="00D3390B" w:rsidRDefault="00945720" w:rsidP="00C62FCF">
            <w:pPr>
              <w:tabs>
                <w:tab w:val="left" w:pos="6804"/>
              </w:tabs>
              <w:spacing w:after="0" w:line="360" w:lineRule="auto"/>
              <w:jc w:val="center"/>
              <w:rPr>
                <w:rFonts w:ascii="Century Gothic" w:hAnsi="Century Gothic" w:cs="Arial"/>
                <w:sz w:val="24"/>
                <w:szCs w:val="24"/>
                <w:lang w:val="es-ES"/>
              </w:rPr>
            </w:pPr>
            <w:r w:rsidRPr="00D3390B">
              <w:rPr>
                <w:rFonts w:ascii="Century Gothic" w:hAnsi="Century Gothic" w:cs="Arial"/>
                <w:bCs/>
                <w:sz w:val="24"/>
                <w:szCs w:val="24"/>
                <w:lang w:val="es-ES"/>
              </w:rPr>
              <w:t>TOTAL</w:t>
            </w:r>
          </w:p>
        </w:tc>
        <w:tc>
          <w:tcPr>
            <w:tcW w:w="1134" w:type="dxa"/>
          </w:tcPr>
          <w:p w14:paraId="17CABD0D" w14:textId="77777777" w:rsidR="00945720" w:rsidRPr="00D3390B" w:rsidRDefault="00945720" w:rsidP="00C62FCF">
            <w:pPr>
              <w:tabs>
                <w:tab w:val="left" w:pos="6804"/>
              </w:tabs>
              <w:spacing w:after="0" w:line="360" w:lineRule="auto"/>
              <w:jc w:val="center"/>
              <w:rPr>
                <w:rFonts w:ascii="Century Gothic" w:hAnsi="Century Gothic" w:cs="Arial"/>
                <w:sz w:val="24"/>
                <w:szCs w:val="24"/>
                <w:lang w:val="es-ES"/>
              </w:rPr>
            </w:pPr>
            <w:r w:rsidRPr="00D3390B">
              <w:rPr>
                <w:rFonts w:ascii="Century Gothic" w:hAnsi="Century Gothic" w:cs="Arial"/>
                <w:sz w:val="24"/>
                <w:szCs w:val="24"/>
                <w:lang w:val="es-ES"/>
              </w:rPr>
              <w:t>300</w:t>
            </w:r>
          </w:p>
        </w:tc>
      </w:tr>
    </w:tbl>
    <w:p w14:paraId="41F5CEAD" w14:textId="77777777" w:rsidR="00945720" w:rsidRPr="00D3390B" w:rsidRDefault="00945720" w:rsidP="00C62FCF">
      <w:pPr>
        <w:tabs>
          <w:tab w:val="left" w:pos="142"/>
          <w:tab w:val="left" w:pos="709"/>
        </w:tabs>
        <w:spacing w:after="0" w:line="360" w:lineRule="auto"/>
        <w:jc w:val="both"/>
        <w:rPr>
          <w:rFonts w:ascii="Century Gothic" w:hAnsi="Century Gothic" w:cs="Arial"/>
          <w:sz w:val="24"/>
          <w:szCs w:val="24"/>
          <w:lang w:val="es-ES"/>
        </w:rPr>
      </w:pPr>
    </w:p>
    <w:p w14:paraId="32EE1BD4" w14:textId="77777777" w:rsidR="00D17B34" w:rsidRPr="00D3390B" w:rsidRDefault="00D17B34" w:rsidP="00C62FCF">
      <w:pPr>
        <w:spacing w:after="0" w:line="360" w:lineRule="auto"/>
        <w:jc w:val="both"/>
        <w:rPr>
          <w:rFonts w:ascii="Century Gothic" w:eastAsia="Times New Roman" w:hAnsi="Century Gothic" w:cs="Arial"/>
          <w:b/>
          <w:color w:val="000000"/>
          <w:sz w:val="24"/>
          <w:szCs w:val="24"/>
          <w:lang w:val="es-ES" w:eastAsia="es-ES"/>
        </w:rPr>
      </w:pPr>
    </w:p>
    <w:p w14:paraId="7D6CF3B8" w14:textId="34E55D8E" w:rsidR="000C62F9" w:rsidRPr="00D3390B" w:rsidRDefault="006167A3" w:rsidP="00C62FCF">
      <w:pPr>
        <w:spacing w:after="0" w:line="360" w:lineRule="auto"/>
        <w:jc w:val="both"/>
        <w:rPr>
          <w:rFonts w:ascii="Century Gothic" w:eastAsia="Times New Roman" w:hAnsi="Century Gothic" w:cs="Arial"/>
          <w:b/>
          <w:color w:val="000000"/>
          <w:sz w:val="24"/>
          <w:szCs w:val="24"/>
          <w:lang w:val="es-ES" w:eastAsia="es-ES"/>
        </w:rPr>
      </w:pPr>
      <w:r w:rsidRPr="00D3390B">
        <w:rPr>
          <w:rFonts w:ascii="Century Gothic" w:eastAsia="Times New Roman" w:hAnsi="Century Gothic" w:cs="Arial"/>
          <w:b/>
          <w:color w:val="000000"/>
          <w:sz w:val="24"/>
          <w:szCs w:val="24"/>
          <w:lang w:val="es-ES" w:eastAsia="es-ES"/>
        </w:rPr>
        <w:t>11</w:t>
      </w:r>
      <w:r w:rsidR="000C62F9" w:rsidRPr="00D3390B">
        <w:rPr>
          <w:rFonts w:ascii="Century Gothic" w:eastAsia="Times New Roman" w:hAnsi="Century Gothic" w:cs="Arial"/>
          <w:b/>
          <w:color w:val="000000"/>
          <w:sz w:val="24"/>
          <w:szCs w:val="24"/>
          <w:lang w:val="es-ES" w:eastAsia="es-ES"/>
        </w:rPr>
        <w:t xml:space="preserve">.1.2. Daño a la salud </w:t>
      </w:r>
    </w:p>
    <w:p w14:paraId="5DE08766" w14:textId="77777777" w:rsidR="00223F4A" w:rsidRPr="00D3390B" w:rsidRDefault="00223F4A" w:rsidP="00C62FCF">
      <w:pPr>
        <w:pStyle w:val="Sinespaciado"/>
        <w:spacing w:line="360" w:lineRule="auto"/>
        <w:jc w:val="both"/>
        <w:rPr>
          <w:rFonts w:ascii="Century Gothic" w:hAnsi="Century Gothic" w:cs="Arial"/>
          <w:sz w:val="24"/>
          <w:szCs w:val="24"/>
          <w:lang w:val="es-ES"/>
        </w:rPr>
      </w:pPr>
    </w:p>
    <w:p w14:paraId="09B73FF4" w14:textId="31475121" w:rsidR="00223F4A" w:rsidRPr="00D3390B" w:rsidRDefault="004B714F" w:rsidP="00C62FCF">
      <w:pPr>
        <w:pStyle w:val="Sinespaciado"/>
        <w:spacing w:line="360" w:lineRule="auto"/>
        <w:jc w:val="both"/>
        <w:rPr>
          <w:rFonts w:ascii="Century Gothic" w:hAnsi="Century Gothic" w:cs="Arial"/>
          <w:sz w:val="24"/>
          <w:szCs w:val="24"/>
          <w:lang w:val="es-ES"/>
        </w:rPr>
      </w:pPr>
      <w:r w:rsidRPr="00D3390B">
        <w:rPr>
          <w:rFonts w:ascii="Century Gothic" w:hAnsi="Century Gothic" w:cs="Arial"/>
          <w:sz w:val="24"/>
          <w:szCs w:val="24"/>
          <w:lang w:val="es-ES"/>
        </w:rPr>
        <w:t>3</w:t>
      </w:r>
      <w:r w:rsidR="009271B8">
        <w:rPr>
          <w:rFonts w:ascii="Century Gothic" w:hAnsi="Century Gothic" w:cs="Arial"/>
          <w:sz w:val="24"/>
          <w:szCs w:val="24"/>
          <w:lang w:val="es-ES"/>
        </w:rPr>
        <w:t>6</w:t>
      </w:r>
      <w:r w:rsidRPr="00D3390B">
        <w:rPr>
          <w:rFonts w:ascii="Century Gothic" w:hAnsi="Century Gothic" w:cs="Arial"/>
          <w:sz w:val="24"/>
          <w:szCs w:val="24"/>
          <w:lang w:val="es-ES"/>
        </w:rPr>
        <w:t xml:space="preserve">. </w:t>
      </w:r>
      <w:r w:rsidR="00223F4A" w:rsidRPr="00D3390B">
        <w:rPr>
          <w:rFonts w:ascii="Century Gothic" w:hAnsi="Century Gothic" w:cs="Arial"/>
          <w:sz w:val="24"/>
          <w:szCs w:val="24"/>
          <w:lang w:val="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561D3CB2" w14:textId="77777777" w:rsidR="00223F4A" w:rsidRPr="00D3390B" w:rsidRDefault="00223F4A" w:rsidP="00C62FCF">
      <w:pPr>
        <w:pStyle w:val="Sinespaciado"/>
        <w:spacing w:line="360" w:lineRule="auto"/>
        <w:jc w:val="both"/>
        <w:rPr>
          <w:rFonts w:ascii="Century Gothic" w:hAnsi="Century Gothic" w:cs="Arial"/>
          <w:i/>
          <w:sz w:val="24"/>
          <w:szCs w:val="24"/>
          <w:lang w:val="es-ES"/>
        </w:rPr>
      </w:pPr>
    </w:p>
    <w:p w14:paraId="3AAE5653" w14:textId="57C55A66" w:rsidR="00223F4A" w:rsidRPr="00D3390B" w:rsidRDefault="004B714F" w:rsidP="00C62FCF">
      <w:pPr>
        <w:pStyle w:val="Sinespaciado"/>
        <w:spacing w:line="360" w:lineRule="auto"/>
        <w:jc w:val="both"/>
        <w:rPr>
          <w:rFonts w:ascii="Century Gothic" w:hAnsi="Century Gothic" w:cs="Arial"/>
          <w:sz w:val="24"/>
          <w:szCs w:val="24"/>
          <w:lang w:val="es-ES"/>
        </w:rPr>
      </w:pPr>
      <w:r w:rsidRPr="00D3390B">
        <w:rPr>
          <w:rFonts w:ascii="Century Gothic" w:hAnsi="Century Gothic" w:cs="Arial"/>
          <w:sz w:val="24"/>
          <w:szCs w:val="24"/>
          <w:lang w:val="es-ES"/>
        </w:rPr>
        <w:t>3</w:t>
      </w:r>
      <w:r w:rsidR="009271B8">
        <w:rPr>
          <w:rFonts w:ascii="Century Gothic" w:hAnsi="Century Gothic" w:cs="Arial"/>
          <w:sz w:val="24"/>
          <w:szCs w:val="24"/>
          <w:lang w:val="es-ES"/>
        </w:rPr>
        <w:t>7</w:t>
      </w:r>
      <w:r w:rsidRPr="00D3390B">
        <w:rPr>
          <w:rFonts w:ascii="Century Gothic" w:hAnsi="Century Gothic" w:cs="Arial"/>
          <w:sz w:val="24"/>
          <w:szCs w:val="24"/>
          <w:lang w:val="es-ES"/>
        </w:rPr>
        <w:t xml:space="preserve">. </w:t>
      </w:r>
      <w:r w:rsidR="00223F4A" w:rsidRPr="00D3390B">
        <w:rPr>
          <w:rFonts w:ascii="Century Gothic" w:hAnsi="Century Gothic" w:cs="Arial"/>
          <w:sz w:val="24"/>
          <w:szCs w:val="24"/>
          <w:lang w:val="es-ES"/>
        </w:rPr>
        <w:t>Como su nombre lo indica, esta clase de daño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00223F4A" w:rsidRPr="00D3390B">
        <w:rPr>
          <w:rStyle w:val="Refdenotaalpie"/>
          <w:rFonts w:ascii="Century Gothic" w:hAnsi="Century Gothic" w:cs="Arial"/>
          <w:sz w:val="24"/>
          <w:szCs w:val="24"/>
          <w:lang w:val="es-ES"/>
        </w:rPr>
        <w:footnoteReference w:id="17"/>
      </w:r>
      <w:r w:rsidR="00223F4A" w:rsidRPr="00D3390B">
        <w:rPr>
          <w:rFonts w:ascii="Century Gothic" w:hAnsi="Century Gothic" w:cs="Arial"/>
          <w:sz w:val="24"/>
          <w:szCs w:val="24"/>
          <w:lang w:val="es-ES"/>
        </w:rPr>
        <w:t xml:space="preserve">. </w:t>
      </w:r>
    </w:p>
    <w:p w14:paraId="4D3289F0" w14:textId="77777777" w:rsidR="00223F4A" w:rsidRPr="00D3390B" w:rsidRDefault="00223F4A" w:rsidP="00C62FCF">
      <w:pPr>
        <w:pStyle w:val="Sinespaciado"/>
        <w:spacing w:line="360" w:lineRule="auto"/>
        <w:jc w:val="both"/>
        <w:rPr>
          <w:rFonts w:ascii="Century Gothic" w:hAnsi="Century Gothic" w:cs="Arial"/>
          <w:sz w:val="24"/>
          <w:szCs w:val="24"/>
          <w:lang w:val="es-ES"/>
        </w:rPr>
      </w:pPr>
    </w:p>
    <w:p w14:paraId="4606CEEE" w14:textId="668E1334" w:rsidR="002E24EA" w:rsidRPr="00D3390B" w:rsidRDefault="009271B8" w:rsidP="00C62FCF">
      <w:pPr>
        <w:spacing w:after="0" w:line="360" w:lineRule="auto"/>
        <w:jc w:val="both"/>
        <w:rPr>
          <w:rFonts w:ascii="Century Gothic" w:eastAsia="Times New Roman" w:hAnsi="Century Gothic" w:cs="Arial"/>
          <w:sz w:val="24"/>
          <w:szCs w:val="24"/>
          <w:lang w:val="es-ES" w:eastAsia="es-ES"/>
        </w:rPr>
      </w:pPr>
      <w:r>
        <w:rPr>
          <w:rFonts w:ascii="Century Gothic" w:eastAsia="Times New Roman" w:hAnsi="Century Gothic" w:cs="Arial"/>
          <w:sz w:val="24"/>
          <w:szCs w:val="24"/>
          <w:lang w:val="es-ES" w:eastAsia="es-ES"/>
        </w:rPr>
        <w:t>38</w:t>
      </w:r>
      <w:r w:rsidR="004B714F" w:rsidRPr="00D3390B">
        <w:rPr>
          <w:rFonts w:ascii="Century Gothic" w:eastAsia="Times New Roman" w:hAnsi="Century Gothic" w:cs="Arial"/>
          <w:sz w:val="24"/>
          <w:szCs w:val="24"/>
          <w:lang w:val="es-ES" w:eastAsia="es-ES"/>
        </w:rPr>
        <w:t xml:space="preserve">. </w:t>
      </w:r>
      <w:r w:rsidR="00223F4A" w:rsidRPr="00D3390B">
        <w:rPr>
          <w:rFonts w:ascii="Century Gothic" w:eastAsia="Times New Roman" w:hAnsi="Century Gothic" w:cs="Arial"/>
          <w:sz w:val="24"/>
          <w:szCs w:val="24"/>
          <w:lang w:val="es-ES" w:eastAsia="es-ES"/>
        </w:rPr>
        <w:t xml:space="preserve">De conformidad con lo anterior, teniendo en cuenta que esta indemnización se prediga única y exclusivamente para la victima directa y como la señora </w:t>
      </w:r>
      <w:r w:rsidR="000C62F9" w:rsidRPr="00D3390B">
        <w:rPr>
          <w:rFonts w:ascii="Century Gothic" w:hAnsi="Century Gothic" w:cs="Tahoma"/>
          <w:sz w:val="24"/>
          <w:szCs w:val="24"/>
          <w:lang w:val="es-ES"/>
        </w:rPr>
        <w:t xml:space="preserve">María Leonilde García </w:t>
      </w:r>
      <w:r w:rsidR="00223F4A" w:rsidRPr="00D3390B">
        <w:rPr>
          <w:rFonts w:ascii="Century Gothic" w:eastAsia="Times New Roman" w:hAnsi="Century Gothic" w:cs="Arial"/>
          <w:sz w:val="24"/>
          <w:szCs w:val="24"/>
          <w:lang w:val="es-ES" w:eastAsia="es-ES"/>
        </w:rPr>
        <w:t xml:space="preserve">falleció no se reconocerá </w:t>
      </w:r>
      <w:r w:rsidR="002E24EA" w:rsidRPr="00D3390B">
        <w:rPr>
          <w:rFonts w:ascii="Century Gothic" w:eastAsia="Times New Roman" w:hAnsi="Century Gothic" w:cs="Arial"/>
          <w:sz w:val="24"/>
          <w:szCs w:val="24"/>
          <w:lang w:val="es-ES" w:eastAsia="es-ES"/>
        </w:rPr>
        <w:t>ningún valor por este concepto.</w:t>
      </w:r>
    </w:p>
    <w:p w14:paraId="6167FD08" w14:textId="77777777" w:rsidR="002E24EA" w:rsidRPr="00D3390B" w:rsidRDefault="002E24EA" w:rsidP="00C62FCF">
      <w:pPr>
        <w:spacing w:after="0" w:line="360" w:lineRule="auto"/>
        <w:jc w:val="both"/>
        <w:rPr>
          <w:rFonts w:ascii="Century Gothic" w:eastAsia="Times New Roman" w:hAnsi="Century Gothic" w:cs="Arial"/>
          <w:sz w:val="24"/>
          <w:szCs w:val="24"/>
          <w:lang w:val="es-ES" w:eastAsia="es-ES"/>
        </w:rPr>
      </w:pPr>
    </w:p>
    <w:p w14:paraId="0CE9DEFA" w14:textId="5E2280AB" w:rsidR="002E24EA" w:rsidRPr="00D3390B" w:rsidRDefault="006167A3" w:rsidP="00C62FCF">
      <w:pPr>
        <w:spacing w:after="0" w:line="360" w:lineRule="auto"/>
        <w:jc w:val="both"/>
        <w:rPr>
          <w:rFonts w:ascii="Century Gothic" w:eastAsia="Times New Roman" w:hAnsi="Century Gothic" w:cs="Arial"/>
          <w:sz w:val="24"/>
          <w:szCs w:val="24"/>
          <w:lang w:val="es-ES" w:eastAsia="es-ES"/>
        </w:rPr>
      </w:pPr>
      <w:r w:rsidRPr="00D3390B">
        <w:rPr>
          <w:rFonts w:ascii="Century Gothic" w:eastAsia="Times New Roman" w:hAnsi="Century Gothic" w:cs="Arial"/>
          <w:b/>
          <w:color w:val="000000"/>
          <w:sz w:val="24"/>
          <w:szCs w:val="24"/>
          <w:lang w:val="es-ES" w:eastAsia="es-ES"/>
        </w:rPr>
        <w:lastRenderedPageBreak/>
        <w:t>11.1.3</w:t>
      </w:r>
      <w:r w:rsidR="00CE38FA" w:rsidRPr="00D3390B">
        <w:rPr>
          <w:rFonts w:ascii="Century Gothic" w:eastAsia="Times New Roman" w:hAnsi="Century Gothic" w:cs="Arial"/>
          <w:b/>
          <w:color w:val="000000"/>
          <w:sz w:val="24"/>
          <w:szCs w:val="24"/>
          <w:lang w:val="es-ES" w:eastAsia="es-ES"/>
        </w:rPr>
        <w:t xml:space="preserve">. </w:t>
      </w:r>
      <w:r w:rsidR="00CE38FA" w:rsidRPr="00D3390B">
        <w:rPr>
          <w:rFonts w:ascii="Century Gothic" w:hAnsi="Century Gothic"/>
          <w:b/>
          <w:sz w:val="24"/>
          <w:szCs w:val="24"/>
          <w:lang w:val="es-ES"/>
        </w:rPr>
        <w:t xml:space="preserve">Daño a otros bienes constitucionales protegidos y medidas de reparación integral </w:t>
      </w:r>
      <w:r w:rsidR="00486C40" w:rsidRPr="00D3390B">
        <w:rPr>
          <w:rStyle w:val="Refdenotaalpie"/>
          <w:rFonts w:ascii="Century Gothic" w:hAnsi="Century Gothic"/>
          <w:sz w:val="24"/>
          <w:szCs w:val="24"/>
          <w:lang w:val="es-ES"/>
        </w:rPr>
        <w:footnoteReference w:id="18"/>
      </w:r>
    </w:p>
    <w:p w14:paraId="6048E04B" w14:textId="77777777" w:rsidR="002E24EA" w:rsidRPr="00D3390B" w:rsidRDefault="002E24EA" w:rsidP="00C62FCF">
      <w:pPr>
        <w:spacing w:after="0" w:line="360" w:lineRule="auto"/>
        <w:jc w:val="both"/>
        <w:rPr>
          <w:rFonts w:ascii="Century Gothic" w:eastAsia="Times New Roman" w:hAnsi="Century Gothic" w:cs="Arial"/>
          <w:sz w:val="24"/>
          <w:szCs w:val="24"/>
          <w:lang w:val="es-ES" w:eastAsia="es-ES"/>
        </w:rPr>
      </w:pPr>
    </w:p>
    <w:p w14:paraId="0E595E15" w14:textId="1C5FEAE5" w:rsidR="002E24EA" w:rsidRPr="00D3390B" w:rsidRDefault="009271B8" w:rsidP="00C62FCF">
      <w:pPr>
        <w:spacing w:after="0" w:line="360" w:lineRule="auto"/>
        <w:jc w:val="both"/>
        <w:rPr>
          <w:rFonts w:ascii="Century Gothic" w:eastAsia="Times New Roman" w:hAnsi="Century Gothic" w:cs="Arial"/>
          <w:sz w:val="24"/>
          <w:szCs w:val="24"/>
          <w:lang w:val="es-ES" w:eastAsia="es-ES"/>
        </w:rPr>
      </w:pPr>
      <w:r>
        <w:rPr>
          <w:rFonts w:ascii="Century Gothic" w:hAnsi="Century Gothic"/>
          <w:sz w:val="24"/>
          <w:szCs w:val="24"/>
          <w:lang w:val="es-ES"/>
        </w:rPr>
        <w:t>39</w:t>
      </w:r>
      <w:r w:rsidR="004B714F" w:rsidRPr="00D3390B">
        <w:rPr>
          <w:rFonts w:ascii="Century Gothic" w:hAnsi="Century Gothic"/>
          <w:sz w:val="24"/>
          <w:szCs w:val="24"/>
          <w:lang w:val="es-ES"/>
        </w:rPr>
        <w:t xml:space="preserve">. </w:t>
      </w:r>
      <w:r w:rsidR="00486C40" w:rsidRPr="00D3390B">
        <w:rPr>
          <w:rFonts w:ascii="Century Gothic" w:hAnsi="Century Gothic"/>
          <w:sz w:val="24"/>
          <w:szCs w:val="24"/>
          <w:lang w:val="es-ES"/>
        </w:rPr>
        <w:t>En el caso concreto no encuentran motivos para ordenar la adopción de medidas adicionales de reparación integral.</w:t>
      </w:r>
    </w:p>
    <w:p w14:paraId="2B6B570B" w14:textId="77777777" w:rsidR="002E24EA" w:rsidRPr="00D3390B" w:rsidRDefault="002E24EA" w:rsidP="00C62FCF">
      <w:pPr>
        <w:spacing w:after="0" w:line="360" w:lineRule="auto"/>
        <w:jc w:val="both"/>
        <w:rPr>
          <w:rFonts w:ascii="Century Gothic" w:eastAsia="Times New Roman" w:hAnsi="Century Gothic" w:cs="Arial"/>
          <w:sz w:val="24"/>
          <w:szCs w:val="24"/>
          <w:lang w:val="es-ES" w:eastAsia="es-ES"/>
        </w:rPr>
      </w:pPr>
    </w:p>
    <w:p w14:paraId="50E52DEE" w14:textId="687B875B" w:rsidR="002E24EA" w:rsidRPr="00D3390B" w:rsidRDefault="00341B7C" w:rsidP="00C62FCF">
      <w:pPr>
        <w:spacing w:after="0" w:line="360" w:lineRule="auto"/>
        <w:jc w:val="both"/>
        <w:rPr>
          <w:rFonts w:ascii="Century Gothic" w:eastAsia="Times New Roman" w:hAnsi="Century Gothic" w:cs="Arial"/>
          <w:sz w:val="24"/>
          <w:szCs w:val="24"/>
          <w:lang w:val="es-ES" w:eastAsia="es-ES"/>
        </w:rPr>
      </w:pPr>
      <w:r w:rsidRPr="00D3390B">
        <w:rPr>
          <w:rFonts w:ascii="Century Gothic" w:hAnsi="Century Gothic"/>
          <w:b/>
          <w:sz w:val="24"/>
          <w:szCs w:val="24"/>
          <w:lang w:val="es-ES"/>
        </w:rPr>
        <w:t>11</w:t>
      </w:r>
      <w:r w:rsidR="002E24EA" w:rsidRPr="00D3390B">
        <w:rPr>
          <w:rFonts w:ascii="Century Gothic" w:hAnsi="Century Gothic"/>
          <w:b/>
          <w:sz w:val="24"/>
          <w:szCs w:val="24"/>
          <w:lang w:val="es-ES"/>
        </w:rPr>
        <w:t>.2. Perjuicios materiales</w:t>
      </w:r>
    </w:p>
    <w:p w14:paraId="7815092B" w14:textId="77777777" w:rsidR="002E24EA" w:rsidRPr="00D3390B" w:rsidRDefault="002E24EA" w:rsidP="00C62FCF">
      <w:pPr>
        <w:spacing w:after="0" w:line="360" w:lineRule="auto"/>
        <w:jc w:val="both"/>
        <w:rPr>
          <w:rFonts w:ascii="Century Gothic" w:eastAsia="Times New Roman" w:hAnsi="Century Gothic" w:cs="Arial"/>
          <w:sz w:val="24"/>
          <w:szCs w:val="24"/>
          <w:lang w:val="es-ES" w:eastAsia="es-ES"/>
        </w:rPr>
      </w:pPr>
    </w:p>
    <w:p w14:paraId="15909422" w14:textId="5C3C5668" w:rsidR="002E24EA" w:rsidRPr="00D3390B" w:rsidRDefault="00341B7C" w:rsidP="00C62FCF">
      <w:pPr>
        <w:spacing w:after="0" w:line="360" w:lineRule="auto"/>
        <w:jc w:val="both"/>
        <w:rPr>
          <w:rFonts w:ascii="Century Gothic" w:eastAsia="Times New Roman" w:hAnsi="Century Gothic" w:cs="Arial"/>
          <w:sz w:val="24"/>
          <w:szCs w:val="24"/>
          <w:lang w:val="es-ES" w:eastAsia="es-ES"/>
        </w:rPr>
      </w:pPr>
      <w:r w:rsidRPr="00D3390B">
        <w:rPr>
          <w:rFonts w:ascii="Century Gothic" w:hAnsi="Century Gothic"/>
          <w:b/>
          <w:sz w:val="24"/>
          <w:szCs w:val="24"/>
          <w:lang w:val="es-ES"/>
        </w:rPr>
        <w:t>11</w:t>
      </w:r>
      <w:r w:rsidR="002E24EA" w:rsidRPr="00D3390B">
        <w:rPr>
          <w:rFonts w:ascii="Century Gothic" w:hAnsi="Century Gothic"/>
          <w:b/>
          <w:sz w:val="24"/>
          <w:szCs w:val="24"/>
          <w:lang w:val="es-ES"/>
        </w:rPr>
        <w:t>.2.1. Daño emergente</w:t>
      </w:r>
    </w:p>
    <w:p w14:paraId="788F55A4" w14:textId="77777777" w:rsidR="009461C4" w:rsidRPr="00D3390B" w:rsidRDefault="009461C4" w:rsidP="00C62FCF">
      <w:pPr>
        <w:pStyle w:val="Sinespaciado"/>
        <w:spacing w:line="360" w:lineRule="auto"/>
        <w:jc w:val="both"/>
        <w:rPr>
          <w:rFonts w:ascii="Century Gothic" w:hAnsi="Century Gothic"/>
          <w:sz w:val="24"/>
          <w:szCs w:val="24"/>
          <w:lang w:val="es-ES"/>
        </w:rPr>
      </w:pPr>
    </w:p>
    <w:p w14:paraId="352C1558" w14:textId="26CBF2CA" w:rsidR="00977505" w:rsidRPr="00D3390B" w:rsidRDefault="009271B8" w:rsidP="00C62FCF">
      <w:pPr>
        <w:pStyle w:val="Sinespaciado"/>
        <w:spacing w:line="360" w:lineRule="auto"/>
        <w:jc w:val="both"/>
        <w:rPr>
          <w:rFonts w:ascii="Century Gothic" w:hAnsi="Century Gothic" w:cs="Arial"/>
          <w:sz w:val="24"/>
          <w:szCs w:val="24"/>
          <w:lang w:val="es-ES"/>
        </w:rPr>
      </w:pPr>
      <w:r>
        <w:rPr>
          <w:rFonts w:ascii="Century Gothic" w:hAnsi="Century Gothic" w:cs="Arial"/>
          <w:sz w:val="24"/>
          <w:szCs w:val="24"/>
          <w:lang w:val="es-ES"/>
        </w:rPr>
        <w:t>40</w:t>
      </w:r>
      <w:r w:rsidR="00A02045">
        <w:rPr>
          <w:rFonts w:ascii="Century Gothic" w:hAnsi="Century Gothic" w:cs="Arial"/>
          <w:sz w:val="24"/>
          <w:szCs w:val="24"/>
          <w:lang w:val="es-ES"/>
        </w:rPr>
        <w:t>.</w:t>
      </w:r>
      <w:r w:rsidR="004B714F" w:rsidRPr="00D3390B">
        <w:rPr>
          <w:rFonts w:ascii="Century Gothic" w:hAnsi="Century Gothic" w:cs="Arial"/>
          <w:sz w:val="24"/>
          <w:szCs w:val="24"/>
          <w:lang w:val="es-ES"/>
        </w:rPr>
        <w:t xml:space="preserve"> </w:t>
      </w:r>
      <w:r w:rsidR="009461C4" w:rsidRPr="00D3390B">
        <w:rPr>
          <w:rFonts w:ascii="Century Gothic" w:hAnsi="Century Gothic" w:cs="Arial"/>
          <w:sz w:val="24"/>
          <w:szCs w:val="24"/>
          <w:lang w:val="es-ES"/>
        </w:rPr>
        <w:t>El artículo 1614 del Código Civil define el daño emergente como “</w:t>
      </w:r>
      <w:r w:rsidR="009461C4" w:rsidRPr="00D3390B">
        <w:rPr>
          <w:rFonts w:ascii="Century Gothic" w:hAnsi="Century Gothic" w:cs="Arial"/>
          <w:i/>
          <w:sz w:val="24"/>
          <w:szCs w:val="24"/>
          <w:lang w:val="es-ES"/>
        </w:rPr>
        <w:t>el perjuicio o la pérdida que proviene de no haberse cumplido la obligación o de haberse cumplido imperfectamente, o de haberse retardado su cumplimiento”.</w:t>
      </w:r>
      <w:r w:rsidR="00977505" w:rsidRPr="00D3390B">
        <w:rPr>
          <w:rFonts w:ascii="Century Gothic" w:hAnsi="Century Gothic" w:cs="Arial"/>
          <w:sz w:val="24"/>
          <w:szCs w:val="24"/>
          <w:lang w:val="es-ES"/>
        </w:rPr>
        <w:t xml:space="preserve"> Así,</w:t>
      </w:r>
      <w:r w:rsidR="009461C4" w:rsidRPr="00D3390B">
        <w:rPr>
          <w:rFonts w:ascii="Century Gothic" w:hAnsi="Century Gothic" w:cs="Arial"/>
          <w:sz w:val="24"/>
          <w:szCs w:val="24"/>
          <w:lang w:val="es-ES"/>
        </w:rPr>
        <w:t xml:space="preserve"> el daño emergente es la pérdida económica que se causa con ocasión de un hecho, acción, omisión u operación administrativa imputable a la entidad demandada que origina el derecho a la reparación. </w:t>
      </w:r>
    </w:p>
    <w:p w14:paraId="1D759EFE" w14:textId="77777777" w:rsidR="00977505" w:rsidRPr="00D3390B" w:rsidRDefault="00977505" w:rsidP="00C62FCF">
      <w:pPr>
        <w:pStyle w:val="Sinespaciado"/>
        <w:spacing w:line="360" w:lineRule="auto"/>
        <w:jc w:val="both"/>
        <w:rPr>
          <w:rFonts w:ascii="Century Gothic" w:hAnsi="Century Gothic" w:cs="Arial"/>
          <w:sz w:val="24"/>
          <w:szCs w:val="24"/>
          <w:lang w:val="es-ES"/>
        </w:rPr>
      </w:pPr>
    </w:p>
    <w:p w14:paraId="2517ED36" w14:textId="73DFFB80" w:rsidR="00584BE7" w:rsidRPr="00D3390B" w:rsidRDefault="004B714F" w:rsidP="00C62FCF">
      <w:pPr>
        <w:pStyle w:val="Sinespaciado"/>
        <w:spacing w:line="360" w:lineRule="auto"/>
        <w:jc w:val="both"/>
        <w:rPr>
          <w:rFonts w:ascii="Century Gothic" w:hAnsi="Century Gothic" w:cs="Arial"/>
          <w:i/>
          <w:sz w:val="24"/>
          <w:szCs w:val="24"/>
          <w:lang w:val="es-ES"/>
        </w:rPr>
      </w:pPr>
      <w:r w:rsidRPr="00D3390B">
        <w:rPr>
          <w:rFonts w:ascii="Century Gothic" w:hAnsi="Century Gothic" w:cs="Arial"/>
          <w:sz w:val="24"/>
          <w:szCs w:val="24"/>
          <w:lang w:val="es-ES"/>
        </w:rPr>
        <w:t>4</w:t>
      </w:r>
      <w:r w:rsidR="009271B8">
        <w:rPr>
          <w:rFonts w:ascii="Century Gothic" w:hAnsi="Century Gothic" w:cs="Arial"/>
          <w:sz w:val="24"/>
          <w:szCs w:val="24"/>
          <w:lang w:val="es-ES"/>
        </w:rPr>
        <w:t>1</w:t>
      </w:r>
      <w:r w:rsidRPr="00D3390B">
        <w:rPr>
          <w:rFonts w:ascii="Century Gothic" w:hAnsi="Century Gothic" w:cs="Arial"/>
          <w:sz w:val="24"/>
          <w:szCs w:val="24"/>
          <w:lang w:val="es-ES"/>
        </w:rPr>
        <w:t xml:space="preserve">. </w:t>
      </w:r>
      <w:r w:rsidR="00977505" w:rsidRPr="00D3390B">
        <w:rPr>
          <w:rFonts w:ascii="Century Gothic" w:hAnsi="Century Gothic" w:cs="Arial"/>
          <w:sz w:val="24"/>
          <w:szCs w:val="24"/>
          <w:lang w:val="es-ES"/>
        </w:rPr>
        <w:t xml:space="preserve">En </w:t>
      </w:r>
      <w:r w:rsidR="008004F3" w:rsidRPr="00D3390B">
        <w:rPr>
          <w:rFonts w:ascii="Century Gothic" w:hAnsi="Century Gothic" w:cs="Arial"/>
          <w:sz w:val="24"/>
          <w:szCs w:val="24"/>
          <w:lang w:val="es-ES"/>
        </w:rPr>
        <w:t>el caso en concreto, se</w:t>
      </w:r>
      <w:r w:rsidR="00977505" w:rsidRPr="00D3390B">
        <w:rPr>
          <w:rFonts w:ascii="Century Gothic" w:hAnsi="Century Gothic" w:cs="Arial"/>
          <w:sz w:val="24"/>
          <w:szCs w:val="24"/>
          <w:lang w:val="es-ES"/>
        </w:rPr>
        <w:t xml:space="preserve"> advierte que con la demanda se solicitó el pago de </w:t>
      </w:r>
      <w:r w:rsidR="00EF57D3" w:rsidRPr="00D3390B">
        <w:rPr>
          <w:rFonts w:ascii="Century Gothic" w:hAnsi="Century Gothic" w:cs="Arial"/>
          <w:sz w:val="24"/>
          <w:szCs w:val="24"/>
          <w:lang w:val="es-ES"/>
        </w:rPr>
        <w:t>$2.000.000, por concepto de gastos funerarios. S</w:t>
      </w:r>
      <w:r w:rsidR="008004F3" w:rsidRPr="00D3390B">
        <w:rPr>
          <w:rFonts w:ascii="Century Gothic" w:hAnsi="Century Gothic" w:cs="Arial"/>
          <w:sz w:val="24"/>
          <w:szCs w:val="24"/>
          <w:lang w:val="es-ES"/>
        </w:rPr>
        <w:t>in embargo, el despacho encuentra</w:t>
      </w:r>
      <w:r w:rsidR="00EF57D3" w:rsidRPr="00D3390B">
        <w:rPr>
          <w:rFonts w:ascii="Century Gothic" w:hAnsi="Century Gothic" w:cs="Arial"/>
          <w:sz w:val="24"/>
          <w:szCs w:val="24"/>
          <w:lang w:val="es-ES"/>
        </w:rPr>
        <w:t xml:space="preserve"> que la parte actora no aportó ningún medio de prueba que permita tener certeza de esa erogación, razón por la que no será objeto de indemnización ante el incumplimiento de la carga de la prueba prevista en el artículo 167 del Código General del Proceso según el cual </w:t>
      </w:r>
      <w:r w:rsidR="008004F3" w:rsidRPr="00D3390B">
        <w:rPr>
          <w:rFonts w:ascii="Century Gothic" w:hAnsi="Century Gothic" w:cs="Arial"/>
          <w:sz w:val="24"/>
          <w:szCs w:val="24"/>
          <w:lang w:val="es-ES"/>
        </w:rPr>
        <w:t>“</w:t>
      </w:r>
      <w:r w:rsidR="008004F3" w:rsidRPr="00D3390B">
        <w:rPr>
          <w:rFonts w:ascii="Century Gothic" w:hAnsi="Century Gothic" w:cs="Arial"/>
          <w:i/>
          <w:sz w:val="24"/>
          <w:szCs w:val="24"/>
          <w:lang w:val="es-ES"/>
        </w:rPr>
        <w:t>incumbe a las partes probar el supuesto de hecho de las normas que consagran el efecto jurídico que ellas persiguen”</w:t>
      </w:r>
    </w:p>
    <w:p w14:paraId="2568340C" w14:textId="77777777" w:rsidR="00584BE7" w:rsidRPr="00D3390B" w:rsidRDefault="00584BE7" w:rsidP="00C62FCF">
      <w:pPr>
        <w:pStyle w:val="Sinespaciado"/>
        <w:spacing w:line="360" w:lineRule="auto"/>
        <w:jc w:val="both"/>
        <w:rPr>
          <w:rFonts w:ascii="Century Gothic" w:hAnsi="Century Gothic" w:cs="Arial"/>
          <w:i/>
          <w:sz w:val="24"/>
          <w:szCs w:val="24"/>
          <w:lang w:val="es-ES"/>
        </w:rPr>
      </w:pPr>
    </w:p>
    <w:p w14:paraId="31C4804B" w14:textId="517F5404" w:rsidR="00584BE7" w:rsidRPr="00D3390B" w:rsidRDefault="00341B7C" w:rsidP="00C62FCF">
      <w:pPr>
        <w:pStyle w:val="Sinespaciado"/>
        <w:spacing w:line="360" w:lineRule="auto"/>
        <w:jc w:val="both"/>
        <w:rPr>
          <w:rFonts w:ascii="Century Gothic" w:hAnsi="Century Gothic" w:cs="Arial"/>
          <w:b/>
          <w:sz w:val="24"/>
          <w:szCs w:val="24"/>
          <w:lang w:val="es-ES"/>
        </w:rPr>
      </w:pPr>
      <w:r w:rsidRPr="00D3390B">
        <w:rPr>
          <w:rFonts w:ascii="Century Gothic" w:hAnsi="Century Gothic" w:cs="Arial"/>
          <w:b/>
          <w:sz w:val="24"/>
          <w:szCs w:val="24"/>
          <w:lang w:val="es-ES"/>
        </w:rPr>
        <w:t>12</w:t>
      </w:r>
      <w:r w:rsidR="00584BE7" w:rsidRPr="00D3390B">
        <w:rPr>
          <w:rFonts w:ascii="Century Gothic" w:hAnsi="Century Gothic" w:cs="Arial"/>
          <w:b/>
          <w:sz w:val="24"/>
          <w:szCs w:val="24"/>
          <w:lang w:val="es-ES"/>
        </w:rPr>
        <w:t>. Costas</w:t>
      </w:r>
    </w:p>
    <w:p w14:paraId="71E2E5DB" w14:textId="77777777" w:rsidR="00A709BF" w:rsidRPr="00D3390B" w:rsidRDefault="00A709BF" w:rsidP="00C62FCF">
      <w:pPr>
        <w:pStyle w:val="Prrafodelista"/>
        <w:tabs>
          <w:tab w:val="left" w:pos="709"/>
        </w:tabs>
        <w:spacing w:line="360" w:lineRule="auto"/>
        <w:ind w:left="0"/>
        <w:contextualSpacing w:val="0"/>
        <w:jc w:val="both"/>
        <w:rPr>
          <w:rFonts w:ascii="Century Gothic" w:hAnsi="Century Gothic"/>
        </w:rPr>
      </w:pPr>
    </w:p>
    <w:p w14:paraId="2898F5CD" w14:textId="570BA8D4" w:rsidR="00A709BF" w:rsidRPr="00D3390B" w:rsidRDefault="004B714F" w:rsidP="00C62FC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lang w:val="es-ES"/>
        </w:rPr>
      </w:pPr>
      <w:r w:rsidRPr="00D3390B">
        <w:rPr>
          <w:rFonts w:ascii="Century Gothic" w:hAnsi="Century Gothic" w:cs="Arial"/>
          <w:color w:val="000000"/>
          <w:sz w:val="24"/>
          <w:szCs w:val="24"/>
          <w:lang w:val="es-ES"/>
        </w:rPr>
        <w:t>4</w:t>
      </w:r>
      <w:r w:rsidR="009271B8">
        <w:rPr>
          <w:rFonts w:ascii="Century Gothic" w:hAnsi="Century Gothic" w:cs="Arial"/>
          <w:color w:val="000000"/>
          <w:sz w:val="24"/>
          <w:szCs w:val="24"/>
          <w:lang w:val="es-ES"/>
        </w:rPr>
        <w:t>2</w:t>
      </w:r>
      <w:r w:rsidRPr="00D3390B">
        <w:rPr>
          <w:rFonts w:ascii="Century Gothic" w:hAnsi="Century Gothic" w:cs="Arial"/>
          <w:color w:val="000000"/>
          <w:sz w:val="24"/>
          <w:szCs w:val="24"/>
          <w:lang w:val="es-ES"/>
        </w:rPr>
        <w:t xml:space="preserve">. </w:t>
      </w:r>
      <w:r w:rsidR="00A709BF" w:rsidRPr="00D3390B">
        <w:rPr>
          <w:rFonts w:ascii="Century Gothic" w:hAnsi="Century Gothic" w:cs="Arial"/>
          <w:color w:val="000000"/>
          <w:sz w:val="24"/>
          <w:szCs w:val="24"/>
          <w:lang w:val="es-ES"/>
        </w:rPr>
        <w:t>La condena en costas la adopta el juez teniendo en cuenta la conducta de la parte vencida en el proceso, pues no es una regla de aplicación forzosa y general.</w:t>
      </w:r>
    </w:p>
    <w:p w14:paraId="0F1A7B0A" w14:textId="77777777" w:rsidR="00A709BF" w:rsidRPr="00D3390B" w:rsidRDefault="00A709BF" w:rsidP="00C62FC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lang w:val="es-ES"/>
        </w:rPr>
      </w:pPr>
    </w:p>
    <w:p w14:paraId="05EEDFA4" w14:textId="6716D96F" w:rsidR="00A709BF" w:rsidRPr="00D3390B" w:rsidRDefault="004B714F" w:rsidP="00C62FC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lang w:val="es-ES"/>
        </w:rPr>
      </w:pPr>
      <w:r w:rsidRPr="00D3390B">
        <w:rPr>
          <w:rFonts w:ascii="Century Gothic" w:hAnsi="Century Gothic" w:cs="Arial"/>
          <w:color w:val="000000"/>
          <w:sz w:val="24"/>
          <w:szCs w:val="24"/>
          <w:lang w:val="es-ES"/>
        </w:rPr>
        <w:t>4</w:t>
      </w:r>
      <w:r w:rsidR="009271B8">
        <w:rPr>
          <w:rFonts w:ascii="Century Gothic" w:hAnsi="Century Gothic" w:cs="Arial"/>
          <w:color w:val="000000"/>
          <w:sz w:val="24"/>
          <w:szCs w:val="24"/>
          <w:lang w:val="es-ES"/>
        </w:rPr>
        <w:t>3</w:t>
      </w:r>
      <w:r w:rsidRPr="00D3390B">
        <w:rPr>
          <w:rFonts w:ascii="Century Gothic" w:hAnsi="Century Gothic" w:cs="Arial"/>
          <w:color w:val="000000"/>
          <w:sz w:val="24"/>
          <w:szCs w:val="24"/>
          <w:lang w:val="es-ES"/>
        </w:rPr>
        <w:t xml:space="preserve">. </w:t>
      </w:r>
      <w:r w:rsidR="00A709BF" w:rsidRPr="00D3390B">
        <w:rPr>
          <w:rFonts w:ascii="Century Gothic" w:hAnsi="Century Gothic" w:cs="Arial"/>
          <w:color w:val="000000"/>
          <w:sz w:val="24"/>
          <w:szCs w:val="24"/>
          <w:lang w:val="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806421D" w14:textId="77777777" w:rsidR="00A709BF" w:rsidRPr="00D3390B" w:rsidRDefault="00A709BF" w:rsidP="00C62FC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lang w:val="es-ES"/>
        </w:rPr>
      </w:pPr>
    </w:p>
    <w:p w14:paraId="63231A77" w14:textId="0CA3FAEE" w:rsidR="00A709BF" w:rsidRPr="00D3390B" w:rsidRDefault="004B714F" w:rsidP="00C62FC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lang w:val="es-ES"/>
        </w:rPr>
      </w:pPr>
      <w:r w:rsidRPr="00D3390B">
        <w:rPr>
          <w:rFonts w:ascii="Century Gothic" w:hAnsi="Century Gothic" w:cs="Arial"/>
          <w:color w:val="000000"/>
          <w:sz w:val="24"/>
          <w:szCs w:val="24"/>
          <w:lang w:val="es-ES"/>
        </w:rPr>
        <w:t>4</w:t>
      </w:r>
      <w:r w:rsidR="009271B8">
        <w:rPr>
          <w:rFonts w:ascii="Century Gothic" w:hAnsi="Century Gothic" w:cs="Arial"/>
          <w:color w:val="000000"/>
          <w:sz w:val="24"/>
          <w:szCs w:val="24"/>
          <w:lang w:val="es-ES"/>
        </w:rPr>
        <w:t>4</w:t>
      </w:r>
      <w:r w:rsidRPr="00D3390B">
        <w:rPr>
          <w:rFonts w:ascii="Century Gothic" w:hAnsi="Century Gothic" w:cs="Arial"/>
          <w:color w:val="000000"/>
          <w:sz w:val="24"/>
          <w:szCs w:val="24"/>
          <w:lang w:val="es-ES"/>
        </w:rPr>
        <w:t xml:space="preserve">. </w:t>
      </w:r>
      <w:r w:rsidR="00A709BF" w:rsidRPr="00D3390B">
        <w:rPr>
          <w:rFonts w:ascii="Century Gothic" w:hAnsi="Century Gothic" w:cs="Arial"/>
          <w:color w:val="000000"/>
          <w:sz w:val="24"/>
          <w:szCs w:val="24"/>
          <w:lang w:val="es-ES"/>
        </w:rPr>
        <w:t xml:space="preserve">Analizado dicho aspecto, este despacho estima que en esta oportunidad </w:t>
      </w:r>
      <w:r w:rsidR="00A709BF" w:rsidRPr="00D3390B">
        <w:rPr>
          <w:rFonts w:ascii="Century Gothic" w:hAnsi="Century Gothic" w:cs="Arial"/>
          <w:b/>
          <w:color w:val="000000"/>
          <w:sz w:val="24"/>
          <w:szCs w:val="24"/>
          <w:lang w:val="es-ES"/>
        </w:rPr>
        <w:t>no hay lugar a imponer condena en costas</w:t>
      </w:r>
      <w:r w:rsidR="00A709BF" w:rsidRPr="00D3390B">
        <w:rPr>
          <w:rFonts w:ascii="Century Gothic" w:hAnsi="Century Gothic" w:cs="Arial"/>
          <w:color w:val="000000"/>
          <w:sz w:val="24"/>
          <w:szCs w:val="24"/>
          <w:lang w:val="es-ES"/>
        </w:rPr>
        <w:t>, debido a que no se aprecia temeridad o abuso de las atribuciones o derechos procesales por las partes Además, las costas deben aparecer comprobadas, de acuerdo con lo dispuesto en el numeral 8 del artículo 365 del C.G.P, según el cual "</w:t>
      </w:r>
      <w:r w:rsidR="00A709BF" w:rsidRPr="00D3390B">
        <w:rPr>
          <w:rFonts w:ascii="Century Gothic" w:hAnsi="Century Gothic" w:cs="Arial"/>
          <w:i/>
          <w:color w:val="000000"/>
          <w:sz w:val="24"/>
          <w:szCs w:val="24"/>
          <w:lang w:val="es-ES"/>
        </w:rPr>
        <w:t>Sólo habrá lugar a costas cuando en el expediente aparezca que se causaron y en la medida de su comprobación"</w:t>
      </w:r>
      <w:r w:rsidR="00A709BF" w:rsidRPr="00D3390B">
        <w:rPr>
          <w:rFonts w:ascii="Century Gothic" w:hAnsi="Century Gothic" w:cs="Arial"/>
          <w:color w:val="000000"/>
          <w:sz w:val="24"/>
          <w:szCs w:val="24"/>
          <w:lang w:val="es-ES"/>
        </w:rPr>
        <w:t xml:space="preserve"> situación que no se ha presentado en el caso estudiado.</w:t>
      </w:r>
    </w:p>
    <w:p w14:paraId="131BF90D" w14:textId="77777777" w:rsidR="00841FF9" w:rsidRPr="00D3390B" w:rsidRDefault="00841FF9" w:rsidP="00C62FCF">
      <w:pPr>
        <w:spacing w:after="0" w:line="360" w:lineRule="auto"/>
        <w:jc w:val="both"/>
        <w:rPr>
          <w:rFonts w:ascii="Century Gothic" w:eastAsia="Times New Roman" w:hAnsi="Century Gothic" w:cs="Arial"/>
          <w:sz w:val="24"/>
          <w:szCs w:val="24"/>
          <w:lang w:val="es-ES" w:eastAsia="es-ES"/>
        </w:rPr>
      </w:pPr>
    </w:p>
    <w:p w14:paraId="332E301B" w14:textId="77777777" w:rsidR="00841FF9" w:rsidRPr="00C2721D" w:rsidRDefault="00841FF9" w:rsidP="00C62FCF">
      <w:pPr>
        <w:spacing w:after="0" w:line="360" w:lineRule="auto"/>
        <w:jc w:val="both"/>
        <w:rPr>
          <w:rFonts w:ascii="Century Gothic" w:eastAsia="Times New Roman" w:hAnsi="Century Gothic" w:cs="Arial"/>
          <w:sz w:val="24"/>
          <w:szCs w:val="24"/>
          <w:lang w:val="es-ES" w:eastAsia="es-ES"/>
        </w:rPr>
      </w:pPr>
      <w:r w:rsidRPr="00C2721D">
        <w:rPr>
          <w:rFonts w:ascii="Century Gothic" w:eastAsia="Times New Roman" w:hAnsi="Century Gothic" w:cs="Arial"/>
          <w:sz w:val="24"/>
          <w:szCs w:val="24"/>
          <w:lang w:val="es-ES" w:eastAsia="es-ES"/>
        </w:rPr>
        <w:t xml:space="preserve">En mérito de lo expuesto, el JUZGADO TREINTA Y CUATRO (34) ADMINISTRATIVO DEL CIRCUÍTO DE BOGOTÁ, administrando justicia en nombre de la República de Colombia y, por autoridad de la Ley, </w:t>
      </w:r>
    </w:p>
    <w:p w14:paraId="0DF8411F" w14:textId="77777777" w:rsidR="00841FF9" w:rsidRPr="00D3390B" w:rsidRDefault="00841FF9" w:rsidP="00C62FCF">
      <w:pPr>
        <w:spacing w:after="0" w:line="360" w:lineRule="auto"/>
        <w:jc w:val="both"/>
        <w:rPr>
          <w:rFonts w:ascii="Century Gothic" w:eastAsia="Times New Roman" w:hAnsi="Century Gothic" w:cs="Arial"/>
          <w:b/>
          <w:sz w:val="24"/>
          <w:szCs w:val="24"/>
          <w:lang w:val="es-ES" w:eastAsia="es-ES"/>
        </w:rPr>
      </w:pPr>
    </w:p>
    <w:p w14:paraId="07E6F66A" w14:textId="075F1BFA" w:rsidR="00841FF9" w:rsidRPr="00D3390B" w:rsidRDefault="00A32A82" w:rsidP="00C62FCF">
      <w:pPr>
        <w:spacing w:after="0" w:line="360" w:lineRule="auto"/>
        <w:jc w:val="center"/>
        <w:rPr>
          <w:rFonts w:ascii="Century Gothic" w:eastAsia="Times New Roman" w:hAnsi="Century Gothic" w:cs="Arial"/>
          <w:b/>
          <w:sz w:val="24"/>
          <w:szCs w:val="24"/>
          <w:lang w:val="es-ES" w:eastAsia="es-ES"/>
        </w:rPr>
      </w:pPr>
      <w:r w:rsidRPr="00D3390B">
        <w:rPr>
          <w:rFonts w:ascii="Century Gothic" w:eastAsia="Times New Roman" w:hAnsi="Century Gothic" w:cs="Arial"/>
          <w:b/>
          <w:sz w:val="24"/>
          <w:szCs w:val="24"/>
          <w:lang w:val="es-ES" w:eastAsia="es-ES"/>
        </w:rPr>
        <w:t>FALLA</w:t>
      </w:r>
    </w:p>
    <w:p w14:paraId="4288042B" w14:textId="77777777" w:rsidR="00841FF9" w:rsidRPr="00D3390B" w:rsidRDefault="00841FF9" w:rsidP="00C62FCF">
      <w:pPr>
        <w:spacing w:after="0" w:line="360" w:lineRule="auto"/>
        <w:jc w:val="both"/>
        <w:rPr>
          <w:rFonts w:ascii="Century Gothic" w:eastAsia="Times New Roman" w:hAnsi="Century Gothic" w:cs="Arial"/>
          <w:b/>
          <w:sz w:val="24"/>
          <w:szCs w:val="24"/>
          <w:lang w:val="es-ES" w:eastAsia="es-ES"/>
        </w:rPr>
      </w:pPr>
    </w:p>
    <w:p w14:paraId="5CA37498" w14:textId="34E82A30" w:rsidR="00A32A82" w:rsidRPr="00D3390B" w:rsidRDefault="00A32A82" w:rsidP="00C62FCF">
      <w:pPr>
        <w:spacing w:after="0" w:line="360" w:lineRule="auto"/>
        <w:jc w:val="both"/>
        <w:rPr>
          <w:rFonts w:ascii="Century Gothic" w:hAnsi="Century Gothic" w:cs="Tahoma"/>
          <w:sz w:val="24"/>
          <w:szCs w:val="24"/>
          <w:lang w:val="es-ES"/>
        </w:rPr>
      </w:pPr>
      <w:r w:rsidRPr="00D3390B">
        <w:rPr>
          <w:rFonts w:ascii="Century Gothic" w:eastAsia="Times New Roman" w:hAnsi="Century Gothic" w:cs="Arial"/>
          <w:b/>
          <w:sz w:val="24"/>
          <w:szCs w:val="24"/>
          <w:lang w:val="es-ES" w:eastAsia="es-ES"/>
        </w:rPr>
        <w:t xml:space="preserve">PRIMERO: </w:t>
      </w:r>
      <w:r w:rsidRPr="00D3390B">
        <w:rPr>
          <w:rFonts w:ascii="Century Gothic" w:eastAsia="Times New Roman" w:hAnsi="Century Gothic" w:cs="Arial"/>
          <w:b/>
          <w:color w:val="000000"/>
          <w:sz w:val="24"/>
          <w:szCs w:val="24"/>
          <w:lang w:val="es-ES" w:eastAsia="es-ES"/>
        </w:rPr>
        <w:t>Declarar</w:t>
      </w:r>
      <w:r w:rsidRPr="00D3390B">
        <w:rPr>
          <w:rFonts w:ascii="Century Gothic" w:eastAsia="Times New Roman" w:hAnsi="Century Gothic" w:cs="Arial"/>
          <w:color w:val="000000"/>
          <w:sz w:val="24"/>
          <w:szCs w:val="24"/>
          <w:lang w:val="es-ES" w:eastAsia="es-ES"/>
        </w:rPr>
        <w:t xml:space="preserve"> administrativamente responsable a la Nación – Ministerio de Defensa Nacional – Ejército Nacional – Dirección de Sanidad, por los daños causados a los demandantes con motivo de la atención médica y posterior muerte de la señora </w:t>
      </w:r>
      <w:r w:rsidRPr="00D3390B">
        <w:rPr>
          <w:rFonts w:ascii="Century Gothic" w:hAnsi="Century Gothic" w:cs="Tahoma"/>
          <w:sz w:val="24"/>
          <w:szCs w:val="24"/>
          <w:lang w:val="es-ES"/>
        </w:rPr>
        <w:t>María Leonilde García</w:t>
      </w:r>
      <w:r w:rsidR="00973773" w:rsidRPr="00D3390B">
        <w:rPr>
          <w:rFonts w:ascii="Century Gothic" w:hAnsi="Century Gothic" w:cs="Tahoma"/>
          <w:sz w:val="24"/>
          <w:szCs w:val="24"/>
          <w:lang w:val="es-ES"/>
        </w:rPr>
        <w:t>, de conformidad con las razones expuestas en la parte considerativa de esta sentencia.</w:t>
      </w:r>
    </w:p>
    <w:p w14:paraId="49A7305B" w14:textId="77777777" w:rsidR="00973773" w:rsidRPr="00D3390B" w:rsidRDefault="00973773" w:rsidP="00C62FCF">
      <w:pPr>
        <w:spacing w:after="0" w:line="360" w:lineRule="auto"/>
        <w:jc w:val="both"/>
        <w:rPr>
          <w:rFonts w:ascii="Century Gothic" w:hAnsi="Century Gothic" w:cs="Tahoma"/>
          <w:sz w:val="24"/>
          <w:szCs w:val="24"/>
          <w:lang w:val="es-ES"/>
        </w:rPr>
      </w:pPr>
    </w:p>
    <w:p w14:paraId="675F6B17" w14:textId="02A0E9CE" w:rsidR="003C62CC" w:rsidRPr="00D3390B" w:rsidRDefault="00973773"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hAnsi="Century Gothic" w:cs="Tahoma"/>
          <w:b/>
          <w:sz w:val="24"/>
          <w:szCs w:val="24"/>
          <w:lang w:val="es-ES"/>
        </w:rPr>
        <w:lastRenderedPageBreak/>
        <w:t>SEGUNDO:</w:t>
      </w:r>
      <w:r w:rsidRPr="00D3390B">
        <w:rPr>
          <w:rFonts w:ascii="Century Gothic" w:hAnsi="Century Gothic" w:cs="Tahoma"/>
          <w:sz w:val="24"/>
          <w:szCs w:val="24"/>
          <w:lang w:val="es-ES"/>
        </w:rPr>
        <w:t xml:space="preserve"> </w:t>
      </w:r>
      <w:r w:rsidRPr="00D3390B">
        <w:rPr>
          <w:rFonts w:ascii="Century Gothic" w:hAnsi="Century Gothic" w:cs="Tahoma"/>
          <w:b/>
          <w:sz w:val="24"/>
          <w:szCs w:val="24"/>
          <w:lang w:val="es-ES"/>
        </w:rPr>
        <w:t>Condenar</w:t>
      </w:r>
      <w:r w:rsidRPr="00D3390B">
        <w:rPr>
          <w:rFonts w:ascii="Century Gothic" w:hAnsi="Century Gothic" w:cs="Tahoma"/>
          <w:sz w:val="24"/>
          <w:szCs w:val="24"/>
          <w:lang w:val="es-ES"/>
        </w:rPr>
        <w:t xml:space="preserve"> </w:t>
      </w:r>
      <w:r w:rsidRPr="00D3390B">
        <w:rPr>
          <w:rFonts w:ascii="Century Gothic" w:eastAsia="Times New Roman" w:hAnsi="Century Gothic" w:cs="Arial"/>
          <w:color w:val="000000"/>
          <w:sz w:val="24"/>
          <w:szCs w:val="24"/>
          <w:lang w:val="es-ES" w:eastAsia="es-ES"/>
        </w:rPr>
        <w:t xml:space="preserve">a la Nación – Ministerio de Defensa Nacional – Ejército Nacional – Dirección </w:t>
      </w:r>
      <w:r w:rsidR="003C62CC" w:rsidRPr="00D3390B">
        <w:rPr>
          <w:rFonts w:ascii="Century Gothic" w:eastAsia="Times New Roman" w:hAnsi="Century Gothic" w:cs="Arial"/>
          <w:color w:val="000000"/>
          <w:sz w:val="24"/>
          <w:szCs w:val="24"/>
          <w:lang w:val="es-ES" w:eastAsia="es-ES"/>
        </w:rPr>
        <w:t>de Sanidad al pago de las siguientes sumas por concepto de daño moral:</w:t>
      </w:r>
    </w:p>
    <w:p w14:paraId="0F07DABB" w14:textId="77777777" w:rsidR="003C62CC" w:rsidRPr="00D3390B" w:rsidRDefault="003C62CC" w:rsidP="00C62FCF">
      <w:pPr>
        <w:spacing w:after="0" w:line="360" w:lineRule="auto"/>
        <w:jc w:val="both"/>
        <w:rPr>
          <w:rFonts w:ascii="Century Gothic" w:eastAsia="Times New Roman" w:hAnsi="Century Gothic" w:cs="Arial"/>
          <w:color w:val="000000"/>
          <w:sz w:val="24"/>
          <w:szCs w:val="24"/>
          <w:lang w:val="es-ES" w:eastAsia="es-ES"/>
        </w:rPr>
      </w:pPr>
    </w:p>
    <w:tbl>
      <w:tblPr>
        <w:tblStyle w:val="Tablaconcuadrcula"/>
        <w:tblW w:w="0" w:type="auto"/>
        <w:tblLook w:val="04A0" w:firstRow="1" w:lastRow="0" w:firstColumn="1" w:lastColumn="0" w:noHBand="0" w:noVBand="1"/>
      </w:tblPr>
      <w:tblGrid>
        <w:gridCol w:w="4673"/>
        <w:gridCol w:w="2835"/>
        <w:gridCol w:w="1320"/>
      </w:tblGrid>
      <w:tr w:rsidR="00D97723" w:rsidRPr="00D3390B" w14:paraId="08B96B4A" w14:textId="77777777" w:rsidTr="00B07786">
        <w:tc>
          <w:tcPr>
            <w:tcW w:w="4673" w:type="dxa"/>
          </w:tcPr>
          <w:p w14:paraId="089543A6" w14:textId="4C55B067" w:rsidR="00D97723" w:rsidRPr="00D3390B" w:rsidRDefault="00D97723" w:rsidP="00C62FCF">
            <w:pPr>
              <w:spacing w:after="0" w:line="360" w:lineRule="auto"/>
              <w:jc w:val="both"/>
              <w:rPr>
                <w:rFonts w:ascii="Century Gothic" w:eastAsia="Times New Roman" w:hAnsi="Century Gothic" w:cs="Arial"/>
                <w:b/>
                <w:color w:val="000000"/>
                <w:sz w:val="24"/>
                <w:szCs w:val="24"/>
                <w:lang w:val="es-ES" w:eastAsia="es-ES"/>
              </w:rPr>
            </w:pPr>
            <w:r w:rsidRPr="00D3390B">
              <w:rPr>
                <w:rFonts w:ascii="Century Gothic" w:eastAsia="Times New Roman" w:hAnsi="Century Gothic" w:cs="Arial"/>
                <w:b/>
                <w:color w:val="000000"/>
                <w:sz w:val="24"/>
                <w:szCs w:val="24"/>
                <w:lang w:val="es-ES" w:eastAsia="es-ES"/>
              </w:rPr>
              <w:t>Nombre</w:t>
            </w:r>
          </w:p>
        </w:tc>
        <w:tc>
          <w:tcPr>
            <w:tcW w:w="2835" w:type="dxa"/>
          </w:tcPr>
          <w:p w14:paraId="6150F62B" w14:textId="0E5D33F1" w:rsidR="00D97723" w:rsidRPr="00D3390B" w:rsidRDefault="00D97723" w:rsidP="00C62FCF">
            <w:pPr>
              <w:spacing w:after="0" w:line="360" w:lineRule="auto"/>
              <w:jc w:val="both"/>
              <w:rPr>
                <w:rFonts w:ascii="Century Gothic" w:eastAsia="Times New Roman" w:hAnsi="Century Gothic" w:cs="Arial"/>
                <w:b/>
                <w:color w:val="000000"/>
                <w:sz w:val="24"/>
                <w:szCs w:val="24"/>
                <w:lang w:val="es-ES" w:eastAsia="es-ES"/>
              </w:rPr>
            </w:pPr>
            <w:r w:rsidRPr="00D3390B">
              <w:rPr>
                <w:rFonts w:ascii="Century Gothic" w:eastAsia="Times New Roman" w:hAnsi="Century Gothic" w:cs="Arial"/>
                <w:b/>
                <w:color w:val="000000"/>
                <w:sz w:val="24"/>
                <w:szCs w:val="24"/>
                <w:lang w:val="es-ES" w:eastAsia="es-ES"/>
              </w:rPr>
              <w:t>Calidad</w:t>
            </w:r>
          </w:p>
        </w:tc>
        <w:tc>
          <w:tcPr>
            <w:tcW w:w="1320" w:type="dxa"/>
          </w:tcPr>
          <w:p w14:paraId="7A00B8AB" w14:textId="51F6AB7E" w:rsidR="00D97723" w:rsidRPr="00D3390B" w:rsidRDefault="00D97723" w:rsidP="00C62FCF">
            <w:pPr>
              <w:spacing w:after="0" w:line="360" w:lineRule="auto"/>
              <w:jc w:val="both"/>
              <w:rPr>
                <w:rFonts w:ascii="Century Gothic" w:eastAsia="Times New Roman" w:hAnsi="Century Gothic" w:cs="Arial"/>
                <w:b/>
                <w:color w:val="000000"/>
                <w:sz w:val="24"/>
                <w:szCs w:val="24"/>
                <w:lang w:val="es-ES" w:eastAsia="es-ES"/>
              </w:rPr>
            </w:pPr>
            <w:r w:rsidRPr="00D3390B">
              <w:rPr>
                <w:rFonts w:ascii="Century Gothic" w:eastAsia="Times New Roman" w:hAnsi="Century Gothic" w:cs="Arial"/>
                <w:b/>
                <w:color w:val="000000"/>
                <w:sz w:val="24"/>
                <w:szCs w:val="24"/>
                <w:lang w:val="es-ES" w:eastAsia="es-ES"/>
              </w:rPr>
              <w:t>SMLMV</w:t>
            </w:r>
          </w:p>
        </w:tc>
      </w:tr>
      <w:tr w:rsidR="0028565A" w:rsidRPr="00D3390B" w14:paraId="4C1504FC" w14:textId="77777777" w:rsidTr="00B07786">
        <w:tc>
          <w:tcPr>
            <w:tcW w:w="4673" w:type="dxa"/>
          </w:tcPr>
          <w:p w14:paraId="21F07E32" w14:textId="5499E005" w:rsidR="0028565A" w:rsidRPr="00D3390B" w:rsidRDefault="00366AE9"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hAnsi="Century Gothic"/>
                <w:lang w:val="es-ES"/>
              </w:rPr>
              <w:t>Luis</w:t>
            </w:r>
            <w:r w:rsidR="0028565A" w:rsidRPr="00D3390B">
              <w:rPr>
                <w:rFonts w:ascii="Century Gothic" w:hAnsi="Century Gothic"/>
                <w:lang w:val="es-ES"/>
              </w:rPr>
              <w:t xml:space="preserve"> </w:t>
            </w:r>
            <w:r w:rsidRPr="00D3390B">
              <w:rPr>
                <w:rFonts w:ascii="Century Gothic" w:hAnsi="Century Gothic"/>
                <w:lang w:val="es-ES"/>
              </w:rPr>
              <w:t>Javier</w:t>
            </w:r>
            <w:r w:rsidR="009D7B2A">
              <w:rPr>
                <w:rFonts w:ascii="Century Gothic" w:hAnsi="Century Gothic"/>
                <w:lang w:val="es-ES"/>
              </w:rPr>
              <w:t xml:space="preserve"> M</w:t>
            </w:r>
            <w:r w:rsidR="0028565A" w:rsidRPr="00D3390B">
              <w:rPr>
                <w:rFonts w:ascii="Century Gothic" w:hAnsi="Century Gothic"/>
                <w:lang w:val="es-ES"/>
              </w:rPr>
              <w:t xml:space="preserve">edina </w:t>
            </w:r>
            <w:r w:rsidRPr="00D3390B">
              <w:rPr>
                <w:rFonts w:ascii="Century Gothic" w:hAnsi="Century Gothic"/>
                <w:lang w:val="es-ES"/>
              </w:rPr>
              <w:t>García</w:t>
            </w:r>
          </w:p>
        </w:tc>
        <w:tc>
          <w:tcPr>
            <w:tcW w:w="2835" w:type="dxa"/>
          </w:tcPr>
          <w:p w14:paraId="2225FCE3" w14:textId="659DAF6C" w:rsidR="0028565A" w:rsidRPr="00D3390B" w:rsidRDefault="0028565A"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eastAsia="Times New Roman" w:hAnsi="Century Gothic" w:cs="Arial"/>
                <w:color w:val="000000"/>
                <w:sz w:val="24"/>
                <w:szCs w:val="24"/>
                <w:lang w:val="es-ES" w:eastAsia="es-ES"/>
              </w:rPr>
              <w:t>H</w:t>
            </w:r>
            <w:r w:rsidR="00370905" w:rsidRPr="00D3390B">
              <w:rPr>
                <w:rFonts w:ascii="Century Gothic" w:eastAsia="Times New Roman" w:hAnsi="Century Gothic" w:cs="Arial"/>
                <w:color w:val="000000"/>
                <w:sz w:val="24"/>
                <w:szCs w:val="24"/>
                <w:lang w:val="es-ES" w:eastAsia="es-ES"/>
              </w:rPr>
              <w:t>ijo</w:t>
            </w:r>
            <w:r w:rsidRPr="00D3390B">
              <w:rPr>
                <w:rFonts w:ascii="Century Gothic" w:eastAsia="Times New Roman" w:hAnsi="Century Gothic" w:cs="Arial"/>
                <w:color w:val="000000"/>
                <w:sz w:val="24"/>
                <w:szCs w:val="24"/>
                <w:lang w:val="es-ES" w:eastAsia="es-ES"/>
              </w:rPr>
              <w:t xml:space="preserve"> de la víctima</w:t>
            </w:r>
          </w:p>
        </w:tc>
        <w:tc>
          <w:tcPr>
            <w:tcW w:w="1320" w:type="dxa"/>
          </w:tcPr>
          <w:p w14:paraId="26635733" w14:textId="0608F68E" w:rsidR="0028565A" w:rsidRPr="00D3390B" w:rsidRDefault="00370905"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eastAsia="Times New Roman" w:hAnsi="Century Gothic" w:cs="Arial"/>
                <w:color w:val="000000"/>
                <w:sz w:val="24"/>
                <w:szCs w:val="24"/>
                <w:lang w:val="es-ES" w:eastAsia="es-ES"/>
              </w:rPr>
              <w:t>100</w:t>
            </w:r>
          </w:p>
        </w:tc>
      </w:tr>
      <w:tr w:rsidR="0028565A" w:rsidRPr="00D3390B" w14:paraId="16D7891C" w14:textId="77777777" w:rsidTr="00B07786">
        <w:tc>
          <w:tcPr>
            <w:tcW w:w="4673" w:type="dxa"/>
          </w:tcPr>
          <w:p w14:paraId="5A9E0212" w14:textId="3E65BD58" w:rsidR="0028565A" w:rsidRPr="00D3390B" w:rsidRDefault="00366AE9"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hAnsi="Century Gothic"/>
                <w:lang w:val="es-ES"/>
              </w:rPr>
              <w:t>Libia García de Rincó</w:t>
            </w:r>
            <w:r w:rsidR="0028565A" w:rsidRPr="00D3390B">
              <w:rPr>
                <w:rFonts w:ascii="Century Gothic" w:hAnsi="Century Gothic"/>
                <w:lang w:val="es-ES"/>
              </w:rPr>
              <w:t xml:space="preserve">n  </w:t>
            </w:r>
          </w:p>
        </w:tc>
        <w:tc>
          <w:tcPr>
            <w:tcW w:w="2835" w:type="dxa"/>
          </w:tcPr>
          <w:p w14:paraId="7AC26279" w14:textId="3DE55095" w:rsidR="0028565A" w:rsidRPr="00D3390B" w:rsidRDefault="00370905"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eastAsia="Times New Roman" w:hAnsi="Century Gothic" w:cs="Arial"/>
                <w:color w:val="000000"/>
                <w:sz w:val="24"/>
                <w:szCs w:val="24"/>
                <w:lang w:val="es-ES" w:eastAsia="es-ES"/>
              </w:rPr>
              <w:t>Hija de la víctima</w:t>
            </w:r>
          </w:p>
        </w:tc>
        <w:tc>
          <w:tcPr>
            <w:tcW w:w="1320" w:type="dxa"/>
          </w:tcPr>
          <w:p w14:paraId="0E48B86B" w14:textId="20E759E3" w:rsidR="0028565A" w:rsidRPr="00D3390B" w:rsidRDefault="00370905"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eastAsia="Times New Roman" w:hAnsi="Century Gothic" w:cs="Arial"/>
                <w:color w:val="000000"/>
                <w:sz w:val="24"/>
                <w:szCs w:val="24"/>
                <w:lang w:val="es-ES" w:eastAsia="es-ES"/>
              </w:rPr>
              <w:t>100</w:t>
            </w:r>
          </w:p>
        </w:tc>
      </w:tr>
      <w:tr w:rsidR="0028565A" w:rsidRPr="00D3390B" w14:paraId="32B77D3E" w14:textId="77777777" w:rsidTr="00B07786">
        <w:tc>
          <w:tcPr>
            <w:tcW w:w="4673" w:type="dxa"/>
          </w:tcPr>
          <w:p w14:paraId="30660903" w14:textId="523C224A" w:rsidR="0028565A" w:rsidRPr="00D3390B" w:rsidRDefault="00366AE9"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hAnsi="Century Gothic"/>
                <w:lang w:val="es-ES"/>
              </w:rPr>
              <w:t>Rosalba Bohórquez García de V</w:t>
            </w:r>
            <w:r w:rsidR="0028565A" w:rsidRPr="00D3390B">
              <w:rPr>
                <w:rFonts w:ascii="Century Gothic" w:hAnsi="Century Gothic"/>
                <w:lang w:val="es-ES"/>
              </w:rPr>
              <w:t xml:space="preserve">illarraga  </w:t>
            </w:r>
          </w:p>
        </w:tc>
        <w:tc>
          <w:tcPr>
            <w:tcW w:w="2835" w:type="dxa"/>
          </w:tcPr>
          <w:p w14:paraId="5574736F" w14:textId="41AF8833" w:rsidR="0028565A" w:rsidRPr="00D3390B" w:rsidRDefault="00370905"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eastAsia="Times New Roman" w:hAnsi="Century Gothic" w:cs="Arial"/>
                <w:color w:val="000000"/>
                <w:sz w:val="24"/>
                <w:szCs w:val="24"/>
                <w:lang w:val="es-ES" w:eastAsia="es-ES"/>
              </w:rPr>
              <w:t>Hija de la víctima</w:t>
            </w:r>
          </w:p>
        </w:tc>
        <w:tc>
          <w:tcPr>
            <w:tcW w:w="1320" w:type="dxa"/>
          </w:tcPr>
          <w:p w14:paraId="6F7D3DC4" w14:textId="66702B0F" w:rsidR="0028565A" w:rsidRPr="00D3390B" w:rsidRDefault="00370905" w:rsidP="00C62FCF">
            <w:pPr>
              <w:spacing w:after="0" w:line="360" w:lineRule="auto"/>
              <w:jc w:val="both"/>
              <w:rPr>
                <w:rFonts w:ascii="Century Gothic" w:eastAsia="Times New Roman" w:hAnsi="Century Gothic" w:cs="Arial"/>
                <w:color w:val="000000"/>
                <w:sz w:val="24"/>
                <w:szCs w:val="24"/>
                <w:lang w:val="es-ES" w:eastAsia="es-ES"/>
              </w:rPr>
            </w:pPr>
            <w:r w:rsidRPr="00D3390B">
              <w:rPr>
                <w:rFonts w:ascii="Century Gothic" w:eastAsia="Times New Roman" w:hAnsi="Century Gothic" w:cs="Arial"/>
                <w:color w:val="000000"/>
                <w:sz w:val="24"/>
                <w:szCs w:val="24"/>
                <w:lang w:val="es-ES" w:eastAsia="es-ES"/>
              </w:rPr>
              <w:t>100</w:t>
            </w:r>
          </w:p>
        </w:tc>
      </w:tr>
    </w:tbl>
    <w:p w14:paraId="3B79727D" w14:textId="77777777" w:rsidR="00370905" w:rsidRPr="00D3390B" w:rsidRDefault="00370905" w:rsidP="00C62FCF">
      <w:pPr>
        <w:spacing w:after="0" w:line="360" w:lineRule="auto"/>
        <w:jc w:val="both"/>
        <w:rPr>
          <w:rFonts w:ascii="Century Gothic" w:eastAsia="Times New Roman" w:hAnsi="Century Gothic" w:cs="Arial"/>
          <w:color w:val="000000"/>
          <w:sz w:val="24"/>
          <w:szCs w:val="24"/>
          <w:lang w:val="es-ES" w:eastAsia="es-ES"/>
        </w:rPr>
      </w:pPr>
    </w:p>
    <w:p w14:paraId="223FA2DB" w14:textId="37BD8F5F" w:rsidR="00841FF9" w:rsidRPr="00D3390B" w:rsidRDefault="00841FF9" w:rsidP="00C62FCF">
      <w:pPr>
        <w:spacing w:after="0" w:line="360" w:lineRule="auto"/>
        <w:jc w:val="both"/>
        <w:rPr>
          <w:rFonts w:ascii="Century Gothic" w:eastAsia="Times New Roman" w:hAnsi="Century Gothic" w:cs="Arial"/>
          <w:sz w:val="24"/>
          <w:szCs w:val="24"/>
          <w:lang w:val="es-ES" w:eastAsia="es-ES"/>
        </w:rPr>
      </w:pPr>
      <w:r w:rsidRPr="00D3390B">
        <w:rPr>
          <w:rFonts w:ascii="Century Gothic" w:eastAsia="Times New Roman" w:hAnsi="Century Gothic" w:cs="Arial"/>
          <w:b/>
          <w:sz w:val="24"/>
          <w:szCs w:val="24"/>
          <w:lang w:val="es-ES" w:eastAsia="es-ES"/>
        </w:rPr>
        <w:t>TERCERO</w:t>
      </w:r>
      <w:r w:rsidR="00A709BF" w:rsidRPr="00D3390B">
        <w:rPr>
          <w:rFonts w:ascii="Century Gothic" w:eastAsia="Times New Roman" w:hAnsi="Century Gothic" w:cs="Arial"/>
          <w:b/>
          <w:sz w:val="24"/>
          <w:szCs w:val="24"/>
          <w:lang w:val="es-ES" w:eastAsia="es-ES"/>
        </w:rPr>
        <w:t xml:space="preserve">: </w:t>
      </w:r>
      <w:r w:rsidR="00370905" w:rsidRPr="00D3390B">
        <w:rPr>
          <w:rFonts w:ascii="Century Gothic" w:eastAsia="Times New Roman" w:hAnsi="Century Gothic" w:cs="Arial"/>
          <w:b/>
          <w:sz w:val="24"/>
          <w:szCs w:val="24"/>
          <w:lang w:val="es-ES" w:eastAsia="es-ES"/>
        </w:rPr>
        <w:t>Negar</w:t>
      </w:r>
      <w:r w:rsidR="00A709BF" w:rsidRPr="00D3390B">
        <w:rPr>
          <w:rFonts w:ascii="Century Gothic" w:eastAsia="Times New Roman" w:hAnsi="Century Gothic" w:cs="Arial"/>
          <w:sz w:val="24"/>
          <w:szCs w:val="24"/>
          <w:lang w:val="es-ES" w:eastAsia="es-ES"/>
        </w:rPr>
        <w:t xml:space="preserve"> las demás pretensiones de la demanda </w:t>
      </w:r>
    </w:p>
    <w:p w14:paraId="7E57774F" w14:textId="77777777" w:rsidR="00841FF9" w:rsidRPr="00D3390B" w:rsidRDefault="00841FF9" w:rsidP="00C62FCF">
      <w:pPr>
        <w:spacing w:after="0" w:line="360" w:lineRule="auto"/>
        <w:jc w:val="both"/>
        <w:rPr>
          <w:rFonts w:ascii="Century Gothic" w:eastAsia="Times New Roman" w:hAnsi="Century Gothic" w:cs="Arial"/>
          <w:b/>
          <w:sz w:val="24"/>
          <w:szCs w:val="24"/>
          <w:lang w:val="es-ES" w:eastAsia="es-ES"/>
        </w:rPr>
      </w:pPr>
    </w:p>
    <w:p w14:paraId="7C890409" w14:textId="107F7CEC" w:rsidR="00841FF9" w:rsidRPr="00D3390B" w:rsidRDefault="00841FF9" w:rsidP="00C62FCF">
      <w:pPr>
        <w:spacing w:after="0" w:line="360" w:lineRule="auto"/>
        <w:jc w:val="both"/>
        <w:rPr>
          <w:rFonts w:ascii="Century Gothic" w:eastAsia="Times New Roman" w:hAnsi="Century Gothic" w:cs="Arial"/>
          <w:sz w:val="24"/>
          <w:szCs w:val="24"/>
          <w:lang w:val="es-ES" w:eastAsia="es-ES"/>
        </w:rPr>
      </w:pPr>
      <w:r w:rsidRPr="00D3390B">
        <w:rPr>
          <w:rFonts w:ascii="Century Gothic" w:eastAsia="Times New Roman" w:hAnsi="Century Gothic" w:cs="Arial"/>
          <w:b/>
          <w:sz w:val="24"/>
          <w:szCs w:val="24"/>
          <w:lang w:val="es-ES" w:eastAsia="es-ES"/>
        </w:rPr>
        <w:t>CUARTO:</w:t>
      </w:r>
      <w:r w:rsidRPr="00D3390B">
        <w:rPr>
          <w:rFonts w:ascii="Century Gothic" w:eastAsia="Times New Roman" w:hAnsi="Century Gothic" w:cs="Arial"/>
          <w:sz w:val="24"/>
          <w:szCs w:val="24"/>
          <w:lang w:val="es-ES" w:eastAsia="es-ES"/>
        </w:rPr>
        <w:t xml:space="preserve"> </w:t>
      </w:r>
      <w:r w:rsidR="00370905" w:rsidRPr="00D3390B">
        <w:rPr>
          <w:rFonts w:ascii="Century Gothic" w:eastAsia="Times New Roman" w:hAnsi="Century Gothic" w:cs="Arial"/>
          <w:sz w:val="24"/>
          <w:szCs w:val="24"/>
          <w:lang w:val="es-ES" w:eastAsia="es-ES"/>
        </w:rPr>
        <w:t>S</w:t>
      </w:r>
      <w:r w:rsidR="00A709BF" w:rsidRPr="00D3390B">
        <w:rPr>
          <w:rFonts w:ascii="Century Gothic" w:eastAsia="Times New Roman" w:hAnsi="Century Gothic" w:cs="Arial"/>
          <w:sz w:val="24"/>
          <w:szCs w:val="24"/>
          <w:lang w:val="es-ES" w:eastAsia="es-ES"/>
        </w:rPr>
        <w:t>in condena en costas</w:t>
      </w:r>
      <w:r w:rsidR="00A709BF" w:rsidRPr="00D3390B">
        <w:rPr>
          <w:rFonts w:ascii="Century Gothic" w:eastAsia="Times New Roman" w:hAnsi="Century Gothic" w:cs="Arial"/>
          <w:b/>
          <w:sz w:val="24"/>
          <w:szCs w:val="24"/>
          <w:lang w:val="es-ES" w:eastAsia="es-ES"/>
        </w:rPr>
        <w:t xml:space="preserve"> </w:t>
      </w:r>
    </w:p>
    <w:p w14:paraId="2F6CD4AB" w14:textId="77777777" w:rsidR="00841FF9" w:rsidRPr="00D3390B" w:rsidRDefault="00841FF9" w:rsidP="00C62FCF">
      <w:pPr>
        <w:spacing w:after="0" w:line="360" w:lineRule="auto"/>
        <w:jc w:val="both"/>
        <w:rPr>
          <w:rFonts w:ascii="Century Gothic" w:eastAsia="Times New Roman" w:hAnsi="Century Gothic" w:cs="Arial"/>
          <w:b/>
          <w:sz w:val="24"/>
          <w:szCs w:val="24"/>
          <w:lang w:val="es-ES" w:eastAsia="es-ES"/>
        </w:rPr>
      </w:pPr>
    </w:p>
    <w:p w14:paraId="7D276049" w14:textId="0E842E85" w:rsidR="00841FF9" w:rsidRPr="00D3390B" w:rsidRDefault="00841FF9" w:rsidP="00C62FCF">
      <w:pPr>
        <w:spacing w:after="0" w:line="360" w:lineRule="auto"/>
        <w:jc w:val="both"/>
        <w:rPr>
          <w:rFonts w:ascii="Century Gothic" w:eastAsia="Times New Roman" w:hAnsi="Century Gothic" w:cs="Arial"/>
          <w:sz w:val="24"/>
          <w:szCs w:val="24"/>
          <w:lang w:val="es-ES" w:eastAsia="es-ES"/>
        </w:rPr>
      </w:pPr>
      <w:r w:rsidRPr="00D3390B">
        <w:rPr>
          <w:rFonts w:ascii="Century Gothic" w:eastAsia="Times New Roman" w:hAnsi="Century Gothic" w:cs="Arial"/>
          <w:b/>
          <w:sz w:val="24"/>
          <w:szCs w:val="24"/>
          <w:lang w:val="es-ES" w:eastAsia="es-ES"/>
        </w:rPr>
        <w:t>QUINTO:</w:t>
      </w:r>
      <w:r w:rsidRPr="00D3390B">
        <w:rPr>
          <w:rFonts w:ascii="Century Gothic" w:eastAsia="Times New Roman" w:hAnsi="Century Gothic" w:cs="Arial"/>
          <w:sz w:val="24"/>
          <w:szCs w:val="24"/>
          <w:lang w:val="es-ES" w:eastAsia="es-ES"/>
        </w:rPr>
        <w:t xml:space="preserve"> </w:t>
      </w:r>
      <w:r w:rsidR="00341B7C" w:rsidRPr="00D3390B">
        <w:rPr>
          <w:rFonts w:ascii="Century Gothic" w:eastAsia="Times New Roman" w:hAnsi="Century Gothic" w:cs="Arial"/>
          <w:b/>
          <w:sz w:val="24"/>
          <w:szCs w:val="24"/>
          <w:lang w:val="es-ES" w:eastAsia="es-ES"/>
        </w:rPr>
        <w:t>Expedir</w:t>
      </w:r>
      <w:r w:rsidRPr="00D3390B">
        <w:rPr>
          <w:rFonts w:ascii="Century Gothic" w:eastAsia="Times New Roman" w:hAnsi="Century Gothic" w:cs="Arial"/>
          <w:b/>
          <w:sz w:val="24"/>
          <w:szCs w:val="24"/>
          <w:lang w:val="es-ES" w:eastAsia="es-ES"/>
        </w:rPr>
        <w:t xml:space="preserve"> </w:t>
      </w:r>
      <w:r w:rsidRPr="00D3390B">
        <w:rPr>
          <w:rFonts w:ascii="Century Gothic" w:eastAsia="Times New Roman" w:hAnsi="Century Gothic" w:cs="Arial"/>
          <w:sz w:val="24"/>
          <w:szCs w:val="24"/>
          <w:lang w:val="es-ES" w:eastAsia="es-ES"/>
        </w:rPr>
        <w:t>por la Secretaría copias con destino a las partes, con las precisiones del artículo 114 del Código General del Proceso.</w:t>
      </w:r>
    </w:p>
    <w:p w14:paraId="6AA5CB40" w14:textId="77777777" w:rsidR="00841FF9" w:rsidRPr="00D3390B" w:rsidRDefault="00841FF9" w:rsidP="00C62FCF">
      <w:pPr>
        <w:spacing w:after="0" w:line="360" w:lineRule="auto"/>
        <w:jc w:val="both"/>
        <w:rPr>
          <w:rFonts w:ascii="Century Gothic" w:eastAsia="Times New Roman" w:hAnsi="Century Gothic" w:cs="Arial"/>
          <w:sz w:val="24"/>
          <w:szCs w:val="24"/>
          <w:lang w:val="es-ES" w:eastAsia="es-ES"/>
        </w:rPr>
      </w:pPr>
    </w:p>
    <w:p w14:paraId="75734477" w14:textId="5BDC2D57" w:rsidR="00841FF9" w:rsidRPr="00D3390B" w:rsidRDefault="00841FF9" w:rsidP="00C62FCF">
      <w:pPr>
        <w:spacing w:after="0" w:line="360" w:lineRule="auto"/>
        <w:jc w:val="both"/>
        <w:rPr>
          <w:rFonts w:ascii="Century Gothic" w:eastAsia="Times New Roman" w:hAnsi="Century Gothic" w:cs="Arial"/>
          <w:sz w:val="24"/>
          <w:szCs w:val="24"/>
          <w:lang w:val="es-ES" w:eastAsia="es-ES"/>
        </w:rPr>
      </w:pPr>
      <w:r w:rsidRPr="00D3390B">
        <w:rPr>
          <w:rFonts w:ascii="Century Gothic" w:eastAsia="Times New Roman" w:hAnsi="Century Gothic" w:cs="Arial"/>
          <w:b/>
          <w:sz w:val="24"/>
          <w:szCs w:val="24"/>
          <w:lang w:val="es-ES" w:eastAsia="es-ES"/>
        </w:rPr>
        <w:t>SEXTO:</w:t>
      </w:r>
      <w:r w:rsidR="00486C40" w:rsidRPr="00D3390B">
        <w:rPr>
          <w:rFonts w:ascii="Century Gothic" w:eastAsia="Times New Roman" w:hAnsi="Century Gothic" w:cs="Arial"/>
          <w:sz w:val="24"/>
          <w:szCs w:val="24"/>
          <w:lang w:val="es-ES" w:eastAsia="es-ES"/>
        </w:rPr>
        <w:t xml:space="preserve"> </w:t>
      </w:r>
      <w:r w:rsidR="00370905" w:rsidRPr="00D3390B">
        <w:rPr>
          <w:rFonts w:ascii="Century Gothic" w:eastAsia="Times New Roman" w:hAnsi="Century Gothic" w:cs="Arial"/>
          <w:sz w:val="24"/>
          <w:szCs w:val="24"/>
          <w:lang w:val="es-ES" w:eastAsia="es-ES"/>
        </w:rPr>
        <w:t xml:space="preserve">Por secretaría librase </w:t>
      </w:r>
      <w:r w:rsidRPr="00D3390B">
        <w:rPr>
          <w:rFonts w:ascii="Century Gothic" w:eastAsia="Times New Roman" w:hAnsi="Century Gothic" w:cs="Arial"/>
          <w:sz w:val="24"/>
          <w:szCs w:val="24"/>
          <w:lang w:val="es-ES" w:eastAsia="es-ES"/>
        </w:rPr>
        <w:t>las comunicaciones necesarias para el cumplimiento de este fallo, de acuerdo con lo prev</w:t>
      </w:r>
      <w:r w:rsidR="00EE6C84" w:rsidRPr="00D3390B">
        <w:rPr>
          <w:rFonts w:ascii="Century Gothic" w:eastAsia="Times New Roman" w:hAnsi="Century Gothic" w:cs="Arial"/>
          <w:sz w:val="24"/>
          <w:szCs w:val="24"/>
          <w:lang w:val="es-ES" w:eastAsia="es-ES"/>
        </w:rPr>
        <w:t>isto en los artículos 203 del CPA</w:t>
      </w:r>
      <w:r w:rsidR="008C5254" w:rsidRPr="00D3390B">
        <w:rPr>
          <w:rFonts w:ascii="Century Gothic" w:eastAsia="Times New Roman" w:hAnsi="Century Gothic" w:cs="Arial"/>
          <w:sz w:val="24"/>
          <w:szCs w:val="24"/>
          <w:lang w:val="es-ES" w:eastAsia="es-ES"/>
        </w:rPr>
        <w:t>CA y 329 del CGP.</w:t>
      </w:r>
    </w:p>
    <w:p w14:paraId="621690D9" w14:textId="77777777" w:rsidR="00841FF9" w:rsidRPr="00D3390B" w:rsidRDefault="00841FF9" w:rsidP="00C62FCF">
      <w:pPr>
        <w:spacing w:after="0" w:line="360" w:lineRule="auto"/>
        <w:jc w:val="both"/>
        <w:rPr>
          <w:rFonts w:ascii="Century Gothic" w:eastAsia="Times New Roman" w:hAnsi="Century Gothic" w:cs="Arial"/>
          <w:sz w:val="24"/>
          <w:szCs w:val="24"/>
          <w:lang w:val="es-ES" w:eastAsia="es-ES"/>
        </w:rPr>
      </w:pPr>
    </w:p>
    <w:p w14:paraId="16BFCC58" w14:textId="58B1E6D7" w:rsidR="00841FF9" w:rsidRPr="00D3390B" w:rsidRDefault="004375DB" w:rsidP="00C62FCF">
      <w:pPr>
        <w:spacing w:after="0" w:line="360" w:lineRule="auto"/>
        <w:jc w:val="both"/>
        <w:rPr>
          <w:rFonts w:ascii="Century Gothic" w:eastAsia="Times New Roman" w:hAnsi="Century Gothic" w:cs="Arial"/>
          <w:sz w:val="24"/>
          <w:szCs w:val="24"/>
          <w:lang w:val="es-ES" w:eastAsia="es-ES"/>
        </w:rPr>
      </w:pPr>
      <w:r w:rsidRPr="00D3390B">
        <w:rPr>
          <w:rFonts w:ascii="Century Gothic" w:eastAsia="Times New Roman" w:hAnsi="Century Gothic" w:cs="Arial"/>
          <w:b/>
          <w:sz w:val="24"/>
          <w:szCs w:val="24"/>
          <w:lang w:val="es-ES" w:eastAsia="es-ES"/>
        </w:rPr>
        <w:t>SÉ</w:t>
      </w:r>
      <w:r w:rsidR="00841FF9" w:rsidRPr="00D3390B">
        <w:rPr>
          <w:rFonts w:ascii="Century Gothic" w:eastAsia="Times New Roman" w:hAnsi="Century Gothic" w:cs="Arial"/>
          <w:b/>
          <w:sz w:val="24"/>
          <w:szCs w:val="24"/>
          <w:lang w:val="es-ES" w:eastAsia="es-ES"/>
        </w:rPr>
        <w:t xml:space="preserve">PTIMO: </w:t>
      </w:r>
      <w:r w:rsidR="00C62FCF" w:rsidRPr="00D3390B">
        <w:rPr>
          <w:rFonts w:ascii="Century Gothic" w:eastAsia="Times New Roman" w:hAnsi="Century Gothic" w:cs="Arial"/>
          <w:b/>
          <w:sz w:val="24"/>
          <w:szCs w:val="24"/>
          <w:lang w:val="es-ES" w:eastAsia="es-ES"/>
        </w:rPr>
        <w:t>Notificar</w:t>
      </w:r>
      <w:r w:rsidR="00841FF9" w:rsidRPr="00D3390B">
        <w:rPr>
          <w:rFonts w:ascii="Century Gothic" w:eastAsia="Times New Roman" w:hAnsi="Century Gothic" w:cs="Arial"/>
          <w:b/>
          <w:sz w:val="24"/>
          <w:szCs w:val="24"/>
          <w:lang w:val="es-ES" w:eastAsia="es-ES"/>
        </w:rPr>
        <w:t xml:space="preserve"> </w:t>
      </w:r>
      <w:r w:rsidR="00841FF9" w:rsidRPr="00D3390B">
        <w:rPr>
          <w:rFonts w:ascii="Century Gothic" w:eastAsia="Times New Roman" w:hAnsi="Century Gothic" w:cs="Arial"/>
          <w:sz w:val="24"/>
          <w:szCs w:val="24"/>
          <w:lang w:val="es-ES" w:eastAsia="es-ES"/>
        </w:rPr>
        <w:t>a las partes del contenido de esta decisión en los términos del artículo 203 del CPACA.</w:t>
      </w:r>
    </w:p>
    <w:p w14:paraId="342232E4" w14:textId="77777777" w:rsidR="00223F4A" w:rsidRPr="00D3390B" w:rsidRDefault="00223F4A" w:rsidP="00C62FCF">
      <w:pPr>
        <w:spacing w:after="0" w:line="360" w:lineRule="auto"/>
        <w:jc w:val="both"/>
        <w:rPr>
          <w:rFonts w:ascii="Century Gothic" w:eastAsia="Times New Roman" w:hAnsi="Century Gothic" w:cs="Arial"/>
          <w:sz w:val="24"/>
          <w:szCs w:val="24"/>
          <w:lang w:val="es-ES" w:eastAsia="es-ES"/>
        </w:rPr>
      </w:pPr>
    </w:p>
    <w:p w14:paraId="435AF30E" w14:textId="28BC23D5" w:rsidR="00EE6C84" w:rsidRPr="00D3390B" w:rsidRDefault="00223F4A" w:rsidP="00C62FCF">
      <w:pPr>
        <w:spacing w:after="0" w:line="360" w:lineRule="auto"/>
        <w:jc w:val="both"/>
        <w:rPr>
          <w:rFonts w:ascii="Century Gothic" w:hAnsi="Century Gothic" w:cs="Arial"/>
          <w:sz w:val="24"/>
          <w:szCs w:val="24"/>
          <w:lang w:val="es-ES"/>
        </w:rPr>
      </w:pPr>
      <w:r w:rsidRPr="00D3390B">
        <w:rPr>
          <w:rFonts w:ascii="Century Gothic" w:eastAsia="Times New Roman" w:hAnsi="Century Gothic" w:cs="Arial"/>
          <w:b/>
          <w:sz w:val="24"/>
          <w:szCs w:val="24"/>
          <w:lang w:val="es-ES" w:eastAsia="es-ES"/>
        </w:rPr>
        <w:t>OCTAVO:</w:t>
      </w:r>
      <w:r w:rsidRPr="00D3390B">
        <w:rPr>
          <w:rFonts w:ascii="Century Gothic" w:hAnsi="Century Gothic" w:cs="Arial"/>
          <w:sz w:val="24"/>
          <w:szCs w:val="24"/>
          <w:lang w:val="es-ES"/>
        </w:rPr>
        <w:t xml:space="preserve"> </w:t>
      </w:r>
      <w:r w:rsidR="004375DB" w:rsidRPr="00D3390B">
        <w:rPr>
          <w:rFonts w:ascii="Century Gothic" w:hAnsi="Century Gothic" w:cs="Arial"/>
          <w:sz w:val="24"/>
          <w:szCs w:val="24"/>
          <w:lang w:val="es-ES"/>
        </w:rPr>
        <w:t xml:space="preserve">La sentencia se cumplirá conforme a los </w:t>
      </w:r>
      <w:r w:rsidRPr="00D3390B">
        <w:rPr>
          <w:rFonts w:ascii="Century Gothic" w:hAnsi="Century Gothic" w:cs="Arial"/>
          <w:sz w:val="24"/>
          <w:szCs w:val="24"/>
          <w:lang w:val="es-ES"/>
        </w:rPr>
        <w:t>artículo</w:t>
      </w:r>
      <w:r w:rsidR="004375DB" w:rsidRPr="00D3390B">
        <w:rPr>
          <w:rFonts w:ascii="Century Gothic" w:hAnsi="Century Gothic" w:cs="Arial"/>
          <w:sz w:val="24"/>
          <w:szCs w:val="24"/>
          <w:lang w:val="es-ES"/>
        </w:rPr>
        <w:t>s</w:t>
      </w:r>
      <w:r w:rsidRPr="00D3390B">
        <w:rPr>
          <w:rFonts w:ascii="Century Gothic" w:hAnsi="Century Gothic" w:cs="Arial"/>
          <w:sz w:val="24"/>
          <w:szCs w:val="24"/>
          <w:lang w:val="es-ES"/>
        </w:rPr>
        <w:t xml:space="preserve"> 192 </w:t>
      </w:r>
      <w:r w:rsidR="00EE6C84" w:rsidRPr="00D3390B">
        <w:rPr>
          <w:rFonts w:ascii="Century Gothic" w:hAnsi="Century Gothic" w:cs="Arial"/>
          <w:sz w:val="24"/>
          <w:szCs w:val="24"/>
          <w:lang w:val="es-ES"/>
        </w:rPr>
        <w:t xml:space="preserve">y siguientes </w:t>
      </w:r>
      <w:r w:rsidRPr="00D3390B">
        <w:rPr>
          <w:rFonts w:ascii="Century Gothic" w:hAnsi="Century Gothic" w:cs="Arial"/>
          <w:sz w:val="24"/>
          <w:szCs w:val="24"/>
          <w:lang w:val="es-ES"/>
        </w:rPr>
        <w:t>del CPACA</w:t>
      </w:r>
      <w:r w:rsidR="00EE6C84" w:rsidRPr="00D3390B">
        <w:rPr>
          <w:rFonts w:ascii="Century Gothic" w:hAnsi="Century Gothic" w:cs="Arial"/>
          <w:sz w:val="24"/>
          <w:szCs w:val="24"/>
          <w:lang w:val="es-ES"/>
        </w:rPr>
        <w:t>.</w:t>
      </w:r>
    </w:p>
    <w:p w14:paraId="798B6B19" w14:textId="77777777" w:rsidR="00EE6C84" w:rsidRPr="00D3390B" w:rsidRDefault="00EE6C84" w:rsidP="00C62FCF">
      <w:pPr>
        <w:spacing w:after="0" w:line="360" w:lineRule="auto"/>
        <w:jc w:val="both"/>
        <w:rPr>
          <w:rFonts w:ascii="Century Gothic" w:hAnsi="Century Gothic" w:cs="Arial"/>
          <w:sz w:val="24"/>
          <w:szCs w:val="24"/>
          <w:lang w:val="es-ES"/>
        </w:rPr>
      </w:pPr>
    </w:p>
    <w:p w14:paraId="1F071B7D" w14:textId="374CB3C3" w:rsidR="00223F4A" w:rsidRPr="00D3390B" w:rsidRDefault="00EE6C84" w:rsidP="00C62FCF">
      <w:pPr>
        <w:spacing w:after="0" w:line="360" w:lineRule="auto"/>
        <w:jc w:val="both"/>
        <w:rPr>
          <w:rFonts w:ascii="Century Gothic" w:hAnsi="Century Gothic" w:cs="Arial"/>
          <w:sz w:val="24"/>
          <w:szCs w:val="24"/>
          <w:lang w:val="es-ES"/>
        </w:rPr>
      </w:pPr>
      <w:r w:rsidRPr="00D3390B">
        <w:rPr>
          <w:rFonts w:ascii="Century Gothic" w:hAnsi="Century Gothic" w:cs="Arial"/>
          <w:b/>
          <w:sz w:val="24"/>
          <w:szCs w:val="24"/>
          <w:lang w:val="es-ES"/>
        </w:rPr>
        <w:t>NOVENO</w:t>
      </w:r>
      <w:r w:rsidRPr="00D3390B">
        <w:rPr>
          <w:rFonts w:ascii="Century Gothic" w:hAnsi="Century Gothic" w:cs="Arial"/>
          <w:sz w:val="24"/>
          <w:szCs w:val="24"/>
          <w:lang w:val="es-ES"/>
        </w:rPr>
        <w:t>: Contra la presente decisión procede el recurso de apelación.</w:t>
      </w:r>
      <w:r w:rsidR="00223F4A" w:rsidRPr="00D3390B">
        <w:rPr>
          <w:rFonts w:ascii="Century Gothic" w:hAnsi="Century Gothic" w:cs="Arial"/>
          <w:sz w:val="24"/>
          <w:szCs w:val="24"/>
          <w:lang w:val="es-ES"/>
        </w:rPr>
        <w:t xml:space="preserve"> </w:t>
      </w:r>
    </w:p>
    <w:p w14:paraId="4CF50302" w14:textId="77777777" w:rsidR="00223F4A" w:rsidRPr="00D3390B" w:rsidRDefault="00223F4A" w:rsidP="00C62FCF">
      <w:pPr>
        <w:spacing w:after="0" w:line="360" w:lineRule="auto"/>
        <w:jc w:val="both"/>
        <w:rPr>
          <w:rFonts w:ascii="Century Gothic" w:eastAsia="Times New Roman" w:hAnsi="Century Gothic" w:cs="Arial"/>
          <w:sz w:val="24"/>
          <w:szCs w:val="24"/>
          <w:lang w:val="es-ES" w:eastAsia="es-ES"/>
        </w:rPr>
      </w:pPr>
    </w:p>
    <w:p w14:paraId="570F1AF1" w14:textId="77777777" w:rsidR="00841FF9" w:rsidRPr="00D3390B" w:rsidRDefault="00841FF9" w:rsidP="00C62FCF">
      <w:pPr>
        <w:tabs>
          <w:tab w:val="left" w:pos="4590"/>
        </w:tabs>
        <w:spacing w:after="0" w:line="360" w:lineRule="auto"/>
        <w:jc w:val="both"/>
        <w:rPr>
          <w:rFonts w:ascii="Century Gothic" w:hAnsi="Century Gothic" w:cs="Arial"/>
          <w:b/>
          <w:bCs/>
          <w:sz w:val="24"/>
          <w:szCs w:val="24"/>
          <w:lang w:val="es-ES"/>
        </w:rPr>
      </w:pPr>
      <w:r w:rsidRPr="00D3390B">
        <w:rPr>
          <w:rFonts w:ascii="Century Gothic" w:hAnsi="Century Gothic" w:cs="Arial"/>
          <w:b/>
          <w:bCs/>
          <w:sz w:val="24"/>
          <w:szCs w:val="24"/>
          <w:lang w:val="es-ES"/>
        </w:rPr>
        <w:t>CÓPIESE, NOTIFÍQUESE y CÚMPLASE</w:t>
      </w:r>
      <w:r w:rsidRPr="00D3390B">
        <w:rPr>
          <w:rFonts w:ascii="Century Gothic" w:hAnsi="Century Gothic" w:cs="Arial"/>
          <w:b/>
          <w:bCs/>
          <w:sz w:val="24"/>
          <w:szCs w:val="24"/>
          <w:lang w:val="es-ES"/>
        </w:rPr>
        <w:tab/>
      </w:r>
    </w:p>
    <w:p w14:paraId="2A321542" w14:textId="77777777" w:rsidR="00841FF9" w:rsidRDefault="00841FF9" w:rsidP="00C62FCF">
      <w:pPr>
        <w:spacing w:after="0" w:line="360" w:lineRule="auto"/>
        <w:jc w:val="both"/>
        <w:rPr>
          <w:rFonts w:ascii="Century Gothic" w:hAnsi="Century Gothic" w:cs="Arial"/>
          <w:b/>
          <w:bCs/>
          <w:sz w:val="24"/>
          <w:szCs w:val="24"/>
          <w:lang w:val="es-ES"/>
        </w:rPr>
      </w:pPr>
    </w:p>
    <w:p w14:paraId="79308AFC" w14:textId="77777777" w:rsidR="0084790B" w:rsidRPr="00D3390B" w:rsidRDefault="0084790B" w:rsidP="00C62FCF">
      <w:pPr>
        <w:spacing w:after="0" w:line="360" w:lineRule="auto"/>
        <w:jc w:val="both"/>
        <w:rPr>
          <w:rFonts w:ascii="Century Gothic" w:hAnsi="Century Gothic" w:cs="Arial"/>
          <w:b/>
          <w:bCs/>
          <w:sz w:val="24"/>
          <w:szCs w:val="24"/>
          <w:lang w:val="es-ES"/>
        </w:rPr>
      </w:pPr>
    </w:p>
    <w:p w14:paraId="5E66433E" w14:textId="5E9E8AA9" w:rsidR="00841FF9" w:rsidRPr="00D3390B" w:rsidRDefault="00A16EC5" w:rsidP="00C62FCF">
      <w:pPr>
        <w:spacing w:after="0" w:line="360" w:lineRule="auto"/>
        <w:jc w:val="center"/>
        <w:rPr>
          <w:rFonts w:ascii="Century Gothic" w:hAnsi="Century Gothic" w:cs="Arial"/>
          <w:b/>
          <w:bCs/>
          <w:sz w:val="24"/>
          <w:szCs w:val="24"/>
          <w:lang w:val="es-ES"/>
        </w:rPr>
      </w:pPr>
      <w:r w:rsidRPr="00D3390B">
        <w:rPr>
          <w:rFonts w:ascii="Century Gothic" w:hAnsi="Century Gothic" w:cs="Arial"/>
          <w:b/>
          <w:bCs/>
          <w:sz w:val="24"/>
          <w:szCs w:val="24"/>
          <w:lang w:val="es-ES"/>
        </w:rPr>
        <w:t>LUIS GABRIEL AHUMADA PERDOMO</w:t>
      </w:r>
    </w:p>
    <w:p w14:paraId="142E7931" w14:textId="77777777" w:rsidR="00841FF9" w:rsidRPr="00D3390B" w:rsidRDefault="00841FF9" w:rsidP="00C62FCF">
      <w:pPr>
        <w:spacing w:after="0" w:line="360" w:lineRule="auto"/>
        <w:jc w:val="center"/>
        <w:rPr>
          <w:rFonts w:ascii="Century Gothic" w:hAnsi="Century Gothic" w:cs="Arial"/>
          <w:sz w:val="24"/>
          <w:szCs w:val="24"/>
          <w:lang w:val="es-ES"/>
        </w:rPr>
      </w:pPr>
      <w:r w:rsidRPr="00D3390B">
        <w:rPr>
          <w:rFonts w:ascii="Century Gothic" w:hAnsi="Century Gothic" w:cs="Arial"/>
          <w:sz w:val="24"/>
          <w:szCs w:val="24"/>
          <w:lang w:val="es-ES"/>
        </w:rPr>
        <w:t>Juez</w:t>
      </w:r>
    </w:p>
    <w:p w14:paraId="3578368A" w14:textId="467DC143" w:rsidR="00786EDC" w:rsidRPr="00415748" w:rsidRDefault="00486C40" w:rsidP="00A16EC5">
      <w:pPr>
        <w:spacing w:after="0" w:line="360" w:lineRule="auto"/>
        <w:rPr>
          <w:rFonts w:ascii="Century Gothic" w:hAnsi="Century Gothic"/>
          <w:sz w:val="24"/>
          <w:szCs w:val="24"/>
          <w:lang w:val="es-ES"/>
        </w:rPr>
      </w:pPr>
      <w:r w:rsidRPr="00D3390B">
        <w:rPr>
          <w:rFonts w:ascii="Century Gothic" w:hAnsi="Century Gothic"/>
          <w:sz w:val="24"/>
          <w:szCs w:val="24"/>
          <w:lang w:val="es-ES"/>
        </w:rPr>
        <w:t>NNC</w:t>
      </w:r>
    </w:p>
    <w:sectPr w:rsidR="00786EDC" w:rsidRPr="00415748" w:rsidSect="00CB0DF9">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EC25F" w14:textId="77777777" w:rsidR="00B97AF2" w:rsidRDefault="00B97AF2" w:rsidP="00841FF9">
      <w:pPr>
        <w:spacing w:after="0" w:line="240" w:lineRule="auto"/>
      </w:pPr>
      <w:r>
        <w:separator/>
      </w:r>
    </w:p>
  </w:endnote>
  <w:endnote w:type="continuationSeparator" w:id="0">
    <w:p w14:paraId="2A3D8FF1" w14:textId="77777777" w:rsidR="00B97AF2" w:rsidRDefault="00B97AF2" w:rsidP="0084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2F54D" w14:textId="77777777" w:rsidR="00B97AF2" w:rsidRDefault="00B97AF2" w:rsidP="00841FF9">
      <w:pPr>
        <w:spacing w:after="0" w:line="240" w:lineRule="auto"/>
      </w:pPr>
      <w:r>
        <w:separator/>
      </w:r>
    </w:p>
  </w:footnote>
  <w:footnote w:type="continuationSeparator" w:id="0">
    <w:p w14:paraId="72A2737D" w14:textId="77777777" w:rsidR="00B97AF2" w:rsidRDefault="00B97AF2" w:rsidP="00841FF9">
      <w:pPr>
        <w:spacing w:after="0" w:line="240" w:lineRule="auto"/>
      </w:pPr>
      <w:r>
        <w:continuationSeparator/>
      </w:r>
    </w:p>
  </w:footnote>
  <w:footnote w:id="1">
    <w:p w14:paraId="38501B04" w14:textId="110882C4" w:rsidR="0004557E" w:rsidRPr="00E719C6" w:rsidRDefault="0004557E" w:rsidP="00E719C6">
      <w:pPr>
        <w:spacing w:after="0" w:line="240" w:lineRule="auto"/>
        <w:ind w:right="49"/>
        <w:jc w:val="both"/>
        <w:rPr>
          <w:rFonts w:ascii="Century Gothic" w:hAnsi="Century Gothic"/>
          <w:sz w:val="20"/>
          <w:szCs w:val="20"/>
        </w:rPr>
      </w:pPr>
      <w:r w:rsidRPr="00E719C6">
        <w:rPr>
          <w:rStyle w:val="Refdenotaalpie"/>
          <w:rFonts w:ascii="Century Gothic" w:hAnsi="Century Gothic"/>
          <w:sz w:val="20"/>
          <w:szCs w:val="20"/>
        </w:rPr>
        <w:footnoteRef/>
      </w:r>
      <w:r w:rsidRPr="00E719C6">
        <w:rPr>
          <w:rFonts w:ascii="Century Gothic" w:hAnsi="Century Gothic"/>
          <w:sz w:val="20"/>
          <w:szCs w:val="20"/>
        </w:rPr>
        <w:t xml:space="preserve"> En los hechos de la demanda se indicó que la señora </w:t>
      </w:r>
      <w:r w:rsidRPr="00E719C6">
        <w:rPr>
          <w:rFonts w:ascii="Century Gothic" w:hAnsi="Century Gothic" w:cs="Arial"/>
          <w:sz w:val="20"/>
          <w:szCs w:val="20"/>
          <w:lang w:val="es-ES"/>
        </w:rPr>
        <w:t xml:space="preserve">María Leonilde García ingresó al servicio médico de la demandada el 11 de marzo de 2015, aproximadamente a los 2:00 a.m., y posteriormente, se le diagnosticó </w:t>
      </w:r>
      <w:r w:rsidRPr="00E719C6">
        <w:rPr>
          <w:rFonts w:ascii="Century Gothic" w:hAnsi="Century Gothic" w:cs="Arial"/>
          <w:i/>
          <w:sz w:val="20"/>
          <w:szCs w:val="20"/>
          <w:lang w:val="es-ES"/>
        </w:rPr>
        <w:t>“Enfermedad Pulmonar Obstructiva Crónica (EPOC)” con exacerbación aguda no especificada”</w:t>
      </w:r>
      <w:r w:rsidRPr="00E719C6">
        <w:rPr>
          <w:rFonts w:ascii="Century Gothic" w:hAnsi="Century Gothic" w:cs="Arial"/>
          <w:sz w:val="20"/>
          <w:szCs w:val="20"/>
          <w:lang w:val="es-ES"/>
        </w:rPr>
        <w:t>.</w:t>
      </w:r>
    </w:p>
  </w:footnote>
  <w:footnote w:id="2">
    <w:p w14:paraId="68EC9C94" w14:textId="09D3939A" w:rsidR="0004557E" w:rsidRPr="00180825" w:rsidRDefault="0004557E" w:rsidP="00421F1E">
      <w:pPr>
        <w:pStyle w:val="Prrafodelista"/>
        <w:tabs>
          <w:tab w:val="left" w:pos="567"/>
        </w:tabs>
        <w:ind w:left="0"/>
        <w:jc w:val="both"/>
        <w:rPr>
          <w:rFonts w:ascii="Century Gothic" w:hAnsi="Century Gothic"/>
          <w:sz w:val="20"/>
          <w:szCs w:val="20"/>
        </w:rPr>
      </w:pPr>
      <w:r w:rsidRPr="00180825">
        <w:rPr>
          <w:rStyle w:val="Refdenotaalpie"/>
          <w:rFonts w:ascii="Century Gothic" w:hAnsi="Century Gothic"/>
          <w:sz w:val="20"/>
          <w:szCs w:val="20"/>
        </w:rPr>
        <w:footnoteRef/>
      </w:r>
      <w:r w:rsidRPr="00180825">
        <w:rPr>
          <w:rFonts w:ascii="Century Gothic" w:hAnsi="Century Gothic"/>
          <w:sz w:val="20"/>
          <w:szCs w:val="20"/>
        </w:rPr>
        <w:t xml:space="preserve"> En este punto, indicó lo siguiente (folio 82 c.1):</w:t>
      </w:r>
    </w:p>
    <w:p w14:paraId="583FB806" w14:textId="77777777" w:rsidR="0004557E" w:rsidRPr="00180825" w:rsidRDefault="0004557E" w:rsidP="00421F1E">
      <w:pPr>
        <w:pStyle w:val="Prrafodelista"/>
        <w:tabs>
          <w:tab w:val="left" w:pos="567"/>
        </w:tabs>
        <w:ind w:left="0"/>
        <w:jc w:val="both"/>
        <w:rPr>
          <w:rFonts w:ascii="Century Gothic" w:hAnsi="Century Gothic"/>
          <w:sz w:val="20"/>
          <w:szCs w:val="20"/>
        </w:rPr>
      </w:pPr>
    </w:p>
    <w:p w14:paraId="7F69F3F8" w14:textId="3EEFAED9" w:rsidR="0004557E" w:rsidRPr="00180825" w:rsidRDefault="0004557E" w:rsidP="00421F1E">
      <w:pPr>
        <w:pStyle w:val="Prrafodelista"/>
        <w:tabs>
          <w:tab w:val="left" w:pos="567"/>
        </w:tabs>
        <w:ind w:left="0"/>
        <w:jc w:val="both"/>
        <w:rPr>
          <w:rFonts w:ascii="Century Gothic" w:hAnsi="Century Gothic"/>
          <w:sz w:val="20"/>
          <w:szCs w:val="20"/>
        </w:rPr>
      </w:pPr>
      <w:r w:rsidRPr="00180825">
        <w:rPr>
          <w:rFonts w:ascii="Century Gothic" w:hAnsi="Century Gothic"/>
          <w:i/>
          <w:sz w:val="20"/>
          <w:szCs w:val="20"/>
        </w:rPr>
        <w:t>“En el presente caso, se alega la existencia de una falla en el servicio de la entidad demandada como consecuencia de la deficiente atención médica, consistente en no haber actuado diligentemente en haber realizado gestión alguna para diagnosticar a tiempo o de manera inmediata al paciente sobre el resultado del análisis del diagnóstico médico inicial, sin embargo el diagnóstico completo debía atender a los resultados de laboratorio enviados por el Hospital Federico Lleras y tan así fue que cuando la estaban trasladando se infartó</w:t>
      </w:r>
      <w:r w:rsidRPr="00180825">
        <w:rPr>
          <w:rFonts w:ascii="Century Gothic" w:hAnsi="Century Gothic"/>
          <w:sz w:val="20"/>
          <w:szCs w:val="20"/>
        </w:rPr>
        <w:t xml:space="preserve">. </w:t>
      </w:r>
    </w:p>
    <w:p w14:paraId="697140D2" w14:textId="77777777" w:rsidR="0004557E" w:rsidRPr="00180825" w:rsidRDefault="0004557E" w:rsidP="00421F1E">
      <w:pPr>
        <w:pStyle w:val="Prrafodelista"/>
        <w:tabs>
          <w:tab w:val="left" w:pos="567"/>
        </w:tabs>
        <w:ind w:left="0"/>
        <w:jc w:val="both"/>
        <w:rPr>
          <w:rFonts w:ascii="Century Gothic" w:hAnsi="Century Gothic"/>
          <w:sz w:val="20"/>
          <w:szCs w:val="20"/>
        </w:rPr>
      </w:pPr>
    </w:p>
  </w:footnote>
  <w:footnote w:id="3">
    <w:p w14:paraId="7E794D5D" w14:textId="77777777" w:rsidR="0004557E" w:rsidRPr="00180825" w:rsidRDefault="0004557E" w:rsidP="00421F1E">
      <w:pPr>
        <w:pStyle w:val="Prrafodelista"/>
        <w:tabs>
          <w:tab w:val="left" w:pos="567"/>
        </w:tabs>
        <w:ind w:left="0"/>
        <w:jc w:val="both"/>
        <w:rPr>
          <w:rFonts w:ascii="Century Gothic" w:hAnsi="Century Gothic"/>
          <w:sz w:val="20"/>
          <w:szCs w:val="20"/>
        </w:rPr>
      </w:pPr>
      <w:r w:rsidRPr="00180825">
        <w:rPr>
          <w:rStyle w:val="Refdenotaalpie"/>
          <w:rFonts w:ascii="Century Gothic" w:hAnsi="Century Gothic"/>
          <w:sz w:val="20"/>
          <w:szCs w:val="20"/>
        </w:rPr>
        <w:footnoteRef/>
      </w:r>
      <w:r w:rsidRPr="00180825">
        <w:rPr>
          <w:rFonts w:ascii="Century Gothic" w:hAnsi="Century Gothic"/>
          <w:sz w:val="20"/>
          <w:szCs w:val="20"/>
        </w:rPr>
        <w:t xml:space="preserve"> En esa audiencia el litigio se fijó en los siguientes términos:</w:t>
      </w:r>
    </w:p>
    <w:p w14:paraId="0E99F43B" w14:textId="77777777" w:rsidR="0004557E" w:rsidRPr="00180825" w:rsidRDefault="0004557E" w:rsidP="00421F1E">
      <w:pPr>
        <w:pStyle w:val="Prrafodelista"/>
        <w:tabs>
          <w:tab w:val="left" w:pos="567"/>
        </w:tabs>
        <w:ind w:left="0"/>
        <w:jc w:val="both"/>
        <w:rPr>
          <w:rFonts w:ascii="Century Gothic" w:hAnsi="Century Gothic"/>
          <w:sz w:val="20"/>
          <w:szCs w:val="20"/>
        </w:rPr>
      </w:pPr>
    </w:p>
    <w:p w14:paraId="2739A4BA" w14:textId="147201FD" w:rsidR="0004557E" w:rsidRPr="00180825" w:rsidRDefault="0004557E" w:rsidP="00421F1E">
      <w:pPr>
        <w:pStyle w:val="Prrafodelista"/>
        <w:tabs>
          <w:tab w:val="left" w:pos="567"/>
        </w:tabs>
        <w:ind w:left="0"/>
        <w:jc w:val="both"/>
        <w:rPr>
          <w:rFonts w:ascii="Century Gothic" w:hAnsi="Century Gothic"/>
          <w:i/>
          <w:sz w:val="20"/>
          <w:szCs w:val="20"/>
        </w:rPr>
      </w:pPr>
      <w:r w:rsidRPr="00180825">
        <w:rPr>
          <w:rFonts w:ascii="Century Gothic" w:hAnsi="Century Gothic"/>
          <w:i/>
          <w:sz w:val="20"/>
          <w:szCs w:val="20"/>
        </w:rPr>
        <w:t>“Establecer si la demandada NACIÓN - MINISTERIO DE DEFENSA - EJÉRCITO NACIONAL - DIRECCIÓN DE SANIDAD es responsable o no de los perjuicios ocasionados a los demandantes por la presunta falla o falta en la prestación del servicio médico proporcionado a la señora MARIA LEONILDE GARCIA que trajo como consecuencia su muerte ocurrida el 11 de marzo de 2015”.</w:t>
      </w:r>
    </w:p>
  </w:footnote>
  <w:footnote w:id="4">
    <w:p w14:paraId="10FB12B4" w14:textId="77777777" w:rsidR="0004557E" w:rsidRPr="00180825" w:rsidRDefault="0004557E" w:rsidP="00421F1E">
      <w:pPr>
        <w:pStyle w:val="NormalWeb"/>
        <w:spacing w:before="0" w:beforeAutospacing="0" w:after="0" w:afterAutospacing="0"/>
        <w:jc w:val="both"/>
        <w:rPr>
          <w:rFonts w:ascii="Century Gothic" w:hAnsi="Century Gothic" w:cs="Open Sans"/>
          <w:i/>
          <w:sz w:val="20"/>
          <w:szCs w:val="20"/>
        </w:rPr>
      </w:pPr>
      <w:r w:rsidRPr="00180825">
        <w:rPr>
          <w:rStyle w:val="Refdenotaalpie"/>
          <w:rFonts w:ascii="Century Gothic" w:hAnsi="Century Gothic"/>
          <w:sz w:val="20"/>
          <w:szCs w:val="20"/>
        </w:rPr>
        <w:footnoteRef/>
      </w:r>
      <w:r w:rsidRPr="00180825">
        <w:rPr>
          <w:rFonts w:ascii="Century Gothic" w:hAnsi="Century Gothic"/>
          <w:sz w:val="20"/>
          <w:szCs w:val="20"/>
        </w:rPr>
        <w:t xml:space="preserve"> </w:t>
      </w:r>
      <w:bookmarkStart w:id="1" w:name="155"/>
      <w:r w:rsidRPr="00180825">
        <w:rPr>
          <w:rFonts w:ascii="Century Gothic" w:hAnsi="Century Gothic" w:cs="Open Sans"/>
          <w:b/>
          <w:bCs/>
          <w:i/>
          <w:sz w:val="20"/>
          <w:szCs w:val="20"/>
        </w:rPr>
        <w:t>ARTÍCULO 155. COMPETENCIA DE LOS JUECES ADMINISTRATIVOS EN PRIMERA INSTANCIA.</w:t>
      </w:r>
      <w:bookmarkEnd w:id="1"/>
      <w:r w:rsidRPr="00180825">
        <w:rPr>
          <w:rFonts w:ascii="Century Gothic" w:hAnsi="Century Gothic" w:cs="Open Sans"/>
          <w:i/>
          <w:sz w:val="20"/>
          <w:szCs w:val="20"/>
        </w:rPr>
        <w:t> Los jueces administrativos conocerán en primera instancia de los siguientes asuntos:</w:t>
      </w:r>
    </w:p>
    <w:p w14:paraId="576A5077" w14:textId="70FF2775" w:rsidR="0004557E" w:rsidRDefault="0004557E" w:rsidP="00421F1E">
      <w:pPr>
        <w:pStyle w:val="NormalWeb"/>
        <w:spacing w:before="0" w:beforeAutospacing="0" w:after="0" w:afterAutospacing="0"/>
        <w:jc w:val="both"/>
        <w:rPr>
          <w:rFonts w:ascii="Century Gothic" w:hAnsi="Century Gothic" w:cs="Open Sans"/>
          <w:i/>
          <w:sz w:val="20"/>
          <w:szCs w:val="20"/>
        </w:rPr>
      </w:pPr>
      <w:r w:rsidRPr="00180825">
        <w:rPr>
          <w:rFonts w:ascii="Century Gothic" w:hAnsi="Century Gothic" w:cs="Open Sans"/>
          <w:i/>
          <w:sz w:val="20"/>
          <w:szCs w:val="20"/>
        </w:rPr>
        <w:t>6. De los de reparación directa, inclusive aquellos provenientes de la acción u omisión de los agentes judiciales, cuando la cuantía no exceda de quinientos (500) salarios mínimos legales mensuales vigentes</w:t>
      </w:r>
      <w:r>
        <w:rPr>
          <w:rFonts w:ascii="Century Gothic" w:hAnsi="Century Gothic" w:cs="Open Sans"/>
          <w:i/>
          <w:sz w:val="20"/>
          <w:szCs w:val="20"/>
        </w:rPr>
        <w:t>”.</w:t>
      </w:r>
    </w:p>
    <w:p w14:paraId="356FE329" w14:textId="77777777" w:rsidR="0004557E" w:rsidRPr="00180825" w:rsidRDefault="0004557E" w:rsidP="00421F1E">
      <w:pPr>
        <w:pStyle w:val="NormalWeb"/>
        <w:spacing w:before="0" w:beforeAutospacing="0" w:after="0" w:afterAutospacing="0"/>
        <w:jc w:val="both"/>
        <w:rPr>
          <w:rFonts w:ascii="Century Gothic" w:hAnsi="Century Gothic" w:cs="Open Sans"/>
          <w:color w:val="4B4949"/>
          <w:sz w:val="20"/>
          <w:szCs w:val="20"/>
        </w:rPr>
      </w:pPr>
    </w:p>
  </w:footnote>
  <w:footnote w:id="5">
    <w:p w14:paraId="6352150E" w14:textId="7319877E" w:rsidR="0004557E" w:rsidRPr="00180825" w:rsidRDefault="0004557E" w:rsidP="00421F1E">
      <w:pPr>
        <w:pStyle w:val="Textonotapie"/>
        <w:jc w:val="both"/>
        <w:rPr>
          <w:rFonts w:ascii="Century Gothic" w:hAnsi="Century Gothic"/>
        </w:rPr>
      </w:pPr>
      <w:r w:rsidRPr="00180825">
        <w:rPr>
          <w:rStyle w:val="Refdenotaalpie"/>
          <w:rFonts w:ascii="Century Gothic" w:hAnsi="Century Gothic"/>
        </w:rPr>
        <w:footnoteRef/>
      </w:r>
      <w:r w:rsidRPr="00180825">
        <w:rPr>
          <w:rFonts w:ascii="Century Gothic" w:hAnsi="Century Gothic"/>
        </w:rPr>
        <w:t xml:space="preserve"> Nació el 2</w:t>
      </w:r>
      <w:r>
        <w:rPr>
          <w:rFonts w:ascii="Century Gothic" w:hAnsi="Century Gothic"/>
        </w:rPr>
        <w:t xml:space="preserve"> </w:t>
      </w:r>
      <w:r w:rsidRPr="00180825">
        <w:rPr>
          <w:rFonts w:ascii="Century Gothic" w:hAnsi="Century Gothic"/>
        </w:rPr>
        <w:t>de enero de 1926</w:t>
      </w:r>
    </w:p>
  </w:footnote>
  <w:footnote w:id="6">
    <w:p w14:paraId="22D155BB" w14:textId="77777777" w:rsidR="0004557E" w:rsidRPr="00421F1E" w:rsidRDefault="0004557E" w:rsidP="00421F1E">
      <w:pPr>
        <w:pStyle w:val="Textonotapie"/>
        <w:jc w:val="both"/>
        <w:rPr>
          <w:rFonts w:ascii="Century Gothic" w:hAnsi="Century Gothic"/>
          <w:sz w:val="16"/>
          <w:szCs w:val="16"/>
          <w:lang w:val="es-CO"/>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w:t>
      </w:r>
      <w:r w:rsidRPr="00421F1E">
        <w:rPr>
          <w:rFonts w:ascii="Century Gothic" w:hAnsi="Century Gothic"/>
          <w:sz w:val="16"/>
          <w:szCs w:val="16"/>
          <w:lang w:val="es-CO"/>
        </w:rPr>
        <w:t>Folio 26- 224 del c2</w:t>
      </w:r>
    </w:p>
  </w:footnote>
  <w:footnote w:id="7">
    <w:p w14:paraId="49EF737F" w14:textId="77777777" w:rsidR="0004557E" w:rsidRPr="00421F1E" w:rsidRDefault="0004557E" w:rsidP="00421F1E">
      <w:pPr>
        <w:pStyle w:val="Textonotapie"/>
        <w:jc w:val="both"/>
        <w:rPr>
          <w:rFonts w:ascii="Century Gothic" w:hAnsi="Century Gothic"/>
          <w:sz w:val="16"/>
          <w:szCs w:val="16"/>
          <w:lang w:val="es-CO"/>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w:t>
      </w:r>
      <w:r w:rsidRPr="00421F1E">
        <w:rPr>
          <w:rFonts w:ascii="Century Gothic" w:hAnsi="Century Gothic"/>
          <w:sz w:val="16"/>
          <w:szCs w:val="16"/>
          <w:lang w:val="es-CO"/>
        </w:rPr>
        <w:t>Folio 13 – 18 del c2</w:t>
      </w:r>
    </w:p>
  </w:footnote>
  <w:footnote w:id="8">
    <w:p w14:paraId="15B92E8F" w14:textId="77777777" w:rsidR="0004557E" w:rsidRPr="00421F1E" w:rsidRDefault="0004557E" w:rsidP="00421F1E">
      <w:pPr>
        <w:pStyle w:val="Textonotapie"/>
        <w:jc w:val="both"/>
        <w:rPr>
          <w:rFonts w:ascii="Century Gothic" w:hAnsi="Century Gothic"/>
          <w:sz w:val="16"/>
          <w:szCs w:val="16"/>
          <w:lang w:val="es-CO"/>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w:t>
      </w:r>
      <w:r w:rsidRPr="00421F1E">
        <w:rPr>
          <w:rFonts w:ascii="Century Gothic" w:hAnsi="Century Gothic"/>
          <w:sz w:val="16"/>
          <w:szCs w:val="16"/>
          <w:lang w:val="es-CO"/>
        </w:rPr>
        <w:t>Folio 28 del c2</w:t>
      </w:r>
    </w:p>
  </w:footnote>
  <w:footnote w:id="9">
    <w:p w14:paraId="46349A18" w14:textId="77777777" w:rsidR="0004557E" w:rsidRPr="00421F1E" w:rsidRDefault="0004557E" w:rsidP="00421F1E">
      <w:pPr>
        <w:spacing w:after="0" w:line="240" w:lineRule="auto"/>
        <w:jc w:val="both"/>
        <w:rPr>
          <w:rFonts w:ascii="Century Gothic" w:hAnsi="Century Gothic"/>
          <w:sz w:val="16"/>
          <w:szCs w:val="16"/>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El 16 de marzo de 2015 las </w:t>
      </w:r>
      <w:proofErr w:type="gramStart"/>
      <w:r w:rsidRPr="00421F1E">
        <w:rPr>
          <w:rFonts w:ascii="Century Gothic" w:hAnsi="Century Gothic"/>
          <w:sz w:val="16"/>
          <w:szCs w:val="16"/>
        </w:rPr>
        <w:t>señoras  REINA</w:t>
      </w:r>
      <w:proofErr w:type="gramEnd"/>
      <w:r w:rsidRPr="00421F1E">
        <w:rPr>
          <w:rFonts w:ascii="Century Gothic" w:hAnsi="Century Gothic"/>
          <w:sz w:val="16"/>
          <w:szCs w:val="16"/>
        </w:rPr>
        <w:t xml:space="preserve"> LILY MEDINA GARCIA y JUDITH ROCIO MONTOYA  ante el superintendente nacional de salud</w:t>
      </w:r>
      <w:r w:rsidRPr="00421F1E">
        <w:rPr>
          <w:rStyle w:val="Refdenotaalpie"/>
          <w:rFonts w:ascii="Century Gothic" w:hAnsi="Century Gothic"/>
          <w:sz w:val="16"/>
          <w:szCs w:val="16"/>
        </w:rPr>
        <w:footnoteRef/>
      </w:r>
      <w:r w:rsidRPr="00421F1E">
        <w:rPr>
          <w:rFonts w:ascii="Century Gothic" w:hAnsi="Century Gothic"/>
          <w:sz w:val="16"/>
          <w:szCs w:val="16"/>
        </w:rPr>
        <w:t xml:space="preserve"> y la PROCURADURIA</w:t>
      </w:r>
      <w:r w:rsidRPr="00421F1E">
        <w:rPr>
          <w:rStyle w:val="Refdenotaalpie"/>
          <w:rFonts w:ascii="Century Gothic" w:hAnsi="Century Gothic"/>
          <w:sz w:val="16"/>
          <w:szCs w:val="16"/>
        </w:rPr>
        <w:footnoteRef/>
      </w:r>
      <w:r w:rsidRPr="00421F1E">
        <w:rPr>
          <w:rFonts w:ascii="Century Gothic" w:hAnsi="Century Gothic"/>
          <w:sz w:val="16"/>
          <w:szCs w:val="16"/>
        </w:rPr>
        <w:t xml:space="preserve"> para que se inicien averiguaciones sobre la presunta negligencia en la atención medica brindada a la señora MARIA LEONILDE GARCIA.</w:t>
      </w:r>
    </w:p>
    <w:p w14:paraId="6B086E25" w14:textId="77777777" w:rsidR="0004557E" w:rsidRPr="00421F1E" w:rsidRDefault="0004557E" w:rsidP="00421F1E">
      <w:pPr>
        <w:pStyle w:val="Prrafodelista"/>
        <w:ind w:left="360"/>
        <w:jc w:val="both"/>
        <w:rPr>
          <w:rFonts w:ascii="Century Gothic" w:hAnsi="Century Gothic"/>
          <w:sz w:val="16"/>
          <w:szCs w:val="16"/>
        </w:rPr>
      </w:pPr>
    </w:p>
    <w:p w14:paraId="732787A8" w14:textId="3D768311" w:rsidR="0004557E" w:rsidRPr="00421F1E" w:rsidRDefault="0004557E" w:rsidP="00421F1E">
      <w:pPr>
        <w:pStyle w:val="Textonotapie"/>
        <w:jc w:val="both"/>
        <w:rPr>
          <w:rFonts w:ascii="Century Gothic" w:hAnsi="Century Gothic"/>
          <w:sz w:val="16"/>
          <w:szCs w:val="16"/>
          <w:lang w:val="es-CO"/>
        </w:rPr>
      </w:pPr>
      <w:r w:rsidRPr="00421F1E">
        <w:rPr>
          <w:rFonts w:ascii="Century Gothic" w:hAnsi="Century Gothic"/>
          <w:sz w:val="16"/>
          <w:szCs w:val="16"/>
        </w:rPr>
        <w:t>Dicha queja fue remitida por competencia al MINISTERIO DE DEFENSA – Dirección De Inspección Administrativa Y Logística</w:t>
      </w:r>
      <w:r w:rsidRPr="00421F1E">
        <w:rPr>
          <w:rStyle w:val="Refdenotaalpie"/>
          <w:rFonts w:ascii="Century Gothic" w:hAnsi="Century Gothic"/>
          <w:sz w:val="16"/>
          <w:szCs w:val="16"/>
        </w:rPr>
        <w:footnoteRef/>
      </w:r>
      <w:r w:rsidRPr="00421F1E">
        <w:rPr>
          <w:rFonts w:ascii="Century Gothic" w:hAnsi="Century Gothic"/>
          <w:sz w:val="16"/>
          <w:szCs w:val="16"/>
        </w:rPr>
        <w:t xml:space="preserve"> motivo por el cual se efectuó una inspección puntual con el fin de esclarecer los hechos que rodearon la atención médica de la señora María Leonilde García   y los resultados se enviaron a la dirección de sanidad del </w:t>
      </w:r>
      <w:proofErr w:type="gramStart"/>
      <w:r w:rsidRPr="00421F1E">
        <w:rPr>
          <w:rFonts w:ascii="Century Gothic" w:hAnsi="Century Gothic"/>
          <w:sz w:val="16"/>
          <w:szCs w:val="16"/>
        </w:rPr>
        <w:t>ejército  y</w:t>
      </w:r>
      <w:proofErr w:type="gramEnd"/>
      <w:r w:rsidRPr="00421F1E">
        <w:rPr>
          <w:rFonts w:ascii="Century Gothic" w:hAnsi="Century Gothic"/>
          <w:sz w:val="16"/>
          <w:szCs w:val="16"/>
        </w:rPr>
        <w:t xml:space="preserve"> a la inspección general del ejército con el fin de que se tomen las acciones pertinentes</w:t>
      </w:r>
    </w:p>
  </w:footnote>
  <w:footnote w:id="10">
    <w:p w14:paraId="050E69E8" w14:textId="3D725724" w:rsidR="0004557E" w:rsidRPr="00421F1E" w:rsidRDefault="0004557E" w:rsidP="00421F1E">
      <w:pPr>
        <w:pStyle w:val="Textonotapie"/>
        <w:jc w:val="both"/>
        <w:rPr>
          <w:rFonts w:ascii="Century Gothic" w:hAnsi="Century Gothic"/>
          <w:sz w:val="16"/>
          <w:szCs w:val="16"/>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Folios 22 – 231 del </w:t>
      </w:r>
      <w:proofErr w:type="spellStart"/>
      <w:r w:rsidRPr="00421F1E">
        <w:rPr>
          <w:rFonts w:ascii="Century Gothic" w:hAnsi="Century Gothic"/>
          <w:sz w:val="16"/>
          <w:szCs w:val="16"/>
        </w:rPr>
        <w:t>cp</w:t>
      </w:r>
      <w:proofErr w:type="spellEnd"/>
      <w:r w:rsidRPr="00421F1E">
        <w:rPr>
          <w:rFonts w:ascii="Century Gothic" w:hAnsi="Century Gothic"/>
          <w:sz w:val="16"/>
          <w:szCs w:val="16"/>
        </w:rPr>
        <w:t xml:space="preserve"> </w:t>
      </w:r>
    </w:p>
  </w:footnote>
  <w:footnote w:id="11">
    <w:p w14:paraId="4EB3FE01" w14:textId="6685D98A" w:rsidR="0004557E" w:rsidRPr="00421F1E" w:rsidRDefault="0004557E" w:rsidP="00421F1E">
      <w:pPr>
        <w:pStyle w:val="Textonotapie"/>
        <w:jc w:val="both"/>
        <w:rPr>
          <w:rFonts w:ascii="Century Gothic" w:hAnsi="Century Gothic"/>
          <w:sz w:val="16"/>
          <w:szCs w:val="16"/>
          <w:lang w:val="es-CO"/>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w:t>
      </w:r>
      <w:r w:rsidRPr="00421F1E">
        <w:rPr>
          <w:rFonts w:ascii="Century Gothic" w:hAnsi="Century Gothic"/>
          <w:sz w:val="16"/>
          <w:szCs w:val="16"/>
          <w:lang w:val="es-CO"/>
        </w:rPr>
        <w:t>Folios 225 – 227 del c2</w:t>
      </w:r>
    </w:p>
  </w:footnote>
  <w:footnote w:id="12">
    <w:p w14:paraId="60C691EC" w14:textId="77777777" w:rsidR="0004557E" w:rsidRPr="00421F1E" w:rsidRDefault="0004557E" w:rsidP="00421F1E">
      <w:pPr>
        <w:pStyle w:val="Textonotapie"/>
        <w:jc w:val="both"/>
        <w:rPr>
          <w:rFonts w:ascii="Century Gothic" w:hAnsi="Century Gothic"/>
          <w:sz w:val="16"/>
          <w:szCs w:val="16"/>
          <w:lang w:val="es-CO"/>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w:t>
      </w:r>
      <w:r w:rsidRPr="00421F1E">
        <w:rPr>
          <w:rFonts w:ascii="Century Gothic" w:hAnsi="Century Gothic"/>
          <w:sz w:val="16"/>
          <w:szCs w:val="16"/>
          <w:lang w:val="es-CO"/>
        </w:rPr>
        <w:t>Folio 245-257 C2</w:t>
      </w:r>
    </w:p>
  </w:footnote>
  <w:footnote w:id="13">
    <w:p w14:paraId="7FB585DC" w14:textId="77777777" w:rsidR="0004557E" w:rsidRPr="00421F1E" w:rsidRDefault="0004557E" w:rsidP="00421F1E">
      <w:pPr>
        <w:pStyle w:val="Textonotapie"/>
        <w:jc w:val="both"/>
        <w:rPr>
          <w:rFonts w:ascii="Century Gothic" w:hAnsi="Century Gothic"/>
          <w:sz w:val="16"/>
          <w:szCs w:val="16"/>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CONSEJO DE ESTADO SALA DE LO CONTENCIOSO ADMINISTRATIVO SECCION TERCERA SUBSECCION B Consejero ponente: RAMIRO PAZOS GUERRERO Bogotá, D.C., tres (3) de octubre de dos mil dieciséis (2016) Radicación número: 05001-23-31-000-1999-02059-01(40057) Actor: CARLOS ENRIQUE NOREÑA GÓMEZ Y OTROS Demandado: MUNICIPIO DE ITAGÜÍ Referencia: ACCION DE REPARACION DIRECTA.</w:t>
      </w:r>
    </w:p>
    <w:p w14:paraId="71DD50D7" w14:textId="77777777" w:rsidR="0004557E" w:rsidRPr="00421F1E" w:rsidRDefault="0004557E" w:rsidP="00421F1E">
      <w:pPr>
        <w:pStyle w:val="Textonotapie"/>
        <w:jc w:val="both"/>
        <w:rPr>
          <w:rFonts w:ascii="Century Gothic" w:hAnsi="Century Gothic"/>
          <w:sz w:val="16"/>
          <w:szCs w:val="16"/>
          <w:lang w:val="es-CO"/>
        </w:rPr>
      </w:pPr>
    </w:p>
  </w:footnote>
  <w:footnote w:id="14">
    <w:p w14:paraId="481FCE1E" w14:textId="77777777" w:rsidR="0004557E" w:rsidRDefault="0004557E" w:rsidP="00867EDA">
      <w:pPr>
        <w:pStyle w:val="Style3"/>
        <w:widowControl/>
        <w:spacing w:line="240" w:lineRule="auto"/>
        <w:ind w:right="10"/>
        <w:rPr>
          <w:rStyle w:val="FontStyle64"/>
          <w:rFonts w:ascii="Century Gothic" w:hAnsi="Century Gothic"/>
          <w:sz w:val="16"/>
          <w:szCs w:val="16"/>
          <w:lang w:val="es-ES_tradnl" w:eastAsia="es-ES_tradnl"/>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w:t>
      </w:r>
      <w:r w:rsidRPr="00421F1E">
        <w:rPr>
          <w:rStyle w:val="FontStyle67"/>
          <w:rFonts w:ascii="Century Gothic" w:hAnsi="Century Gothic"/>
          <w:sz w:val="16"/>
          <w:szCs w:val="16"/>
          <w:lang w:val="es-ES_tradnl" w:eastAsia="es-ES_tradnl"/>
        </w:rPr>
        <w:t xml:space="preserve">Enfermedad pulmonar obstructiva crónica EPOC: </w:t>
      </w:r>
      <w:r w:rsidRPr="00421F1E">
        <w:rPr>
          <w:rStyle w:val="FontStyle64"/>
          <w:rFonts w:ascii="Century Gothic" w:hAnsi="Century Gothic"/>
          <w:sz w:val="16"/>
          <w:szCs w:val="16"/>
          <w:lang w:val="es-ES_tradnl" w:eastAsia="es-ES_tradnl"/>
        </w:rPr>
        <w:t xml:space="preserve">es una enfermedad común, prevenible y tratable que se caracteriza por la persistente limitación al aire, la cual es usualmente progresiva y se asocia a una respuesta inflamatoria crónica de las vías aéreas y pulmones a las partículas o gases nocivos. Las exacerbaciones y comorbilidades contribuyen a la severidad en cada paciente. Los síntomas incluyen: disnea, </w:t>
      </w:r>
      <w:proofErr w:type="gramStart"/>
      <w:r w:rsidRPr="00421F1E">
        <w:rPr>
          <w:rStyle w:val="FontStyle64"/>
          <w:rFonts w:ascii="Century Gothic" w:hAnsi="Century Gothic"/>
          <w:sz w:val="16"/>
          <w:szCs w:val="16"/>
          <w:lang w:val="es-ES_tradnl" w:eastAsia="es-ES_tradnl"/>
        </w:rPr>
        <w:t>tos crónica y producción crónica</w:t>
      </w:r>
      <w:proofErr w:type="gramEnd"/>
      <w:r w:rsidRPr="00421F1E">
        <w:rPr>
          <w:rStyle w:val="FontStyle64"/>
          <w:rFonts w:ascii="Century Gothic" w:hAnsi="Century Gothic"/>
          <w:sz w:val="16"/>
          <w:szCs w:val="16"/>
          <w:lang w:val="es-ES_tradnl" w:eastAsia="es-ES_tradnl"/>
        </w:rPr>
        <w:t xml:space="preserve"> de esputo.</w:t>
      </w:r>
    </w:p>
    <w:p w14:paraId="07333915" w14:textId="77777777" w:rsidR="0004557E" w:rsidRPr="00421F1E" w:rsidRDefault="0004557E" w:rsidP="00867EDA">
      <w:pPr>
        <w:pStyle w:val="Style3"/>
        <w:widowControl/>
        <w:spacing w:line="240" w:lineRule="auto"/>
        <w:ind w:right="10"/>
        <w:rPr>
          <w:rStyle w:val="FontStyle64"/>
          <w:rFonts w:ascii="Century Gothic" w:hAnsi="Century Gothic"/>
          <w:sz w:val="16"/>
          <w:szCs w:val="16"/>
          <w:lang w:val="es-ES_tradnl" w:eastAsia="es-ES_tradnl"/>
        </w:rPr>
      </w:pPr>
    </w:p>
    <w:p w14:paraId="5321887C" w14:textId="77777777" w:rsidR="0004557E" w:rsidRPr="00421F1E" w:rsidRDefault="0004557E" w:rsidP="00867EDA">
      <w:pPr>
        <w:pStyle w:val="Style3"/>
        <w:widowControl/>
        <w:spacing w:line="240" w:lineRule="auto"/>
        <w:rPr>
          <w:rStyle w:val="FontStyle64"/>
          <w:rFonts w:ascii="Century Gothic" w:hAnsi="Century Gothic"/>
          <w:sz w:val="16"/>
          <w:szCs w:val="16"/>
          <w:lang w:val="es-ES_tradnl" w:eastAsia="es-ES_tradnl"/>
        </w:rPr>
      </w:pPr>
      <w:r w:rsidRPr="00421F1E">
        <w:rPr>
          <w:rStyle w:val="FontStyle67"/>
          <w:rFonts w:ascii="Century Gothic" w:hAnsi="Century Gothic"/>
          <w:sz w:val="16"/>
          <w:szCs w:val="16"/>
          <w:lang w:val="es-ES_tradnl" w:eastAsia="es-ES_tradnl"/>
        </w:rPr>
        <w:t xml:space="preserve">Exacerbación del EPOC: </w:t>
      </w:r>
      <w:r w:rsidRPr="00421F1E">
        <w:rPr>
          <w:rStyle w:val="FontStyle64"/>
          <w:rFonts w:ascii="Century Gothic" w:hAnsi="Century Gothic"/>
          <w:sz w:val="16"/>
          <w:szCs w:val="16"/>
          <w:lang w:val="es-ES_tradnl" w:eastAsia="es-ES_tradnl"/>
        </w:rPr>
        <w:t>evento agudo caracterizado por un empeoramiento en los síntomas respiratorios del paciente, que están más allá de las variaciones del día a día y que llevan a cambios en la medicación. Las causas más comunes son por infecciones del tracto respiratorio, viral o bacteriano.</w:t>
      </w:r>
    </w:p>
    <w:p w14:paraId="487DDD2E" w14:textId="77777777" w:rsidR="0004557E" w:rsidRPr="00421F1E" w:rsidRDefault="0004557E" w:rsidP="00867EDA">
      <w:pPr>
        <w:pStyle w:val="Style3"/>
        <w:widowControl/>
        <w:spacing w:line="240" w:lineRule="auto"/>
        <w:ind w:right="10"/>
        <w:rPr>
          <w:rStyle w:val="FontStyle64"/>
          <w:rFonts w:ascii="Century Gothic" w:hAnsi="Century Gothic"/>
          <w:sz w:val="16"/>
          <w:szCs w:val="16"/>
          <w:lang w:val="es-ES_tradnl" w:eastAsia="es-ES_tradnl"/>
        </w:rPr>
      </w:pPr>
    </w:p>
    <w:p w14:paraId="1F9B0947" w14:textId="77777777" w:rsidR="0004557E" w:rsidRPr="00421F1E" w:rsidRDefault="0004557E" w:rsidP="00867EDA">
      <w:pPr>
        <w:pStyle w:val="Textonotapie"/>
        <w:rPr>
          <w:rFonts w:ascii="Century Gothic" w:hAnsi="Century Gothic"/>
          <w:sz w:val="16"/>
          <w:szCs w:val="16"/>
          <w:lang w:val="es-CO"/>
        </w:rPr>
      </w:pPr>
    </w:p>
  </w:footnote>
  <w:footnote w:id="15">
    <w:p w14:paraId="2ED57C30" w14:textId="77777777" w:rsidR="0004557E" w:rsidRPr="00421F1E" w:rsidRDefault="0004557E" w:rsidP="00421F1E">
      <w:pPr>
        <w:pStyle w:val="Textonotapie"/>
        <w:jc w:val="both"/>
        <w:rPr>
          <w:rFonts w:ascii="Century Gothic" w:hAnsi="Century Gothic" w:cs="Arial"/>
          <w:b/>
          <w:bCs/>
          <w:color w:val="000000"/>
          <w:sz w:val="16"/>
          <w:szCs w:val="16"/>
          <w:shd w:val="clear" w:color="auto" w:fill="FFFFFF"/>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w:t>
      </w:r>
      <w:r w:rsidRPr="00421F1E">
        <w:rPr>
          <w:rFonts w:ascii="Century Gothic" w:hAnsi="Century Gothic"/>
          <w:sz w:val="16"/>
          <w:szCs w:val="16"/>
          <w:lang w:val="es-CO"/>
        </w:rPr>
        <w:t>Para el año 2020 equivale a $</w:t>
      </w:r>
      <w:r w:rsidRPr="00421F1E">
        <w:rPr>
          <w:rFonts w:ascii="Century Gothic" w:hAnsi="Century Gothic" w:cs="Arial"/>
          <w:b/>
          <w:bCs/>
          <w:color w:val="000000"/>
          <w:sz w:val="16"/>
          <w:szCs w:val="16"/>
          <w:shd w:val="clear" w:color="auto" w:fill="FFFFFF"/>
        </w:rPr>
        <w:t>877.803</w:t>
      </w:r>
    </w:p>
    <w:p w14:paraId="4F0A0FDC" w14:textId="77777777" w:rsidR="0004557E" w:rsidRPr="00421F1E" w:rsidRDefault="0004557E" w:rsidP="00421F1E">
      <w:pPr>
        <w:pStyle w:val="Textonotapie"/>
        <w:jc w:val="both"/>
        <w:rPr>
          <w:rFonts w:ascii="Century Gothic" w:hAnsi="Century Gothic"/>
          <w:sz w:val="16"/>
          <w:szCs w:val="16"/>
          <w:lang w:val="es-CO"/>
        </w:rPr>
      </w:pPr>
    </w:p>
  </w:footnote>
  <w:footnote w:id="16">
    <w:p w14:paraId="500F3D44" w14:textId="77777777" w:rsidR="0004557E" w:rsidRPr="00421F1E" w:rsidRDefault="0004557E" w:rsidP="00421F1E">
      <w:pPr>
        <w:pStyle w:val="Textonotapie"/>
        <w:jc w:val="both"/>
        <w:rPr>
          <w:rFonts w:ascii="Century Gothic" w:hAnsi="Century Gothic"/>
          <w:sz w:val="16"/>
          <w:szCs w:val="16"/>
          <w:lang w:val="es-CO"/>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04557E" w:rsidRPr="00421F1E" w14:paraId="009123EB" w14:textId="77777777" w:rsidTr="00A709BF">
        <w:tc>
          <w:tcPr>
            <w:tcW w:w="8870" w:type="dxa"/>
            <w:gridSpan w:val="6"/>
            <w:tcBorders>
              <w:top w:val="single" w:sz="6" w:space="0" w:color="auto"/>
              <w:left w:val="single" w:sz="6" w:space="0" w:color="auto"/>
              <w:bottom w:val="single" w:sz="6" w:space="0" w:color="auto"/>
              <w:right w:val="single" w:sz="6" w:space="0" w:color="auto"/>
            </w:tcBorders>
          </w:tcPr>
          <w:p w14:paraId="73AE4B71" w14:textId="77777777" w:rsidR="0004557E" w:rsidRPr="00421F1E" w:rsidRDefault="0004557E" w:rsidP="00421F1E">
            <w:pPr>
              <w:pStyle w:val="Style6"/>
              <w:widowControl/>
              <w:spacing w:line="240" w:lineRule="auto"/>
              <w:rPr>
                <w:rStyle w:val="nfasissutil"/>
                <w:rFonts w:ascii="Century Gothic" w:hAnsi="Century Gothic"/>
                <w:i w:val="0"/>
                <w:sz w:val="16"/>
                <w:szCs w:val="16"/>
              </w:rPr>
            </w:pPr>
            <w:r w:rsidRPr="00421F1E">
              <w:rPr>
                <w:rStyle w:val="nfasissutil"/>
                <w:rFonts w:ascii="Century Gothic" w:hAnsi="Century Gothic"/>
                <w:sz w:val="16"/>
                <w:szCs w:val="16"/>
              </w:rPr>
              <w:t xml:space="preserve">REPARACIÓN DEL DAÑO MORAL EN CASO DE </w:t>
            </w:r>
            <w:r w:rsidRPr="00421F1E">
              <w:rPr>
                <w:rStyle w:val="nfasissutil"/>
                <w:rFonts w:ascii="Century Gothic" w:hAnsi="Century Gothic"/>
                <w:color w:val="FF0000"/>
                <w:sz w:val="16"/>
                <w:szCs w:val="16"/>
              </w:rPr>
              <w:t>MUERTE</w:t>
            </w:r>
            <w:r w:rsidRPr="00421F1E">
              <w:rPr>
                <w:rStyle w:val="nfasissutil"/>
                <w:rFonts w:ascii="Century Gothic" w:hAnsi="Century Gothic"/>
                <w:sz w:val="16"/>
                <w:szCs w:val="16"/>
              </w:rPr>
              <w:t xml:space="preserve"> REGLA GENERAL</w:t>
            </w:r>
          </w:p>
        </w:tc>
      </w:tr>
      <w:tr w:rsidR="0004557E" w:rsidRPr="00421F1E" w14:paraId="4C84A5DE" w14:textId="77777777" w:rsidTr="00A709BF">
        <w:tc>
          <w:tcPr>
            <w:tcW w:w="8870" w:type="dxa"/>
            <w:gridSpan w:val="6"/>
            <w:tcBorders>
              <w:top w:val="single" w:sz="6" w:space="0" w:color="auto"/>
              <w:left w:val="single" w:sz="6" w:space="0" w:color="auto"/>
              <w:bottom w:val="single" w:sz="6" w:space="0" w:color="auto"/>
              <w:right w:val="single" w:sz="6" w:space="0" w:color="auto"/>
            </w:tcBorders>
          </w:tcPr>
          <w:p w14:paraId="5B1B9735" w14:textId="77777777" w:rsidR="0004557E" w:rsidRPr="00421F1E" w:rsidRDefault="0004557E" w:rsidP="00421F1E">
            <w:pPr>
              <w:pStyle w:val="Style6"/>
              <w:widowControl/>
              <w:spacing w:line="240" w:lineRule="auto"/>
              <w:rPr>
                <w:rStyle w:val="nfasissutil"/>
                <w:rFonts w:ascii="Century Gothic" w:hAnsi="Century Gothic"/>
                <w:i w:val="0"/>
                <w:sz w:val="16"/>
                <w:szCs w:val="16"/>
              </w:rPr>
            </w:pPr>
            <w:r w:rsidRPr="00421F1E">
              <w:rPr>
                <w:rStyle w:val="nfasissutil"/>
                <w:rFonts w:ascii="Century Gothic" w:hAnsi="Century Gothic"/>
                <w:sz w:val="16"/>
                <w:szCs w:val="16"/>
              </w:rPr>
              <w:t>Según el nivel de cercanía</w:t>
            </w:r>
          </w:p>
        </w:tc>
      </w:tr>
      <w:tr w:rsidR="0004557E" w:rsidRPr="00421F1E" w14:paraId="28E96663" w14:textId="77777777" w:rsidTr="00A709BF">
        <w:tc>
          <w:tcPr>
            <w:tcW w:w="1387" w:type="dxa"/>
            <w:tcBorders>
              <w:top w:val="single" w:sz="6" w:space="0" w:color="auto"/>
              <w:left w:val="single" w:sz="6" w:space="0" w:color="auto"/>
              <w:bottom w:val="single" w:sz="6" w:space="0" w:color="auto"/>
              <w:right w:val="single" w:sz="6" w:space="0" w:color="auto"/>
            </w:tcBorders>
          </w:tcPr>
          <w:p w14:paraId="17DC243F" w14:textId="77777777" w:rsidR="0004557E" w:rsidRPr="00421F1E" w:rsidRDefault="0004557E" w:rsidP="00421F1E">
            <w:pPr>
              <w:pStyle w:val="Style2"/>
              <w:spacing w:line="240" w:lineRule="auto"/>
              <w:rPr>
                <w:rFonts w:ascii="Century Gothic" w:hAnsi="Century Gothic" w:cs="Times New Roman"/>
                <w:sz w:val="16"/>
                <w:szCs w:val="16"/>
              </w:rPr>
            </w:pPr>
          </w:p>
        </w:tc>
        <w:tc>
          <w:tcPr>
            <w:tcW w:w="1147" w:type="dxa"/>
            <w:tcBorders>
              <w:top w:val="single" w:sz="6" w:space="0" w:color="auto"/>
              <w:left w:val="single" w:sz="6" w:space="0" w:color="auto"/>
              <w:bottom w:val="single" w:sz="6" w:space="0" w:color="auto"/>
              <w:right w:val="single" w:sz="6" w:space="0" w:color="auto"/>
            </w:tcBorders>
          </w:tcPr>
          <w:p w14:paraId="73673C42" w14:textId="77777777" w:rsidR="0004557E" w:rsidRPr="00421F1E" w:rsidRDefault="0004557E" w:rsidP="00421F1E">
            <w:pPr>
              <w:pStyle w:val="Style2"/>
              <w:spacing w:line="240" w:lineRule="auto"/>
              <w:rPr>
                <w:rFonts w:ascii="Century Gothic" w:hAnsi="Century Gothic" w:cs="Times New Roman"/>
                <w:b/>
                <w:bCs/>
                <w:sz w:val="16"/>
                <w:szCs w:val="16"/>
              </w:rPr>
            </w:pPr>
            <w:r w:rsidRPr="00421F1E">
              <w:rPr>
                <w:rFonts w:ascii="Century Gothic" w:hAnsi="Century Gothic" w:cs="Times New Roman"/>
                <w:b/>
                <w:bCs/>
                <w:sz w:val="16"/>
                <w:szCs w:val="16"/>
              </w:rPr>
              <w:t>NIVEL. 1</w:t>
            </w:r>
          </w:p>
        </w:tc>
        <w:tc>
          <w:tcPr>
            <w:tcW w:w="1526" w:type="dxa"/>
            <w:tcBorders>
              <w:top w:val="single" w:sz="6" w:space="0" w:color="auto"/>
              <w:left w:val="single" w:sz="6" w:space="0" w:color="auto"/>
              <w:bottom w:val="single" w:sz="6" w:space="0" w:color="auto"/>
              <w:right w:val="single" w:sz="6" w:space="0" w:color="auto"/>
            </w:tcBorders>
          </w:tcPr>
          <w:p w14:paraId="5A7F92BB" w14:textId="77777777" w:rsidR="0004557E" w:rsidRPr="00421F1E" w:rsidRDefault="0004557E" w:rsidP="00421F1E">
            <w:pPr>
              <w:pStyle w:val="Style2"/>
              <w:spacing w:line="240" w:lineRule="auto"/>
              <w:rPr>
                <w:rFonts w:ascii="Century Gothic" w:hAnsi="Century Gothic" w:cs="Times New Roman"/>
                <w:b/>
                <w:bCs/>
                <w:sz w:val="16"/>
                <w:szCs w:val="16"/>
              </w:rPr>
            </w:pPr>
            <w:r w:rsidRPr="00421F1E">
              <w:rPr>
                <w:rFonts w:ascii="Century Gothic" w:hAnsi="Century Gothic" w:cs="Times New Roman"/>
                <w:b/>
                <w:bCs/>
                <w:sz w:val="16"/>
                <w:szCs w:val="16"/>
              </w:rPr>
              <w:t>NIVEL 2</w:t>
            </w:r>
          </w:p>
        </w:tc>
        <w:tc>
          <w:tcPr>
            <w:tcW w:w="1594" w:type="dxa"/>
            <w:tcBorders>
              <w:top w:val="single" w:sz="6" w:space="0" w:color="auto"/>
              <w:left w:val="single" w:sz="6" w:space="0" w:color="auto"/>
              <w:bottom w:val="single" w:sz="6" w:space="0" w:color="auto"/>
              <w:right w:val="single" w:sz="6" w:space="0" w:color="auto"/>
            </w:tcBorders>
          </w:tcPr>
          <w:p w14:paraId="6B2CF95B" w14:textId="77777777" w:rsidR="0004557E" w:rsidRPr="00421F1E" w:rsidRDefault="0004557E" w:rsidP="00421F1E">
            <w:pPr>
              <w:pStyle w:val="Style2"/>
              <w:spacing w:line="240" w:lineRule="auto"/>
              <w:rPr>
                <w:rFonts w:ascii="Century Gothic" w:hAnsi="Century Gothic" w:cs="Times New Roman"/>
                <w:b/>
                <w:bCs/>
                <w:sz w:val="16"/>
                <w:szCs w:val="16"/>
              </w:rPr>
            </w:pPr>
            <w:r w:rsidRPr="00421F1E">
              <w:rPr>
                <w:rFonts w:ascii="Century Gothic" w:hAnsi="Century Gothic" w:cs="Times New Roman"/>
                <w:b/>
                <w:bCs/>
                <w:sz w:val="16"/>
                <w:szCs w:val="16"/>
              </w:rPr>
              <w:t>NIVEL 3</w:t>
            </w:r>
          </w:p>
        </w:tc>
        <w:tc>
          <w:tcPr>
            <w:tcW w:w="1642" w:type="dxa"/>
            <w:tcBorders>
              <w:top w:val="single" w:sz="6" w:space="0" w:color="auto"/>
              <w:left w:val="single" w:sz="6" w:space="0" w:color="auto"/>
              <w:bottom w:val="single" w:sz="6" w:space="0" w:color="auto"/>
              <w:right w:val="single" w:sz="6" w:space="0" w:color="auto"/>
            </w:tcBorders>
          </w:tcPr>
          <w:p w14:paraId="376707B4" w14:textId="77777777" w:rsidR="0004557E" w:rsidRPr="00421F1E" w:rsidRDefault="0004557E" w:rsidP="00421F1E">
            <w:pPr>
              <w:pStyle w:val="Style2"/>
              <w:spacing w:line="240" w:lineRule="auto"/>
              <w:rPr>
                <w:rFonts w:ascii="Century Gothic" w:hAnsi="Century Gothic" w:cs="Times New Roman"/>
                <w:b/>
                <w:bCs/>
                <w:sz w:val="16"/>
                <w:szCs w:val="16"/>
              </w:rPr>
            </w:pPr>
            <w:r w:rsidRPr="00421F1E">
              <w:rPr>
                <w:rFonts w:ascii="Century Gothic" w:hAnsi="Century Gothic" w:cs="Times New Roman"/>
                <w:b/>
                <w:bCs/>
                <w:sz w:val="16"/>
                <w:szCs w:val="16"/>
              </w:rPr>
              <w:t>NIVEL 4</w:t>
            </w:r>
          </w:p>
        </w:tc>
        <w:tc>
          <w:tcPr>
            <w:tcW w:w="1574" w:type="dxa"/>
            <w:tcBorders>
              <w:top w:val="single" w:sz="6" w:space="0" w:color="auto"/>
              <w:left w:val="single" w:sz="6" w:space="0" w:color="auto"/>
              <w:bottom w:val="single" w:sz="6" w:space="0" w:color="auto"/>
              <w:right w:val="single" w:sz="6" w:space="0" w:color="auto"/>
            </w:tcBorders>
          </w:tcPr>
          <w:p w14:paraId="069F50BF" w14:textId="77777777" w:rsidR="0004557E" w:rsidRPr="00421F1E" w:rsidRDefault="0004557E" w:rsidP="00421F1E">
            <w:pPr>
              <w:pStyle w:val="Style2"/>
              <w:spacing w:line="240" w:lineRule="auto"/>
              <w:rPr>
                <w:rFonts w:ascii="Century Gothic" w:hAnsi="Century Gothic" w:cs="Times New Roman"/>
                <w:b/>
                <w:bCs/>
                <w:sz w:val="16"/>
                <w:szCs w:val="16"/>
              </w:rPr>
            </w:pPr>
            <w:r w:rsidRPr="00421F1E">
              <w:rPr>
                <w:rFonts w:ascii="Century Gothic" w:hAnsi="Century Gothic" w:cs="Times New Roman"/>
                <w:b/>
                <w:bCs/>
                <w:sz w:val="16"/>
                <w:szCs w:val="16"/>
              </w:rPr>
              <w:t>NIVEL 5</w:t>
            </w:r>
          </w:p>
        </w:tc>
      </w:tr>
      <w:tr w:rsidR="0004557E" w:rsidRPr="00421F1E" w14:paraId="73DFE2A9" w14:textId="77777777" w:rsidTr="00A709BF">
        <w:tc>
          <w:tcPr>
            <w:tcW w:w="1387" w:type="dxa"/>
            <w:tcBorders>
              <w:top w:val="single" w:sz="6" w:space="0" w:color="auto"/>
              <w:left w:val="single" w:sz="6" w:space="0" w:color="auto"/>
              <w:bottom w:val="single" w:sz="6" w:space="0" w:color="auto"/>
              <w:right w:val="single" w:sz="6" w:space="0" w:color="auto"/>
            </w:tcBorders>
          </w:tcPr>
          <w:p w14:paraId="1D09A3E2" w14:textId="77777777" w:rsidR="0004557E" w:rsidRPr="00421F1E" w:rsidRDefault="0004557E" w:rsidP="00421F1E">
            <w:pPr>
              <w:pStyle w:val="Style2"/>
              <w:spacing w:line="240" w:lineRule="auto"/>
              <w:rPr>
                <w:rFonts w:ascii="Century Gothic" w:hAnsi="Century Gothic" w:cs="Times New Roman"/>
                <w:sz w:val="16"/>
                <w:szCs w:val="16"/>
              </w:rPr>
            </w:pPr>
          </w:p>
        </w:tc>
        <w:tc>
          <w:tcPr>
            <w:tcW w:w="1147" w:type="dxa"/>
            <w:tcBorders>
              <w:top w:val="single" w:sz="6" w:space="0" w:color="auto"/>
              <w:left w:val="single" w:sz="6" w:space="0" w:color="auto"/>
              <w:bottom w:val="single" w:sz="6" w:space="0" w:color="auto"/>
              <w:right w:val="single" w:sz="6" w:space="0" w:color="auto"/>
            </w:tcBorders>
          </w:tcPr>
          <w:p w14:paraId="15E0C642"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Relaciones afectivas</w:t>
            </w:r>
          </w:p>
          <w:p w14:paraId="6B228B72"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 xml:space="preserve">conyugales y </w:t>
            </w:r>
            <w:proofErr w:type="gramStart"/>
            <w:r w:rsidRPr="00421F1E">
              <w:rPr>
                <w:rFonts w:ascii="Century Gothic" w:hAnsi="Century Gothic" w:cs="Times New Roman"/>
                <w:sz w:val="16"/>
                <w:szCs w:val="16"/>
              </w:rPr>
              <w:t>paterno filiales</w:t>
            </w:r>
            <w:proofErr w:type="gramEnd"/>
            <w:r w:rsidRPr="00421F1E">
              <w:rPr>
                <w:rFonts w:ascii="Century Gothic" w:hAnsi="Century Gothic" w:cs="Times New Roman"/>
                <w:sz w:val="16"/>
                <w:szCs w:val="16"/>
              </w:rPr>
              <w:t xml:space="preserve"> (padres)</w:t>
            </w:r>
          </w:p>
        </w:tc>
        <w:tc>
          <w:tcPr>
            <w:tcW w:w="1526" w:type="dxa"/>
            <w:tcBorders>
              <w:top w:val="single" w:sz="6" w:space="0" w:color="auto"/>
              <w:left w:val="single" w:sz="6" w:space="0" w:color="auto"/>
              <w:bottom w:val="single" w:sz="6" w:space="0" w:color="auto"/>
              <w:right w:val="single" w:sz="6" w:space="0" w:color="auto"/>
            </w:tcBorders>
          </w:tcPr>
          <w:p w14:paraId="274C7A78"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Relación afectiva del 2</w:t>
            </w:r>
            <w:r w:rsidRPr="00421F1E">
              <w:rPr>
                <w:rFonts w:ascii="Century Gothic" w:hAnsi="Century Gothic" w:cs="Times New Roman"/>
                <w:sz w:val="16"/>
                <w:szCs w:val="16"/>
                <w:vertAlign w:val="superscript"/>
              </w:rPr>
              <w:t xml:space="preserve">o </w:t>
            </w:r>
            <w:r w:rsidRPr="00421F1E">
              <w:rPr>
                <w:rFonts w:ascii="Century Gothic" w:hAnsi="Century Gothic" w:cs="Times New Roman"/>
                <w:sz w:val="16"/>
                <w:szCs w:val="16"/>
              </w:rPr>
              <w:t>de</w:t>
            </w:r>
          </w:p>
          <w:p w14:paraId="3C03105B"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14:paraId="5C9746D4"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Relación afectiva del 3</w:t>
            </w:r>
            <w:r w:rsidRPr="00421F1E">
              <w:rPr>
                <w:rFonts w:ascii="Century Gothic" w:hAnsi="Century Gothic" w:cs="Times New Roman"/>
                <w:sz w:val="16"/>
                <w:szCs w:val="16"/>
                <w:vertAlign w:val="superscript"/>
              </w:rPr>
              <w:t xml:space="preserve">o </w:t>
            </w:r>
            <w:r w:rsidRPr="00421F1E">
              <w:rPr>
                <w:rFonts w:ascii="Century Gothic" w:hAnsi="Century Gothic" w:cs="Times New Roman"/>
                <w:sz w:val="16"/>
                <w:szCs w:val="16"/>
              </w:rPr>
              <w:t>de</w:t>
            </w:r>
          </w:p>
          <w:p w14:paraId="32850FB4"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consanguinidad o civil (sobrinos)</w:t>
            </w:r>
          </w:p>
        </w:tc>
        <w:tc>
          <w:tcPr>
            <w:tcW w:w="1642" w:type="dxa"/>
            <w:tcBorders>
              <w:top w:val="single" w:sz="6" w:space="0" w:color="auto"/>
              <w:left w:val="single" w:sz="6" w:space="0" w:color="auto"/>
              <w:bottom w:val="single" w:sz="6" w:space="0" w:color="auto"/>
              <w:right w:val="single" w:sz="6" w:space="0" w:color="auto"/>
            </w:tcBorders>
          </w:tcPr>
          <w:p w14:paraId="35B83A51"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Relación afectiva del 4</w:t>
            </w:r>
            <w:r w:rsidRPr="00421F1E">
              <w:rPr>
                <w:rFonts w:ascii="Century Gothic" w:hAnsi="Century Gothic" w:cs="Times New Roman"/>
                <w:sz w:val="16"/>
                <w:szCs w:val="16"/>
                <w:vertAlign w:val="superscript"/>
              </w:rPr>
              <w:t xml:space="preserve">o </w:t>
            </w:r>
            <w:r w:rsidRPr="00421F1E">
              <w:rPr>
                <w:rFonts w:ascii="Century Gothic" w:hAnsi="Century Gothic" w:cs="Times New Roman"/>
                <w:sz w:val="16"/>
                <w:szCs w:val="16"/>
              </w:rPr>
              <w:t>de</w:t>
            </w:r>
          </w:p>
          <w:p w14:paraId="77A20BAA"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consanguinidad o civil</w:t>
            </w:r>
          </w:p>
        </w:tc>
        <w:tc>
          <w:tcPr>
            <w:tcW w:w="1574" w:type="dxa"/>
            <w:tcBorders>
              <w:top w:val="single" w:sz="6" w:space="0" w:color="auto"/>
              <w:left w:val="single" w:sz="6" w:space="0" w:color="auto"/>
              <w:bottom w:val="single" w:sz="6" w:space="0" w:color="auto"/>
              <w:right w:val="single" w:sz="6" w:space="0" w:color="auto"/>
            </w:tcBorders>
          </w:tcPr>
          <w:p w14:paraId="1EA67B96"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Relaciones afectivas no familiares -terceros damnificados</w:t>
            </w:r>
          </w:p>
        </w:tc>
      </w:tr>
      <w:tr w:rsidR="0004557E" w:rsidRPr="00421F1E" w14:paraId="049568F6" w14:textId="77777777" w:rsidTr="00A709BF">
        <w:tc>
          <w:tcPr>
            <w:tcW w:w="1387" w:type="dxa"/>
            <w:tcBorders>
              <w:top w:val="single" w:sz="6" w:space="0" w:color="auto"/>
              <w:left w:val="single" w:sz="6" w:space="0" w:color="auto"/>
              <w:bottom w:val="single" w:sz="6" w:space="0" w:color="auto"/>
              <w:right w:val="single" w:sz="6" w:space="0" w:color="auto"/>
            </w:tcBorders>
          </w:tcPr>
          <w:p w14:paraId="6F075DEF"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Porcentaje</w:t>
            </w:r>
          </w:p>
        </w:tc>
        <w:tc>
          <w:tcPr>
            <w:tcW w:w="1147" w:type="dxa"/>
            <w:tcBorders>
              <w:top w:val="single" w:sz="6" w:space="0" w:color="auto"/>
              <w:left w:val="single" w:sz="6" w:space="0" w:color="auto"/>
              <w:bottom w:val="single" w:sz="6" w:space="0" w:color="auto"/>
              <w:right w:val="single" w:sz="6" w:space="0" w:color="auto"/>
            </w:tcBorders>
          </w:tcPr>
          <w:p w14:paraId="08AB9370"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100%</w:t>
            </w:r>
          </w:p>
        </w:tc>
        <w:tc>
          <w:tcPr>
            <w:tcW w:w="1526" w:type="dxa"/>
            <w:tcBorders>
              <w:top w:val="single" w:sz="6" w:space="0" w:color="auto"/>
              <w:left w:val="single" w:sz="6" w:space="0" w:color="auto"/>
              <w:bottom w:val="single" w:sz="6" w:space="0" w:color="auto"/>
              <w:right w:val="single" w:sz="6" w:space="0" w:color="auto"/>
            </w:tcBorders>
          </w:tcPr>
          <w:p w14:paraId="3943DBAC"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50%</w:t>
            </w:r>
          </w:p>
        </w:tc>
        <w:tc>
          <w:tcPr>
            <w:tcW w:w="1594" w:type="dxa"/>
            <w:tcBorders>
              <w:top w:val="single" w:sz="6" w:space="0" w:color="auto"/>
              <w:left w:val="single" w:sz="6" w:space="0" w:color="auto"/>
              <w:bottom w:val="single" w:sz="6" w:space="0" w:color="auto"/>
              <w:right w:val="single" w:sz="6" w:space="0" w:color="auto"/>
            </w:tcBorders>
          </w:tcPr>
          <w:p w14:paraId="7B4F20DC"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35%</w:t>
            </w:r>
          </w:p>
        </w:tc>
        <w:tc>
          <w:tcPr>
            <w:tcW w:w="1642" w:type="dxa"/>
            <w:tcBorders>
              <w:top w:val="single" w:sz="6" w:space="0" w:color="auto"/>
              <w:left w:val="single" w:sz="6" w:space="0" w:color="auto"/>
              <w:bottom w:val="single" w:sz="6" w:space="0" w:color="auto"/>
              <w:right w:val="single" w:sz="6" w:space="0" w:color="auto"/>
            </w:tcBorders>
          </w:tcPr>
          <w:p w14:paraId="25AC8DC9"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25%</w:t>
            </w:r>
          </w:p>
        </w:tc>
        <w:tc>
          <w:tcPr>
            <w:tcW w:w="1574" w:type="dxa"/>
            <w:tcBorders>
              <w:top w:val="single" w:sz="6" w:space="0" w:color="auto"/>
              <w:left w:val="single" w:sz="6" w:space="0" w:color="auto"/>
              <w:bottom w:val="single" w:sz="6" w:space="0" w:color="auto"/>
              <w:right w:val="single" w:sz="6" w:space="0" w:color="auto"/>
            </w:tcBorders>
          </w:tcPr>
          <w:p w14:paraId="67C82737"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15%</w:t>
            </w:r>
          </w:p>
        </w:tc>
      </w:tr>
      <w:tr w:rsidR="0004557E" w:rsidRPr="00421F1E" w14:paraId="23AC1384" w14:textId="77777777" w:rsidTr="00A709BF">
        <w:tc>
          <w:tcPr>
            <w:tcW w:w="1387" w:type="dxa"/>
            <w:tcBorders>
              <w:top w:val="single" w:sz="6" w:space="0" w:color="auto"/>
              <w:left w:val="single" w:sz="6" w:space="0" w:color="auto"/>
              <w:bottom w:val="single" w:sz="6" w:space="0" w:color="auto"/>
              <w:right w:val="single" w:sz="6" w:space="0" w:color="auto"/>
            </w:tcBorders>
            <w:vAlign w:val="center"/>
          </w:tcPr>
          <w:p w14:paraId="72E86222"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14:paraId="5809981A"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100</w:t>
            </w:r>
          </w:p>
        </w:tc>
        <w:tc>
          <w:tcPr>
            <w:tcW w:w="1526" w:type="dxa"/>
            <w:tcBorders>
              <w:top w:val="single" w:sz="6" w:space="0" w:color="auto"/>
              <w:left w:val="single" w:sz="6" w:space="0" w:color="auto"/>
              <w:bottom w:val="single" w:sz="6" w:space="0" w:color="auto"/>
              <w:right w:val="single" w:sz="6" w:space="0" w:color="auto"/>
            </w:tcBorders>
            <w:vAlign w:val="center"/>
          </w:tcPr>
          <w:p w14:paraId="031D1110"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50</w:t>
            </w:r>
          </w:p>
        </w:tc>
        <w:tc>
          <w:tcPr>
            <w:tcW w:w="1594" w:type="dxa"/>
            <w:tcBorders>
              <w:top w:val="single" w:sz="6" w:space="0" w:color="auto"/>
              <w:left w:val="single" w:sz="6" w:space="0" w:color="auto"/>
              <w:bottom w:val="single" w:sz="6" w:space="0" w:color="auto"/>
              <w:right w:val="single" w:sz="6" w:space="0" w:color="auto"/>
            </w:tcBorders>
            <w:vAlign w:val="center"/>
          </w:tcPr>
          <w:p w14:paraId="0D2450B5"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35</w:t>
            </w:r>
          </w:p>
        </w:tc>
        <w:tc>
          <w:tcPr>
            <w:tcW w:w="1642" w:type="dxa"/>
            <w:tcBorders>
              <w:top w:val="single" w:sz="6" w:space="0" w:color="auto"/>
              <w:left w:val="single" w:sz="6" w:space="0" w:color="auto"/>
              <w:bottom w:val="single" w:sz="6" w:space="0" w:color="auto"/>
              <w:right w:val="single" w:sz="6" w:space="0" w:color="auto"/>
            </w:tcBorders>
            <w:vAlign w:val="center"/>
          </w:tcPr>
          <w:p w14:paraId="4538E495"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25</w:t>
            </w:r>
          </w:p>
        </w:tc>
        <w:tc>
          <w:tcPr>
            <w:tcW w:w="1574" w:type="dxa"/>
            <w:tcBorders>
              <w:top w:val="single" w:sz="6" w:space="0" w:color="auto"/>
              <w:left w:val="single" w:sz="6" w:space="0" w:color="auto"/>
              <w:bottom w:val="single" w:sz="6" w:space="0" w:color="auto"/>
              <w:right w:val="single" w:sz="6" w:space="0" w:color="auto"/>
            </w:tcBorders>
            <w:vAlign w:val="center"/>
          </w:tcPr>
          <w:p w14:paraId="32A5F4C6" w14:textId="77777777" w:rsidR="0004557E" w:rsidRPr="00421F1E" w:rsidRDefault="0004557E" w:rsidP="00421F1E">
            <w:pPr>
              <w:pStyle w:val="Style2"/>
              <w:spacing w:line="240" w:lineRule="auto"/>
              <w:rPr>
                <w:rFonts w:ascii="Century Gothic" w:hAnsi="Century Gothic" w:cs="Times New Roman"/>
                <w:sz w:val="16"/>
                <w:szCs w:val="16"/>
              </w:rPr>
            </w:pPr>
            <w:r w:rsidRPr="00421F1E">
              <w:rPr>
                <w:rFonts w:ascii="Century Gothic" w:hAnsi="Century Gothic" w:cs="Times New Roman"/>
                <w:sz w:val="16"/>
                <w:szCs w:val="16"/>
              </w:rPr>
              <w:t>15</w:t>
            </w:r>
          </w:p>
        </w:tc>
      </w:tr>
    </w:tbl>
    <w:p w14:paraId="1B7582A7" w14:textId="77777777" w:rsidR="0004557E" w:rsidRPr="00421F1E" w:rsidRDefault="0004557E" w:rsidP="00421F1E">
      <w:pPr>
        <w:pStyle w:val="Textonotapie"/>
        <w:jc w:val="both"/>
        <w:rPr>
          <w:rFonts w:ascii="Century Gothic" w:hAnsi="Century Gothic"/>
          <w:sz w:val="16"/>
          <w:szCs w:val="16"/>
          <w:lang w:val="es-CO"/>
        </w:rPr>
      </w:pPr>
    </w:p>
  </w:footnote>
  <w:footnote w:id="17">
    <w:p w14:paraId="60909A76" w14:textId="77777777" w:rsidR="0004557E" w:rsidRPr="00421F1E" w:rsidRDefault="0004557E" w:rsidP="00421F1E">
      <w:pPr>
        <w:spacing w:after="0" w:line="240" w:lineRule="auto"/>
        <w:ind w:right="-283"/>
        <w:jc w:val="both"/>
        <w:rPr>
          <w:rFonts w:ascii="Century Gothic" w:hAnsi="Century Gothic"/>
          <w:sz w:val="16"/>
          <w:szCs w:val="16"/>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Bogotá, D.C., primero (1) de marzo de dos mil seis (2006)- CONSEJO DE ESTADO - SALA DE LO CONTENCIOSO ADMINISTRATIVO - SECCION TERCERA - </w:t>
      </w:r>
      <w:proofErr w:type="gramStart"/>
      <w:r w:rsidRPr="00421F1E">
        <w:rPr>
          <w:rFonts w:ascii="Century Gothic" w:hAnsi="Century Gothic"/>
          <w:sz w:val="16"/>
          <w:szCs w:val="16"/>
        </w:rPr>
        <w:t>Consejera</w:t>
      </w:r>
      <w:proofErr w:type="gramEnd"/>
      <w:r w:rsidRPr="00421F1E">
        <w:rPr>
          <w:rFonts w:ascii="Century Gothic" w:hAnsi="Century Gothic"/>
          <w:sz w:val="16"/>
          <w:szCs w:val="16"/>
        </w:rPr>
        <w:t xml:space="preserve"> ponente: RUTH STELLA CORREA PALACIO- Radicación número: 52001-23-31-000-1995-06529-01(13887)</w:t>
      </w:r>
    </w:p>
    <w:p w14:paraId="268278D6" w14:textId="77777777" w:rsidR="0004557E" w:rsidRPr="00421F1E" w:rsidRDefault="0004557E" w:rsidP="00421F1E">
      <w:pPr>
        <w:pStyle w:val="Textonotapie"/>
        <w:jc w:val="both"/>
        <w:rPr>
          <w:rFonts w:ascii="Century Gothic" w:hAnsi="Century Gothic"/>
          <w:sz w:val="16"/>
          <w:szCs w:val="16"/>
          <w:lang w:val="es-MX"/>
        </w:rPr>
      </w:pPr>
    </w:p>
  </w:footnote>
  <w:footnote w:id="18">
    <w:p w14:paraId="6BBE7B5E" w14:textId="77777777" w:rsidR="0004557E" w:rsidRPr="00421F1E" w:rsidRDefault="0004557E" w:rsidP="00421F1E">
      <w:pPr>
        <w:tabs>
          <w:tab w:val="left" w:pos="0"/>
          <w:tab w:val="left" w:pos="426"/>
        </w:tabs>
        <w:spacing w:after="0" w:line="240" w:lineRule="auto"/>
        <w:jc w:val="both"/>
        <w:rPr>
          <w:rFonts w:ascii="Century Gothic" w:hAnsi="Century Gothic"/>
          <w:sz w:val="16"/>
          <w:szCs w:val="16"/>
        </w:rPr>
      </w:pPr>
      <w:r w:rsidRPr="00421F1E">
        <w:rPr>
          <w:rStyle w:val="Refdenotaalpie"/>
          <w:rFonts w:ascii="Century Gothic" w:hAnsi="Century Gothic"/>
          <w:sz w:val="16"/>
          <w:szCs w:val="16"/>
        </w:rPr>
        <w:footnoteRef/>
      </w:r>
      <w:r w:rsidRPr="00421F1E">
        <w:rPr>
          <w:rFonts w:ascii="Century Gothic" w:hAnsi="Century Gothic"/>
          <w:sz w:val="16"/>
          <w:szCs w:val="16"/>
        </w:rPr>
        <w:t xml:space="preserve">  Se ha reconocido la posibilidad de declarar la procedencia de medidas de reparación no pecuniarias en casos de lesión de otros bienes constitucional y convencionalmente protegidos. Se trata de reconocer, aún de oficio, la afectación o vulneración relevante de bienes o derechos convencional y constitucionalmente amparados. Procederá siempre y cuando, se encuentre acreditada dentro del proceso su concreción y se precise su reparación integral. Se privilegia la compensación a través de medidas reparatorias no indemnizatorias a favor de la víctima directa y a su núcleo familiar más cercano, esto es, cónyuge o compañero(a) y los parientes hasta el 1° de consanguinidad o civil, en atención a las relaciones de solidaridad y afecto que se da lugar a inferir la relación de parentesco. Debe entenderse comprendida la relación familiar biológica, la civil derivada de la adopción y aquellas denominadas “de crianza”. </w:t>
      </w:r>
    </w:p>
    <w:p w14:paraId="1633F77E" w14:textId="058FB625" w:rsidR="0004557E" w:rsidRPr="00421F1E" w:rsidRDefault="0004557E" w:rsidP="00421F1E">
      <w:pPr>
        <w:pStyle w:val="Textonotapie"/>
        <w:jc w:val="both"/>
        <w:rPr>
          <w:rFonts w:ascii="Century Gothic" w:hAnsi="Century Gothic"/>
          <w:sz w:val="16"/>
          <w:szCs w:val="16"/>
        </w:rPr>
      </w:pPr>
      <w:r w:rsidRPr="00421F1E">
        <w:rPr>
          <w:rFonts w:ascii="Century Gothic" w:hAnsi="Century Gothic"/>
          <w:sz w:val="16"/>
          <w:szCs w:val="16"/>
        </w:rPr>
        <w:t>Las medidas de reparación integral operarán teniendo en cuenta la relevancia del caso y la gravedad de los hechos, todo con el propósito de reconocer la dignidad de las víctimas, reprobar las violaciones a los derechos humanos y concretar la garantía de verdad, justicia, reparación, no repetición y las demás definidas por el derecho internacional. Para el efecto el juez, de manera oficiosa o a solicitud de parte, decretará las medidas que considere necesarias o coherentes con la magnitud de los hechos probados (Artículo 8.1 y 63.1 de la Convención Interamericana de Derechos Humanos).</w:t>
      </w:r>
    </w:p>
    <w:p w14:paraId="026CD58A" w14:textId="77777777" w:rsidR="0004557E" w:rsidRPr="00421F1E" w:rsidRDefault="0004557E" w:rsidP="00421F1E">
      <w:pPr>
        <w:pStyle w:val="Textonotapie"/>
        <w:jc w:val="both"/>
        <w:rPr>
          <w:rFonts w:ascii="Century Gothic" w:hAnsi="Century Gothic"/>
          <w:sz w:val="16"/>
          <w:szCs w:val="16"/>
        </w:rPr>
      </w:pPr>
    </w:p>
    <w:p w14:paraId="32ECBF4C" w14:textId="058FB625" w:rsidR="0004557E" w:rsidRPr="00C2721D" w:rsidRDefault="0004557E" w:rsidP="00421F1E">
      <w:pPr>
        <w:pStyle w:val="Textonotapie"/>
        <w:jc w:val="both"/>
        <w:rPr>
          <w:rFonts w:ascii="Century Gothic" w:hAnsi="Century Gothic"/>
          <w:sz w:val="16"/>
          <w:szCs w:val="16"/>
          <w:lang w:val="es-CO"/>
        </w:rPr>
      </w:pPr>
      <w:r w:rsidRPr="00C2721D">
        <w:rPr>
          <w:rFonts w:ascii="Century Gothic" w:hAnsi="Century Gothic"/>
          <w:sz w:val="16"/>
          <w:szCs w:val="16"/>
        </w:rPr>
        <w:t xml:space="preserve">CONSEJO DE ESTADO SALA DE LO CONTENCIOSO ADMINISTRATIVO SECCION TERCERA SALA PLENA </w:t>
      </w:r>
      <w:proofErr w:type="gramStart"/>
      <w:r w:rsidRPr="00C2721D">
        <w:rPr>
          <w:rFonts w:ascii="Century Gothic" w:hAnsi="Century Gothic"/>
          <w:sz w:val="16"/>
          <w:szCs w:val="16"/>
        </w:rPr>
        <w:t>Consejera</w:t>
      </w:r>
      <w:proofErr w:type="gramEnd"/>
      <w:r w:rsidRPr="00C2721D">
        <w:rPr>
          <w:rFonts w:ascii="Century Gothic" w:hAnsi="Century Gothic"/>
          <w:sz w:val="16"/>
          <w:szCs w:val="16"/>
        </w:rPr>
        <w:t xml:space="preserve"> ponente: STELLA CONTO DIAZ DEL CASTILLO Bogotá, D. C., veintiocho (28) de agosto de dos mil catorce (2014) Radicación número: 23001-23-31-000-2001-00278-01(28804) Actor: AMPARO DE JESUS RAMIREZ SUAREZ Demandado: HOSPITAL SAN VICENTE DE PAUL DE LORICA Y OTRO Referencia: APELACION SENTENCIA - ACCION DE REPARACION DIRECTA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516A" w14:textId="0B7622CE" w:rsidR="0004557E" w:rsidRPr="00C70E34" w:rsidRDefault="0004557E" w:rsidP="00731190">
    <w:pPr>
      <w:pStyle w:val="Encabezado"/>
      <w:jc w:val="right"/>
      <w:rPr>
        <w:rFonts w:ascii="Century Gothic" w:hAnsi="Century Gothic" w:cs="Tahoma"/>
        <w:i/>
        <w:sz w:val="20"/>
        <w:szCs w:val="20"/>
        <w:vertAlign w:val="subscript"/>
      </w:rPr>
    </w:pPr>
    <w:r>
      <w:rPr>
        <w:rFonts w:ascii="Century Gothic" w:hAnsi="Century Gothic" w:cs="Tahoma"/>
        <w:i/>
        <w:sz w:val="20"/>
        <w:szCs w:val="20"/>
        <w:vertAlign w:val="subscript"/>
        <w:lang w:val="es-MX"/>
      </w:rPr>
      <w:t>Expediente No. 2017-01</w:t>
    </w:r>
    <w:r w:rsidRPr="00C70E34">
      <w:rPr>
        <w:rFonts w:ascii="Century Gothic" w:hAnsi="Century Gothic" w:cs="Tahoma"/>
        <w:i/>
        <w:sz w:val="20"/>
        <w:szCs w:val="20"/>
        <w:vertAlign w:val="subscript"/>
        <w:lang w:val="es-MX"/>
      </w:rPr>
      <w:t>54</w:t>
    </w:r>
  </w:p>
  <w:p w14:paraId="2F8B0E60" w14:textId="603D5FE6" w:rsidR="0004557E" w:rsidRPr="00C70E34" w:rsidRDefault="0004557E" w:rsidP="00731190">
    <w:pPr>
      <w:pStyle w:val="Encabezado"/>
      <w:jc w:val="right"/>
      <w:rPr>
        <w:rFonts w:ascii="Century Gothic" w:hAnsi="Century Gothic" w:cs="Tahoma"/>
        <w:i/>
        <w:sz w:val="20"/>
        <w:szCs w:val="20"/>
        <w:vertAlign w:val="subscript"/>
      </w:rPr>
    </w:pPr>
    <w:r>
      <w:rPr>
        <w:rFonts w:ascii="Century Gothic" w:hAnsi="Century Gothic" w:cs="Tahoma"/>
        <w:i/>
        <w:sz w:val="20"/>
        <w:szCs w:val="20"/>
        <w:vertAlign w:val="subscript"/>
      </w:rPr>
      <w:t>Sentencia de primera instancia</w:t>
    </w:r>
  </w:p>
  <w:p w14:paraId="04B33B91" w14:textId="77777777" w:rsidR="0004557E" w:rsidRDefault="0004557E" w:rsidP="00731190">
    <w:pPr>
      <w:pStyle w:val="Encabezado"/>
      <w:jc w:val="right"/>
      <w:rPr>
        <w:rFonts w:ascii="Century Gothic" w:hAnsi="Century Gothic" w:cs="Tahoma"/>
        <w:i/>
        <w:noProof/>
        <w:sz w:val="20"/>
        <w:szCs w:val="20"/>
        <w:vertAlign w:val="subscript"/>
      </w:rPr>
    </w:pPr>
    <w:r w:rsidRPr="00C70E34">
      <w:rPr>
        <w:rFonts w:ascii="Century Gothic" w:hAnsi="Century Gothic" w:cs="Tahoma"/>
        <w:i/>
        <w:sz w:val="20"/>
        <w:szCs w:val="20"/>
        <w:vertAlign w:val="subscript"/>
      </w:rPr>
      <w:t xml:space="preserve">Página </w:t>
    </w:r>
    <w:r w:rsidRPr="00C70E34">
      <w:rPr>
        <w:rFonts w:ascii="Century Gothic" w:hAnsi="Century Gothic" w:cs="Tahoma"/>
        <w:i/>
        <w:sz w:val="20"/>
        <w:szCs w:val="20"/>
        <w:vertAlign w:val="subscript"/>
      </w:rPr>
      <w:fldChar w:fldCharType="begin"/>
    </w:r>
    <w:r w:rsidRPr="00C70E34">
      <w:rPr>
        <w:rFonts w:ascii="Century Gothic" w:hAnsi="Century Gothic" w:cs="Tahoma"/>
        <w:i/>
        <w:sz w:val="20"/>
        <w:szCs w:val="20"/>
        <w:vertAlign w:val="subscript"/>
      </w:rPr>
      <w:instrText xml:space="preserve"> PAGE  \* Arabic  \* MERGEFORMAT </w:instrText>
    </w:r>
    <w:r w:rsidRPr="00C70E34">
      <w:rPr>
        <w:rFonts w:ascii="Century Gothic" w:hAnsi="Century Gothic" w:cs="Tahoma"/>
        <w:i/>
        <w:sz w:val="20"/>
        <w:szCs w:val="20"/>
        <w:vertAlign w:val="subscript"/>
      </w:rPr>
      <w:fldChar w:fldCharType="separate"/>
    </w:r>
    <w:r w:rsidR="006C7C46">
      <w:rPr>
        <w:rFonts w:ascii="Century Gothic" w:hAnsi="Century Gothic" w:cs="Tahoma"/>
        <w:i/>
        <w:noProof/>
        <w:sz w:val="20"/>
        <w:szCs w:val="20"/>
        <w:vertAlign w:val="subscript"/>
      </w:rPr>
      <w:t>16</w:t>
    </w:r>
    <w:r w:rsidRPr="00C70E34">
      <w:rPr>
        <w:rFonts w:ascii="Century Gothic" w:hAnsi="Century Gothic" w:cs="Tahoma"/>
        <w:i/>
        <w:sz w:val="20"/>
        <w:szCs w:val="20"/>
        <w:vertAlign w:val="subscript"/>
      </w:rPr>
      <w:fldChar w:fldCharType="end"/>
    </w:r>
    <w:r w:rsidRPr="00C70E34">
      <w:rPr>
        <w:rFonts w:ascii="Century Gothic" w:hAnsi="Century Gothic" w:cs="Tahoma"/>
        <w:i/>
        <w:sz w:val="20"/>
        <w:szCs w:val="20"/>
        <w:vertAlign w:val="subscript"/>
      </w:rPr>
      <w:t xml:space="preserve"> de </w:t>
    </w:r>
    <w:r w:rsidRPr="00C70E34">
      <w:rPr>
        <w:rFonts w:ascii="Century Gothic" w:hAnsi="Century Gothic" w:cs="Tahoma"/>
        <w:i/>
        <w:sz w:val="20"/>
        <w:szCs w:val="20"/>
        <w:vertAlign w:val="subscript"/>
      </w:rPr>
      <w:fldChar w:fldCharType="begin"/>
    </w:r>
    <w:r w:rsidRPr="00C70E34">
      <w:rPr>
        <w:rFonts w:ascii="Century Gothic" w:hAnsi="Century Gothic" w:cs="Tahoma"/>
        <w:i/>
        <w:sz w:val="20"/>
        <w:szCs w:val="20"/>
        <w:vertAlign w:val="subscript"/>
      </w:rPr>
      <w:instrText xml:space="preserve"> NUMPAGES  \* Arabic  \* MERGEFORMAT </w:instrText>
    </w:r>
    <w:r w:rsidRPr="00C70E34">
      <w:rPr>
        <w:rFonts w:ascii="Century Gothic" w:hAnsi="Century Gothic" w:cs="Tahoma"/>
        <w:i/>
        <w:sz w:val="20"/>
        <w:szCs w:val="20"/>
        <w:vertAlign w:val="subscript"/>
      </w:rPr>
      <w:fldChar w:fldCharType="separate"/>
    </w:r>
    <w:r w:rsidR="006C7C46">
      <w:rPr>
        <w:rFonts w:ascii="Century Gothic" w:hAnsi="Century Gothic" w:cs="Tahoma"/>
        <w:i/>
        <w:noProof/>
        <w:sz w:val="20"/>
        <w:szCs w:val="20"/>
        <w:vertAlign w:val="subscript"/>
      </w:rPr>
      <w:t>20</w:t>
    </w:r>
    <w:r w:rsidRPr="00C70E34">
      <w:rPr>
        <w:rFonts w:ascii="Century Gothic" w:hAnsi="Century Gothic" w:cs="Tahoma"/>
        <w:i/>
        <w:noProof/>
        <w:sz w:val="20"/>
        <w:szCs w:val="20"/>
        <w:vertAlign w:val="subscript"/>
      </w:rPr>
      <w:fldChar w:fldCharType="end"/>
    </w:r>
  </w:p>
  <w:p w14:paraId="5D3B0FEB" w14:textId="77777777" w:rsidR="0004557E" w:rsidRPr="00C70E34" w:rsidRDefault="0004557E" w:rsidP="00560023">
    <w:pPr>
      <w:pStyle w:val="Encabezado"/>
      <w:jc w:val="right"/>
      <w:rPr>
        <w:rFonts w:ascii="Century Gothic" w:hAnsi="Century Gothic" w:cs="Tahoma"/>
        <w:i/>
        <w:sz w:val="20"/>
        <w:szCs w:val="20"/>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C958" w14:textId="77777777" w:rsidR="0004557E" w:rsidRPr="00415748" w:rsidRDefault="0004557E" w:rsidP="00560023">
    <w:pPr>
      <w:pStyle w:val="Encabezado"/>
      <w:jc w:val="center"/>
      <w:rPr>
        <w:rFonts w:ascii="Century Gothic" w:hAnsi="Century Gothic" w:cs="Arial"/>
        <w:b/>
        <w:i/>
        <w:sz w:val="20"/>
        <w:szCs w:val="20"/>
      </w:rPr>
    </w:pPr>
    <w:r w:rsidRPr="00415748">
      <w:rPr>
        <w:rFonts w:ascii="Century Gothic" w:hAnsi="Century Gothic" w:cs="Arial"/>
        <w:b/>
        <w:i/>
        <w:noProof/>
        <w:sz w:val="20"/>
        <w:szCs w:val="20"/>
        <w:lang w:eastAsia="es-CO"/>
      </w:rPr>
      <w:drawing>
        <wp:inline distT="0" distB="0" distL="0" distR="0" wp14:anchorId="03E5E156" wp14:editId="2502555E">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4C050285" w14:textId="77777777" w:rsidR="0004557E" w:rsidRPr="00415748" w:rsidRDefault="0004557E" w:rsidP="00560023">
    <w:pPr>
      <w:pStyle w:val="Encabezado"/>
      <w:jc w:val="center"/>
      <w:rPr>
        <w:rFonts w:ascii="Century Gothic" w:hAnsi="Century Gothic" w:cs="Tahoma"/>
        <w:b/>
        <w:sz w:val="20"/>
        <w:szCs w:val="20"/>
        <w:lang w:val="es-MX"/>
      </w:rPr>
    </w:pPr>
    <w:r w:rsidRPr="00415748">
      <w:rPr>
        <w:rFonts w:ascii="Century Gothic" w:hAnsi="Century Gothic" w:cs="Tahoma"/>
        <w:b/>
        <w:sz w:val="20"/>
        <w:szCs w:val="20"/>
        <w:lang w:val="es-MX"/>
      </w:rPr>
      <w:t>JUZGADO TREINTA Y CUATRO ADMINISTRATIVO</w:t>
    </w:r>
  </w:p>
  <w:p w14:paraId="773E8214" w14:textId="77777777" w:rsidR="0004557E" w:rsidRPr="00415748" w:rsidRDefault="0004557E" w:rsidP="00560023">
    <w:pPr>
      <w:pStyle w:val="Encabezado"/>
      <w:jc w:val="center"/>
      <w:rPr>
        <w:rFonts w:ascii="Century Gothic" w:hAnsi="Century Gothic" w:cs="Tahoma"/>
        <w:b/>
        <w:sz w:val="20"/>
        <w:szCs w:val="20"/>
        <w:lang w:val="es-MX"/>
      </w:rPr>
    </w:pPr>
    <w:r w:rsidRPr="00415748">
      <w:rPr>
        <w:rFonts w:ascii="Century Gothic" w:hAnsi="Century Gothic" w:cs="Tahoma"/>
        <w:b/>
        <w:sz w:val="20"/>
        <w:szCs w:val="20"/>
        <w:lang w:val="es-MX"/>
      </w:rPr>
      <w:t>CIRCUITO DE BOGOTÁ</w:t>
    </w:r>
  </w:p>
  <w:p w14:paraId="34112A55" w14:textId="77777777" w:rsidR="0004557E" w:rsidRPr="00415748" w:rsidRDefault="0004557E" w:rsidP="00560023">
    <w:pPr>
      <w:pStyle w:val="Encabezado"/>
      <w:jc w:val="center"/>
      <w:rPr>
        <w:rFonts w:ascii="Century Gothic" w:hAnsi="Century Gothic" w:cs="Tahoma"/>
        <w:b/>
        <w:sz w:val="20"/>
        <w:szCs w:val="20"/>
        <w:lang w:val="es-MX"/>
      </w:rPr>
    </w:pPr>
    <w:r w:rsidRPr="00415748">
      <w:rPr>
        <w:rFonts w:ascii="Century Gothic" w:hAnsi="Century Gothic" w:cs="Tahoma"/>
        <w:b/>
        <w:sz w:val="20"/>
        <w:szCs w:val="20"/>
        <w:lang w:val="es-MX"/>
      </w:rPr>
      <w:t>Sección Tercera</w:t>
    </w:r>
  </w:p>
  <w:p w14:paraId="1191DC78" w14:textId="77777777" w:rsidR="0004557E" w:rsidRDefault="000455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915"/>
    <w:multiLevelType w:val="hybridMultilevel"/>
    <w:tmpl w:val="324A9F2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3411A5"/>
    <w:multiLevelType w:val="multilevel"/>
    <w:tmpl w:val="FDA2E090"/>
    <w:lvl w:ilvl="0">
      <w:start w:val="1"/>
      <w:numFmt w:val="decimal"/>
      <w:lvlText w:val="%1."/>
      <w:lvlJc w:val="left"/>
      <w:pPr>
        <w:ind w:left="390" w:hanging="390"/>
      </w:pPr>
      <w:rPr>
        <w:i w:val="0"/>
      </w:rPr>
    </w:lvl>
    <w:lvl w:ilvl="1">
      <w:start w:val="1"/>
      <w:numFmt w:val="decimal"/>
      <w:lvlText w:val="%1.%2."/>
      <w:lvlJc w:val="left"/>
      <w:pPr>
        <w:ind w:left="720" w:hanging="720"/>
      </w:pPr>
      <w:rPr>
        <w:b/>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2" w15:restartNumberingAfterBreak="0">
    <w:nsid w:val="156D22A5"/>
    <w:multiLevelType w:val="hybridMultilevel"/>
    <w:tmpl w:val="AADC39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2159C1"/>
    <w:multiLevelType w:val="hybridMultilevel"/>
    <w:tmpl w:val="FFE8F6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EEB5B77"/>
    <w:multiLevelType w:val="hybridMultilevel"/>
    <w:tmpl w:val="792612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CAC063B"/>
    <w:multiLevelType w:val="hybridMultilevel"/>
    <w:tmpl w:val="606ED4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9C4FD2"/>
    <w:multiLevelType w:val="hybridMultilevel"/>
    <w:tmpl w:val="A8B6E5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F674F2F"/>
    <w:multiLevelType w:val="hybridMultilevel"/>
    <w:tmpl w:val="950A1E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9" w15:restartNumberingAfterBreak="0">
    <w:nsid w:val="42DE6E99"/>
    <w:multiLevelType w:val="multilevel"/>
    <w:tmpl w:val="B15207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60C6DC4"/>
    <w:multiLevelType w:val="hybridMultilevel"/>
    <w:tmpl w:val="7BF027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15:restartNumberingAfterBreak="0">
    <w:nsid w:val="498B1C1D"/>
    <w:multiLevelType w:val="multilevel"/>
    <w:tmpl w:val="D28A92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B63993"/>
    <w:multiLevelType w:val="multilevel"/>
    <w:tmpl w:val="68B0C17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12D614E"/>
    <w:multiLevelType w:val="hybridMultilevel"/>
    <w:tmpl w:val="8D2A1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8F1466"/>
    <w:multiLevelType w:val="hybridMultilevel"/>
    <w:tmpl w:val="6B8EC46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20" w15:restartNumberingAfterBreak="0">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4"/>
  </w:num>
  <w:num w:numId="3">
    <w:abstractNumId w:val="13"/>
  </w:num>
  <w:num w:numId="4">
    <w:abstractNumId w:val="15"/>
  </w:num>
  <w:num w:numId="5">
    <w:abstractNumId w:val="8"/>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4"/>
  </w:num>
  <w:num w:numId="11">
    <w:abstractNumId w:val="19"/>
  </w:num>
  <w:num w:numId="12">
    <w:abstractNumId w:val="3"/>
  </w:num>
  <w:num w:numId="13">
    <w:abstractNumId w:val="6"/>
  </w:num>
  <w:num w:numId="14">
    <w:abstractNumId w:val="16"/>
  </w:num>
  <w:num w:numId="15">
    <w:abstractNumId w:val="0"/>
  </w:num>
  <w:num w:numId="16">
    <w:abstractNumId w:val="12"/>
  </w:num>
  <w:num w:numId="17">
    <w:abstractNumId w:val="20"/>
  </w:num>
  <w:num w:numId="18">
    <w:abstractNumId w:val="9"/>
  </w:num>
  <w:num w:numId="19">
    <w:abstractNumId w:val="7"/>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F9"/>
    <w:rsid w:val="00001E83"/>
    <w:rsid w:val="0000797D"/>
    <w:rsid w:val="00007B7B"/>
    <w:rsid w:val="00016653"/>
    <w:rsid w:val="0003366A"/>
    <w:rsid w:val="0003398F"/>
    <w:rsid w:val="000355E7"/>
    <w:rsid w:val="000411AF"/>
    <w:rsid w:val="0004557E"/>
    <w:rsid w:val="000537BD"/>
    <w:rsid w:val="00053CBA"/>
    <w:rsid w:val="00076DCE"/>
    <w:rsid w:val="00086F9A"/>
    <w:rsid w:val="000939B1"/>
    <w:rsid w:val="000A1ABA"/>
    <w:rsid w:val="000B19AF"/>
    <w:rsid w:val="000C62F9"/>
    <w:rsid w:val="000C7374"/>
    <w:rsid w:val="000E7AA6"/>
    <w:rsid w:val="000F3FD4"/>
    <w:rsid w:val="000F6AB0"/>
    <w:rsid w:val="00120C9D"/>
    <w:rsid w:val="001248F9"/>
    <w:rsid w:val="00132D28"/>
    <w:rsid w:val="00155723"/>
    <w:rsid w:val="001678CF"/>
    <w:rsid w:val="00180825"/>
    <w:rsid w:val="00184DD8"/>
    <w:rsid w:val="00193EDF"/>
    <w:rsid w:val="00195B64"/>
    <w:rsid w:val="0019680E"/>
    <w:rsid w:val="001A5D4B"/>
    <w:rsid w:val="001B33E4"/>
    <w:rsid w:val="001C222E"/>
    <w:rsid w:val="001D2EDE"/>
    <w:rsid w:val="001D3935"/>
    <w:rsid w:val="001F13E2"/>
    <w:rsid w:val="001F436D"/>
    <w:rsid w:val="001F71AB"/>
    <w:rsid w:val="001F762E"/>
    <w:rsid w:val="00223F4A"/>
    <w:rsid w:val="0022708D"/>
    <w:rsid w:val="0023347C"/>
    <w:rsid w:val="00237FCD"/>
    <w:rsid w:val="00253779"/>
    <w:rsid w:val="00257124"/>
    <w:rsid w:val="00261F8D"/>
    <w:rsid w:val="00276BAC"/>
    <w:rsid w:val="00283139"/>
    <w:rsid w:val="0028565A"/>
    <w:rsid w:val="002860E4"/>
    <w:rsid w:val="002B2B41"/>
    <w:rsid w:val="002B6BBD"/>
    <w:rsid w:val="002C18C4"/>
    <w:rsid w:val="002E24EA"/>
    <w:rsid w:val="002E34A9"/>
    <w:rsid w:val="002F2467"/>
    <w:rsid w:val="002F6AA4"/>
    <w:rsid w:val="00302510"/>
    <w:rsid w:val="00311EF2"/>
    <w:rsid w:val="00322097"/>
    <w:rsid w:val="003359E9"/>
    <w:rsid w:val="00336B4A"/>
    <w:rsid w:val="00337873"/>
    <w:rsid w:val="00341B7C"/>
    <w:rsid w:val="00347D7A"/>
    <w:rsid w:val="003515E2"/>
    <w:rsid w:val="003661B7"/>
    <w:rsid w:val="00366AE9"/>
    <w:rsid w:val="003672A9"/>
    <w:rsid w:val="00370905"/>
    <w:rsid w:val="00386E1B"/>
    <w:rsid w:val="003872A2"/>
    <w:rsid w:val="003A59C0"/>
    <w:rsid w:val="003B12F8"/>
    <w:rsid w:val="003B2637"/>
    <w:rsid w:val="003B71E2"/>
    <w:rsid w:val="003C2B94"/>
    <w:rsid w:val="003C3347"/>
    <w:rsid w:val="003C4803"/>
    <w:rsid w:val="003C62CC"/>
    <w:rsid w:val="003E5824"/>
    <w:rsid w:val="003E5C37"/>
    <w:rsid w:val="003E7632"/>
    <w:rsid w:val="003F32B4"/>
    <w:rsid w:val="003F37B1"/>
    <w:rsid w:val="003F69A7"/>
    <w:rsid w:val="00415748"/>
    <w:rsid w:val="004210A8"/>
    <w:rsid w:val="00421F1E"/>
    <w:rsid w:val="00433BEF"/>
    <w:rsid w:val="004375DB"/>
    <w:rsid w:val="004411E9"/>
    <w:rsid w:val="00445350"/>
    <w:rsid w:val="00451CD9"/>
    <w:rsid w:val="00455CD8"/>
    <w:rsid w:val="0047177D"/>
    <w:rsid w:val="004804FD"/>
    <w:rsid w:val="00480B9D"/>
    <w:rsid w:val="00485E4C"/>
    <w:rsid w:val="00486C40"/>
    <w:rsid w:val="004A2A89"/>
    <w:rsid w:val="004B25CD"/>
    <w:rsid w:val="004B714F"/>
    <w:rsid w:val="004C00E3"/>
    <w:rsid w:val="004C3644"/>
    <w:rsid w:val="004D278C"/>
    <w:rsid w:val="004D79FE"/>
    <w:rsid w:val="004D7C89"/>
    <w:rsid w:val="004E11AF"/>
    <w:rsid w:val="004E5EBB"/>
    <w:rsid w:val="004F0AB5"/>
    <w:rsid w:val="00520B6C"/>
    <w:rsid w:val="005228F0"/>
    <w:rsid w:val="00522D71"/>
    <w:rsid w:val="00534A66"/>
    <w:rsid w:val="00550D32"/>
    <w:rsid w:val="00560023"/>
    <w:rsid w:val="005620C6"/>
    <w:rsid w:val="0056230C"/>
    <w:rsid w:val="005632DB"/>
    <w:rsid w:val="00584BE7"/>
    <w:rsid w:val="00585421"/>
    <w:rsid w:val="005A3057"/>
    <w:rsid w:val="005A7280"/>
    <w:rsid w:val="005B3D68"/>
    <w:rsid w:val="005C1508"/>
    <w:rsid w:val="005C200E"/>
    <w:rsid w:val="005C717B"/>
    <w:rsid w:val="005D2EDF"/>
    <w:rsid w:val="005E1455"/>
    <w:rsid w:val="006043AF"/>
    <w:rsid w:val="006048AD"/>
    <w:rsid w:val="006121C3"/>
    <w:rsid w:val="006123C7"/>
    <w:rsid w:val="00615574"/>
    <w:rsid w:val="006167A3"/>
    <w:rsid w:val="00616D38"/>
    <w:rsid w:val="0064247C"/>
    <w:rsid w:val="006464CA"/>
    <w:rsid w:val="006467C6"/>
    <w:rsid w:val="00661919"/>
    <w:rsid w:val="0066282E"/>
    <w:rsid w:val="006643FF"/>
    <w:rsid w:val="00670990"/>
    <w:rsid w:val="006766D0"/>
    <w:rsid w:val="0068137E"/>
    <w:rsid w:val="006A71F9"/>
    <w:rsid w:val="006A74A0"/>
    <w:rsid w:val="006B0F5B"/>
    <w:rsid w:val="006B27D2"/>
    <w:rsid w:val="006B3954"/>
    <w:rsid w:val="006C3B46"/>
    <w:rsid w:val="006C3BEB"/>
    <w:rsid w:val="006C7C46"/>
    <w:rsid w:val="006D65A2"/>
    <w:rsid w:val="00731190"/>
    <w:rsid w:val="00731D59"/>
    <w:rsid w:val="0073691F"/>
    <w:rsid w:val="00741831"/>
    <w:rsid w:val="00743059"/>
    <w:rsid w:val="007804CD"/>
    <w:rsid w:val="00780DA0"/>
    <w:rsid w:val="00786EDC"/>
    <w:rsid w:val="007952FA"/>
    <w:rsid w:val="007B7C80"/>
    <w:rsid w:val="007C7B34"/>
    <w:rsid w:val="007F3C92"/>
    <w:rsid w:val="008004F3"/>
    <w:rsid w:val="00803951"/>
    <w:rsid w:val="00841FF9"/>
    <w:rsid w:val="0084790B"/>
    <w:rsid w:val="00864DCC"/>
    <w:rsid w:val="00867EDA"/>
    <w:rsid w:val="00874D6B"/>
    <w:rsid w:val="00875715"/>
    <w:rsid w:val="00897D30"/>
    <w:rsid w:val="008A2287"/>
    <w:rsid w:val="008B1F78"/>
    <w:rsid w:val="008B6AC4"/>
    <w:rsid w:val="008C5254"/>
    <w:rsid w:val="008C780D"/>
    <w:rsid w:val="008D1AEC"/>
    <w:rsid w:val="008D5BB8"/>
    <w:rsid w:val="008E27E5"/>
    <w:rsid w:val="008F7C3D"/>
    <w:rsid w:val="00900C64"/>
    <w:rsid w:val="0090101E"/>
    <w:rsid w:val="00902DD1"/>
    <w:rsid w:val="00906444"/>
    <w:rsid w:val="009271B8"/>
    <w:rsid w:val="0093253F"/>
    <w:rsid w:val="00935719"/>
    <w:rsid w:val="00945720"/>
    <w:rsid w:val="009461C4"/>
    <w:rsid w:val="00953D12"/>
    <w:rsid w:val="00955800"/>
    <w:rsid w:val="009715DC"/>
    <w:rsid w:val="00973773"/>
    <w:rsid w:val="00974D15"/>
    <w:rsid w:val="00977505"/>
    <w:rsid w:val="00981B50"/>
    <w:rsid w:val="009927B2"/>
    <w:rsid w:val="00997B77"/>
    <w:rsid w:val="009A001D"/>
    <w:rsid w:val="009A66E4"/>
    <w:rsid w:val="009B149B"/>
    <w:rsid w:val="009B4286"/>
    <w:rsid w:val="009D471B"/>
    <w:rsid w:val="009D7B2A"/>
    <w:rsid w:val="009F1051"/>
    <w:rsid w:val="00A02045"/>
    <w:rsid w:val="00A16EC5"/>
    <w:rsid w:val="00A32A82"/>
    <w:rsid w:val="00A340B3"/>
    <w:rsid w:val="00A424E5"/>
    <w:rsid w:val="00A54901"/>
    <w:rsid w:val="00A5714D"/>
    <w:rsid w:val="00A646C0"/>
    <w:rsid w:val="00A66580"/>
    <w:rsid w:val="00A67970"/>
    <w:rsid w:val="00A709BF"/>
    <w:rsid w:val="00A85D46"/>
    <w:rsid w:val="00AA785F"/>
    <w:rsid w:val="00AA7FDB"/>
    <w:rsid w:val="00AC3767"/>
    <w:rsid w:val="00AD2479"/>
    <w:rsid w:val="00AD2BBA"/>
    <w:rsid w:val="00AD61B2"/>
    <w:rsid w:val="00AE3782"/>
    <w:rsid w:val="00AF22AA"/>
    <w:rsid w:val="00B07786"/>
    <w:rsid w:val="00B147F1"/>
    <w:rsid w:val="00B15672"/>
    <w:rsid w:val="00B43A20"/>
    <w:rsid w:val="00B462CC"/>
    <w:rsid w:val="00B4696A"/>
    <w:rsid w:val="00B527F8"/>
    <w:rsid w:val="00B66BF2"/>
    <w:rsid w:val="00B70A04"/>
    <w:rsid w:val="00B96E53"/>
    <w:rsid w:val="00B97AF2"/>
    <w:rsid w:val="00BA5AB0"/>
    <w:rsid w:val="00BB4876"/>
    <w:rsid w:val="00BE1B0B"/>
    <w:rsid w:val="00BE3661"/>
    <w:rsid w:val="00C01C0D"/>
    <w:rsid w:val="00C2721D"/>
    <w:rsid w:val="00C53C67"/>
    <w:rsid w:val="00C62FCF"/>
    <w:rsid w:val="00C650CE"/>
    <w:rsid w:val="00C70E34"/>
    <w:rsid w:val="00C71AC4"/>
    <w:rsid w:val="00C71C3B"/>
    <w:rsid w:val="00C758BF"/>
    <w:rsid w:val="00C76B01"/>
    <w:rsid w:val="00CB0DF9"/>
    <w:rsid w:val="00CB706E"/>
    <w:rsid w:val="00CB76FC"/>
    <w:rsid w:val="00CD4F10"/>
    <w:rsid w:val="00CE38FA"/>
    <w:rsid w:val="00CE7415"/>
    <w:rsid w:val="00CE77AE"/>
    <w:rsid w:val="00CF2DB6"/>
    <w:rsid w:val="00CF3A4A"/>
    <w:rsid w:val="00CF5535"/>
    <w:rsid w:val="00D02EEB"/>
    <w:rsid w:val="00D04D8B"/>
    <w:rsid w:val="00D11BEF"/>
    <w:rsid w:val="00D13EB7"/>
    <w:rsid w:val="00D17B34"/>
    <w:rsid w:val="00D26E98"/>
    <w:rsid w:val="00D30133"/>
    <w:rsid w:val="00D3390B"/>
    <w:rsid w:val="00D3626A"/>
    <w:rsid w:val="00D621C9"/>
    <w:rsid w:val="00D639B9"/>
    <w:rsid w:val="00D65F33"/>
    <w:rsid w:val="00D836AD"/>
    <w:rsid w:val="00D8625D"/>
    <w:rsid w:val="00D86DAC"/>
    <w:rsid w:val="00D90B95"/>
    <w:rsid w:val="00D9292A"/>
    <w:rsid w:val="00D97723"/>
    <w:rsid w:val="00DA09DC"/>
    <w:rsid w:val="00DA1964"/>
    <w:rsid w:val="00DB4927"/>
    <w:rsid w:val="00DC2AD5"/>
    <w:rsid w:val="00DC659C"/>
    <w:rsid w:val="00DD11F0"/>
    <w:rsid w:val="00DD717B"/>
    <w:rsid w:val="00E04967"/>
    <w:rsid w:val="00E05CAA"/>
    <w:rsid w:val="00E22B22"/>
    <w:rsid w:val="00E23F1D"/>
    <w:rsid w:val="00E33F9B"/>
    <w:rsid w:val="00E56BAC"/>
    <w:rsid w:val="00E66C7B"/>
    <w:rsid w:val="00E719C6"/>
    <w:rsid w:val="00E742ED"/>
    <w:rsid w:val="00E823CC"/>
    <w:rsid w:val="00E97C5F"/>
    <w:rsid w:val="00EA226D"/>
    <w:rsid w:val="00EA6EA8"/>
    <w:rsid w:val="00EA7D39"/>
    <w:rsid w:val="00EB1FE8"/>
    <w:rsid w:val="00ED1937"/>
    <w:rsid w:val="00ED676F"/>
    <w:rsid w:val="00ED7161"/>
    <w:rsid w:val="00EE6C84"/>
    <w:rsid w:val="00EE795A"/>
    <w:rsid w:val="00EF57D3"/>
    <w:rsid w:val="00EF6512"/>
    <w:rsid w:val="00EF764C"/>
    <w:rsid w:val="00F15241"/>
    <w:rsid w:val="00F34019"/>
    <w:rsid w:val="00F34BD3"/>
    <w:rsid w:val="00F36277"/>
    <w:rsid w:val="00F3735D"/>
    <w:rsid w:val="00F37FF1"/>
    <w:rsid w:val="00F5052C"/>
    <w:rsid w:val="00F552EC"/>
    <w:rsid w:val="00F57528"/>
    <w:rsid w:val="00F61387"/>
    <w:rsid w:val="00F67DD4"/>
    <w:rsid w:val="00F72139"/>
    <w:rsid w:val="00F873D2"/>
    <w:rsid w:val="00F91D04"/>
    <w:rsid w:val="00FA4E62"/>
    <w:rsid w:val="00FB1593"/>
    <w:rsid w:val="00FB3C39"/>
    <w:rsid w:val="00FC6E04"/>
    <w:rsid w:val="00FC6E8A"/>
    <w:rsid w:val="00FD188C"/>
    <w:rsid w:val="00FF4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D466"/>
  <w15:docId w15:val="{7BA9EACC-CAFF-4E07-8634-2BF3B70C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1FF9"/>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qFormat/>
    <w:rsid w:val="00841FF9"/>
    <w:rPr>
      <w:rFonts w:cs="Times New Roman"/>
      <w:vertAlign w:val="superscript"/>
    </w:rPr>
  </w:style>
  <w:style w:type="paragraph" w:styleId="Encabezado">
    <w:name w:val="header"/>
    <w:basedOn w:val="Normal"/>
    <w:link w:val="EncabezadoCar"/>
    <w:uiPriority w:val="99"/>
    <w:rsid w:val="00841F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1FF9"/>
    <w:rPr>
      <w:rFonts w:ascii="Calibri" w:eastAsia="Calibri" w:hAnsi="Calibri" w:cs="Times New Roman"/>
      <w:lang w:val="es-CO"/>
    </w:rPr>
  </w:style>
  <w:style w:type="paragraph" w:styleId="Sinespaciado">
    <w:name w:val="No Spacing"/>
    <w:uiPriority w:val="1"/>
    <w:qFormat/>
    <w:rsid w:val="00841FF9"/>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841FF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C Car"/>
    <w:basedOn w:val="Fuentedeprrafopredeter"/>
    <w:uiPriority w:val="99"/>
    <w:rsid w:val="00841FF9"/>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41FF9"/>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841FF9"/>
    <w:pPr>
      <w:spacing w:after="0" w:line="240" w:lineRule="auto"/>
      <w:ind w:left="720"/>
      <w:contextualSpacing/>
    </w:pPr>
    <w:rPr>
      <w:rFonts w:ascii="Arial" w:eastAsia="Times New Roman" w:hAnsi="Arial" w:cs="Arial"/>
      <w:color w:val="000000"/>
      <w:sz w:val="24"/>
      <w:szCs w:val="24"/>
      <w:lang w:val="es-ES" w:eastAsia="es-ES"/>
    </w:rPr>
  </w:style>
  <w:style w:type="paragraph" w:styleId="Piedepgina">
    <w:name w:val="footer"/>
    <w:basedOn w:val="Normal"/>
    <w:link w:val="PiedepginaCar"/>
    <w:uiPriority w:val="99"/>
    <w:unhideWhenUsed/>
    <w:rsid w:val="001D3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3935"/>
    <w:rPr>
      <w:rFonts w:ascii="Calibri" w:eastAsia="Calibri" w:hAnsi="Calibri" w:cs="Times New Roman"/>
      <w:lang w:val="es-CO"/>
    </w:rPr>
  </w:style>
  <w:style w:type="paragraph" w:styleId="Textodeglobo">
    <w:name w:val="Balloon Text"/>
    <w:basedOn w:val="Normal"/>
    <w:link w:val="TextodegloboCar"/>
    <w:uiPriority w:val="99"/>
    <w:semiHidden/>
    <w:unhideWhenUsed/>
    <w:rsid w:val="003B1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2F8"/>
    <w:rPr>
      <w:rFonts w:ascii="Segoe UI" w:eastAsia="Calibri" w:hAnsi="Segoe UI" w:cs="Segoe UI"/>
      <w:sz w:val="18"/>
      <w:szCs w:val="18"/>
      <w:lang w:val="es-CO"/>
    </w:rPr>
  </w:style>
  <w:style w:type="paragraph" w:customStyle="1" w:styleId="Style2">
    <w:name w:val="Style2"/>
    <w:basedOn w:val="Normal"/>
    <w:uiPriority w:val="99"/>
    <w:rsid w:val="00A709BF"/>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39"/>
    <w:rsid w:val="00A709BF"/>
    <w:pPr>
      <w:spacing w:after="0" w:line="240" w:lineRule="auto"/>
    </w:pPr>
    <w:rPr>
      <w:rFonts w:eastAsia="Times New Roman"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A709BF"/>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styleId="nfasissutil">
    <w:name w:val="Subtle Emphasis"/>
    <w:basedOn w:val="Fuentedeprrafopredeter"/>
    <w:uiPriority w:val="19"/>
    <w:qFormat/>
    <w:rsid w:val="00A709BF"/>
    <w:rPr>
      <w:i/>
      <w:iCs/>
      <w:color w:val="808080" w:themeColor="text1" w:themeTint="7F"/>
    </w:rPr>
  </w:style>
  <w:style w:type="character" w:customStyle="1" w:styleId="FontStyle17">
    <w:name w:val="Font Style17"/>
    <w:basedOn w:val="Fuentedeprrafopredeter"/>
    <w:uiPriority w:val="99"/>
    <w:rsid w:val="00A709BF"/>
    <w:rPr>
      <w:rFonts w:ascii="Arial" w:hAnsi="Arial" w:cs="Arial"/>
      <w:sz w:val="22"/>
      <w:szCs w:val="22"/>
    </w:rPr>
  </w:style>
  <w:style w:type="paragraph" w:styleId="NormalWeb">
    <w:name w:val="Normal (Web)"/>
    <w:basedOn w:val="Normal"/>
    <w:uiPriority w:val="99"/>
    <w:unhideWhenUsed/>
    <w:rsid w:val="00A67970"/>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unhideWhenUsed/>
    <w:rsid w:val="00974D15"/>
    <w:pPr>
      <w:spacing w:after="120" w:line="480" w:lineRule="auto"/>
    </w:pPr>
    <w:rPr>
      <w:rFonts w:ascii="Arial" w:eastAsia="Times New Roman" w:hAnsi="Arial"/>
      <w:sz w:val="24"/>
      <w:szCs w:val="24"/>
      <w:lang w:eastAsia="es-ES"/>
    </w:rPr>
  </w:style>
  <w:style w:type="character" w:customStyle="1" w:styleId="Textoindependiente2Car">
    <w:name w:val="Texto independiente 2 Car"/>
    <w:basedOn w:val="Fuentedeprrafopredeter"/>
    <w:link w:val="Textoindependiente2"/>
    <w:uiPriority w:val="99"/>
    <w:rsid w:val="00974D15"/>
    <w:rPr>
      <w:rFonts w:ascii="Arial" w:eastAsia="Times New Roman" w:hAnsi="Arial" w:cs="Times New Roman"/>
      <w:sz w:val="24"/>
      <w:szCs w:val="24"/>
      <w:lang w:val="es-CO" w:eastAsia="es-ES"/>
    </w:rPr>
  </w:style>
  <w:style w:type="character" w:styleId="Hipervnculo">
    <w:name w:val="Hyperlink"/>
    <w:basedOn w:val="Fuentedeprrafopredeter"/>
    <w:uiPriority w:val="99"/>
    <w:semiHidden/>
    <w:unhideWhenUsed/>
    <w:rsid w:val="008004F3"/>
    <w:rPr>
      <w:color w:val="0000FF"/>
      <w:u w:val="single"/>
    </w:rPr>
  </w:style>
  <w:style w:type="paragraph" w:customStyle="1" w:styleId="Default">
    <w:name w:val="Default"/>
    <w:rsid w:val="00007B7B"/>
    <w:pPr>
      <w:autoSpaceDE w:val="0"/>
      <w:autoSpaceDN w:val="0"/>
      <w:adjustRightInd w:val="0"/>
      <w:spacing w:after="0" w:line="240" w:lineRule="auto"/>
    </w:pPr>
    <w:rPr>
      <w:rFonts w:ascii="Arial" w:hAnsi="Arial" w:cs="Arial"/>
      <w:color w:val="000000"/>
      <w:sz w:val="24"/>
      <w:szCs w:val="24"/>
    </w:rPr>
  </w:style>
  <w:style w:type="paragraph" w:customStyle="1" w:styleId="Style3">
    <w:name w:val="Style3"/>
    <w:basedOn w:val="Normal"/>
    <w:uiPriority w:val="99"/>
    <w:rsid w:val="00421F1E"/>
    <w:pPr>
      <w:widowControl w:val="0"/>
      <w:autoSpaceDE w:val="0"/>
      <w:autoSpaceDN w:val="0"/>
      <w:adjustRightInd w:val="0"/>
      <w:spacing w:after="0" w:line="344" w:lineRule="exact"/>
      <w:jc w:val="both"/>
    </w:pPr>
    <w:rPr>
      <w:rFonts w:ascii="Arial Narrow" w:eastAsiaTheme="minorEastAsia" w:hAnsi="Arial Narrow" w:cstheme="minorBidi"/>
      <w:sz w:val="24"/>
      <w:szCs w:val="24"/>
      <w:lang w:val="es-ES" w:eastAsia="es-ES"/>
    </w:rPr>
  </w:style>
  <w:style w:type="character" w:customStyle="1" w:styleId="FontStyle64">
    <w:name w:val="Font Style64"/>
    <w:basedOn w:val="Fuentedeprrafopredeter"/>
    <w:uiPriority w:val="99"/>
    <w:rsid w:val="00421F1E"/>
    <w:rPr>
      <w:rFonts w:ascii="Arial" w:hAnsi="Arial" w:cs="Arial" w:hint="default"/>
      <w:spacing w:val="10"/>
      <w:sz w:val="20"/>
      <w:szCs w:val="20"/>
    </w:rPr>
  </w:style>
  <w:style w:type="character" w:customStyle="1" w:styleId="FontStyle67">
    <w:name w:val="Font Style67"/>
    <w:basedOn w:val="Fuentedeprrafopredeter"/>
    <w:uiPriority w:val="99"/>
    <w:rsid w:val="00421F1E"/>
    <w:rPr>
      <w:rFonts w:ascii="Arial" w:hAnsi="Arial" w:cs="Arial" w:hint="default"/>
      <w:b/>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7123">
      <w:bodyDiv w:val="1"/>
      <w:marLeft w:val="0"/>
      <w:marRight w:val="0"/>
      <w:marTop w:val="0"/>
      <w:marBottom w:val="0"/>
      <w:divBdr>
        <w:top w:val="none" w:sz="0" w:space="0" w:color="auto"/>
        <w:left w:val="none" w:sz="0" w:space="0" w:color="auto"/>
        <w:bottom w:val="none" w:sz="0" w:space="0" w:color="auto"/>
        <w:right w:val="none" w:sz="0" w:space="0" w:color="auto"/>
      </w:divBdr>
    </w:div>
    <w:div w:id="320155673">
      <w:bodyDiv w:val="1"/>
      <w:marLeft w:val="0"/>
      <w:marRight w:val="0"/>
      <w:marTop w:val="0"/>
      <w:marBottom w:val="0"/>
      <w:divBdr>
        <w:top w:val="none" w:sz="0" w:space="0" w:color="auto"/>
        <w:left w:val="none" w:sz="0" w:space="0" w:color="auto"/>
        <w:bottom w:val="none" w:sz="0" w:space="0" w:color="auto"/>
        <w:right w:val="none" w:sz="0" w:space="0" w:color="auto"/>
      </w:divBdr>
    </w:div>
    <w:div w:id="545457672">
      <w:bodyDiv w:val="1"/>
      <w:marLeft w:val="0"/>
      <w:marRight w:val="0"/>
      <w:marTop w:val="0"/>
      <w:marBottom w:val="0"/>
      <w:divBdr>
        <w:top w:val="none" w:sz="0" w:space="0" w:color="auto"/>
        <w:left w:val="none" w:sz="0" w:space="0" w:color="auto"/>
        <w:bottom w:val="none" w:sz="0" w:space="0" w:color="auto"/>
        <w:right w:val="none" w:sz="0" w:space="0" w:color="auto"/>
      </w:divBdr>
    </w:div>
    <w:div w:id="566300557">
      <w:bodyDiv w:val="1"/>
      <w:marLeft w:val="0"/>
      <w:marRight w:val="0"/>
      <w:marTop w:val="0"/>
      <w:marBottom w:val="0"/>
      <w:divBdr>
        <w:top w:val="none" w:sz="0" w:space="0" w:color="auto"/>
        <w:left w:val="none" w:sz="0" w:space="0" w:color="auto"/>
        <w:bottom w:val="none" w:sz="0" w:space="0" w:color="auto"/>
        <w:right w:val="none" w:sz="0" w:space="0" w:color="auto"/>
      </w:divBdr>
    </w:div>
    <w:div w:id="19812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730C-3BD1-4989-87AA-C08424C5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5891</Words>
  <Characters>32402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Saira Liseth Duarte Ruiz</cp:lastModifiedBy>
  <cp:revision>2</cp:revision>
  <dcterms:created xsi:type="dcterms:W3CDTF">2020-07-07T15:05:00Z</dcterms:created>
  <dcterms:modified xsi:type="dcterms:W3CDTF">2020-07-07T15:05:00Z</dcterms:modified>
</cp:coreProperties>
</file>