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775"/>
      </w:tblGrid>
      <w:tr w:rsidR="00D17168" w:rsidRPr="000D4559" w14:paraId="3EAA70AF" w14:textId="77777777" w:rsidTr="00DF2901">
        <w:tc>
          <w:tcPr>
            <w:tcW w:w="2014" w:type="dxa"/>
            <w:vAlign w:val="center"/>
          </w:tcPr>
          <w:p w14:paraId="24F5EFC9" w14:textId="77777777" w:rsidR="00D17168" w:rsidRPr="000D4559" w:rsidRDefault="00D17168" w:rsidP="00DF2901">
            <w:pPr>
              <w:spacing w:after="0" w:line="240" w:lineRule="auto"/>
              <w:rPr>
                <w:rFonts w:ascii="Arial Narrow" w:eastAsia="Times New Roman" w:hAnsi="Arial Narrow" w:cs="Arial"/>
                <w:sz w:val="20"/>
                <w:lang w:eastAsia="es-ES"/>
              </w:rPr>
            </w:pPr>
            <w:r w:rsidRPr="000D4559">
              <w:rPr>
                <w:rFonts w:ascii="Arial Narrow" w:eastAsia="Times New Roman" w:hAnsi="Arial Narrow" w:cs="Arial"/>
                <w:sz w:val="20"/>
                <w:lang w:eastAsia="es-ES"/>
              </w:rPr>
              <w:t>CIUDAD Y FECHA</w:t>
            </w:r>
          </w:p>
        </w:tc>
        <w:tc>
          <w:tcPr>
            <w:tcW w:w="6775" w:type="dxa"/>
          </w:tcPr>
          <w:p w14:paraId="09FCB4A2" w14:textId="602A8B5D" w:rsidR="00D17168" w:rsidRPr="000D4559" w:rsidRDefault="00D17168" w:rsidP="00DF2901">
            <w:pPr>
              <w:spacing w:after="0" w:line="240" w:lineRule="auto"/>
              <w:rPr>
                <w:rFonts w:ascii="Arial Narrow" w:eastAsia="Times New Roman" w:hAnsi="Arial Narrow" w:cs="Arial"/>
                <w:b/>
                <w:sz w:val="20"/>
                <w:lang w:eastAsia="es-ES"/>
              </w:rPr>
            </w:pPr>
            <w:r w:rsidRPr="000D4559">
              <w:rPr>
                <w:rFonts w:ascii="Arial Narrow" w:eastAsia="Times New Roman" w:hAnsi="Arial Narrow" w:cs="Arial"/>
                <w:b/>
                <w:sz w:val="20"/>
                <w:lang w:eastAsia="es-ES"/>
              </w:rPr>
              <w:t xml:space="preserve">Bogotá D.C., </w:t>
            </w:r>
            <w:r w:rsidR="009C1DCD">
              <w:rPr>
                <w:rFonts w:ascii="Arial Narrow" w:eastAsia="Times New Roman" w:hAnsi="Arial Narrow" w:cs="Arial"/>
                <w:b/>
                <w:sz w:val="20"/>
                <w:lang w:eastAsia="es-ES"/>
              </w:rPr>
              <w:t>diecinueve (19)</w:t>
            </w:r>
            <w:bookmarkStart w:id="0" w:name="_GoBack"/>
            <w:bookmarkEnd w:id="0"/>
            <w:r w:rsidRPr="000D4559">
              <w:rPr>
                <w:rFonts w:ascii="Arial Narrow" w:eastAsia="Times New Roman" w:hAnsi="Arial Narrow" w:cs="Arial"/>
                <w:b/>
                <w:sz w:val="20"/>
                <w:lang w:eastAsia="es-ES"/>
              </w:rPr>
              <w:t xml:space="preserve"> de diciembre </w:t>
            </w:r>
            <w:r w:rsidRPr="000D4559">
              <w:rPr>
                <w:rFonts w:ascii="Arial Narrow" w:eastAsia="Times New Roman" w:hAnsi="Arial Narrow" w:cs="Arial"/>
                <w:b/>
                <w:sz w:val="20"/>
                <w:lang w:eastAsia="es-ES"/>
              </w:rPr>
              <w:fldChar w:fldCharType="begin"/>
            </w:r>
            <w:r w:rsidRPr="000D4559">
              <w:rPr>
                <w:rFonts w:ascii="Arial Narrow" w:eastAsia="Times New Roman" w:hAnsi="Arial Narrow" w:cs="Arial"/>
                <w:b/>
                <w:sz w:val="20"/>
                <w:lang w:eastAsia="es-ES"/>
              </w:rPr>
              <w:instrText xml:space="preserve"> MERGEFIELD FECHA_AUTO_ </w:instrText>
            </w:r>
            <w:r w:rsidRPr="000D4559">
              <w:rPr>
                <w:rFonts w:ascii="Arial Narrow" w:eastAsia="Times New Roman" w:hAnsi="Arial Narrow" w:cs="Arial"/>
                <w:b/>
                <w:sz w:val="20"/>
                <w:lang w:eastAsia="es-ES"/>
              </w:rPr>
              <w:fldChar w:fldCharType="separate"/>
            </w:r>
            <w:r w:rsidRPr="000D4559">
              <w:rPr>
                <w:rFonts w:ascii="Arial Narrow" w:eastAsia="Times New Roman" w:hAnsi="Arial Narrow" w:cs="Arial"/>
                <w:b/>
                <w:sz w:val="20"/>
                <w:lang w:eastAsia="es-ES"/>
              </w:rPr>
              <w:t xml:space="preserve"> de dos mil diecinueve (2019)</w:t>
            </w:r>
            <w:r w:rsidRPr="000D4559">
              <w:rPr>
                <w:rFonts w:ascii="Arial Narrow" w:eastAsia="Times New Roman" w:hAnsi="Arial Narrow" w:cs="Arial"/>
                <w:b/>
                <w:sz w:val="20"/>
                <w:lang w:eastAsia="es-ES"/>
              </w:rPr>
              <w:fldChar w:fldCharType="end"/>
            </w:r>
          </w:p>
        </w:tc>
      </w:tr>
      <w:tr w:rsidR="00D17168" w:rsidRPr="000D4559" w14:paraId="007774EC" w14:textId="77777777" w:rsidTr="00DF2901">
        <w:tc>
          <w:tcPr>
            <w:tcW w:w="2014" w:type="dxa"/>
            <w:vAlign w:val="center"/>
          </w:tcPr>
          <w:p w14:paraId="2BB1CE81" w14:textId="77777777" w:rsidR="00D17168" w:rsidRPr="000D4559" w:rsidRDefault="00D17168" w:rsidP="00DF2901">
            <w:pPr>
              <w:spacing w:after="0" w:line="240" w:lineRule="auto"/>
              <w:rPr>
                <w:rFonts w:ascii="Arial Narrow" w:eastAsia="Times New Roman" w:hAnsi="Arial Narrow" w:cs="Arial"/>
                <w:sz w:val="20"/>
                <w:lang w:eastAsia="es-ES"/>
              </w:rPr>
            </w:pPr>
            <w:r w:rsidRPr="000D4559">
              <w:rPr>
                <w:rFonts w:ascii="Arial Narrow" w:eastAsia="Times New Roman" w:hAnsi="Arial Narrow" w:cs="Arial"/>
                <w:sz w:val="20"/>
                <w:lang w:eastAsia="es-ES"/>
              </w:rPr>
              <w:t>REFERENCIA</w:t>
            </w:r>
          </w:p>
        </w:tc>
        <w:tc>
          <w:tcPr>
            <w:tcW w:w="6775" w:type="dxa"/>
          </w:tcPr>
          <w:p w14:paraId="5F4BF80A" w14:textId="77777777" w:rsidR="00D17168" w:rsidRPr="000D4559" w:rsidRDefault="00D17168" w:rsidP="00DF2901">
            <w:pPr>
              <w:spacing w:after="0" w:line="240" w:lineRule="auto"/>
              <w:rPr>
                <w:rFonts w:ascii="Arial Narrow" w:eastAsia="Times New Roman" w:hAnsi="Arial Narrow" w:cs="Arial"/>
                <w:b/>
                <w:sz w:val="20"/>
                <w:lang w:eastAsia="es-ES"/>
              </w:rPr>
            </w:pPr>
            <w:r w:rsidRPr="000D4559">
              <w:rPr>
                <w:rFonts w:ascii="Arial Narrow" w:eastAsia="Times New Roman" w:hAnsi="Arial Narrow" w:cs="Arial"/>
                <w:b/>
                <w:sz w:val="20"/>
                <w:lang w:eastAsia="es-ES"/>
              </w:rPr>
              <w:t xml:space="preserve">Expediente No. </w:t>
            </w:r>
            <w:r w:rsidRPr="000D4559">
              <w:rPr>
                <w:rFonts w:ascii="Arial Narrow" w:eastAsia="Times New Roman" w:hAnsi="Arial Narrow" w:cs="Arial"/>
                <w:b/>
                <w:sz w:val="20"/>
                <w:lang w:eastAsia="es-ES"/>
              </w:rPr>
              <w:fldChar w:fldCharType="begin"/>
            </w:r>
            <w:r w:rsidRPr="000D4559">
              <w:rPr>
                <w:rFonts w:ascii="Arial Narrow" w:eastAsia="Times New Roman" w:hAnsi="Arial Narrow" w:cs="Arial"/>
                <w:b/>
                <w:sz w:val="20"/>
                <w:lang w:eastAsia="es-ES"/>
              </w:rPr>
              <w:instrText xml:space="preserve"> MERGEFIELD EXPEDIENTE </w:instrText>
            </w:r>
            <w:r w:rsidRPr="000D4559">
              <w:rPr>
                <w:rFonts w:ascii="Arial Narrow" w:eastAsia="Times New Roman" w:hAnsi="Arial Narrow" w:cs="Arial"/>
                <w:b/>
                <w:sz w:val="20"/>
                <w:lang w:eastAsia="es-ES"/>
              </w:rPr>
              <w:fldChar w:fldCharType="separate"/>
            </w:r>
            <w:r w:rsidRPr="000D4559">
              <w:rPr>
                <w:rFonts w:ascii="Arial Narrow" w:eastAsia="Times New Roman" w:hAnsi="Arial Narrow" w:cs="Arial"/>
                <w:b/>
                <w:sz w:val="20"/>
                <w:lang w:eastAsia="es-ES"/>
              </w:rPr>
              <w:t>11001333603420170024500</w:t>
            </w:r>
            <w:r w:rsidRPr="000D4559">
              <w:rPr>
                <w:rFonts w:ascii="Arial Narrow" w:eastAsia="Times New Roman" w:hAnsi="Arial Narrow" w:cs="Arial"/>
                <w:b/>
                <w:sz w:val="20"/>
                <w:lang w:eastAsia="es-ES"/>
              </w:rPr>
              <w:fldChar w:fldCharType="end"/>
            </w:r>
          </w:p>
        </w:tc>
      </w:tr>
      <w:tr w:rsidR="00D17168" w:rsidRPr="000D4559" w14:paraId="739A6FC9" w14:textId="77777777" w:rsidTr="00DF2901">
        <w:tc>
          <w:tcPr>
            <w:tcW w:w="2014" w:type="dxa"/>
            <w:vAlign w:val="center"/>
          </w:tcPr>
          <w:p w14:paraId="01CD3AAF" w14:textId="77777777" w:rsidR="00D17168" w:rsidRPr="000D4559" w:rsidRDefault="00D17168" w:rsidP="00DF2901">
            <w:pPr>
              <w:spacing w:after="0" w:line="240" w:lineRule="auto"/>
              <w:rPr>
                <w:rFonts w:ascii="Arial Narrow" w:eastAsia="Times New Roman" w:hAnsi="Arial Narrow" w:cs="Arial"/>
                <w:sz w:val="20"/>
                <w:lang w:eastAsia="es-ES"/>
              </w:rPr>
            </w:pPr>
            <w:r w:rsidRPr="000D4559">
              <w:rPr>
                <w:rFonts w:ascii="Arial Narrow" w:eastAsia="Times New Roman" w:hAnsi="Arial Narrow" w:cs="Arial"/>
                <w:sz w:val="20"/>
                <w:lang w:eastAsia="es-ES"/>
              </w:rPr>
              <w:t>DEMANDANTE</w:t>
            </w:r>
          </w:p>
        </w:tc>
        <w:tc>
          <w:tcPr>
            <w:tcW w:w="6775" w:type="dxa"/>
          </w:tcPr>
          <w:p w14:paraId="395100DA" w14:textId="77777777" w:rsidR="00D17168" w:rsidRPr="000D4559" w:rsidRDefault="00D17168" w:rsidP="00DF2901">
            <w:pPr>
              <w:spacing w:after="0" w:line="240" w:lineRule="auto"/>
              <w:rPr>
                <w:rFonts w:ascii="Arial Narrow" w:eastAsia="Times New Roman" w:hAnsi="Arial Narrow" w:cs="Arial"/>
                <w:b/>
                <w:sz w:val="20"/>
                <w:lang w:eastAsia="es-ES"/>
              </w:rPr>
            </w:pPr>
            <w:r w:rsidRPr="000D4559">
              <w:rPr>
                <w:rFonts w:ascii="Arial Narrow" w:eastAsia="Times New Roman" w:hAnsi="Arial Narrow" w:cs="Arial"/>
                <w:b/>
                <w:sz w:val="20"/>
                <w:lang w:eastAsia="es-ES"/>
              </w:rPr>
              <w:fldChar w:fldCharType="begin"/>
            </w:r>
            <w:r w:rsidRPr="000D4559">
              <w:rPr>
                <w:rFonts w:ascii="Arial Narrow" w:eastAsia="Times New Roman" w:hAnsi="Arial Narrow" w:cs="Arial"/>
                <w:b/>
                <w:sz w:val="20"/>
                <w:lang w:eastAsia="es-ES"/>
              </w:rPr>
              <w:instrText xml:space="preserve"> MERGEFIELD DEMANDANTE </w:instrText>
            </w:r>
            <w:r w:rsidRPr="000D4559">
              <w:rPr>
                <w:rFonts w:ascii="Arial Narrow" w:eastAsia="Times New Roman" w:hAnsi="Arial Narrow" w:cs="Arial"/>
                <w:b/>
                <w:sz w:val="20"/>
                <w:lang w:eastAsia="es-ES"/>
              </w:rPr>
              <w:fldChar w:fldCharType="separate"/>
            </w:r>
            <w:r w:rsidRPr="000D4559">
              <w:rPr>
                <w:rFonts w:ascii="Arial Narrow" w:eastAsia="Times New Roman" w:hAnsi="Arial Narrow" w:cs="Arial"/>
                <w:b/>
                <w:sz w:val="20"/>
                <w:lang w:eastAsia="es-ES"/>
              </w:rPr>
              <w:t>MARÍA DEL CARMEN MORALES BAUTISTA Y OTROS</w:t>
            </w:r>
            <w:r w:rsidRPr="000D4559">
              <w:rPr>
                <w:rFonts w:ascii="Arial Narrow" w:eastAsia="Times New Roman" w:hAnsi="Arial Narrow" w:cs="Arial"/>
                <w:b/>
                <w:sz w:val="20"/>
                <w:lang w:eastAsia="es-ES"/>
              </w:rPr>
              <w:fldChar w:fldCharType="end"/>
            </w:r>
          </w:p>
        </w:tc>
      </w:tr>
      <w:tr w:rsidR="00D17168" w:rsidRPr="000D4559" w14:paraId="7441038B" w14:textId="77777777" w:rsidTr="00DF2901">
        <w:tc>
          <w:tcPr>
            <w:tcW w:w="2014" w:type="dxa"/>
            <w:vAlign w:val="center"/>
          </w:tcPr>
          <w:p w14:paraId="06BF79A5" w14:textId="77777777" w:rsidR="00D17168" w:rsidRPr="000D4559" w:rsidRDefault="00D17168" w:rsidP="00DF2901">
            <w:pPr>
              <w:spacing w:after="0" w:line="240" w:lineRule="auto"/>
              <w:rPr>
                <w:rFonts w:ascii="Arial Narrow" w:eastAsia="Times New Roman" w:hAnsi="Arial Narrow" w:cs="Arial"/>
                <w:sz w:val="20"/>
                <w:lang w:eastAsia="es-ES"/>
              </w:rPr>
            </w:pPr>
            <w:r w:rsidRPr="000D4559">
              <w:rPr>
                <w:rFonts w:ascii="Arial Narrow" w:eastAsia="Times New Roman" w:hAnsi="Arial Narrow" w:cs="Arial"/>
                <w:sz w:val="20"/>
                <w:lang w:eastAsia="es-ES"/>
              </w:rPr>
              <w:t>DEMANDADO</w:t>
            </w:r>
          </w:p>
        </w:tc>
        <w:tc>
          <w:tcPr>
            <w:tcW w:w="6775" w:type="dxa"/>
          </w:tcPr>
          <w:p w14:paraId="7AAA59B9" w14:textId="77777777" w:rsidR="00D17168" w:rsidRPr="000D4559" w:rsidRDefault="00D17168" w:rsidP="00DF2901">
            <w:pPr>
              <w:spacing w:after="0" w:line="240" w:lineRule="auto"/>
              <w:rPr>
                <w:rFonts w:ascii="Arial Narrow" w:eastAsia="Times New Roman" w:hAnsi="Arial Narrow" w:cs="Arial"/>
                <w:b/>
                <w:sz w:val="20"/>
                <w:lang w:eastAsia="es-ES"/>
              </w:rPr>
            </w:pPr>
            <w:r w:rsidRPr="000D4559">
              <w:rPr>
                <w:rFonts w:ascii="Arial Narrow" w:eastAsia="Times New Roman" w:hAnsi="Arial Narrow" w:cs="Arial"/>
                <w:b/>
                <w:sz w:val="20"/>
                <w:lang w:eastAsia="es-ES"/>
              </w:rPr>
              <w:fldChar w:fldCharType="begin"/>
            </w:r>
            <w:r w:rsidRPr="000D4559">
              <w:rPr>
                <w:rFonts w:ascii="Arial Narrow" w:eastAsia="Times New Roman" w:hAnsi="Arial Narrow" w:cs="Arial"/>
                <w:b/>
                <w:sz w:val="20"/>
                <w:lang w:eastAsia="es-ES"/>
              </w:rPr>
              <w:instrText xml:space="preserve"> MERGEFIELD DEMANDADO </w:instrText>
            </w:r>
            <w:r w:rsidRPr="000D4559">
              <w:rPr>
                <w:rFonts w:ascii="Arial Narrow" w:eastAsia="Times New Roman" w:hAnsi="Arial Narrow" w:cs="Arial"/>
                <w:b/>
                <w:sz w:val="20"/>
                <w:lang w:eastAsia="es-ES"/>
              </w:rPr>
              <w:fldChar w:fldCharType="separate"/>
            </w:r>
            <w:r w:rsidRPr="000D4559">
              <w:rPr>
                <w:rFonts w:ascii="Arial Narrow" w:eastAsia="Times New Roman" w:hAnsi="Arial Narrow" w:cs="Arial"/>
                <w:b/>
                <w:sz w:val="20"/>
                <w:lang w:eastAsia="es-ES"/>
              </w:rPr>
              <w:t>NACIÓN-MINISTERIO DE DEFENSA- EJÉRCITO NACIONAL</w:t>
            </w:r>
            <w:r w:rsidRPr="000D4559">
              <w:rPr>
                <w:rFonts w:ascii="Arial Narrow" w:eastAsia="Times New Roman" w:hAnsi="Arial Narrow" w:cs="Arial"/>
                <w:b/>
                <w:sz w:val="20"/>
                <w:lang w:eastAsia="es-ES"/>
              </w:rPr>
              <w:fldChar w:fldCharType="end"/>
            </w:r>
          </w:p>
        </w:tc>
      </w:tr>
      <w:tr w:rsidR="00D17168" w:rsidRPr="000D4559" w14:paraId="3995D1FA" w14:textId="77777777" w:rsidTr="00DF2901">
        <w:trPr>
          <w:trHeight w:val="238"/>
        </w:trPr>
        <w:tc>
          <w:tcPr>
            <w:tcW w:w="2014" w:type="dxa"/>
            <w:vAlign w:val="center"/>
          </w:tcPr>
          <w:p w14:paraId="7D31D6B7" w14:textId="77777777" w:rsidR="00D17168" w:rsidRPr="000D4559" w:rsidRDefault="00D17168" w:rsidP="00DF2901">
            <w:pPr>
              <w:spacing w:after="0" w:line="240" w:lineRule="auto"/>
              <w:rPr>
                <w:rFonts w:ascii="Arial Narrow" w:eastAsia="Times New Roman" w:hAnsi="Arial Narrow" w:cs="Arial"/>
                <w:sz w:val="20"/>
                <w:lang w:eastAsia="es-ES"/>
              </w:rPr>
            </w:pPr>
            <w:r w:rsidRPr="000D4559">
              <w:rPr>
                <w:rFonts w:ascii="Arial Narrow" w:eastAsia="Times New Roman" w:hAnsi="Arial Narrow" w:cs="Arial"/>
                <w:sz w:val="20"/>
                <w:lang w:eastAsia="es-ES"/>
              </w:rPr>
              <w:t>MEDIO DE CONTROL</w:t>
            </w:r>
          </w:p>
        </w:tc>
        <w:tc>
          <w:tcPr>
            <w:tcW w:w="6775" w:type="dxa"/>
          </w:tcPr>
          <w:p w14:paraId="7C0727FB" w14:textId="77777777" w:rsidR="00D17168" w:rsidRPr="000D4559" w:rsidRDefault="00D17168" w:rsidP="00DF2901">
            <w:pPr>
              <w:spacing w:after="0" w:line="240" w:lineRule="auto"/>
              <w:rPr>
                <w:rFonts w:ascii="Arial Narrow" w:eastAsia="Times New Roman" w:hAnsi="Arial Narrow" w:cs="Arial"/>
                <w:b/>
                <w:sz w:val="20"/>
                <w:lang w:eastAsia="es-ES"/>
              </w:rPr>
            </w:pPr>
            <w:r w:rsidRPr="000D4559">
              <w:rPr>
                <w:rFonts w:ascii="Arial Narrow" w:eastAsia="Times New Roman" w:hAnsi="Arial Narrow" w:cs="Arial"/>
                <w:b/>
                <w:sz w:val="20"/>
                <w:lang w:eastAsia="es-ES"/>
              </w:rPr>
              <w:fldChar w:fldCharType="begin"/>
            </w:r>
            <w:r w:rsidRPr="000D4559">
              <w:rPr>
                <w:rFonts w:ascii="Arial Narrow" w:eastAsia="Times New Roman" w:hAnsi="Arial Narrow" w:cs="Arial"/>
                <w:b/>
                <w:sz w:val="20"/>
                <w:lang w:eastAsia="es-ES"/>
              </w:rPr>
              <w:instrText xml:space="preserve"> MERGEFIELD MEDIO_DE_CONTROL </w:instrText>
            </w:r>
            <w:r w:rsidRPr="000D4559">
              <w:rPr>
                <w:rFonts w:ascii="Arial Narrow" w:eastAsia="Times New Roman" w:hAnsi="Arial Narrow" w:cs="Arial"/>
                <w:b/>
                <w:sz w:val="20"/>
                <w:lang w:eastAsia="es-ES"/>
              </w:rPr>
              <w:fldChar w:fldCharType="separate"/>
            </w:r>
            <w:r w:rsidRPr="000D4559">
              <w:rPr>
                <w:rFonts w:ascii="Arial Narrow" w:eastAsia="Times New Roman" w:hAnsi="Arial Narrow" w:cs="Arial"/>
                <w:b/>
                <w:sz w:val="20"/>
                <w:lang w:eastAsia="es-ES"/>
              </w:rPr>
              <w:t>REPARACIÓN DIRECTA</w:t>
            </w:r>
            <w:r w:rsidRPr="000D4559">
              <w:rPr>
                <w:rFonts w:ascii="Arial Narrow" w:eastAsia="Times New Roman" w:hAnsi="Arial Narrow" w:cs="Arial"/>
                <w:b/>
                <w:sz w:val="20"/>
                <w:lang w:eastAsia="es-ES"/>
              </w:rPr>
              <w:fldChar w:fldCharType="end"/>
            </w:r>
          </w:p>
        </w:tc>
      </w:tr>
      <w:tr w:rsidR="00D17168" w:rsidRPr="000D4559" w14:paraId="5CAF0161" w14:textId="77777777" w:rsidTr="00DF2901">
        <w:tc>
          <w:tcPr>
            <w:tcW w:w="2014" w:type="dxa"/>
            <w:vAlign w:val="center"/>
          </w:tcPr>
          <w:p w14:paraId="43A53F28" w14:textId="77777777" w:rsidR="00D17168" w:rsidRPr="000D4559" w:rsidRDefault="00D17168" w:rsidP="00DF2901">
            <w:pPr>
              <w:spacing w:after="0" w:line="240" w:lineRule="auto"/>
              <w:rPr>
                <w:rFonts w:ascii="Arial Narrow" w:eastAsia="Times New Roman" w:hAnsi="Arial Narrow" w:cs="Arial"/>
                <w:sz w:val="20"/>
                <w:lang w:eastAsia="es-ES"/>
              </w:rPr>
            </w:pPr>
            <w:r w:rsidRPr="000D4559">
              <w:rPr>
                <w:rFonts w:ascii="Arial Narrow" w:eastAsia="Times New Roman" w:hAnsi="Arial Narrow" w:cs="Arial"/>
                <w:sz w:val="20"/>
                <w:lang w:eastAsia="es-ES"/>
              </w:rPr>
              <w:t>ASUNTO</w:t>
            </w:r>
          </w:p>
        </w:tc>
        <w:tc>
          <w:tcPr>
            <w:tcW w:w="6775" w:type="dxa"/>
          </w:tcPr>
          <w:p w14:paraId="3574CB7B" w14:textId="42F8DC5C" w:rsidR="00D17168" w:rsidRPr="000D4559" w:rsidRDefault="00D17168" w:rsidP="00DF2901">
            <w:pPr>
              <w:spacing w:after="0" w:line="240" w:lineRule="auto"/>
              <w:rPr>
                <w:rFonts w:ascii="Arial Narrow" w:eastAsia="Times New Roman" w:hAnsi="Arial Narrow" w:cs="Arial"/>
                <w:b/>
                <w:sz w:val="20"/>
                <w:lang w:eastAsia="es-ES"/>
              </w:rPr>
            </w:pPr>
            <w:r w:rsidRPr="000D4559">
              <w:rPr>
                <w:rFonts w:ascii="Arial Narrow" w:eastAsia="Times New Roman" w:hAnsi="Arial Narrow" w:cs="Arial"/>
                <w:b/>
                <w:sz w:val="20"/>
                <w:lang w:eastAsia="es-ES"/>
              </w:rPr>
              <w:t xml:space="preserve">CONCEDE APELACIÓN CONTRA FALLO </w:t>
            </w:r>
          </w:p>
        </w:tc>
      </w:tr>
    </w:tbl>
    <w:p w14:paraId="40D4BBF5" w14:textId="77777777" w:rsidR="00D17168" w:rsidRPr="000D4559" w:rsidRDefault="00D17168" w:rsidP="00D17168">
      <w:pPr>
        <w:spacing w:after="0" w:line="240" w:lineRule="auto"/>
        <w:jc w:val="both"/>
        <w:rPr>
          <w:rFonts w:ascii="Arial" w:eastAsia="Times New Roman" w:hAnsi="Arial" w:cs="Arial"/>
          <w:lang w:eastAsia="es-ES"/>
        </w:rPr>
      </w:pPr>
    </w:p>
    <w:p w14:paraId="3C3B780D" w14:textId="77777777" w:rsidR="00D17168" w:rsidRPr="000D4559" w:rsidRDefault="00D17168" w:rsidP="00D17168">
      <w:pPr>
        <w:spacing w:after="0" w:line="276" w:lineRule="auto"/>
        <w:jc w:val="both"/>
        <w:rPr>
          <w:rFonts w:ascii="Arial" w:eastAsia="Times New Roman" w:hAnsi="Arial" w:cs="Arial"/>
          <w:lang w:eastAsia="es-ES"/>
        </w:rPr>
      </w:pPr>
      <w:r w:rsidRPr="000D4559">
        <w:rPr>
          <w:rFonts w:ascii="Arial" w:eastAsia="Times New Roman" w:hAnsi="Arial" w:cs="Arial"/>
          <w:lang w:eastAsia="es-ES"/>
        </w:rPr>
        <w:fldChar w:fldCharType="begin"/>
      </w:r>
      <w:r w:rsidRPr="000D4559">
        <w:rPr>
          <w:rFonts w:ascii="Arial" w:eastAsia="Times New Roman" w:hAnsi="Arial" w:cs="Arial"/>
          <w:lang w:eastAsia="es-ES"/>
        </w:rPr>
        <w:instrText xml:space="preserve"> MERGEFIELD ASUNTO_DE_QUE_TRATA_EL_PROCESO </w:instrText>
      </w:r>
      <w:r w:rsidRPr="000D4559">
        <w:rPr>
          <w:rFonts w:ascii="Arial" w:eastAsia="Times New Roman" w:hAnsi="Arial" w:cs="Arial"/>
          <w:lang w:eastAsia="es-ES"/>
        </w:rPr>
        <w:fldChar w:fldCharType="separate"/>
      </w:r>
      <w:r w:rsidRPr="000D4559">
        <w:rPr>
          <w:rFonts w:ascii="Arial" w:eastAsia="Times New Roman" w:hAnsi="Arial" w:cs="Arial"/>
          <w:lang w:eastAsia="es-ES"/>
        </w:rPr>
        <w:t xml:space="preserve">La presente demanda pretende que se declare responsable solidaria, patrimonial y administrativamente a LA NACIÓN – MINISTERIO DE DEFENSA- EJERCITO NACIONAL por los perjuicios causados a los demandantes con ocasión al fallecimiento del soldado profesional LIBARDO SILVA MORALES en hechos ocurridos el 18 de junio de 2015. </w:t>
      </w:r>
    </w:p>
    <w:p w14:paraId="50796097" w14:textId="77777777" w:rsidR="00D17168" w:rsidRPr="000D4559" w:rsidRDefault="00D17168" w:rsidP="00D17168">
      <w:pPr>
        <w:spacing w:after="0" w:line="276" w:lineRule="auto"/>
        <w:jc w:val="both"/>
        <w:rPr>
          <w:rFonts w:ascii="Arial" w:eastAsia="Times New Roman" w:hAnsi="Arial" w:cs="Arial"/>
          <w:lang w:eastAsia="es-ES"/>
        </w:rPr>
      </w:pPr>
      <w:r w:rsidRPr="000D4559">
        <w:rPr>
          <w:rFonts w:ascii="Arial" w:eastAsia="Times New Roman" w:hAnsi="Arial" w:cs="Arial"/>
          <w:lang w:eastAsia="es-ES"/>
        </w:rPr>
        <w:fldChar w:fldCharType="end"/>
      </w:r>
    </w:p>
    <w:p w14:paraId="5B7B60D6" w14:textId="77777777" w:rsidR="00D17168" w:rsidRPr="000D4559" w:rsidRDefault="00D17168" w:rsidP="00D17168">
      <w:pPr>
        <w:shd w:val="clear" w:color="auto" w:fill="FFFFFF"/>
        <w:spacing w:after="0" w:line="276" w:lineRule="auto"/>
        <w:jc w:val="both"/>
        <w:rPr>
          <w:rFonts w:ascii="Arial" w:eastAsia="Calibri" w:hAnsi="Arial" w:cs="Arial"/>
          <w:color w:val="000000"/>
          <w:lang w:eastAsia="es-ES"/>
        </w:rPr>
      </w:pPr>
      <w:r w:rsidRPr="000D4559">
        <w:rPr>
          <w:rFonts w:ascii="Arial" w:eastAsia="Calibri" w:hAnsi="Arial" w:cs="Arial"/>
          <w:color w:val="000000"/>
          <w:lang w:eastAsia="es-ES"/>
        </w:rPr>
        <w:fldChar w:fldCharType="begin"/>
      </w:r>
      <w:r w:rsidRPr="000D4559">
        <w:rPr>
          <w:rFonts w:ascii="Arial" w:eastAsia="Calibri" w:hAnsi="Arial" w:cs="Arial"/>
          <w:color w:val="000000"/>
          <w:lang w:eastAsia="es-ES"/>
        </w:rPr>
        <w:instrText xml:space="preserve"> MERGEFIELD ANTECEDENTES </w:instrText>
      </w:r>
      <w:r w:rsidRPr="000D4559">
        <w:rPr>
          <w:rFonts w:ascii="Arial" w:eastAsia="Calibri" w:hAnsi="Arial" w:cs="Arial"/>
          <w:color w:val="000000"/>
          <w:lang w:eastAsia="es-ES"/>
        </w:rPr>
        <w:fldChar w:fldCharType="separate"/>
      </w:r>
      <w:r w:rsidRPr="000D4559">
        <w:rPr>
          <w:rFonts w:ascii="Arial" w:eastAsia="Calibri" w:hAnsi="Arial" w:cs="Arial"/>
          <w:color w:val="000000"/>
          <w:lang w:eastAsia="es-ES"/>
        </w:rPr>
        <w:t>El 30 de septiembre de 2019 se profirió fallo de primera instancia negándose las pretensiones de la demanda.</w:t>
      </w:r>
    </w:p>
    <w:p w14:paraId="273EE5BC" w14:textId="77777777" w:rsidR="00D17168" w:rsidRPr="000D4559" w:rsidRDefault="00D17168" w:rsidP="00D17168">
      <w:pPr>
        <w:shd w:val="clear" w:color="auto" w:fill="FFFFFF"/>
        <w:spacing w:after="0" w:line="276" w:lineRule="auto"/>
        <w:jc w:val="both"/>
        <w:rPr>
          <w:rFonts w:ascii="Arial" w:eastAsia="Calibri" w:hAnsi="Arial" w:cs="Arial"/>
          <w:color w:val="000000"/>
          <w:lang w:eastAsia="es-ES"/>
        </w:rPr>
      </w:pPr>
    </w:p>
    <w:p w14:paraId="330017AB" w14:textId="77777777" w:rsidR="00D17168" w:rsidRPr="000D4559" w:rsidRDefault="00D17168" w:rsidP="00D17168">
      <w:pPr>
        <w:shd w:val="clear" w:color="auto" w:fill="FFFFFF"/>
        <w:spacing w:after="0" w:line="276" w:lineRule="auto"/>
        <w:jc w:val="both"/>
        <w:rPr>
          <w:rFonts w:ascii="Arial" w:eastAsia="Calibri" w:hAnsi="Arial" w:cs="Arial"/>
          <w:color w:val="000000"/>
          <w:lang w:eastAsia="es-ES"/>
        </w:rPr>
      </w:pPr>
      <w:r w:rsidRPr="000D4559">
        <w:rPr>
          <w:rFonts w:ascii="Arial" w:eastAsia="Calibri" w:hAnsi="Arial" w:cs="Arial"/>
          <w:color w:val="000000"/>
          <w:lang w:eastAsia="es-ES"/>
        </w:rPr>
        <w:t>Con escrito del 17 de octubre de 2019 el apoderado de la parte actora interpuso recurso de apelación contra sentencia de primera instancia.</w:t>
      </w:r>
      <w:r w:rsidRPr="000D4559">
        <w:rPr>
          <w:rFonts w:ascii="Arial" w:eastAsia="Calibri" w:hAnsi="Arial" w:cs="Arial"/>
          <w:color w:val="000000"/>
          <w:lang w:eastAsia="es-ES"/>
        </w:rPr>
        <w:fldChar w:fldCharType="end"/>
      </w:r>
    </w:p>
    <w:p w14:paraId="2598C1B5" w14:textId="77777777" w:rsidR="00D17168" w:rsidRPr="000D4559" w:rsidRDefault="00D17168" w:rsidP="00D17168">
      <w:pPr>
        <w:shd w:val="clear" w:color="auto" w:fill="FFFFFF"/>
        <w:spacing w:after="0" w:line="276" w:lineRule="auto"/>
        <w:jc w:val="both"/>
        <w:rPr>
          <w:rFonts w:ascii="Arial" w:eastAsia="Calibri" w:hAnsi="Arial" w:cs="Arial"/>
          <w:color w:val="000000"/>
          <w:lang w:eastAsia="es-ES"/>
        </w:rPr>
      </w:pPr>
    </w:p>
    <w:p w14:paraId="704BF446" w14:textId="77777777" w:rsidR="00D17168" w:rsidRPr="000D4559" w:rsidRDefault="00D17168" w:rsidP="00D17168">
      <w:pPr>
        <w:shd w:val="clear" w:color="auto" w:fill="FFFFFF"/>
        <w:spacing w:after="0" w:line="276" w:lineRule="auto"/>
        <w:jc w:val="both"/>
        <w:rPr>
          <w:rFonts w:ascii="Arial" w:eastAsia="Calibri" w:hAnsi="Arial" w:cs="Arial"/>
          <w:i/>
          <w:color w:val="000000"/>
          <w:sz w:val="20"/>
          <w:lang w:eastAsia="es-ES"/>
        </w:rPr>
      </w:pPr>
      <w:r w:rsidRPr="000D4559">
        <w:rPr>
          <w:rFonts w:ascii="Arial" w:eastAsia="Calibri" w:hAnsi="Arial" w:cs="Arial"/>
          <w:color w:val="000000"/>
          <w:lang w:eastAsia="es-ES"/>
        </w:rPr>
        <w:t xml:space="preserve">En informe secretarial de octubre 25 de 2019 se anotó: </w:t>
      </w:r>
      <w:r w:rsidRPr="000D4559">
        <w:rPr>
          <w:rFonts w:ascii="Arial" w:eastAsia="Calibri" w:hAnsi="Arial" w:cs="Arial"/>
          <w:i/>
          <w:color w:val="000000"/>
          <w:lang w:eastAsia="es-ES"/>
        </w:rPr>
        <w:t>“</w:t>
      </w:r>
      <w:r w:rsidRPr="000D4559">
        <w:rPr>
          <w:rFonts w:ascii="Arial" w:eastAsia="Calibri" w:hAnsi="Arial" w:cs="Arial"/>
          <w:i/>
          <w:color w:val="000000"/>
          <w:sz w:val="20"/>
          <w:lang w:eastAsia="es-ES"/>
        </w:rPr>
        <w:fldChar w:fldCharType="begin"/>
      </w:r>
      <w:r w:rsidRPr="000D4559">
        <w:rPr>
          <w:rFonts w:ascii="Arial" w:eastAsia="Calibri" w:hAnsi="Arial" w:cs="Arial"/>
          <w:i/>
          <w:color w:val="000000"/>
          <w:sz w:val="20"/>
          <w:lang w:eastAsia="es-ES"/>
        </w:rPr>
        <w:instrText xml:space="preserve"> MERGEFIELD INFORME_SECRETARIAL </w:instrText>
      </w:r>
      <w:r w:rsidRPr="000D4559">
        <w:rPr>
          <w:rFonts w:ascii="Arial" w:eastAsia="Calibri" w:hAnsi="Arial" w:cs="Arial"/>
          <w:i/>
          <w:color w:val="000000"/>
          <w:sz w:val="20"/>
          <w:lang w:eastAsia="es-ES"/>
        </w:rPr>
        <w:fldChar w:fldCharType="separate"/>
      </w:r>
      <w:r w:rsidRPr="000D4559">
        <w:rPr>
          <w:rFonts w:ascii="Arial" w:eastAsia="Calibri" w:hAnsi="Arial" w:cs="Arial"/>
          <w:i/>
          <w:color w:val="000000"/>
          <w:sz w:val="20"/>
          <w:lang w:eastAsia="es-ES"/>
        </w:rPr>
        <w:t>RECURSO DE APELACION CONTRA SENTENCIA DE PRIMERA INSTANCIA OPORTUNAMENTE INTERPUESTO POR JESUS ESCOBAR (OCTUBRE 17 DE 2019). SIRVASE PROVEER.</w:t>
      </w:r>
      <w:r w:rsidRPr="000D4559">
        <w:rPr>
          <w:rFonts w:ascii="Arial" w:eastAsia="Calibri" w:hAnsi="Arial" w:cs="Arial"/>
          <w:i/>
          <w:color w:val="000000"/>
          <w:sz w:val="20"/>
          <w:lang w:eastAsia="es-ES"/>
        </w:rPr>
        <w:fldChar w:fldCharType="end"/>
      </w:r>
      <w:r w:rsidRPr="000D4559">
        <w:rPr>
          <w:rFonts w:ascii="Arial" w:eastAsia="Calibri" w:hAnsi="Arial" w:cs="Arial"/>
          <w:i/>
          <w:color w:val="000000"/>
          <w:sz w:val="20"/>
          <w:lang w:eastAsia="es-ES"/>
        </w:rPr>
        <w:t>”</w:t>
      </w:r>
    </w:p>
    <w:p w14:paraId="2CE71220" w14:textId="77777777" w:rsidR="00D17168" w:rsidRPr="000D4559" w:rsidRDefault="00D17168" w:rsidP="00D17168">
      <w:pPr>
        <w:shd w:val="clear" w:color="auto" w:fill="FFFFFF"/>
        <w:spacing w:after="0" w:line="276" w:lineRule="auto"/>
        <w:jc w:val="both"/>
        <w:rPr>
          <w:rFonts w:ascii="Arial" w:eastAsia="Calibri" w:hAnsi="Arial" w:cs="Arial"/>
          <w:color w:val="000000"/>
          <w:lang w:eastAsia="es-ES"/>
        </w:rPr>
      </w:pPr>
    </w:p>
    <w:p w14:paraId="37AF104B" w14:textId="77777777" w:rsidR="00D17168" w:rsidRPr="000D4559" w:rsidRDefault="00D17168" w:rsidP="00D17168">
      <w:pPr>
        <w:shd w:val="clear" w:color="auto" w:fill="FFFFFF"/>
        <w:spacing w:after="0" w:line="276" w:lineRule="auto"/>
        <w:jc w:val="both"/>
        <w:rPr>
          <w:rFonts w:ascii="Arial" w:eastAsia="Calibri" w:hAnsi="Arial" w:cs="Arial"/>
          <w:lang w:eastAsia="es-ES"/>
        </w:rPr>
      </w:pPr>
      <w:r w:rsidRPr="000D4559">
        <w:rPr>
          <w:rFonts w:ascii="Arial" w:eastAsia="Calibri" w:hAnsi="Arial" w:cs="Arial"/>
          <w:color w:val="000000"/>
          <w:lang w:eastAsia="es-ES"/>
        </w:rPr>
        <w:t xml:space="preserve">Así las </w:t>
      </w:r>
      <w:proofErr w:type="gramStart"/>
      <w:r w:rsidRPr="000D4559">
        <w:rPr>
          <w:rFonts w:ascii="Arial" w:eastAsia="Calibri" w:hAnsi="Arial" w:cs="Arial"/>
          <w:color w:val="000000"/>
          <w:lang w:eastAsia="es-ES"/>
        </w:rPr>
        <w:t>cosas</w:t>
      </w:r>
      <w:proofErr w:type="gramEnd"/>
      <w:r w:rsidRPr="000D4559">
        <w:rPr>
          <w:rFonts w:ascii="Arial" w:eastAsia="Calibri" w:hAnsi="Arial" w:cs="Arial"/>
          <w:color w:val="000000"/>
          <w:lang w:eastAsia="es-ES"/>
        </w:rPr>
        <w:t xml:space="preserve"> procede el Despacho pronunciarse en los siguientes términos:</w:t>
      </w:r>
    </w:p>
    <w:p w14:paraId="5210EFB3" w14:textId="77777777" w:rsidR="00D17168" w:rsidRPr="000D4559" w:rsidRDefault="00D17168" w:rsidP="00D17168">
      <w:pPr>
        <w:spacing w:after="0" w:line="276" w:lineRule="auto"/>
        <w:jc w:val="center"/>
        <w:rPr>
          <w:rFonts w:ascii="Arial" w:eastAsia="Calibri" w:hAnsi="Arial" w:cs="Arial"/>
          <w:b/>
          <w:lang w:eastAsia="es-ES"/>
        </w:rPr>
      </w:pPr>
    </w:p>
    <w:p w14:paraId="6EC899CA" w14:textId="77777777" w:rsidR="00D17168" w:rsidRPr="000D4559" w:rsidRDefault="00D17168" w:rsidP="00D17168">
      <w:pPr>
        <w:spacing w:after="0" w:line="276" w:lineRule="auto"/>
        <w:jc w:val="center"/>
        <w:rPr>
          <w:rFonts w:ascii="Arial" w:eastAsia="Calibri" w:hAnsi="Arial" w:cs="Arial"/>
          <w:b/>
          <w:bCs/>
          <w:lang w:eastAsia="es-ES"/>
        </w:rPr>
      </w:pPr>
      <w:r w:rsidRPr="000D4559">
        <w:rPr>
          <w:rFonts w:ascii="Arial" w:eastAsia="Calibri" w:hAnsi="Arial" w:cs="Arial"/>
          <w:b/>
          <w:bCs/>
          <w:lang w:eastAsia="es-ES"/>
        </w:rPr>
        <w:t>CONSIDERACIONES</w:t>
      </w:r>
    </w:p>
    <w:p w14:paraId="20C0CC93" w14:textId="77777777" w:rsidR="00D17168" w:rsidRPr="000D4559" w:rsidRDefault="00D17168" w:rsidP="00D17168">
      <w:pPr>
        <w:shd w:val="clear" w:color="auto" w:fill="FFFFFF"/>
        <w:spacing w:before="70" w:after="0" w:line="276" w:lineRule="auto"/>
        <w:jc w:val="both"/>
        <w:rPr>
          <w:rFonts w:ascii="Arial" w:eastAsia="Calibri" w:hAnsi="Arial" w:cs="Arial"/>
          <w:b/>
          <w:lang w:eastAsia="es-ES"/>
        </w:rPr>
      </w:pPr>
    </w:p>
    <w:p w14:paraId="1F74F65A" w14:textId="77777777" w:rsidR="001C125D" w:rsidRPr="000D4559" w:rsidRDefault="001C125D" w:rsidP="001556DC">
      <w:pPr>
        <w:pStyle w:val="Prrafodelista"/>
        <w:numPr>
          <w:ilvl w:val="0"/>
          <w:numId w:val="2"/>
        </w:numPr>
        <w:shd w:val="clear" w:color="auto" w:fill="FFFFFF"/>
        <w:spacing w:after="0" w:line="276" w:lineRule="auto"/>
        <w:jc w:val="both"/>
        <w:rPr>
          <w:rFonts w:ascii="Arial" w:eastAsia="Calibri" w:hAnsi="Arial" w:cs="Arial"/>
          <w:b/>
          <w:lang w:eastAsia="es-ES"/>
        </w:rPr>
      </w:pPr>
      <w:r w:rsidRPr="000D4559">
        <w:rPr>
          <w:rFonts w:ascii="Arial" w:eastAsia="Calibri" w:hAnsi="Arial" w:cs="Arial"/>
          <w:b/>
          <w:lang w:eastAsia="es-ES"/>
        </w:rPr>
        <w:t xml:space="preserve">De la decisión del superior. </w:t>
      </w:r>
    </w:p>
    <w:p w14:paraId="651B9117" w14:textId="77777777" w:rsidR="001556DC" w:rsidRPr="000D4559" w:rsidRDefault="001556DC" w:rsidP="001556DC">
      <w:pPr>
        <w:pStyle w:val="Prrafodelista"/>
        <w:shd w:val="clear" w:color="auto" w:fill="FFFFFF"/>
        <w:spacing w:after="0" w:line="276" w:lineRule="auto"/>
        <w:jc w:val="both"/>
        <w:rPr>
          <w:rFonts w:ascii="Arial" w:eastAsia="Calibri" w:hAnsi="Arial" w:cs="Arial"/>
          <w:b/>
          <w:lang w:eastAsia="es-ES"/>
        </w:rPr>
      </w:pPr>
    </w:p>
    <w:p w14:paraId="6D9A1A9C" w14:textId="77777777" w:rsidR="001556DC" w:rsidRPr="000D4559" w:rsidRDefault="001556DC" w:rsidP="001556DC">
      <w:pPr>
        <w:shd w:val="clear" w:color="auto" w:fill="FFFFFF"/>
        <w:spacing w:after="0" w:line="276" w:lineRule="auto"/>
        <w:jc w:val="both"/>
        <w:rPr>
          <w:rFonts w:ascii="Arial" w:eastAsia="Calibri" w:hAnsi="Arial" w:cs="Arial"/>
          <w:lang w:eastAsia="es-ES"/>
        </w:rPr>
      </w:pPr>
      <w:r w:rsidRPr="000D4559">
        <w:rPr>
          <w:rFonts w:ascii="Arial" w:eastAsia="Calibri" w:hAnsi="Arial" w:cs="Arial"/>
          <w:lang w:eastAsia="es-ES"/>
        </w:rPr>
        <w:t xml:space="preserve">En audiencia del 7 de junio de 2019 se decretaron y negaron </w:t>
      </w:r>
      <w:proofErr w:type="gramStart"/>
      <w:r w:rsidRPr="000D4559">
        <w:rPr>
          <w:rFonts w:ascii="Arial" w:eastAsia="Calibri" w:hAnsi="Arial" w:cs="Arial"/>
          <w:lang w:eastAsia="es-ES"/>
        </w:rPr>
        <w:t>algunas  pruebas</w:t>
      </w:r>
      <w:proofErr w:type="gramEnd"/>
      <w:r w:rsidRPr="000D4559">
        <w:rPr>
          <w:rFonts w:ascii="Arial" w:eastAsia="Calibri" w:hAnsi="Arial" w:cs="Arial"/>
          <w:lang w:eastAsia="es-ES"/>
        </w:rPr>
        <w:t>, en relaciona estas últimas se interpuso recurso de apelación el cual fue concedido en el efecto devolutivo.</w:t>
      </w:r>
    </w:p>
    <w:p w14:paraId="4BFBCB28" w14:textId="77777777" w:rsidR="001556DC" w:rsidRPr="000D4559" w:rsidRDefault="001556DC" w:rsidP="001556DC">
      <w:pPr>
        <w:shd w:val="clear" w:color="auto" w:fill="FFFFFF"/>
        <w:spacing w:after="0" w:line="276" w:lineRule="auto"/>
        <w:jc w:val="both"/>
        <w:rPr>
          <w:rFonts w:ascii="Arial" w:eastAsia="Calibri" w:hAnsi="Arial" w:cs="Arial"/>
          <w:lang w:eastAsia="es-ES"/>
        </w:rPr>
      </w:pPr>
    </w:p>
    <w:p w14:paraId="15AD9A5F" w14:textId="77777777" w:rsidR="001C125D" w:rsidRPr="000D4559" w:rsidRDefault="001556DC" w:rsidP="001556DC">
      <w:pPr>
        <w:shd w:val="clear" w:color="auto" w:fill="FFFFFF"/>
        <w:spacing w:after="0" w:line="276" w:lineRule="auto"/>
        <w:jc w:val="both"/>
        <w:rPr>
          <w:rFonts w:ascii="Arial" w:eastAsia="Calibri" w:hAnsi="Arial" w:cs="Arial"/>
          <w:lang w:eastAsia="es-ES"/>
        </w:rPr>
      </w:pPr>
      <w:r w:rsidRPr="000D4559">
        <w:rPr>
          <w:rFonts w:ascii="Arial" w:eastAsia="Calibri" w:hAnsi="Arial" w:cs="Arial"/>
          <w:lang w:eastAsia="es-ES"/>
        </w:rPr>
        <w:t>M</w:t>
      </w:r>
      <w:r w:rsidR="001C125D" w:rsidRPr="000D4559">
        <w:rPr>
          <w:rFonts w:ascii="Arial" w:eastAsia="Calibri" w:hAnsi="Arial" w:cs="Arial"/>
          <w:lang w:eastAsia="es-ES"/>
        </w:rPr>
        <w:t>ediante providenci</w:t>
      </w:r>
      <w:r w:rsidR="008A5427" w:rsidRPr="000D4559">
        <w:rPr>
          <w:rFonts w:ascii="Arial" w:eastAsia="Calibri" w:hAnsi="Arial" w:cs="Arial"/>
          <w:lang w:eastAsia="es-ES"/>
        </w:rPr>
        <w:t xml:space="preserve">a del 25 de octubre de 2019 el Tribunal Administrativo de Cundinamarca – Sección Tercera – Subsección C MP: </w:t>
      </w:r>
      <w:proofErr w:type="spellStart"/>
      <w:r w:rsidR="008A5427" w:rsidRPr="000D4559">
        <w:rPr>
          <w:rFonts w:ascii="Arial" w:eastAsia="Calibri" w:hAnsi="Arial" w:cs="Arial"/>
          <w:lang w:eastAsia="es-ES"/>
        </w:rPr>
        <w:t>Maria</w:t>
      </w:r>
      <w:proofErr w:type="spellEnd"/>
      <w:r w:rsidR="008A5427" w:rsidRPr="000D4559">
        <w:rPr>
          <w:rFonts w:ascii="Arial" w:eastAsia="Calibri" w:hAnsi="Arial" w:cs="Arial"/>
          <w:lang w:eastAsia="es-ES"/>
        </w:rPr>
        <w:t xml:space="preserve"> Cristina Quintero Facundo decidió:</w:t>
      </w:r>
    </w:p>
    <w:p w14:paraId="4007E403" w14:textId="77777777" w:rsidR="008A5427" w:rsidRPr="000D4559" w:rsidRDefault="008A5427" w:rsidP="001556DC">
      <w:pPr>
        <w:shd w:val="clear" w:color="auto" w:fill="FFFFFF"/>
        <w:spacing w:before="70" w:after="0" w:line="276" w:lineRule="auto"/>
        <w:ind w:left="360"/>
        <w:jc w:val="both"/>
        <w:rPr>
          <w:rFonts w:ascii="Arial" w:eastAsia="Calibri" w:hAnsi="Arial" w:cs="Arial"/>
          <w:i/>
          <w:sz w:val="20"/>
          <w:lang w:eastAsia="es-ES"/>
        </w:rPr>
      </w:pPr>
      <w:r w:rsidRPr="000D4559">
        <w:rPr>
          <w:rFonts w:ascii="Arial" w:eastAsia="Calibri" w:hAnsi="Arial" w:cs="Arial"/>
          <w:i/>
          <w:lang w:eastAsia="es-ES"/>
        </w:rPr>
        <w:t>“</w:t>
      </w:r>
      <w:r w:rsidRPr="000D4559">
        <w:rPr>
          <w:rFonts w:ascii="Arial" w:eastAsia="Calibri" w:hAnsi="Arial" w:cs="Arial"/>
          <w:i/>
          <w:sz w:val="20"/>
          <w:lang w:eastAsia="es-ES"/>
        </w:rPr>
        <w:t>PRIMERO: REVOCAR parcialmente el numeral 1.1. del auto proferido en audiencia inicial por el Juzgado Treinta y Cuatro Administrativo del Circuito de Boga el 7 de junio de 2018, que denegó parcialmente pruebas documentales solicitadas por la activa y en su lugar se dispone:</w:t>
      </w:r>
    </w:p>
    <w:p w14:paraId="09C31518" w14:textId="77777777" w:rsidR="008A5427" w:rsidRPr="000D4559" w:rsidRDefault="008A5427" w:rsidP="001556DC">
      <w:pPr>
        <w:pStyle w:val="Prrafodelista"/>
        <w:numPr>
          <w:ilvl w:val="0"/>
          <w:numId w:val="3"/>
        </w:numPr>
        <w:shd w:val="clear" w:color="auto" w:fill="FFFFFF"/>
        <w:spacing w:before="70" w:after="0" w:line="276" w:lineRule="auto"/>
        <w:ind w:left="1080"/>
        <w:jc w:val="both"/>
        <w:rPr>
          <w:rFonts w:ascii="Arial" w:eastAsia="Calibri" w:hAnsi="Arial" w:cs="Arial"/>
          <w:i/>
          <w:sz w:val="20"/>
          <w:lang w:eastAsia="es-ES"/>
        </w:rPr>
      </w:pPr>
      <w:r w:rsidRPr="000D4559">
        <w:rPr>
          <w:rFonts w:ascii="Arial" w:eastAsia="Calibri" w:hAnsi="Arial" w:cs="Arial"/>
          <w:i/>
          <w:sz w:val="20"/>
          <w:lang w:eastAsia="es-ES"/>
        </w:rPr>
        <w:t xml:space="preserve">Oficiar al Defensor Regional del Pueblo de Caquetá, si para el año 2015, se realizaron </w:t>
      </w:r>
      <w:r w:rsidR="000D4559" w:rsidRPr="000D4559">
        <w:rPr>
          <w:rFonts w:ascii="Arial" w:eastAsia="Calibri" w:hAnsi="Arial" w:cs="Arial"/>
          <w:i/>
          <w:sz w:val="20"/>
          <w:lang w:eastAsia="es-ES"/>
        </w:rPr>
        <w:t>alerta temprana</w:t>
      </w:r>
      <w:r w:rsidRPr="000D4559">
        <w:rPr>
          <w:rFonts w:ascii="Arial" w:eastAsia="Calibri" w:hAnsi="Arial" w:cs="Arial"/>
          <w:i/>
          <w:sz w:val="20"/>
          <w:lang w:eastAsia="es-ES"/>
        </w:rPr>
        <w:t xml:space="preserve"> y/o informes de riesgo respecto de la situación de riesgo de las comunidades residentes en la jurisdicción del caserío Santa Ana Ramos y alrededores del Municipio de Puerto Rico Caquetá, con ocasión de la presencia de grupos armados.</w:t>
      </w:r>
    </w:p>
    <w:p w14:paraId="1C0CF092" w14:textId="77777777" w:rsidR="008A5427" w:rsidRPr="000D4559" w:rsidRDefault="008A5427" w:rsidP="001556DC">
      <w:pPr>
        <w:pStyle w:val="Prrafodelista"/>
        <w:shd w:val="clear" w:color="auto" w:fill="FFFFFF"/>
        <w:spacing w:before="70" w:after="0" w:line="276" w:lineRule="auto"/>
        <w:ind w:left="1080"/>
        <w:jc w:val="both"/>
        <w:rPr>
          <w:rFonts w:ascii="Arial" w:eastAsia="Calibri" w:hAnsi="Arial" w:cs="Arial"/>
          <w:i/>
          <w:sz w:val="20"/>
          <w:lang w:eastAsia="es-ES"/>
        </w:rPr>
      </w:pPr>
    </w:p>
    <w:p w14:paraId="3775C304" w14:textId="77777777" w:rsidR="008A5427" w:rsidRPr="000D4559" w:rsidRDefault="008A5427" w:rsidP="001556DC">
      <w:pPr>
        <w:pStyle w:val="Prrafodelista"/>
        <w:numPr>
          <w:ilvl w:val="0"/>
          <w:numId w:val="3"/>
        </w:numPr>
        <w:shd w:val="clear" w:color="auto" w:fill="FFFFFF"/>
        <w:spacing w:before="70" w:after="0" w:line="276" w:lineRule="auto"/>
        <w:ind w:left="1080"/>
        <w:jc w:val="both"/>
        <w:rPr>
          <w:rFonts w:ascii="Arial" w:eastAsia="Calibri" w:hAnsi="Arial" w:cs="Arial"/>
          <w:i/>
          <w:sz w:val="20"/>
          <w:lang w:eastAsia="es-ES"/>
        </w:rPr>
      </w:pPr>
      <w:r w:rsidRPr="000D4559">
        <w:rPr>
          <w:rFonts w:ascii="Arial" w:eastAsia="Calibri" w:hAnsi="Arial" w:cs="Arial"/>
          <w:i/>
          <w:sz w:val="20"/>
          <w:lang w:eastAsia="es-ES"/>
        </w:rPr>
        <w:t>Oficiar al Director de Aeronáutica Civil de Colombia, y/o al señor Comandante de la Fuerza Aérea Colombiana, disponga lo pertinente u orden a quien corresponda, establecer en que coordenadas se encuentran ubicadas cada una de las Bases Militares de Tres Esquinas (Caquetá), la Base avanzada de Puerto Rico (Caquetá), el Fuerte Militar de Larandia (Caquetá), y la Décimo Segunda Brigada con sede en Florencia, a fin de establecer que tiempo en minutos de vuelo se hubiera demorado en llegar el apoyo militar helicóptero, e cualquiera de estas bases al momento de ataque armado donde falleció el señor LIBARDO SILVA MORALES.</w:t>
      </w:r>
    </w:p>
    <w:p w14:paraId="3BC75036" w14:textId="77777777" w:rsidR="008A5427" w:rsidRPr="000D4559" w:rsidRDefault="008A5427" w:rsidP="001556DC">
      <w:pPr>
        <w:pStyle w:val="Prrafodelista"/>
        <w:ind w:left="1080"/>
        <w:rPr>
          <w:rFonts w:ascii="Arial" w:eastAsia="Calibri" w:hAnsi="Arial" w:cs="Arial"/>
          <w:i/>
          <w:sz w:val="20"/>
          <w:lang w:eastAsia="es-ES"/>
        </w:rPr>
      </w:pPr>
    </w:p>
    <w:p w14:paraId="685D06B3" w14:textId="77777777" w:rsidR="008A5427" w:rsidRPr="000D4559" w:rsidRDefault="008A5427" w:rsidP="001556DC">
      <w:pPr>
        <w:pStyle w:val="Prrafodelista"/>
        <w:numPr>
          <w:ilvl w:val="0"/>
          <w:numId w:val="3"/>
        </w:numPr>
        <w:shd w:val="clear" w:color="auto" w:fill="FFFFFF"/>
        <w:spacing w:before="70" w:after="0" w:line="276" w:lineRule="auto"/>
        <w:ind w:left="1080"/>
        <w:jc w:val="both"/>
        <w:rPr>
          <w:rFonts w:ascii="Arial" w:eastAsia="Calibri" w:hAnsi="Arial" w:cs="Arial"/>
          <w:i/>
          <w:sz w:val="20"/>
          <w:lang w:eastAsia="es-ES"/>
        </w:rPr>
      </w:pPr>
      <w:r w:rsidRPr="000D4559">
        <w:rPr>
          <w:rFonts w:ascii="Arial" w:eastAsia="Calibri" w:hAnsi="Arial" w:cs="Arial"/>
          <w:i/>
          <w:sz w:val="20"/>
          <w:lang w:eastAsia="es-ES"/>
        </w:rPr>
        <w:lastRenderedPageBreak/>
        <w:t xml:space="preserve">Se concede un </w:t>
      </w:r>
      <w:r w:rsidR="000D4559" w:rsidRPr="000D4559">
        <w:rPr>
          <w:rFonts w:ascii="Arial" w:eastAsia="Calibri" w:hAnsi="Arial" w:cs="Arial"/>
          <w:i/>
          <w:sz w:val="20"/>
          <w:lang w:eastAsia="es-ES"/>
        </w:rPr>
        <w:t>término</w:t>
      </w:r>
      <w:r w:rsidRPr="000D4559">
        <w:rPr>
          <w:rFonts w:ascii="Arial" w:eastAsia="Calibri" w:hAnsi="Arial" w:cs="Arial"/>
          <w:i/>
          <w:sz w:val="20"/>
          <w:lang w:eastAsia="es-ES"/>
        </w:rPr>
        <w:t xml:space="preserve"> de </w:t>
      </w:r>
      <w:r w:rsidR="000D4559" w:rsidRPr="000D4559">
        <w:rPr>
          <w:rFonts w:ascii="Arial" w:eastAsia="Calibri" w:hAnsi="Arial" w:cs="Arial"/>
          <w:i/>
          <w:sz w:val="20"/>
          <w:lang w:eastAsia="es-ES"/>
        </w:rPr>
        <w:t>cinco</w:t>
      </w:r>
      <w:r w:rsidRPr="000D4559">
        <w:rPr>
          <w:rFonts w:ascii="Arial" w:eastAsia="Calibri" w:hAnsi="Arial" w:cs="Arial"/>
          <w:i/>
          <w:sz w:val="20"/>
          <w:lang w:eastAsia="es-ES"/>
        </w:rPr>
        <w:t xml:space="preserve"> (5) días contados partir de la recepción de oficio que se elabore en cumplimiento de esta providencia.</w:t>
      </w:r>
    </w:p>
    <w:p w14:paraId="53D6EE1F" w14:textId="77777777" w:rsidR="008A5427" w:rsidRPr="000D4559" w:rsidRDefault="008A5427" w:rsidP="001556DC">
      <w:pPr>
        <w:shd w:val="clear" w:color="auto" w:fill="FFFFFF"/>
        <w:spacing w:before="70" w:after="0" w:line="276" w:lineRule="auto"/>
        <w:ind w:left="360"/>
        <w:jc w:val="both"/>
        <w:rPr>
          <w:rFonts w:ascii="Arial" w:eastAsia="Calibri" w:hAnsi="Arial" w:cs="Arial"/>
          <w:i/>
          <w:sz w:val="20"/>
          <w:lang w:eastAsia="es-ES"/>
        </w:rPr>
      </w:pPr>
      <w:r w:rsidRPr="000D4559">
        <w:rPr>
          <w:rFonts w:ascii="Arial" w:eastAsia="Calibri" w:hAnsi="Arial" w:cs="Arial"/>
          <w:i/>
          <w:sz w:val="20"/>
          <w:lang w:eastAsia="es-ES"/>
        </w:rPr>
        <w:t>(…)”</w:t>
      </w:r>
    </w:p>
    <w:p w14:paraId="777A0715" w14:textId="77777777" w:rsidR="001556DC" w:rsidRPr="000D4559" w:rsidRDefault="001556DC" w:rsidP="001556DC">
      <w:pPr>
        <w:shd w:val="clear" w:color="auto" w:fill="FFFFFF"/>
        <w:spacing w:before="70" w:after="0" w:line="276" w:lineRule="auto"/>
        <w:ind w:left="360"/>
        <w:jc w:val="both"/>
        <w:rPr>
          <w:rFonts w:ascii="Arial" w:eastAsia="Calibri" w:hAnsi="Arial" w:cs="Arial"/>
          <w:i/>
          <w:lang w:eastAsia="es-ES"/>
        </w:rPr>
      </w:pPr>
    </w:p>
    <w:p w14:paraId="1F6E9915" w14:textId="77777777" w:rsidR="001556DC" w:rsidRPr="000D4559" w:rsidRDefault="001556DC" w:rsidP="008A5427">
      <w:pPr>
        <w:shd w:val="clear" w:color="auto" w:fill="FFFFFF"/>
        <w:spacing w:before="70" w:after="0" w:line="276" w:lineRule="auto"/>
        <w:jc w:val="both"/>
        <w:rPr>
          <w:rFonts w:ascii="Arial" w:eastAsia="Calibri" w:hAnsi="Arial" w:cs="Arial"/>
          <w:lang w:eastAsia="es-ES"/>
        </w:rPr>
      </w:pPr>
      <w:r w:rsidRPr="000D4559">
        <w:rPr>
          <w:rFonts w:ascii="Arial" w:eastAsia="Calibri" w:hAnsi="Arial" w:cs="Arial"/>
          <w:lang w:eastAsia="es-ES"/>
        </w:rPr>
        <w:t xml:space="preserve">Frente al efecto de las decisiones del superior sobre el decreto y práctica de pruebas en primera instancia el artículo 330 de C.G.P señala: </w:t>
      </w:r>
    </w:p>
    <w:p w14:paraId="70F37632" w14:textId="77777777" w:rsidR="001556DC" w:rsidRPr="000D4559" w:rsidRDefault="001556DC" w:rsidP="000D4559">
      <w:pPr>
        <w:shd w:val="clear" w:color="auto" w:fill="FFFFFF"/>
        <w:spacing w:after="0" w:line="276" w:lineRule="auto"/>
        <w:jc w:val="both"/>
        <w:rPr>
          <w:rFonts w:ascii="Arial" w:eastAsia="Calibri" w:hAnsi="Arial" w:cs="Arial"/>
          <w:sz w:val="20"/>
          <w:lang w:eastAsia="es-ES"/>
        </w:rPr>
      </w:pPr>
    </w:p>
    <w:p w14:paraId="470A4583" w14:textId="77777777" w:rsidR="001556DC" w:rsidRDefault="001556DC" w:rsidP="000D4559">
      <w:pPr>
        <w:shd w:val="clear" w:color="auto" w:fill="FFFFFF"/>
        <w:spacing w:after="0" w:line="276" w:lineRule="auto"/>
        <w:ind w:left="708"/>
        <w:jc w:val="both"/>
        <w:rPr>
          <w:rFonts w:ascii="Arial" w:eastAsia="Calibri" w:hAnsi="Arial" w:cs="Arial"/>
          <w:b/>
          <w:i/>
          <w:sz w:val="20"/>
          <w:lang w:eastAsia="es-ES"/>
        </w:rPr>
      </w:pPr>
      <w:r w:rsidRPr="000D4559">
        <w:rPr>
          <w:rFonts w:ascii="Arial" w:eastAsia="Calibri" w:hAnsi="Arial" w:cs="Arial"/>
          <w:i/>
          <w:sz w:val="20"/>
          <w:lang w:eastAsia="es-ES"/>
        </w:rPr>
        <w:t>“</w:t>
      </w:r>
      <w:r w:rsidRPr="000D4559">
        <w:rPr>
          <w:rFonts w:ascii="Arial" w:eastAsia="Calibri" w:hAnsi="Arial" w:cs="Arial"/>
          <w:b/>
          <w:i/>
          <w:sz w:val="20"/>
          <w:lang w:eastAsia="es-ES"/>
        </w:rPr>
        <w:t>Si el superior revoca</w:t>
      </w:r>
      <w:r w:rsidRPr="000D4559">
        <w:rPr>
          <w:rFonts w:ascii="Arial" w:eastAsia="Calibri" w:hAnsi="Arial" w:cs="Arial"/>
          <w:i/>
          <w:sz w:val="20"/>
          <w:lang w:eastAsia="es-ES"/>
        </w:rPr>
        <w:t xml:space="preserve"> o reforma </w:t>
      </w:r>
      <w:r w:rsidRPr="000D4559">
        <w:rPr>
          <w:rFonts w:ascii="Arial" w:eastAsia="Calibri" w:hAnsi="Arial" w:cs="Arial"/>
          <w:b/>
          <w:i/>
          <w:sz w:val="20"/>
          <w:lang w:eastAsia="es-ES"/>
        </w:rPr>
        <w:t>el auto que había negado el decreto o práctica de una prueba</w:t>
      </w:r>
      <w:r w:rsidRPr="000D4559">
        <w:rPr>
          <w:rFonts w:ascii="Arial" w:eastAsia="Calibri" w:hAnsi="Arial" w:cs="Arial"/>
          <w:i/>
          <w:sz w:val="20"/>
          <w:lang w:eastAsia="es-ES"/>
        </w:rPr>
        <w:t xml:space="preserve"> y el juez no ha proferido sentencia, este dispondrá su práctica en la audiencia de instrucción y juzgamiento, si aún no se hubiere realizado, o fijará audiencia con ese propósito. </w:t>
      </w:r>
      <w:r w:rsidRPr="000D4559">
        <w:rPr>
          <w:rFonts w:ascii="Arial" w:eastAsia="Calibri" w:hAnsi="Arial" w:cs="Arial"/>
          <w:b/>
          <w:i/>
          <w:sz w:val="20"/>
          <w:lang w:eastAsia="es-ES"/>
        </w:rPr>
        <w:t>Si la sentencia fue emitida antes de resolverse la apelación y aquella también fue objeto de este recurso, el superior practicará las pruebas en la audiencia de sustentación y fallo.</w:t>
      </w:r>
    </w:p>
    <w:p w14:paraId="70199B69" w14:textId="77777777" w:rsidR="000D4559" w:rsidRPr="000D4559" w:rsidRDefault="000D4559" w:rsidP="000D4559">
      <w:pPr>
        <w:shd w:val="clear" w:color="auto" w:fill="FFFFFF"/>
        <w:spacing w:after="0" w:line="276" w:lineRule="auto"/>
        <w:ind w:left="708"/>
        <w:jc w:val="both"/>
        <w:rPr>
          <w:rFonts w:ascii="Arial" w:eastAsia="Calibri" w:hAnsi="Arial" w:cs="Arial"/>
          <w:b/>
          <w:i/>
          <w:sz w:val="20"/>
          <w:lang w:eastAsia="es-ES"/>
        </w:rPr>
      </w:pPr>
    </w:p>
    <w:p w14:paraId="216C0FC5" w14:textId="77777777" w:rsidR="000D4559" w:rsidRPr="000D4559" w:rsidRDefault="001556DC" w:rsidP="001556DC">
      <w:pPr>
        <w:shd w:val="clear" w:color="auto" w:fill="FFFFFF"/>
        <w:jc w:val="both"/>
        <w:rPr>
          <w:rFonts w:ascii="Arial" w:hAnsi="Arial" w:cs="Arial"/>
        </w:rPr>
      </w:pPr>
      <w:r w:rsidRPr="000D4559">
        <w:rPr>
          <w:rFonts w:ascii="Arial" w:hAnsi="Arial" w:cs="Arial"/>
        </w:rPr>
        <w:t xml:space="preserve">En el caso que nos ocupa el recurso se concedió en el efecto devolutivo, por lo que no se suspendió el curso del proceso y se dictó sentencia el </w:t>
      </w:r>
      <w:r w:rsidR="000D4559" w:rsidRPr="000D4559">
        <w:rPr>
          <w:rFonts w:ascii="Arial" w:hAnsi="Arial" w:cs="Arial"/>
          <w:b/>
        </w:rPr>
        <w:t>30 de septiembre de 2019</w:t>
      </w:r>
      <w:r w:rsidRPr="000D4559">
        <w:rPr>
          <w:rFonts w:ascii="Arial" w:hAnsi="Arial" w:cs="Arial"/>
        </w:rPr>
        <w:t>, frente al cual se</w:t>
      </w:r>
      <w:r w:rsidR="000D4559" w:rsidRPr="000D4559">
        <w:rPr>
          <w:rFonts w:ascii="Arial" w:hAnsi="Arial" w:cs="Arial"/>
        </w:rPr>
        <w:t xml:space="preserve"> interpuso recurso de apelación. Como la decisión del superior en relación al recurso de apelación contra el auto que negó pruebas se profirió el </w:t>
      </w:r>
      <w:r w:rsidR="000D4559" w:rsidRPr="000D4559">
        <w:rPr>
          <w:rFonts w:ascii="Arial" w:hAnsi="Arial" w:cs="Arial"/>
          <w:b/>
        </w:rPr>
        <w:t>25 de octubre</w:t>
      </w:r>
      <w:r w:rsidR="000D4559" w:rsidRPr="000D4559">
        <w:rPr>
          <w:rFonts w:ascii="Arial" w:hAnsi="Arial" w:cs="Arial"/>
        </w:rPr>
        <w:t xml:space="preserve"> </w:t>
      </w:r>
      <w:r w:rsidR="000D4559" w:rsidRPr="000D4559">
        <w:rPr>
          <w:rFonts w:ascii="Arial" w:hAnsi="Arial" w:cs="Arial"/>
          <w:b/>
        </w:rPr>
        <w:t>de 2019</w:t>
      </w:r>
      <w:r w:rsidR="000D4559" w:rsidRPr="000D4559">
        <w:rPr>
          <w:rFonts w:ascii="Arial" w:hAnsi="Arial" w:cs="Arial"/>
        </w:rPr>
        <w:t xml:space="preserve">, encuentra el Despacho que es posterior a la sentencia; por tanto se debe dar aplicación a la última parte </w:t>
      </w:r>
      <w:proofErr w:type="gramStart"/>
      <w:r w:rsidR="000D4559" w:rsidRPr="000D4559">
        <w:rPr>
          <w:rFonts w:ascii="Arial" w:hAnsi="Arial" w:cs="Arial"/>
        </w:rPr>
        <w:t>del  artículo</w:t>
      </w:r>
      <w:proofErr w:type="gramEnd"/>
      <w:r w:rsidR="000D4559" w:rsidRPr="000D4559">
        <w:rPr>
          <w:rFonts w:ascii="Arial" w:hAnsi="Arial" w:cs="Arial"/>
        </w:rPr>
        <w:t xml:space="preserve"> 330 del C.G.P y en consecuencia,  deberán ser practicadas las pruebas por el Juez de segunda instancia.</w:t>
      </w:r>
    </w:p>
    <w:p w14:paraId="49A5BF86" w14:textId="77777777" w:rsidR="001C125D" w:rsidRPr="000D4559" w:rsidRDefault="000D4559" w:rsidP="008E5F4B">
      <w:pPr>
        <w:pStyle w:val="Prrafodelista"/>
        <w:numPr>
          <w:ilvl w:val="0"/>
          <w:numId w:val="2"/>
        </w:numPr>
        <w:shd w:val="clear" w:color="auto" w:fill="FFFFFF"/>
        <w:spacing w:before="70" w:after="0" w:line="276" w:lineRule="auto"/>
        <w:jc w:val="both"/>
        <w:rPr>
          <w:rFonts w:ascii="Arial" w:eastAsia="Calibri" w:hAnsi="Arial" w:cs="Arial"/>
          <w:b/>
          <w:lang w:eastAsia="es-ES"/>
        </w:rPr>
      </w:pPr>
      <w:r w:rsidRPr="000D4559">
        <w:rPr>
          <w:rFonts w:ascii="Arial" w:eastAsia="Calibri" w:hAnsi="Arial" w:cs="Arial"/>
          <w:b/>
          <w:bCs/>
        </w:rPr>
        <w:t xml:space="preserve">De recuro de apelación contra sentencia de primera instancia. </w:t>
      </w:r>
    </w:p>
    <w:p w14:paraId="76B1520A" w14:textId="77777777" w:rsidR="000D4559" w:rsidRPr="000D4559" w:rsidRDefault="000D4559" w:rsidP="000D4559">
      <w:pPr>
        <w:pStyle w:val="Prrafodelista"/>
        <w:shd w:val="clear" w:color="auto" w:fill="FFFFFF"/>
        <w:spacing w:before="70" w:after="0" w:line="276" w:lineRule="auto"/>
        <w:jc w:val="both"/>
        <w:rPr>
          <w:rFonts w:ascii="Arial" w:eastAsia="Calibri" w:hAnsi="Arial" w:cs="Arial"/>
          <w:lang w:eastAsia="es-ES"/>
        </w:rPr>
      </w:pPr>
    </w:p>
    <w:p w14:paraId="0BA54C16" w14:textId="77777777" w:rsidR="00D17168" w:rsidRPr="000D4559" w:rsidRDefault="00D17168" w:rsidP="00D17168">
      <w:pPr>
        <w:shd w:val="clear" w:color="auto" w:fill="FFFFFF"/>
        <w:spacing w:before="70" w:after="0" w:line="276" w:lineRule="auto"/>
        <w:jc w:val="both"/>
        <w:rPr>
          <w:rFonts w:ascii="Arial" w:eastAsia="Calibri" w:hAnsi="Arial" w:cs="Arial"/>
          <w:i/>
          <w:color w:val="000000"/>
          <w:spacing w:val="-4"/>
          <w:lang w:eastAsia="es-ES"/>
        </w:rPr>
      </w:pPr>
      <w:r w:rsidRPr="000D4559">
        <w:rPr>
          <w:rFonts w:ascii="Arial" w:eastAsia="Calibri" w:hAnsi="Arial" w:cs="Arial"/>
          <w:lang w:eastAsia="es-ES"/>
        </w:rPr>
        <w:t>El artículo 247 del Código de Procedimiento Administrativo y de lo Contencioso Administrativo señala que</w:t>
      </w:r>
      <w:r w:rsidRPr="000D4559">
        <w:rPr>
          <w:rFonts w:ascii="Arial" w:eastAsia="Calibri" w:hAnsi="Arial" w:cs="Arial"/>
          <w:b/>
          <w:bCs/>
          <w:i/>
          <w:color w:val="000000"/>
          <w:spacing w:val="-2"/>
          <w:lang w:eastAsia="es-ES"/>
        </w:rPr>
        <w:t xml:space="preserve"> </w:t>
      </w:r>
      <w:r w:rsidRPr="000D4559">
        <w:rPr>
          <w:rFonts w:ascii="Arial" w:eastAsia="Calibri" w:hAnsi="Arial" w:cs="Arial"/>
          <w:bCs/>
          <w:i/>
          <w:color w:val="000000"/>
          <w:spacing w:val="-2"/>
          <w:sz w:val="20"/>
          <w:lang w:eastAsia="es-ES"/>
        </w:rPr>
        <w:t xml:space="preserve">“(…) </w:t>
      </w:r>
      <w:r w:rsidRPr="000D4559">
        <w:rPr>
          <w:rFonts w:ascii="Arial" w:eastAsia="Calibri" w:hAnsi="Arial" w:cs="Arial"/>
          <w:i/>
          <w:color w:val="000000"/>
          <w:spacing w:val="-4"/>
          <w:sz w:val="20"/>
          <w:lang w:eastAsia="es-ES"/>
        </w:rPr>
        <w:t>El recurso de apelación contra las sentencias proferidas en primera instancia se tramitara de acuerdo con el siguiente procedimiento</w:t>
      </w:r>
      <w:r w:rsidRPr="000D4559">
        <w:rPr>
          <w:rFonts w:ascii="Arial" w:eastAsia="Calibri" w:hAnsi="Arial" w:cs="Arial"/>
          <w:i/>
          <w:color w:val="000000"/>
          <w:spacing w:val="-4"/>
          <w:lang w:eastAsia="es-ES"/>
        </w:rPr>
        <w:t>:</w:t>
      </w:r>
    </w:p>
    <w:p w14:paraId="5F64A49C" w14:textId="77777777" w:rsidR="00D17168" w:rsidRPr="000D4559" w:rsidRDefault="00D17168" w:rsidP="00D17168">
      <w:pPr>
        <w:shd w:val="clear" w:color="auto" w:fill="FFFFFF"/>
        <w:spacing w:before="70" w:after="0" w:line="276" w:lineRule="auto"/>
        <w:jc w:val="both"/>
        <w:rPr>
          <w:rFonts w:ascii="Arial" w:eastAsia="Calibri" w:hAnsi="Arial" w:cs="Arial"/>
          <w:i/>
          <w:color w:val="000000"/>
          <w:spacing w:val="-4"/>
          <w:sz w:val="20"/>
          <w:lang w:eastAsia="es-ES"/>
        </w:rPr>
      </w:pPr>
    </w:p>
    <w:p w14:paraId="330BCC7D" w14:textId="77777777" w:rsidR="00D17168" w:rsidRPr="000D4559" w:rsidRDefault="00D17168" w:rsidP="00D17168">
      <w:pPr>
        <w:numPr>
          <w:ilvl w:val="0"/>
          <w:numId w:val="1"/>
        </w:numPr>
        <w:shd w:val="clear" w:color="auto" w:fill="FFFFFF"/>
        <w:spacing w:before="70" w:after="0" w:line="276" w:lineRule="auto"/>
        <w:contextualSpacing/>
        <w:jc w:val="both"/>
        <w:rPr>
          <w:rFonts w:ascii="Arial" w:eastAsia="Calibri" w:hAnsi="Arial" w:cs="Arial"/>
          <w:b/>
          <w:i/>
          <w:color w:val="000000"/>
          <w:spacing w:val="-3"/>
          <w:sz w:val="20"/>
          <w:lang w:eastAsia="es-ES"/>
        </w:rPr>
      </w:pPr>
      <w:r w:rsidRPr="000D4559">
        <w:rPr>
          <w:rFonts w:ascii="Arial" w:eastAsia="Calibri" w:hAnsi="Arial" w:cs="Arial"/>
          <w:i/>
          <w:color w:val="000000"/>
          <w:spacing w:val="-7"/>
          <w:sz w:val="20"/>
          <w:lang w:eastAsia="es-ES"/>
        </w:rPr>
        <w:t>El re</w:t>
      </w:r>
      <w:r w:rsidRPr="000D4559">
        <w:rPr>
          <w:rFonts w:ascii="Arial" w:eastAsia="Calibri" w:hAnsi="Arial" w:cs="Arial"/>
          <w:i/>
          <w:color w:val="000000"/>
          <w:spacing w:val="-2"/>
          <w:sz w:val="20"/>
          <w:lang w:eastAsia="es-ES"/>
        </w:rPr>
        <w:t xml:space="preserve">curso deberá interponerse y sustentarse ante </w:t>
      </w:r>
      <w:proofErr w:type="gramStart"/>
      <w:r w:rsidRPr="000D4559">
        <w:rPr>
          <w:rFonts w:ascii="Arial" w:eastAsia="Calibri" w:hAnsi="Arial" w:cs="Arial"/>
          <w:i/>
          <w:color w:val="000000"/>
          <w:spacing w:val="-2"/>
          <w:sz w:val="20"/>
          <w:lang w:eastAsia="es-ES"/>
        </w:rPr>
        <w:t>la  autoridad</w:t>
      </w:r>
      <w:proofErr w:type="gramEnd"/>
      <w:r w:rsidRPr="000D4559">
        <w:rPr>
          <w:rFonts w:ascii="Arial" w:eastAsia="Calibri" w:hAnsi="Arial" w:cs="Arial"/>
          <w:i/>
          <w:color w:val="000000"/>
          <w:spacing w:val="-2"/>
          <w:sz w:val="20"/>
          <w:lang w:eastAsia="es-ES"/>
        </w:rPr>
        <w:t xml:space="preserve"> </w:t>
      </w:r>
      <w:r w:rsidRPr="000D4559">
        <w:rPr>
          <w:rFonts w:ascii="Arial" w:eastAsia="Calibri" w:hAnsi="Arial" w:cs="Arial"/>
          <w:i/>
          <w:color w:val="000000"/>
          <w:spacing w:val="-3"/>
          <w:sz w:val="20"/>
          <w:lang w:eastAsia="es-ES"/>
        </w:rPr>
        <w:t xml:space="preserve">que profirió la providencia, dentro de los diez </w:t>
      </w:r>
      <w:r w:rsidRPr="000D4559">
        <w:rPr>
          <w:rFonts w:ascii="Arial" w:eastAsia="Calibri" w:hAnsi="Arial" w:cs="Arial"/>
          <w:b/>
          <w:i/>
          <w:color w:val="000000"/>
          <w:spacing w:val="-3"/>
          <w:sz w:val="20"/>
          <w:lang w:eastAsia="es-ES"/>
        </w:rPr>
        <w:t>10 días siguientes a su notificación</w:t>
      </w:r>
    </w:p>
    <w:p w14:paraId="66B0ACC0" w14:textId="77777777" w:rsidR="00D17168" w:rsidRPr="000D4559" w:rsidRDefault="00D17168" w:rsidP="00D17168">
      <w:pPr>
        <w:numPr>
          <w:ilvl w:val="0"/>
          <w:numId w:val="1"/>
        </w:numPr>
        <w:shd w:val="clear" w:color="auto" w:fill="FFFFFF"/>
        <w:spacing w:before="70" w:after="0" w:line="276" w:lineRule="auto"/>
        <w:contextualSpacing/>
        <w:jc w:val="both"/>
        <w:rPr>
          <w:rFonts w:ascii="Arial" w:eastAsia="Calibri" w:hAnsi="Arial" w:cs="Arial"/>
          <w:i/>
          <w:color w:val="000000"/>
          <w:spacing w:val="-4"/>
          <w:sz w:val="20"/>
          <w:lang w:eastAsia="es-ES"/>
        </w:rPr>
      </w:pPr>
      <w:r w:rsidRPr="000D4559">
        <w:rPr>
          <w:rFonts w:ascii="Arial" w:eastAsia="Calibri" w:hAnsi="Arial" w:cs="Arial"/>
          <w:i/>
          <w:color w:val="000000"/>
          <w:spacing w:val="-3"/>
          <w:sz w:val="20"/>
          <w:lang w:eastAsia="es-ES"/>
        </w:rPr>
        <w:t xml:space="preserve">Si el recurso fue sustentado </w:t>
      </w:r>
      <w:r w:rsidRPr="000D4559">
        <w:rPr>
          <w:rFonts w:ascii="Arial" w:eastAsia="Calibri" w:hAnsi="Arial" w:cs="Arial"/>
          <w:i/>
          <w:color w:val="000000"/>
          <w:spacing w:val="-4"/>
          <w:sz w:val="20"/>
          <w:lang w:eastAsia="es-ES"/>
        </w:rPr>
        <w:t xml:space="preserve">oportunamente y reúne los demás </w:t>
      </w:r>
      <w:r w:rsidRPr="000D4559">
        <w:rPr>
          <w:rFonts w:ascii="Arial" w:eastAsia="Calibri" w:hAnsi="Arial" w:cs="Arial"/>
          <w:i/>
          <w:color w:val="000000"/>
          <w:spacing w:val="-3"/>
          <w:sz w:val="20"/>
          <w:lang w:eastAsia="es-ES"/>
        </w:rPr>
        <w:t xml:space="preserve">requisitos legales, se concederá mediante auto en </w:t>
      </w:r>
      <w:r w:rsidRPr="000D4559">
        <w:rPr>
          <w:rFonts w:ascii="Arial" w:eastAsia="Calibri" w:hAnsi="Arial" w:cs="Arial"/>
          <w:i/>
          <w:color w:val="000000"/>
          <w:spacing w:val="-5"/>
          <w:sz w:val="20"/>
          <w:lang w:eastAsia="es-ES"/>
        </w:rPr>
        <w:t xml:space="preserve">el que se </w:t>
      </w:r>
      <w:proofErr w:type="gramStart"/>
      <w:r w:rsidRPr="000D4559">
        <w:rPr>
          <w:rFonts w:ascii="Arial" w:eastAsia="Calibri" w:hAnsi="Arial" w:cs="Arial"/>
          <w:i/>
          <w:color w:val="000000"/>
          <w:spacing w:val="-5"/>
          <w:sz w:val="20"/>
          <w:lang w:eastAsia="es-ES"/>
        </w:rPr>
        <w:t>dispondrá</w:t>
      </w:r>
      <w:proofErr w:type="gramEnd"/>
      <w:r w:rsidRPr="000D4559">
        <w:rPr>
          <w:rFonts w:ascii="Arial" w:eastAsia="Calibri" w:hAnsi="Arial" w:cs="Arial"/>
          <w:i/>
          <w:color w:val="000000"/>
          <w:spacing w:val="-5"/>
          <w:sz w:val="20"/>
          <w:lang w:eastAsia="es-ES"/>
        </w:rPr>
        <w:t xml:space="preserve"> remitir el expediente al superior, </w:t>
      </w:r>
      <w:r w:rsidRPr="000D4559">
        <w:rPr>
          <w:rFonts w:ascii="Arial" w:eastAsia="Calibri" w:hAnsi="Arial" w:cs="Arial"/>
          <w:i/>
          <w:color w:val="000000"/>
          <w:spacing w:val="-4"/>
          <w:sz w:val="20"/>
          <w:lang w:eastAsia="es-ES"/>
        </w:rPr>
        <w:t xml:space="preserve">quien decidirá de plano si no se hubiese pedido la práctica </w:t>
      </w:r>
      <w:r w:rsidRPr="000D4559">
        <w:rPr>
          <w:rFonts w:ascii="Arial" w:eastAsia="Calibri" w:hAnsi="Arial" w:cs="Arial"/>
          <w:i/>
          <w:color w:val="000000"/>
          <w:spacing w:val="-3"/>
          <w:sz w:val="20"/>
          <w:lang w:eastAsia="es-ES"/>
        </w:rPr>
        <w:t xml:space="preserve">de pruebas. Si las partes pidieron pruebas, el superior </w:t>
      </w:r>
      <w:r w:rsidRPr="000D4559">
        <w:rPr>
          <w:rFonts w:ascii="Arial" w:eastAsia="Calibri" w:hAnsi="Arial" w:cs="Arial"/>
          <w:i/>
          <w:color w:val="000000"/>
          <w:spacing w:val="-5"/>
          <w:sz w:val="20"/>
          <w:lang w:eastAsia="es-ES"/>
        </w:rPr>
        <w:t>decidirá si se decretan según lo previsto en este código.</w:t>
      </w:r>
    </w:p>
    <w:p w14:paraId="22E03DAF" w14:textId="77777777" w:rsidR="00D17168" w:rsidRPr="000D4559" w:rsidRDefault="00D17168" w:rsidP="00D17168">
      <w:pPr>
        <w:numPr>
          <w:ilvl w:val="0"/>
          <w:numId w:val="1"/>
        </w:numPr>
        <w:shd w:val="clear" w:color="auto" w:fill="FFFFFF"/>
        <w:spacing w:before="70" w:after="0" w:line="276" w:lineRule="auto"/>
        <w:contextualSpacing/>
        <w:jc w:val="both"/>
        <w:rPr>
          <w:rFonts w:ascii="Arial" w:eastAsia="Calibri" w:hAnsi="Arial" w:cs="Arial"/>
          <w:i/>
          <w:color w:val="000000"/>
          <w:spacing w:val="-4"/>
          <w:sz w:val="20"/>
          <w:lang w:eastAsia="es-ES"/>
        </w:rPr>
      </w:pPr>
      <w:r w:rsidRPr="000D4559">
        <w:rPr>
          <w:rFonts w:ascii="Arial" w:eastAsia="Calibri" w:hAnsi="Arial" w:cs="Arial"/>
          <w:i/>
          <w:color w:val="000000"/>
          <w:spacing w:val="-5"/>
          <w:sz w:val="20"/>
          <w:lang w:eastAsia="es-ES"/>
        </w:rPr>
        <w:t xml:space="preserve"> Recibido el expediente por el superior, si este encuentra reunidos </w:t>
      </w:r>
      <w:r w:rsidRPr="000D4559">
        <w:rPr>
          <w:rFonts w:ascii="Arial" w:eastAsia="Calibri" w:hAnsi="Arial" w:cs="Arial"/>
          <w:i/>
          <w:color w:val="000000"/>
          <w:spacing w:val="-4"/>
          <w:sz w:val="20"/>
          <w:lang w:eastAsia="es-ES"/>
        </w:rPr>
        <w:t xml:space="preserve">los requisitos decidirá sobre su admisión.”        </w:t>
      </w:r>
    </w:p>
    <w:p w14:paraId="0FAB26B0" w14:textId="77777777" w:rsidR="00D17168" w:rsidRPr="000D4559" w:rsidRDefault="00D17168" w:rsidP="00D17168">
      <w:pPr>
        <w:spacing w:after="0" w:line="276" w:lineRule="auto"/>
        <w:jc w:val="both"/>
        <w:rPr>
          <w:rFonts w:ascii="Arial" w:eastAsia="Calibri" w:hAnsi="Arial" w:cs="Arial"/>
          <w:i/>
          <w:color w:val="000000"/>
          <w:sz w:val="20"/>
          <w:lang w:eastAsia="es-ES"/>
        </w:rPr>
      </w:pPr>
    </w:p>
    <w:p w14:paraId="33F7E5AF" w14:textId="77777777" w:rsidR="00D17168" w:rsidRPr="000D4559" w:rsidRDefault="00D17168" w:rsidP="00D17168">
      <w:pPr>
        <w:spacing w:after="0" w:line="276" w:lineRule="auto"/>
        <w:jc w:val="both"/>
        <w:rPr>
          <w:rFonts w:ascii="Arial" w:eastAsia="Times New Roman" w:hAnsi="Arial" w:cs="Arial"/>
          <w:color w:val="000000"/>
          <w:lang w:eastAsia="es-ES"/>
        </w:rPr>
      </w:pPr>
      <w:r w:rsidRPr="000D4559">
        <w:rPr>
          <w:rFonts w:ascii="Arial" w:eastAsia="Times New Roman" w:hAnsi="Arial" w:cs="Arial"/>
          <w:color w:val="000000"/>
          <w:lang w:eastAsia="es-ES"/>
        </w:rPr>
        <w:t>En el presente caso se efectuó la notificación del fallo de primera instancia el día 7 de octubre de 2019, por lo que se tenía hasta el 22 de octubre de 2019 para interponer recurso; comoquiera que este fue radicado el 17 de octubre de 2019, es decir dentro del término legal, procederá el despacho a conceder el recurso ante el Tribunal Administrativo de Cundinamarca en el efecto suspensivo.</w:t>
      </w:r>
    </w:p>
    <w:p w14:paraId="483349CF" w14:textId="77777777" w:rsidR="00D17168" w:rsidRPr="000D4559" w:rsidRDefault="00D17168" w:rsidP="00D17168">
      <w:pPr>
        <w:spacing w:after="0" w:line="276" w:lineRule="auto"/>
        <w:jc w:val="both"/>
        <w:rPr>
          <w:rFonts w:ascii="Arial" w:eastAsia="Times New Roman" w:hAnsi="Arial" w:cs="Arial"/>
          <w:color w:val="000000"/>
          <w:lang w:eastAsia="es-ES"/>
        </w:rPr>
      </w:pPr>
    </w:p>
    <w:p w14:paraId="72A35EDE" w14:textId="77777777" w:rsidR="00D17168" w:rsidRPr="000D4559" w:rsidRDefault="00D17168" w:rsidP="00D17168">
      <w:pPr>
        <w:spacing w:after="0" w:line="276" w:lineRule="auto"/>
        <w:jc w:val="both"/>
        <w:rPr>
          <w:rFonts w:ascii="Arial" w:eastAsia="Calibri" w:hAnsi="Arial" w:cs="Arial"/>
          <w:b/>
          <w:lang w:eastAsia="es-ES"/>
        </w:rPr>
      </w:pPr>
      <w:r w:rsidRPr="000D4559">
        <w:rPr>
          <w:rFonts w:ascii="Arial" w:eastAsia="Calibri" w:hAnsi="Arial" w:cs="Arial"/>
          <w:lang w:eastAsia="es-ES"/>
        </w:rPr>
        <w:t>En mérito de lo expuesto, se</w:t>
      </w:r>
      <w:r w:rsidRPr="000D4559">
        <w:rPr>
          <w:rFonts w:ascii="Arial" w:eastAsia="Calibri" w:hAnsi="Arial" w:cs="Arial"/>
          <w:b/>
          <w:lang w:eastAsia="es-ES"/>
        </w:rPr>
        <w:t xml:space="preserve"> RESUELVE:</w:t>
      </w:r>
    </w:p>
    <w:p w14:paraId="007B4E3B" w14:textId="77777777" w:rsidR="00D17168" w:rsidRPr="000D4559" w:rsidRDefault="00D17168" w:rsidP="00D17168">
      <w:pPr>
        <w:spacing w:after="0" w:line="276" w:lineRule="auto"/>
        <w:jc w:val="both"/>
        <w:rPr>
          <w:rFonts w:ascii="Arial" w:eastAsia="Calibri" w:hAnsi="Arial" w:cs="Arial"/>
          <w:b/>
          <w:lang w:eastAsia="es-ES"/>
        </w:rPr>
      </w:pPr>
    </w:p>
    <w:p w14:paraId="1574F059" w14:textId="77777777" w:rsidR="00D17168" w:rsidRPr="000D4559" w:rsidRDefault="00D17168" w:rsidP="00D17168">
      <w:pPr>
        <w:tabs>
          <w:tab w:val="left" w:pos="720"/>
        </w:tabs>
        <w:spacing w:after="0" w:line="276" w:lineRule="auto"/>
        <w:jc w:val="both"/>
        <w:rPr>
          <w:rFonts w:ascii="Arial" w:eastAsia="Calibri" w:hAnsi="Arial" w:cs="Arial"/>
          <w:b/>
          <w:lang w:eastAsia="es-ES"/>
        </w:rPr>
      </w:pPr>
      <w:r w:rsidRPr="000D4559">
        <w:rPr>
          <w:rFonts w:ascii="Arial" w:eastAsia="Calibri" w:hAnsi="Arial" w:cs="Arial"/>
          <w:b/>
          <w:lang w:eastAsia="es-ES"/>
        </w:rPr>
        <w:fldChar w:fldCharType="begin"/>
      </w:r>
      <w:r w:rsidRPr="000D4559">
        <w:rPr>
          <w:rFonts w:ascii="Arial" w:eastAsia="Calibri" w:hAnsi="Arial" w:cs="Arial"/>
          <w:b/>
          <w:lang w:eastAsia="es-ES"/>
        </w:rPr>
        <w:instrText xml:space="preserve"> MERGEFIELD PARTE_RESOLUTIVA_QUE_CAMBIA </w:instrText>
      </w:r>
      <w:r w:rsidRPr="000D4559">
        <w:rPr>
          <w:rFonts w:ascii="Arial" w:eastAsia="Calibri" w:hAnsi="Arial" w:cs="Arial"/>
          <w:b/>
          <w:lang w:eastAsia="es-ES"/>
        </w:rPr>
        <w:fldChar w:fldCharType="separate"/>
      </w:r>
      <w:r w:rsidRPr="000D4559">
        <w:rPr>
          <w:rFonts w:ascii="Arial" w:eastAsia="Calibri" w:hAnsi="Arial" w:cs="Arial"/>
          <w:b/>
          <w:lang w:eastAsia="es-ES"/>
        </w:rPr>
        <w:t xml:space="preserve">Primero: </w:t>
      </w:r>
      <w:r w:rsidRPr="000D4559">
        <w:rPr>
          <w:rFonts w:ascii="Arial" w:eastAsia="Calibri" w:hAnsi="Arial" w:cs="Arial"/>
          <w:lang w:eastAsia="es-ES"/>
        </w:rPr>
        <w:t>Concédase el recurso de apelación en el efecto suspensivo oportunamente interpuesto por la parte actora contra el fallo de primera instancia.</w:t>
      </w:r>
    </w:p>
    <w:p w14:paraId="423541AD" w14:textId="77777777" w:rsidR="00D17168" w:rsidRPr="000D4559" w:rsidRDefault="00D17168" w:rsidP="00D17168">
      <w:pPr>
        <w:tabs>
          <w:tab w:val="left" w:pos="720"/>
        </w:tabs>
        <w:spacing w:after="0" w:line="276" w:lineRule="auto"/>
        <w:jc w:val="both"/>
        <w:rPr>
          <w:rFonts w:ascii="Arial" w:eastAsia="Calibri" w:hAnsi="Arial" w:cs="Arial"/>
          <w:b/>
          <w:lang w:eastAsia="es-ES"/>
        </w:rPr>
      </w:pPr>
      <w:r w:rsidRPr="000D4559">
        <w:rPr>
          <w:rFonts w:ascii="Arial" w:eastAsia="Calibri" w:hAnsi="Arial" w:cs="Arial"/>
          <w:b/>
          <w:lang w:eastAsia="es-ES"/>
        </w:rPr>
        <w:tab/>
      </w:r>
    </w:p>
    <w:p w14:paraId="102569CC" w14:textId="77777777" w:rsidR="00D17168" w:rsidRPr="000D4559" w:rsidRDefault="00D17168" w:rsidP="00D17168">
      <w:pPr>
        <w:tabs>
          <w:tab w:val="left" w:pos="720"/>
        </w:tabs>
        <w:spacing w:after="0" w:line="276" w:lineRule="auto"/>
        <w:jc w:val="both"/>
        <w:rPr>
          <w:rFonts w:ascii="Arial" w:eastAsia="Calibri" w:hAnsi="Arial" w:cs="Arial"/>
          <w:b/>
          <w:lang w:eastAsia="es-ES"/>
        </w:rPr>
      </w:pPr>
      <w:r w:rsidRPr="000D4559">
        <w:rPr>
          <w:rFonts w:ascii="Arial" w:eastAsia="Calibri" w:hAnsi="Arial" w:cs="Arial"/>
          <w:b/>
          <w:lang w:eastAsia="es-ES"/>
        </w:rPr>
        <w:t xml:space="preserve">Segundo: </w:t>
      </w:r>
      <w:r w:rsidRPr="000D4559">
        <w:rPr>
          <w:rFonts w:ascii="Arial" w:eastAsia="Calibri" w:hAnsi="Arial" w:cs="Arial"/>
          <w:lang w:eastAsia="es-ES"/>
        </w:rPr>
        <w:t>Una vez ejecutoriado el presente auto, por la Oficina de Apoyo, remítase al Tribunal Administrativo de Cundinamarca el expediente de la referencia, haciéndose las anotaciones del caso.</w:t>
      </w:r>
      <w:r w:rsidRPr="000D4559">
        <w:rPr>
          <w:rFonts w:ascii="Arial" w:eastAsia="Calibri" w:hAnsi="Arial" w:cs="Arial"/>
          <w:b/>
          <w:lang w:eastAsia="es-ES"/>
        </w:rPr>
        <w:fldChar w:fldCharType="end"/>
      </w:r>
    </w:p>
    <w:p w14:paraId="06586E1C" w14:textId="77777777" w:rsidR="00D17168" w:rsidRPr="000D4559" w:rsidRDefault="00D17168" w:rsidP="00D17168">
      <w:pPr>
        <w:tabs>
          <w:tab w:val="left" w:pos="720"/>
        </w:tabs>
        <w:spacing w:after="0" w:line="276" w:lineRule="auto"/>
        <w:jc w:val="both"/>
        <w:rPr>
          <w:rFonts w:ascii="Arial" w:eastAsia="Calibri" w:hAnsi="Arial" w:cs="Arial"/>
          <w:b/>
          <w:lang w:eastAsia="es-ES"/>
        </w:rPr>
      </w:pPr>
    </w:p>
    <w:p w14:paraId="0984E817" w14:textId="77777777" w:rsidR="00D17168" w:rsidRPr="000D4559" w:rsidRDefault="00D17168" w:rsidP="00D17168">
      <w:pPr>
        <w:widowControl w:val="0"/>
        <w:spacing w:after="0" w:line="276" w:lineRule="auto"/>
        <w:jc w:val="both"/>
        <w:rPr>
          <w:rFonts w:ascii="Arial" w:eastAsia="Calibri" w:hAnsi="Arial" w:cs="Arial"/>
          <w:b/>
          <w:lang w:eastAsia="es-ES"/>
        </w:rPr>
      </w:pPr>
      <w:r w:rsidRPr="000D4559">
        <w:rPr>
          <w:rFonts w:ascii="Arial" w:eastAsia="Calibri" w:hAnsi="Arial" w:cs="Arial"/>
          <w:b/>
          <w:lang w:eastAsia="es-ES"/>
        </w:rPr>
        <w:t>NOTIFÍQUESE Y CÚMPLASE,</w:t>
      </w:r>
    </w:p>
    <w:p w14:paraId="4AC86B82" w14:textId="77777777" w:rsidR="00D17168" w:rsidRPr="000D4559" w:rsidRDefault="00D17168" w:rsidP="00D17168">
      <w:pPr>
        <w:widowControl w:val="0"/>
        <w:spacing w:after="0" w:line="276" w:lineRule="auto"/>
        <w:jc w:val="both"/>
        <w:rPr>
          <w:rFonts w:ascii="Arial" w:eastAsia="Calibri" w:hAnsi="Arial" w:cs="Arial"/>
          <w:b/>
          <w:lang w:eastAsia="es-ES"/>
        </w:rPr>
      </w:pPr>
    </w:p>
    <w:p w14:paraId="05D13A10" w14:textId="77777777" w:rsidR="00D17168" w:rsidRPr="000D4559" w:rsidRDefault="00D17168" w:rsidP="00D17168">
      <w:pPr>
        <w:spacing w:after="0" w:line="276" w:lineRule="auto"/>
        <w:jc w:val="center"/>
        <w:rPr>
          <w:rFonts w:ascii="Arial" w:eastAsia="Calibri" w:hAnsi="Arial" w:cs="Arial"/>
          <w:b/>
          <w:lang w:eastAsia="es-ES"/>
        </w:rPr>
      </w:pPr>
      <w:r w:rsidRPr="000D4559">
        <w:rPr>
          <w:rFonts w:ascii="Arial" w:eastAsia="Calibri" w:hAnsi="Arial" w:cs="Arial"/>
          <w:b/>
          <w:lang w:eastAsia="es-ES"/>
        </w:rPr>
        <w:t>OLGA CECILIA HENAO MARÍN</w:t>
      </w:r>
    </w:p>
    <w:p w14:paraId="46AD3780" w14:textId="77777777" w:rsidR="00D17168" w:rsidRPr="000D4559" w:rsidRDefault="00D17168" w:rsidP="00D17168">
      <w:pPr>
        <w:spacing w:after="0" w:line="276" w:lineRule="auto"/>
        <w:jc w:val="center"/>
        <w:rPr>
          <w:rFonts w:ascii="Arial" w:eastAsia="Calibri" w:hAnsi="Arial" w:cs="Arial"/>
          <w:lang w:eastAsia="es-ES"/>
        </w:rPr>
      </w:pPr>
      <w:r w:rsidRPr="000D4559">
        <w:rPr>
          <w:rFonts w:ascii="Arial" w:eastAsia="Calibri" w:hAnsi="Arial" w:cs="Arial"/>
          <w:lang w:eastAsia="es-ES"/>
        </w:rPr>
        <w:t>Juez</w:t>
      </w:r>
    </w:p>
    <w:p w14:paraId="7E371279" w14:textId="77777777" w:rsidR="00D17168" w:rsidRPr="000D4559" w:rsidRDefault="00D17168" w:rsidP="00D17168">
      <w:pPr>
        <w:spacing w:after="0" w:line="240" w:lineRule="auto"/>
        <w:jc w:val="both"/>
        <w:rPr>
          <w:rFonts w:ascii="Arial" w:eastAsia="Calibri" w:hAnsi="Arial" w:cs="Arial"/>
          <w:sz w:val="12"/>
          <w:lang w:eastAsia="es-ES"/>
        </w:rPr>
      </w:pPr>
      <w:r w:rsidRPr="000D4559">
        <w:rPr>
          <w:rFonts w:ascii="Arial" w:eastAsia="Calibri" w:hAnsi="Arial" w:cs="Arial"/>
          <w:sz w:val="12"/>
          <w:lang w:eastAsia="es-ES"/>
        </w:rPr>
        <w:lastRenderedPageBreak/>
        <w:fldChar w:fldCharType="begin"/>
      </w:r>
      <w:r w:rsidRPr="000D4559">
        <w:rPr>
          <w:rFonts w:ascii="Arial" w:eastAsia="Calibri" w:hAnsi="Arial" w:cs="Arial"/>
          <w:sz w:val="12"/>
          <w:lang w:eastAsia="es-ES"/>
        </w:rPr>
        <w:instrText xml:space="preserve"> MERGEFIELD INICIALES_DE_QUIEN_PROYECTO_EL_AUTO_ </w:instrText>
      </w:r>
      <w:r w:rsidRPr="000D4559">
        <w:rPr>
          <w:rFonts w:ascii="Arial" w:eastAsia="Calibri" w:hAnsi="Arial" w:cs="Arial"/>
          <w:sz w:val="12"/>
          <w:lang w:eastAsia="es-ES"/>
        </w:rPr>
        <w:fldChar w:fldCharType="separate"/>
      </w:r>
      <w:r w:rsidRPr="000D4559">
        <w:rPr>
          <w:rFonts w:ascii="Arial" w:eastAsia="Calibri" w:hAnsi="Arial" w:cs="Arial"/>
          <w:sz w:val="12"/>
          <w:lang w:eastAsia="es-ES"/>
        </w:rPr>
        <w:t>OMGR</w:t>
      </w:r>
      <w:r w:rsidRPr="000D4559">
        <w:rPr>
          <w:rFonts w:ascii="Arial" w:eastAsia="Calibri" w:hAnsi="Arial" w:cs="Arial"/>
          <w:sz w:val="12"/>
          <w:lang w:eastAsia="es-ES"/>
        </w:rPr>
        <w:fldChar w:fldCharType="end"/>
      </w:r>
      <w:r w:rsidRPr="000D4559">
        <w:rPr>
          <w:rFonts w:ascii="Arial" w:eastAsia="Calibri" w:hAnsi="Arial" w:cs="Arial"/>
          <w:sz w:val="12"/>
          <w:lang w:eastAsia="es-ES"/>
        </w:rPr>
        <w:t>/JBR</w:t>
      </w:r>
    </w:p>
    <w:p w14:paraId="21CC9828" w14:textId="77777777" w:rsidR="00D17168" w:rsidRPr="000D4559" w:rsidRDefault="00D17168" w:rsidP="00D17168">
      <w:pPr>
        <w:spacing w:after="0" w:line="240" w:lineRule="auto"/>
        <w:jc w:val="both"/>
        <w:rPr>
          <w:rFonts w:ascii="Arial" w:eastAsia="Calibri" w:hAnsi="Arial" w:cs="Arial"/>
          <w:lang w:eastAsia="es-ES"/>
        </w:rPr>
      </w:pPr>
    </w:p>
    <w:p w14:paraId="40F5F519" w14:textId="77777777" w:rsidR="00D17168" w:rsidRPr="000D4559" w:rsidRDefault="00D17168" w:rsidP="00D17168">
      <w:pPr>
        <w:spacing w:after="0" w:line="240" w:lineRule="auto"/>
        <w:jc w:val="both"/>
        <w:rPr>
          <w:rFonts w:ascii="Arial" w:eastAsia="Times New Roman" w:hAnsi="Arial" w:cs="Arial"/>
          <w:b/>
          <w:lang w:eastAsia="es-ES"/>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539"/>
      </w:tblGrid>
      <w:tr w:rsidR="00D17168" w:rsidRPr="000D4559" w14:paraId="0359BF03" w14:textId="77777777" w:rsidTr="00DF2901">
        <w:trPr>
          <w:trHeight w:val="1409"/>
        </w:trPr>
        <w:tc>
          <w:tcPr>
            <w:tcW w:w="6539" w:type="dxa"/>
            <w:tcBorders>
              <w:top w:val="single" w:sz="4" w:space="0" w:color="auto"/>
              <w:left w:val="single" w:sz="4" w:space="0" w:color="auto"/>
              <w:bottom w:val="single" w:sz="4" w:space="0" w:color="auto"/>
              <w:right w:val="single" w:sz="4" w:space="0" w:color="auto"/>
            </w:tcBorders>
          </w:tcPr>
          <w:p w14:paraId="36C88D42" w14:textId="77777777" w:rsidR="00D17168" w:rsidRPr="000D4559" w:rsidRDefault="00D17168" w:rsidP="00DF2901">
            <w:pPr>
              <w:jc w:val="center"/>
              <w:rPr>
                <w:rFonts w:ascii="Arial" w:eastAsia="Times New Roman" w:hAnsi="Arial" w:cs="Arial"/>
                <w:b/>
                <w:sz w:val="18"/>
                <w:lang w:eastAsia="es-ES"/>
              </w:rPr>
            </w:pPr>
          </w:p>
          <w:p w14:paraId="46DFFA43" w14:textId="77777777" w:rsidR="00D17168" w:rsidRPr="000D4559" w:rsidRDefault="00D17168" w:rsidP="00DF2901">
            <w:pPr>
              <w:jc w:val="center"/>
              <w:rPr>
                <w:rFonts w:ascii="Arial" w:eastAsia="Times New Roman" w:hAnsi="Arial" w:cs="Arial"/>
                <w:b/>
                <w:sz w:val="18"/>
                <w:lang w:eastAsia="es-ES"/>
              </w:rPr>
            </w:pPr>
            <w:r w:rsidRPr="000D4559">
              <w:rPr>
                <w:rFonts w:ascii="Arial" w:eastAsia="Times New Roman" w:hAnsi="Arial" w:cs="Arial"/>
                <w:b/>
                <w:sz w:val="18"/>
                <w:lang w:eastAsia="es-ES"/>
              </w:rPr>
              <w:t xml:space="preserve">JUZGADO TREINTA Y CUATRO ADMINISTRATIVO CIRCUITO DE BOGOTÁ </w:t>
            </w:r>
            <w:proofErr w:type="gramStart"/>
            <w:r w:rsidRPr="000D4559">
              <w:rPr>
                <w:rFonts w:ascii="Arial" w:eastAsia="Times New Roman" w:hAnsi="Arial" w:cs="Arial"/>
                <w:b/>
                <w:sz w:val="18"/>
                <w:lang w:eastAsia="es-ES"/>
              </w:rPr>
              <w:t>-  SECCIÓN</w:t>
            </w:r>
            <w:proofErr w:type="gramEnd"/>
            <w:r w:rsidRPr="000D4559">
              <w:rPr>
                <w:rFonts w:ascii="Arial" w:eastAsia="Times New Roman" w:hAnsi="Arial" w:cs="Arial"/>
                <w:b/>
                <w:sz w:val="18"/>
                <w:lang w:eastAsia="es-ES"/>
              </w:rPr>
              <w:t xml:space="preserve"> TERCERA</w:t>
            </w:r>
          </w:p>
          <w:p w14:paraId="1990BBA7" w14:textId="77777777" w:rsidR="00D17168" w:rsidRPr="000D4559" w:rsidRDefault="00D17168" w:rsidP="00DF2901">
            <w:pPr>
              <w:jc w:val="both"/>
              <w:rPr>
                <w:rFonts w:ascii="Arial" w:eastAsia="Times New Roman" w:hAnsi="Arial" w:cs="Arial"/>
                <w:sz w:val="18"/>
                <w:lang w:eastAsia="es-ES"/>
              </w:rPr>
            </w:pPr>
            <w:r w:rsidRPr="000D4559">
              <w:rPr>
                <w:rFonts w:ascii="Arial" w:eastAsia="Times New Roman" w:hAnsi="Arial" w:cs="Arial"/>
                <w:sz w:val="18"/>
                <w:lang w:eastAsia="es-ES"/>
              </w:rPr>
              <w:t xml:space="preserve">Por anotación en ESTADO notifico a las partes la providencia anterior, hoy </w:t>
            </w:r>
            <w:r w:rsidRPr="000D4559">
              <w:rPr>
                <w:rFonts w:ascii="Arial" w:eastAsia="Times New Roman" w:hAnsi="Arial" w:cs="Arial"/>
                <w:b/>
                <w:sz w:val="18"/>
                <w:lang w:eastAsia="es-ES"/>
              </w:rPr>
              <w:t>____________________________</w:t>
            </w:r>
            <w:r w:rsidRPr="000D4559">
              <w:rPr>
                <w:rFonts w:ascii="Arial" w:eastAsia="Times New Roman" w:hAnsi="Arial" w:cs="Arial"/>
                <w:sz w:val="18"/>
                <w:lang w:eastAsia="es-ES"/>
              </w:rPr>
              <w:t>a las 8:00 a.m.</w:t>
            </w:r>
          </w:p>
          <w:p w14:paraId="607BAAF1" w14:textId="77777777" w:rsidR="00D17168" w:rsidRPr="000D4559" w:rsidRDefault="00D17168" w:rsidP="00DF2901">
            <w:pPr>
              <w:rPr>
                <w:rFonts w:ascii="Arial" w:eastAsia="Times New Roman" w:hAnsi="Arial" w:cs="Arial"/>
                <w:sz w:val="18"/>
                <w:lang w:eastAsia="es-ES"/>
              </w:rPr>
            </w:pPr>
            <w:r w:rsidRPr="000D4559">
              <w:rPr>
                <w:rFonts w:ascii="Arial" w:eastAsia="Times New Roman" w:hAnsi="Arial" w:cs="Arial"/>
                <w:noProof/>
                <w:sz w:val="18"/>
                <w:lang w:val="es-ES" w:eastAsia="es-ES"/>
              </w:rPr>
              <w:drawing>
                <wp:anchor distT="0" distB="0" distL="114300" distR="114300" simplePos="0" relativeHeight="251660800" behindDoc="0" locked="0" layoutInCell="1" allowOverlap="1" wp14:anchorId="60A6BBC5" wp14:editId="777E6F5F">
                  <wp:simplePos x="0" y="0"/>
                  <wp:positionH relativeFrom="margin">
                    <wp:posOffset>1515110</wp:posOffset>
                  </wp:positionH>
                  <wp:positionV relativeFrom="paragraph">
                    <wp:posOffset>25400</wp:posOffset>
                  </wp:positionV>
                  <wp:extent cx="815340" cy="485775"/>
                  <wp:effectExtent l="0" t="0" r="3810" b="9525"/>
                  <wp:wrapSquare wrapText="bothSides"/>
                  <wp:docPr id="1" name="Imagen 1"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ir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340" cy="485775"/>
                          </a:xfrm>
                          <a:prstGeom prst="rect">
                            <a:avLst/>
                          </a:prstGeom>
                          <a:noFill/>
                        </pic:spPr>
                      </pic:pic>
                    </a:graphicData>
                  </a:graphic>
                </wp:anchor>
              </w:drawing>
            </w:r>
          </w:p>
        </w:tc>
      </w:tr>
    </w:tbl>
    <w:p w14:paraId="2501994D" w14:textId="77777777" w:rsidR="00D17168" w:rsidRPr="000D4559" w:rsidRDefault="00D17168" w:rsidP="00D17168">
      <w:pPr>
        <w:spacing w:after="0" w:line="240" w:lineRule="auto"/>
        <w:rPr>
          <w:rFonts w:ascii="Arial" w:eastAsia="Times New Roman" w:hAnsi="Arial" w:cs="Arial"/>
          <w:lang w:eastAsia="es-ES"/>
        </w:rPr>
      </w:pPr>
    </w:p>
    <w:p w14:paraId="4962F630" w14:textId="77777777" w:rsidR="00D17168" w:rsidRPr="000D4559" w:rsidRDefault="00D17168" w:rsidP="00D17168">
      <w:pPr>
        <w:spacing w:after="0" w:line="240" w:lineRule="auto"/>
        <w:rPr>
          <w:rFonts w:ascii="Arial" w:eastAsia="Times New Roman" w:hAnsi="Arial" w:cs="Arial"/>
          <w:lang w:eastAsia="es-ES"/>
        </w:rPr>
      </w:pPr>
    </w:p>
    <w:p w14:paraId="748B79C2" w14:textId="77777777" w:rsidR="00D17168" w:rsidRPr="000D4559" w:rsidRDefault="00D17168" w:rsidP="00D17168">
      <w:pPr>
        <w:spacing w:after="0" w:line="240" w:lineRule="auto"/>
        <w:rPr>
          <w:rFonts w:ascii="Arial" w:eastAsia="Times New Roman" w:hAnsi="Arial" w:cs="Arial"/>
          <w:lang w:eastAsia="es-ES"/>
        </w:rPr>
      </w:pPr>
    </w:p>
    <w:p w14:paraId="25CAFE04" w14:textId="77777777" w:rsidR="00D17168" w:rsidRPr="000D4559" w:rsidRDefault="00D17168" w:rsidP="00D17168">
      <w:pPr>
        <w:spacing w:after="0" w:line="240" w:lineRule="auto"/>
        <w:rPr>
          <w:rFonts w:ascii="Arial" w:eastAsia="Times New Roman" w:hAnsi="Arial" w:cs="Arial"/>
          <w:lang w:eastAsia="es-ES"/>
        </w:rPr>
      </w:pPr>
    </w:p>
    <w:p w14:paraId="777FA0B6" w14:textId="77777777" w:rsidR="00D17168" w:rsidRPr="000D4559" w:rsidRDefault="00D17168" w:rsidP="00D17168">
      <w:pPr>
        <w:rPr>
          <w:rFonts w:ascii="Arial" w:hAnsi="Arial" w:cs="Arial"/>
        </w:rPr>
      </w:pPr>
    </w:p>
    <w:p w14:paraId="76456E55" w14:textId="77777777" w:rsidR="00977E91" w:rsidRPr="000D4559" w:rsidRDefault="00BB75F8">
      <w:pPr>
        <w:rPr>
          <w:rFonts w:ascii="Arial" w:hAnsi="Arial" w:cs="Arial"/>
        </w:rPr>
      </w:pPr>
    </w:p>
    <w:sectPr w:rsidR="00977E91" w:rsidRPr="000D4559" w:rsidSect="00F22976">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A366D" w14:textId="77777777" w:rsidR="00BB75F8" w:rsidRDefault="00BB75F8">
      <w:pPr>
        <w:spacing w:after="0" w:line="240" w:lineRule="auto"/>
      </w:pPr>
      <w:r>
        <w:separator/>
      </w:r>
    </w:p>
  </w:endnote>
  <w:endnote w:type="continuationSeparator" w:id="0">
    <w:p w14:paraId="0D775F0F" w14:textId="77777777" w:rsidR="00BB75F8" w:rsidRDefault="00BB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47AE6" w14:textId="77777777" w:rsidR="00BB75F8" w:rsidRDefault="00BB75F8">
      <w:pPr>
        <w:spacing w:after="0" w:line="240" w:lineRule="auto"/>
      </w:pPr>
      <w:r>
        <w:separator/>
      </w:r>
    </w:p>
  </w:footnote>
  <w:footnote w:type="continuationSeparator" w:id="0">
    <w:p w14:paraId="247187BF" w14:textId="77777777" w:rsidR="00BB75F8" w:rsidRDefault="00BB7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4AABB" w14:textId="77777777" w:rsidR="004239BE" w:rsidRDefault="00D17168" w:rsidP="00D63176">
    <w:pPr>
      <w:pStyle w:val="Encabezado"/>
      <w:jc w:val="right"/>
      <w:rPr>
        <w:rFonts w:ascii="Tahoma" w:hAnsi="Tahoma" w:cs="Tahoma"/>
        <w:sz w:val="14"/>
        <w:szCs w:val="14"/>
      </w:rPr>
    </w:pPr>
    <w:r w:rsidRPr="003F50A7">
      <w:rPr>
        <w:rFonts w:ascii="Tahoma" w:hAnsi="Tahoma" w:cs="Tahoma"/>
        <w:sz w:val="14"/>
        <w:szCs w:val="14"/>
      </w:rPr>
      <w:t>EXPEDIENT</w:t>
    </w:r>
    <w:r>
      <w:rPr>
        <w:rFonts w:ascii="Tahoma" w:hAnsi="Tahoma" w:cs="Tahoma"/>
        <w:sz w:val="14"/>
        <w:szCs w:val="14"/>
      </w:rPr>
      <w:t>E No. 2017-0245</w:t>
    </w:r>
  </w:p>
  <w:p w14:paraId="2546A05A" w14:textId="77777777" w:rsidR="004239BE" w:rsidRDefault="00D17168" w:rsidP="00D63176">
    <w:pPr>
      <w:pStyle w:val="Encabezado"/>
      <w:jc w:val="right"/>
      <w:rPr>
        <w:rFonts w:ascii="Tahoma" w:hAnsi="Tahoma" w:cs="Tahoma"/>
        <w:sz w:val="14"/>
        <w:szCs w:val="14"/>
      </w:rPr>
    </w:pPr>
    <w:r w:rsidRPr="00CA7BD4">
      <w:rPr>
        <w:rFonts w:ascii="Tahoma" w:hAnsi="Tahoma" w:cs="Tahoma"/>
        <w:sz w:val="14"/>
        <w:szCs w:val="14"/>
      </w:rPr>
      <w:t xml:space="preserve">CONCEDE RECURSO DE APELACIÓN CONTRA FALLO </w:t>
    </w:r>
  </w:p>
  <w:p w14:paraId="21825D10" w14:textId="77777777" w:rsidR="004239BE" w:rsidRPr="003F50A7" w:rsidRDefault="00D17168" w:rsidP="00D63176">
    <w:pPr>
      <w:pStyle w:val="Encabezado"/>
      <w:jc w:val="right"/>
      <w:rPr>
        <w:rFonts w:ascii="Tahoma" w:hAnsi="Tahoma" w:cs="Tahoma"/>
        <w:sz w:val="14"/>
        <w:szCs w:val="14"/>
      </w:rPr>
    </w:pPr>
    <w:r>
      <w:rPr>
        <w:rFonts w:ascii="Tahoma" w:hAnsi="Tahoma" w:cs="Tahoma"/>
        <w:sz w:val="14"/>
        <w:szCs w:val="14"/>
      </w:rPr>
      <w:t xml:space="preserve">Página </w:t>
    </w:r>
    <w:r w:rsidRPr="003F50A7">
      <w:rPr>
        <w:rFonts w:ascii="Tahoma" w:hAnsi="Tahoma" w:cs="Tahoma"/>
        <w:sz w:val="14"/>
        <w:szCs w:val="14"/>
      </w:rPr>
      <w:t xml:space="preserve">2 </w:t>
    </w:r>
    <w:r>
      <w:rPr>
        <w:rFonts w:ascii="Tahoma" w:hAnsi="Tahoma" w:cs="Tahoma"/>
        <w:sz w:val="14"/>
        <w:szCs w:val="14"/>
      </w:rPr>
      <w:t>de</w:t>
    </w:r>
    <w:r w:rsidRPr="003F50A7">
      <w:rPr>
        <w:rFonts w:ascii="Tahoma" w:hAnsi="Tahoma" w:cs="Tahoma"/>
        <w:sz w:val="14"/>
        <w:szCs w:val="14"/>
      </w:rPr>
      <w:t xml:space="preserve"> 2</w:t>
    </w:r>
  </w:p>
  <w:p w14:paraId="2138E36A" w14:textId="77777777" w:rsidR="004239BE" w:rsidRDefault="00BB75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50F56" w14:textId="77777777" w:rsidR="004239BE" w:rsidRPr="007E733E" w:rsidRDefault="00D17168" w:rsidP="00605E48">
    <w:pPr>
      <w:pStyle w:val="Encabezado"/>
      <w:jc w:val="center"/>
      <w:rPr>
        <w:rFonts w:ascii="Tahoma" w:hAnsi="Tahoma" w:cs="Tahoma"/>
        <w:b/>
        <w:i/>
        <w:sz w:val="16"/>
        <w:szCs w:val="16"/>
      </w:rPr>
    </w:pPr>
    <w:r w:rsidRPr="007E733E">
      <w:rPr>
        <w:rFonts w:ascii="Tahoma" w:hAnsi="Tahoma" w:cs="Tahoma"/>
        <w:b/>
        <w:i/>
        <w:noProof/>
        <w:sz w:val="16"/>
        <w:szCs w:val="16"/>
        <w:lang w:val="es-ES"/>
      </w:rPr>
      <w:drawing>
        <wp:inline distT="0" distB="0" distL="0" distR="0" wp14:anchorId="31CFBDF1" wp14:editId="09B69049">
          <wp:extent cx="662940" cy="62484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24840"/>
                  </a:xfrm>
                  <a:prstGeom prst="rect">
                    <a:avLst/>
                  </a:prstGeom>
                  <a:noFill/>
                  <a:ln>
                    <a:noFill/>
                  </a:ln>
                </pic:spPr>
              </pic:pic>
            </a:graphicData>
          </a:graphic>
        </wp:inline>
      </w:drawing>
    </w:r>
  </w:p>
  <w:p w14:paraId="198A2A17" w14:textId="77777777" w:rsidR="004239BE" w:rsidRPr="007E733E" w:rsidRDefault="00D17168" w:rsidP="00605E48">
    <w:pPr>
      <w:pStyle w:val="Encabezado"/>
      <w:jc w:val="center"/>
      <w:rPr>
        <w:rFonts w:ascii="Tahoma" w:hAnsi="Tahoma" w:cs="Tahoma"/>
        <w:b/>
        <w:sz w:val="16"/>
        <w:szCs w:val="16"/>
        <w:lang w:val="es-MX"/>
      </w:rPr>
    </w:pPr>
    <w:r w:rsidRPr="007E733E">
      <w:rPr>
        <w:rFonts w:ascii="Tahoma" w:hAnsi="Tahoma" w:cs="Tahoma"/>
        <w:b/>
        <w:sz w:val="16"/>
        <w:szCs w:val="16"/>
        <w:lang w:val="es-MX"/>
      </w:rPr>
      <w:t>JUZGADO TREINTA Y CUATRO ADMINISTRATIVO</w:t>
    </w:r>
  </w:p>
  <w:p w14:paraId="647D71A5" w14:textId="77777777" w:rsidR="004239BE" w:rsidRPr="007E733E" w:rsidRDefault="00D17168" w:rsidP="00605E48">
    <w:pPr>
      <w:pStyle w:val="Encabezado"/>
      <w:jc w:val="center"/>
      <w:rPr>
        <w:rFonts w:ascii="Tahoma" w:hAnsi="Tahoma" w:cs="Tahoma"/>
        <w:b/>
        <w:sz w:val="16"/>
        <w:szCs w:val="16"/>
        <w:lang w:val="es-MX"/>
      </w:rPr>
    </w:pPr>
    <w:r w:rsidRPr="007E733E">
      <w:rPr>
        <w:rFonts w:ascii="Tahoma" w:hAnsi="Tahoma" w:cs="Tahoma"/>
        <w:b/>
        <w:sz w:val="16"/>
        <w:szCs w:val="16"/>
        <w:lang w:val="es-MX"/>
      </w:rPr>
      <w:t xml:space="preserve"> ORAL DE BOGOTÁ</w:t>
    </w:r>
  </w:p>
  <w:p w14:paraId="3B7DB71C" w14:textId="77777777" w:rsidR="004239BE" w:rsidRPr="007E733E" w:rsidRDefault="00D17168" w:rsidP="00605E48">
    <w:pPr>
      <w:pStyle w:val="Encabezado"/>
      <w:jc w:val="center"/>
      <w:rPr>
        <w:rFonts w:ascii="Tahoma" w:hAnsi="Tahoma" w:cs="Tahoma"/>
        <w:b/>
        <w:sz w:val="16"/>
        <w:szCs w:val="16"/>
        <w:lang w:val="es-MX"/>
      </w:rPr>
    </w:pPr>
    <w:r w:rsidRPr="007E733E">
      <w:rPr>
        <w:rFonts w:ascii="Tahoma" w:hAnsi="Tahoma" w:cs="Tahoma"/>
        <w:b/>
        <w:sz w:val="16"/>
        <w:szCs w:val="16"/>
        <w:lang w:val="es-MX"/>
      </w:rPr>
      <w:t>Sección Tercera</w:t>
    </w:r>
  </w:p>
  <w:p w14:paraId="60E683CA" w14:textId="77777777" w:rsidR="004239BE" w:rsidRPr="007E733E" w:rsidRDefault="00BB75F8">
    <w:pPr>
      <w:pStyle w:val="Encabezado"/>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A088F"/>
    <w:multiLevelType w:val="hybridMultilevel"/>
    <w:tmpl w:val="39ACE0E6"/>
    <w:lvl w:ilvl="0" w:tplc="64047D1E">
      <w:start w:val="1"/>
      <w:numFmt w:val="decimal"/>
      <w:lvlText w:val="%1."/>
      <w:lvlJc w:val="left"/>
      <w:pPr>
        <w:ind w:left="360" w:hanging="360"/>
      </w:pPr>
      <w:rPr>
        <w:rFonts w:cs="Times New Roman"/>
        <w:b/>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 w15:restartNumberingAfterBreak="0">
    <w:nsid w:val="3C0C64A3"/>
    <w:multiLevelType w:val="hybridMultilevel"/>
    <w:tmpl w:val="F7446C1E"/>
    <w:lvl w:ilvl="0" w:tplc="47807C4C">
      <w:start w:val="1"/>
      <w:numFmt w:val="decimal"/>
      <w:lvlText w:val="%1."/>
      <w:lvlJc w:val="left"/>
      <w:pPr>
        <w:ind w:left="786"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24B03D3"/>
    <w:multiLevelType w:val="hybridMultilevel"/>
    <w:tmpl w:val="15C0E78E"/>
    <w:lvl w:ilvl="0" w:tplc="EA264276">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168"/>
    <w:rsid w:val="00041F99"/>
    <w:rsid w:val="000D4559"/>
    <w:rsid w:val="001556DC"/>
    <w:rsid w:val="00167985"/>
    <w:rsid w:val="001C125D"/>
    <w:rsid w:val="002E2A2F"/>
    <w:rsid w:val="00330C86"/>
    <w:rsid w:val="0035280B"/>
    <w:rsid w:val="00380A99"/>
    <w:rsid w:val="003C778E"/>
    <w:rsid w:val="0064624D"/>
    <w:rsid w:val="008A5427"/>
    <w:rsid w:val="0098707E"/>
    <w:rsid w:val="009C1DCD"/>
    <w:rsid w:val="00B355E6"/>
    <w:rsid w:val="00BB75F8"/>
    <w:rsid w:val="00C360B1"/>
    <w:rsid w:val="00D17168"/>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60E5"/>
  <w15:chartTrackingRefBased/>
  <w15:docId w15:val="{FADDFA1E-2BC2-4049-8822-5AF68032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168"/>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168"/>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D17168"/>
    <w:rPr>
      <w:rFonts w:ascii="Times New Roman" w:eastAsia="Times New Roman" w:hAnsi="Times New Roman" w:cs="Times New Roman"/>
      <w:sz w:val="24"/>
      <w:szCs w:val="24"/>
      <w:lang w:val="es-CO" w:eastAsia="es-ES"/>
    </w:rPr>
  </w:style>
  <w:style w:type="table" w:styleId="Tablaconcuadrcula">
    <w:name w:val="Table Grid"/>
    <w:basedOn w:val="Tablanormal"/>
    <w:uiPriority w:val="39"/>
    <w:rsid w:val="00D17168"/>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C125D"/>
    <w:pPr>
      <w:ind w:left="720"/>
      <w:contextualSpacing/>
    </w:pPr>
  </w:style>
  <w:style w:type="paragraph" w:styleId="Textonotapie">
    <w:name w:val="footnote text"/>
    <w:basedOn w:val="Normal"/>
    <w:link w:val="TextonotapieCar"/>
    <w:uiPriority w:val="99"/>
    <w:semiHidden/>
    <w:unhideWhenUsed/>
    <w:rsid w:val="001556D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1556D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556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993</Words>
  <Characters>5464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2019-12-19T15:10:00Z</dcterms:created>
  <dcterms:modified xsi:type="dcterms:W3CDTF">2019-12-19T15:10:00Z</dcterms:modified>
</cp:coreProperties>
</file>