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3"/>
      </w:tblGrid>
      <w:tr w:rsidR="0000202A" w:rsidRPr="006E621B" w14:paraId="46D8B794" w14:textId="77777777" w:rsidTr="00A57861">
        <w:trPr>
          <w:trHeight w:val="180"/>
        </w:trPr>
        <w:tc>
          <w:tcPr>
            <w:tcW w:w="1985" w:type="dxa"/>
            <w:vAlign w:val="center"/>
          </w:tcPr>
          <w:p w14:paraId="5B3A166F"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CIUDAD Y FECHA</w:t>
            </w:r>
          </w:p>
        </w:tc>
        <w:tc>
          <w:tcPr>
            <w:tcW w:w="6833" w:type="dxa"/>
          </w:tcPr>
          <w:p w14:paraId="5E7B9A3B" w14:textId="30354A28" w:rsidR="0000202A" w:rsidRPr="006E621B" w:rsidRDefault="0000202A" w:rsidP="006E621B">
            <w:pPr>
              <w:spacing w:after="0" w:line="276" w:lineRule="auto"/>
              <w:rPr>
                <w:rFonts w:ascii="Arial Narrow" w:hAnsi="Arial Narrow" w:cs="Arial"/>
                <w:b/>
                <w:sz w:val="20"/>
                <w:szCs w:val="20"/>
                <w:lang w:val="es-MX"/>
              </w:rPr>
            </w:pPr>
            <w:r w:rsidRPr="006E621B">
              <w:rPr>
                <w:rFonts w:ascii="Arial Narrow" w:hAnsi="Arial Narrow" w:cs="Arial"/>
                <w:b/>
                <w:sz w:val="20"/>
                <w:szCs w:val="20"/>
                <w:lang w:val="es-MX"/>
              </w:rPr>
              <w:t>Bogotá D.C</w:t>
            </w:r>
            <w:r w:rsidR="0017080E" w:rsidRPr="006E621B">
              <w:rPr>
                <w:rFonts w:ascii="Arial Narrow" w:hAnsi="Arial Narrow" w:cs="Arial"/>
                <w:b/>
                <w:sz w:val="20"/>
                <w:szCs w:val="20"/>
                <w:lang w:val="es-MX"/>
              </w:rPr>
              <w:t xml:space="preserve">., </w:t>
            </w:r>
            <w:r w:rsidR="0017080E">
              <w:rPr>
                <w:rFonts w:ascii="Arial Narrow" w:hAnsi="Arial Narrow" w:cs="Arial"/>
                <w:b/>
                <w:sz w:val="20"/>
                <w:szCs w:val="20"/>
                <w:lang w:val="es-MX"/>
              </w:rPr>
              <w:t>diecinueve (19)</w:t>
            </w:r>
            <w:r w:rsidRPr="006E621B">
              <w:rPr>
                <w:rFonts w:ascii="Arial Narrow" w:hAnsi="Arial Narrow" w:cs="Arial"/>
                <w:b/>
                <w:sz w:val="20"/>
                <w:szCs w:val="20"/>
                <w:lang w:val="es-MX"/>
              </w:rPr>
              <w:t xml:space="preserve"> de </w:t>
            </w:r>
            <w:r w:rsidR="0017080E" w:rsidRPr="006E621B">
              <w:rPr>
                <w:rFonts w:ascii="Arial Narrow" w:hAnsi="Arial Narrow" w:cs="Arial"/>
                <w:b/>
                <w:sz w:val="20"/>
                <w:szCs w:val="20"/>
                <w:lang w:val="es-MX"/>
              </w:rPr>
              <w:t>diciembre de</w:t>
            </w:r>
            <w:r w:rsidRPr="006E621B">
              <w:rPr>
                <w:rFonts w:ascii="Arial Narrow" w:hAnsi="Arial Narrow" w:cs="Arial"/>
                <w:b/>
                <w:sz w:val="20"/>
                <w:szCs w:val="20"/>
                <w:lang w:val="es-MX"/>
              </w:rPr>
              <w:t xml:space="preserve"> dos mil diecinueve (2019)</w:t>
            </w:r>
          </w:p>
        </w:tc>
      </w:tr>
      <w:tr w:rsidR="0000202A" w:rsidRPr="006E621B" w14:paraId="507202EB" w14:textId="77777777" w:rsidTr="00A57861">
        <w:trPr>
          <w:trHeight w:val="167"/>
        </w:trPr>
        <w:tc>
          <w:tcPr>
            <w:tcW w:w="1985" w:type="dxa"/>
            <w:vAlign w:val="center"/>
          </w:tcPr>
          <w:p w14:paraId="0307830F"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REFERENCIA</w:t>
            </w:r>
          </w:p>
        </w:tc>
        <w:tc>
          <w:tcPr>
            <w:tcW w:w="6833" w:type="dxa"/>
          </w:tcPr>
          <w:p w14:paraId="523B8534" w14:textId="77777777" w:rsidR="0000202A" w:rsidRPr="006E621B" w:rsidRDefault="0000202A" w:rsidP="006E621B">
            <w:pPr>
              <w:pStyle w:val="Sinespaciado"/>
              <w:spacing w:line="276" w:lineRule="auto"/>
              <w:rPr>
                <w:rFonts w:ascii="Arial Narrow" w:hAnsi="Arial Narrow" w:cs="Arial"/>
                <w:b/>
                <w:sz w:val="20"/>
                <w:szCs w:val="20"/>
              </w:rPr>
            </w:pPr>
            <w:r w:rsidRPr="006E621B">
              <w:rPr>
                <w:rFonts w:ascii="Arial Narrow" w:hAnsi="Arial Narrow" w:cs="Arial"/>
                <w:b/>
                <w:sz w:val="20"/>
                <w:szCs w:val="20"/>
              </w:rPr>
              <w:t xml:space="preserve">Expediente No. </w:t>
            </w:r>
            <w:r w:rsidRPr="006E621B">
              <w:rPr>
                <w:rFonts w:ascii="Arial Narrow" w:hAnsi="Arial Narrow" w:cs="Arial"/>
                <w:b/>
                <w:sz w:val="20"/>
                <w:szCs w:val="20"/>
              </w:rPr>
              <w:fldChar w:fldCharType="begin"/>
            </w:r>
            <w:r w:rsidRPr="006E621B">
              <w:rPr>
                <w:rFonts w:ascii="Arial Narrow" w:hAnsi="Arial Narrow" w:cs="Arial"/>
                <w:b/>
                <w:sz w:val="20"/>
                <w:szCs w:val="20"/>
              </w:rPr>
              <w:instrText xml:space="preserve"> MERGEFIELD EXPEDIENTE </w:instrText>
            </w:r>
            <w:r w:rsidRPr="006E621B">
              <w:rPr>
                <w:rFonts w:ascii="Arial Narrow" w:hAnsi="Arial Narrow" w:cs="Arial"/>
                <w:b/>
                <w:sz w:val="20"/>
                <w:szCs w:val="20"/>
              </w:rPr>
              <w:fldChar w:fldCharType="separate"/>
            </w:r>
            <w:r w:rsidRPr="006E621B">
              <w:rPr>
                <w:rFonts w:ascii="Arial Narrow" w:hAnsi="Arial Narrow" w:cs="Arial"/>
                <w:b/>
                <w:sz w:val="20"/>
                <w:szCs w:val="20"/>
              </w:rPr>
              <w:t>11001333603420170027000</w:t>
            </w:r>
            <w:r w:rsidRPr="006E621B">
              <w:rPr>
                <w:rFonts w:ascii="Arial Narrow" w:hAnsi="Arial Narrow" w:cs="Arial"/>
                <w:b/>
                <w:sz w:val="20"/>
                <w:szCs w:val="20"/>
              </w:rPr>
              <w:fldChar w:fldCharType="end"/>
            </w:r>
          </w:p>
        </w:tc>
      </w:tr>
      <w:tr w:rsidR="0000202A" w:rsidRPr="006E621B" w14:paraId="406A4060" w14:textId="77777777" w:rsidTr="00A57861">
        <w:trPr>
          <w:trHeight w:val="180"/>
        </w:trPr>
        <w:tc>
          <w:tcPr>
            <w:tcW w:w="1985" w:type="dxa"/>
            <w:vAlign w:val="center"/>
          </w:tcPr>
          <w:p w14:paraId="40E6D8D9"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DEMANDANTE</w:t>
            </w:r>
          </w:p>
        </w:tc>
        <w:tc>
          <w:tcPr>
            <w:tcW w:w="6833" w:type="dxa"/>
          </w:tcPr>
          <w:p w14:paraId="7319D0C0" w14:textId="77777777" w:rsidR="0000202A" w:rsidRPr="006E621B" w:rsidRDefault="0000202A" w:rsidP="006E621B">
            <w:pPr>
              <w:pStyle w:val="Sinespaciado"/>
              <w:spacing w:line="276" w:lineRule="auto"/>
              <w:rPr>
                <w:rFonts w:ascii="Arial Narrow" w:hAnsi="Arial Narrow" w:cs="Arial"/>
                <w:b/>
                <w:sz w:val="20"/>
                <w:szCs w:val="20"/>
              </w:rPr>
            </w:pPr>
            <w:r w:rsidRPr="006E621B">
              <w:rPr>
                <w:rFonts w:ascii="Arial Narrow" w:hAnsi="Arial Narrow" w:cs="Arial"/>
                <w:b/>
                <w:sz w:val="20"/>
                <w:szCs w:val="20"/>
              </w:rPr>
              <w:fldChar w:fldCharType="begin"/>
            </w:r>
            <w:r w:rsidRPr="006E621B">
              <w:rPr>
                <w:rFonts w:ascii="Arial Narrow" w:hAnsi="Arial Narrow" w:cs="Arial"/>
                <w:b/>
                <w:sz w:val="20"/>
                <w:szCs w:val="20"/>
              </w:rPr>
              <w:instrText xml:space="preserve"> MERGEFIELD DEMANDANTE </w:instrText>
            </w:r>
            <w:r w:rsidRPr="006E621B">
              <w:rPr>
                <w:rFonts w:ascii="Arial Narrow" w:hAnsi="Arial Narrow" w:cs="Arial"/>
                <w:b/>
                <w:sz w:val="20"/>
                <w:szCs w:val="20"/>
              </w:rPr>
              <w:fldChar w:fldCharType="separate"/>
            </w:r>
            <w:r w:rsidRPr="006E621B">
              <w:rPr>
                <w:rFonts w:ascii="Arial Narrow" w:hAnsi="Arial Narrow" w:cs="Arial"/>
                <w:b/>
                <w:sz w:val="20"/>
                <w:szCs w:val="20"/>
              </w:rPr>
              <w:t>GASPAR EDWIN MURILLO GUEVARA Y OTROS</w:t>
            </w:r>
            <w:r w:rsidRPr="006E621B">
              <w:rPr>
                <w:rFonts w:ascii="Arial Narrow" w:hAnsi="Arial Narrow" w:cs="Arial"/>
                <w:b/>
                <w:sz w:val="20"/>
                <w:szCs w:val="20"/>
              </w:rPr>
              <w:fldChar w:fldCharType="end"/>
            </w:r>
          </w:p>
        </w:tc>
      </w:tr>
      <w:tr w:rsidR="0000202A" w:rsidRPr="006E621B" w14:paraId="2BEFB8DC" w14:textId="77777777" w:rsidTr="00A57861">
        <w:trPr>
          <w:trHeight w:val="167"/>
        </w:trPr>
        <w:tc>
          <w:tcPr>
            <w:tcW w:w="1985" w:type="dxa"/>
            <w:vAlign w:val="center"/>
          </w:tcPr>
          <w:p w14:paraId="473468A2"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DEMANDADO</w:t>
            </w:r>
          </w:p>
        </w:tc>
        <w:tc>
          <w:tcPr>
            <w:tcW w:w="6833" w:type="dxa"/>
          </w:tcPr>
          <w:p w14:paraId="409EECD0" w14:textId="77777777" w:rsidR="0000202A" w:rsidRPr="006E621B" w:rsidRDefault="0000202A" w:rsidP="006E621B">
            <w:pPr>
              <w:pStyle w:val="Sinespaciado"/>
              <w:spacing w:line="276" w:lineRule="auto"/>
              <w:rPr>
                <w:rFonts w:ascii="Arial Narrow" w:hAnsi="Arial Narrow" w:cs="Arial"/>
                <w:b/>
                <w:sz w:val="20"/>
                <w:szCs w:val="20"/>
              </w:rPr>
            </w:pPr>
            <w:r w:rsidRPr="006E621B">
              <w:rPr>
                <w:rFonts w:ascii="Arial Narrow" w:hAnsi="Arial Narrow" w:cs="Arial"/>
                <w:b/>
                <w:sz w:val="20"/>
                <w:szCs w:val="20"/>
              </w:rPr>
              <w:fldChar w:fldCharType="begin"/>
            </w:r>
            <w:r w:rsidRPr="006E621B">
              <w:rPr>
                <w:rFonts w:ascii="Arial Narrow" w:hAnsi="Arial Narrow" w:cs="Arial"/>
                <w:b/>
                <w:sz w:val="20"/>
                <w:szCs w:val="20"/>
              </w:rPr>
              <w:instrText xml:space="preserve"> MERGEFIELD DEMANDADO </w:instrText>
            </w:r>
            <w:r w:rsidRPr="006E621B">
              <w:rPr>
                <w:rFonts w:ascii="Arial Narrow" w:hAnsi="Arial Narrow" w:cs="Arial"/>
                <w:b/>
                <w:sz w:val="20"/>
                <w:szCs w:val="20"/>
              </w:rPr>
              <w:fldChar w:fldCharType="separate"/>
            </w:r>
            <w:r w:rsidRPr="006E621B">
              <w:rPr>
                <w:rFonts w:ascii="Arial Narrow" w:hAnsi="Arial Narrow" w:cs="Arial"/>
                <w:b/>
                <w:sz w:val="20"/>
                <w:szCs w:val="20"/>
              </w:rPr>
              <w:t>EMPRESA DE RENOVACIÓN Y DESARROLLO URBANO DE BOGOTÁ</w:t>
            </w:r>
            <w:r w:rsidRPr="006E621B">
              <w:rPr>
                <w:rFonts w:ascii="Arial Narrow" w:hAnsi="Arial Narrow" w:cs="Arial"/>
                <w:b/>
                <w:sz w:val="20"/>
                <w:szCs w:val="20"/>
              </w:rPr>
              <w:fldChar w:fldCharType="end"/>
            </w:r>
          </w:p>
        </w:tc>
      </w:tr>
      <w:tr w:rsidR="0000202A" w:rsidRPr="006E621B" w14:paraId="44DDC37F" w14:textId="77777777" w:rsidTr="00A57861">
        <w:trPr>
          <w:trHeight w:val="166"/>
        </w:trPr>
        <w:tc>
          <w:tcPr>
            <w:tcW w:w="1985" w:type="dxa"/>
            <w:vAlign w:val="center"/>
          </w:tcPr>
          <w:p w14:paraId="2693ACD6"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MEDIO DE CONTROL</w:t>
            </w:r>
          </w:p>
        </w:tc>
        <w:tc>
          <w:tcPr>
            <w:tcW w:w="6833" w:type="dxa"/>
          </w:tcPr>
          <w:p w14:paraId="0A5A4A37" w14:textId="77777777" w:rsidR="0000202A" w:rsidRPr="006E621B" w:rsidRDefault="0000202A" w:rsidP="006E621B">
            <w:pPr>
              <w:spacing w:after="0" w:line="276" w:lineRule="auto"/>
              <w:rPr>
                <w:rFonts w:ascii="Arial Narrow" w:hAnsi="Arial Narrow" w:cs="Arial"/>
                <w:b/>
                <w:sz w:val="20"/>
                <w:szCs w:val="20"/>
              </w:rPr>
            </w:pPr>
            <w:r w:rsidRPr="006E621B">
              <w:rPr>
                <w:rFonts w:ascii="Arial Narrow" w:hAnsi="Arial Narrow" w:cs="Arial"/>
                <w:b/>
                <w:sz w:val="20"/>
                <w:szCs w:val="20"/>
              </w:rPr>
              <w:t>REPARACIÓN DIRECTA</w:t>
            </w:r>
          </w:p>
        </w:tc>
      </w:tr>
      <w:tr w:rsidR="0000202A" w:rsidRPr="006E621B" w14:paraId="02A609B3" w14:textId="77777777" w:rsidTr="00A57861">
        <w:trPr>
          <w:trHeight w:val="241"/>
        </w:trPr>
        <w:tc>
          <w:tcPr>
            <w:tcW w:w="1985" w:type="dxa"/>
            <w:vAlign w:val="center"/>
          </w:tcPr>
          <w:p w14:paraId="0AA1BCBA" w14:textId="77777777" w:rsidR="0000202A" w:rsidRPr="006E621B" w:rsidRDefault="0000202A" w:rsidP="006E621B">
            <w:pPr>
              <w:spacing w:after="0" w:line="276" w:lineRule="auto"/>
              <w:rPr>
                <w:rFonts w:ascii="Arial Narrow" w:hAnsi="Arial Narrow" w:cs="Arial"/>
                <w:sz w:val="20"/>
                <w:szCs w:val="20"/>
                <w:lang w:val="es-MX"/>
              </w:rPr>
            </w:pPr>
            <w:r w:rsidRPr="006E621B">
              <w:rPr>
                <w:rFonts w:ascii="Arial Narrow" w:hAnsi="Arial Narrow" w:cs="Arial"/>
                <w:sz w:val="20"/>
                <w:szCs w:val="20"/>
                <w:lang w:val="es-MX"/>
              </w:rPr>
              <w:t>ASUNTO</w:t>
            </w:r>
          </w:p>
        </w:tc>
        <w:tc>
          <w:tcPr>
            <w:tcW w:w="6833" w:type="dxa"/>
          </w:tcPr>
          <w:p w14:paraId="79D1DA06" w14:textId="77777777" w:rsidR="0000202A" w:rsidRPr="006E621B" w:rsidRDefault="0000202A" w:rsidP="006E621B">
            <w:pPr>
              <w:spacing w:after="0" w:line="276" w:lineRule="auto"/>
              <w:jc w:val="both"/>
              <w:rPr>
                <w:rFonts w:ascii="Arial Narrow" w:hAnsi="Arial Narrow" w:cs="Arial"/>
                <w:b/>
                <w:sz w:val="20"/>
                <w:szCs w:val="20"/>
                <w:lang w:val="es-MX"/>
              </w:rPr>
            </w:pPr>
            <w:r w:rsidRPr="006E621B">
              <w:rPr>
                <w:rFonts w:ascii="Arial Narrow" w:hAnsi="Arial Narrow" w:cs="Arial"/>
                <w:b/>
                <w:sz w:val="20"/>
                <w:szCs w:val="20"/>
                <w:lang w:val="es-MX"/>
              </w:rPr>
              <w:t xml:space="preserve">CORRE TRASLADO DE INCIDENTE DE NULIDAD </w:t>
            </w:r>
          </w:p>
        </w:tc>
      </w:tr>
    </w:tbl>
    <w:p w14:paraId="36CED2B2" w14:textId="77777777" w:rsidR="0000202A" w:rsidRPr="006E621B" w:rsidRDefault="0000202A" w:rsidP="006E621B">
      <w:pPr>
        <w:shd w:val="clear" w:color="auto" w:fill="FFFFFF"/>
        <w:spacing w:after="0" w:line="276" w:lineRule="auto"/>
        <w:jc w:val="both"/>
        <w:rPr>
          <w:rFonts w:ascii="Arial" w:hAnsi="Arial" w:cs="Arial"/>
        </w:rPr>
      </w:pPr>
    </w:p>
    <w:p w14:paraId="3775D91F" w14:textId="77777777" w:rsidR="008F1D50" w:rsidRPr="006E621B" w:rsidRDefault="008F1D50" w:rsidP="006E621B">
      <w:pPr>
        <w:spacing w:line="276" w:lineRule="auto"/>
        <w:jc w:val="both"/>
        <w:rPr>
          <w:rFonts w:ascii="Arial" w:hAnsi="Arial" w:cs="Arial"/>
        </w:rPr>
      </w:pPr>
      <w:r w:rsidRPr="006E621B">
        <w:rPr>
          <w:rFonts w:ascii="Arial" w:hAnsi="Arial" w:cs="Arial"/>
        </w:rPr>
        <w:t>La presente demanda pretende que se declare administrativa y extracontractualmente responsable a la Empresa de Renovación y Desarrollo Urbano de Bogotá por los perjuicios causados a los demandantes con ocasión de la presunta falla en el servicio por la expedición de unos actos administrativos.</w:t>
      </w:r>
    </w:p>
    <w:p w14:paraId="3F175EAA" w14:textId="77777777" w:rsidR="008F1D50" w:rsidRPr="006E621B" w:rsidRDefault="008F1D50" w:rsidP="006E621B">
      <w:pPr>
        <w:spacing w:line="276" w:lineRule="auto"/>
        <w:jc w:val="both"/>
        <w:rPr>
          <w:rFonts w:ascii="Arial" w:hAnsi="Arial" w:cs="Arial"/>
        </w:rPr>
      </w:pPr>
      <w:r w:rsidRPr="006E621B">
        <w:rPr>
          <w:rFonts w:ascii="Arial" w:hAnsi="Arial" w:cs="Arial"/>
        </w:rPr>
        <w:t xml:space="preserve">Con auto del 20 de junio de 2018 se admitió la demanda. </w:t>
      </w:r>
    </w:p>
    <w:p w14:paraId="7E9788E1" w14:textId="77777777" w:rsidR="008F1D50" w:rsidRPr="006E621B" w:rsidRDefault="008F1D50" w:rsidP="006E621B">
      <w:pPr>
        <w:spacing w:line="276" w:lineRule="auto"/>
        <w:jc w:val="both"/>
        <w:rPr>
          <w:rFonts w:ascii="Arial" w:hAnsi="Arial" w:cs="Arial"/>
        </w:rPr>
      </w:pPr>
      <w:r w:rsidRPr="006E621B">
        <w:rPr>
          <w:rFonts w:ascii="Arial" w:hAnsi="Arial" w:cs="Arial"/>
        </w:rPr>
        <w:t>El 30 de enero de 2019 se fijó fecha para audiencia inicial para el día 11 de abril de 2019 a las 10:00 a.m.</w:t>
      </w:r>
    </w:p>
    <w:p w14:paraId="166B19E0" w14:textId="77777777" w:rsidR="008F1D50" w:rsidRPr="006E621B" w:rsidRDefault="008F1D50" w:rsidP="006E621B">
      <w:pPr>
        <w:spacing w:line="276" w:lineRule="auto"/>
        <w:jc w:val="both"/>
        <w:rPr>
          <w:rFonts w:ascii="Arial" w:hAnsi="Arial" w:cs="Arial"/>
        </w:rPr>
      </w:pPr>
      <w:r w:rsidRPr="006E621B">
        <w:rPr>
          <w:rFonts w:ascii="Arial" w:hAnsi="Arial" w:cs="Arial"/>
        </w:rPr>
        <w:t>En auto de 10 de abril de 2019 se revocó citación a audiencia inicial y se ordenó vincular a litisconsorcio necesario.</w:t>
      </w:r>
    </w:p>
    <w:p w14:paraId="25CC5CDA" w14:textId="38651436" w:rsidR="008F1D50" w:rsidRPr="006E621B" w:rsidRDefault="008F1D50" w:rsidP="006E621B">
      <w:pPr>
        <w:spacing w:line="276" w:lineRule="auto"/>
        <w:jc w:val="both"/>
        <w:rPr>
          <w:rFonts w:ascii="Arial" w:hAnsi="Arial" w:cs="Arial"/>
        </w:rPr>
      </w:pPr>
      <w:r w:rsidRPr="006E621B">
        <w:rPr>
          <w:rFonts w:ascii="Arial" w:hAnsi="Arial" w:cs="Arial"/>
        </w:rPr>
        <w:t>Con auto de 11 de septiembre de 2019 se resolvió recurso de reposición y en subsidio apelación contra auto que orden</w:t>
      </w:r>
      <w:r w:rsidR="0017080E">
        <w:rPr>
          <w:rFonts w:ascii="Arial" w:hAnsi="Arial" w:cs="Arial"/>
        </w:rPr>
        <w:t>ó</w:t>
      </w:r>
      <w:bookmarkStart w:id="0" w:name="_GoBack"/>
      <w:bookmarkEnd w:id="0"/>
      <w:r w:rsidRPr="006E621B">
        <w:rPr>
          <w:rFonts w:ascii="Arial" w:hAnsi="Arial" w:cs="Arial"/>
        </w:rPr>
        <w:t xml:space="preserve"> vinculación.</w:t>
      </w:r>
    </w:p>
    <w:p w14:paraId="2C12CCB2" w14:textId="77777777" w:rsidR="008F1D50" w:rsidRPr="006E621B" w:rsidRDefault="008F1D50" w:rsidP="006E621B">
      <w:pPr>
        <w:spacing w:line="276" w:lineRule="auto"/>
        <w:jc w:val="both"/>
        <w:rPr>
          <w:rFonts w:ascii="Arial" w:hAnsi="Arial" w:cs="Arial"/>
          <w:i/>
        </w:rPr>
      </w:pPr>
      <w:r w:rsidRPr="006E621B">
        <w:rPr>
          <w:rFonts w:ascii="Arial" w:hAnsi="Arial" w:cs="Arial"/>
        </w:rPr>
        <w:t xml:space="preserve">En informe secretarial de octubre 25 de 2019 se anotó: </w:t>
      </w:r>
      <w:r w:rsidRPr="006E621B">
        <w:rPr>
          <w:rFonts w:ascii="Arial" w:hAnsi="Arial" w:cs="Arial"/>
          <w:i/>
        </w:rPr>
        <w:t>“INCIDENTE DE NULIDAD FORMULADO POR ACTOR (OCTUBRE 4 DE 2019 – CUADERNO 3). SÍRVASE PROVEER”.</w:t>
      </w:r>
    </w:p>
    <w:p w14:paraId="684396AA" w14:textId="77777777" w:rsidR="0000202A" w:rsidRPr="006E621B" w:rsidRDefault="0000202A" w:rsidP="006E621B">
      <w:pPr>
        <w:spacing w:after="0" w:line="276" w:lineRule="auto"/>
        <w:jc w:val="both"/>
        <w:rPr>
          <w:rFonts w:ascii="Arial" w:eastAsia="Times New Roman" w:hAnsi="Arial" w:cs="Arial"/>
          <w:lang w:val="es-MX" w:eastAsia="es-ES"/>
        </w:rPr>
      </w:pPr>
      <w:r w:rsidRPr="006E621B">
        <w:rPr>
          <w:rFonts w:ascii="Arial" w:eastAsia="Times New Roman" w:hAnsi="Arial" w:cs="Arial"/>
          <w:lang w:val="es-MX" w:eastAsia="es-ES"/>
        </w:rPr>
        <w:t>Procede el Despacho a pronunciarse sobre lo anotado.</w:t>
      </w:r>
    </w:p>
    <w:p w14:paraId="03F7D4F9" w14:textId="77777777" w:rsidR="0000202A" w:rsidRPr="006E621B" w:rsidRDefault="0000202A" w:rsidP="006E621B">
      <w:pPr>
        <w:spacing w:after="0" w:line="276" w:lineRule="auto"/>
        <w:jc w:val="both"/>
        <w:rPr>
          <w:rFonts w:ascii="Arial" w:eastAsia="Times New Roman" w:hAnsi="Arial" w:cs="Arial"/>
          <w:lang w:val="es-MX" w:eastAsia="es-ES"/>
        </w:rPr>
      </w:pPr>
    </w:p>
    <w:p w14:paraId="55B2066F" w14:textId="77777777" w:rsidR="0000202A" w:rsidRPr="006E621B" w:rsidRDefault="0000202A" w:rsidP="006E621B">
      <w:pPr>
        <w:spacing w:after="0" w:line="276" w:lineRule="auto"/>
        <w:jc w:val="center"/>
        <w:rPr>
          <w:rFonts w:ascii="Arial" w:eastAsia="Times New Roman" w:hAnsi="Arial" w:cs="Arial"/>
          <w:lang w:val="es-MX" w:eastAsia="es-ES"/>
        </w:rPr>
      </w:pPr>
      <w:r w:rsidRPr="006E621B">
        <w:rPr>
          <w:rFonts w:ascii="Arial" w:eastAsia="Times New Roman" w:hAnsi="Arial" w:cs="Arial"/>
          <w:b/>
          <w:lang w:val="es-MX" w:eastAsia="es-ES"/>
        </w:rPr>
        <w:t>CONSIDERACIONES</w:t>
      </w:r>
      <w:r w:rsidRPr="006E621B">
        <w:rPr>
          <w:rFonts w:ascii="Arial" w:eastAsia="Times New Roman" w:hAnsi="Arial" w:cs="Arial"/>
          <w:lang w:val="es-MX" w:eastAsia="es-ES"/>
        </w:rPr>
        <w:t>:</w:t>
      </w:r>
    </w:p>
    <w:p w14:paraId="29ADB016" w14:textId="77777777" w:rsidR="0000202A" w:rsidRPr="006E621B" w:rsidRDefault="0000202A" w:rsidP="006E621B">
      <w:pPr>
        <w:spacing w:after="0" w:line="276" w:lineRule="auto"/>
        <w:jc w:val="center"/>
        <w:rPr>
          <w:rFonts w:ascii="Arial" w:eastAsia="Times New Roman" w:hAnsi="Arial" w:cs="Arial"/>
          <w:b/>
          <w:lang w:val="es-MX" w:eastAsia="es-ES"/>
        </w:rPr>
      </w:pPr>
    </w:p>
    <w:p w14:paraId="0748F4B7" w14:textId="77777777" w:rsidR="0000202A" w:rsidRPr="006E621B" w:rsidRDefault="0000202A" w:rsidP="006E621B">
      <w:pPr>
        <w:pStyle w:val="Prrafodelista"/>
        <w:numPr>
          <w:ilvl w:val="0"/>
          <w:numId w:val="1"/>
        </w:numPr>
        <w:tabs>
          <w:tab w:val="left" w:pos="426"/>
        </w:tabs>
        <w:spacing w:line="276" w:lineRule="auto"/>
        <w:ind w:left="0" w:firstLine="0"/>
        <w:jc w:val="both"/>
        <w:rPr>
          <w:rFonts w:ascii="Arial" w:hAnsi="Arial" w:cs="Arial"/>
          <w:sz w:val="22"/>
          <w:szCs w:val="22"/>
        </w:rPr>
      </w:pPr>
      <w:r w:rsidRPr="006E621B">
        <w:rPr>
          <w:rFonts w:ascii="Arial" w:hAnsi="Arial" w:cs="Arial"/>
          <w:b/>
          <w:sz w:val="22"/>
          <w:szCs w:val="22"/>
        </w:rPr>
        <w:t>La nulidad propuesta:</w:t>
      </w:r>
    </w:p>
    <w:p w14:paraId="14E0D737" w14:textId="77777777" w:rsidR="0000202A" w:rsidRPr="006E621B" w:rsidRDefault="0000202A" w:rsidP="006E621B">
      <w:pPr>
        <w:pStyle w:val="Prrafodelista"/>
        <w:tabs>
          <w:tab w:val="left" w:pos="426"/>
        </w:tabs>
        <w:spacing w:line="276" w:lineRule="auto"/>
        <w:ind w:left="0"/>
        <w:jc w:val="both"/>
        <w:rPr>
          <w:rFonts w:ascii="Arial" w:hAnsi="Arial" w:cs="Arial"/>
          <w:sz w:val="22"/>
          <w:szCs w:val="22"/>
        </w:rPr>
      </w:pPr>
    </w:p>
    <w:p w14:paraId="10AD1E71" w14:textId="77777777" w:rsidR="008F1D50" w:rsidRPr="006E621B" w:rsidRDefault="008F1D50" w:rsidP="006E621B">
      <w:pPr>
        <w:pStyle w:val="NormalWeb"/>
        <w:spacing w:before="0" w:beforeAutospacing="0" w:after="0" w:afterAutospacing="0" w:line="276" w:lineRule="auto"/>
        <w:jc w:val="both"/>
        <w:rPr>
          <w:rFonts w:ascii="Arial" w:hAnsi="Arial" w:cs="Arial"/>
          <w:bCs/>
          <w:color w:val="000000"/>
          <w:sz w:val="22"/>
          <w:szCs w:val="22"/>
          <w:shd w:val="clear" w:color="auto" w:fill="FFFFFF"/>
        </w:rPr>
      </w:pPr>
      <w:r w:rsidRPr="006E621B">
        <w:rPr>
          <w:rFonts w:ascii="Arial" w:hAnsi="Arial" w:cs="Arial"/>
          <w:bCs/>
          <w:color w:val="000000"/>
          <w:sz w:val="22"/>
          <w:szCs w:val="22"/>
          <w:shd w:val="clear" w:color="auto" w:fill="FFFFFF"/>
        </w:rPr>
        <w:t xml:space="preserve">Alega el apoderado de la parte demandante que se configuró la causal de nulidad señalada en el numeral 5 del art. 133 del </w:t>
      </w:r>
      <w:r w:rsidR="006E621B" w:rsidRPr="006E621B">
        <w:rPr>
          <w:rFonts w:ascii="Arial" w:hAnsi="Arial" w:cs="Arial"/>
          <w:bCs/>
          <w:color w:val="000000"/>
          <w:sz w:val="22"/>
          <w:szCs w:val="22"/>
          <w:shd w:val="clear" w:color="auto" w:fill="FFFFFF"/>
        </w:rPr>
        <w:t>C.G.P</w:t>
      </w:r>
      <w:r w:rsidRPr="006E621B">
        <w:rPr>
          <w:rFonts w:ascii="Arial" w:hAnsi="Arial" w:cs="Arial"/>
          <w:bCs/>
          <w:color w:val="000000"/>
          <w:sz w:val="22"/>
          <w:szCs w:val="22"/>
          <w:shd w:val="clear" w:color="auto" w:fill="FFFFFF"/>
        </w:rPr>
        <w:t xml:space="preserve"> al ordena</w:t>
      </w:r>
      <w:r w:rsidR="00446768">
        <w:rPr>
          <w:rFonts w:ascii="Arial" w:hAnsi="Arial" w:cs="Arial"/>
          <w:bCs/>
          <w:color w:val="000000"/>
          <w:sz w:val="22"/>
          <w:szCs w:val="22"/>
          <w:shd w:val="clear" w:color="auto" w:fill="FFFFFF"/>
        </w:rPr>
        <w:t>r la vinculación de li</w:t>
      </w:r>
      <w:r w:rsidRPr="006E621B">
        <w:rPr>
          <w:rFonts w:ascii="Arial" w:hAnsi="Arial" w:cs="Arial"/>
          <w:bCs/>
          <w:color w:val="000000"/>
          <w:sz w:val="22"/>
          <w:szCs w:val="22"/>
          <w:shd w:val="clear" w:color="auto" w:fill="FFFFFF"/>
        </w:rPr>
        <w:t>t</w:t>
      </w:r>
      <w:r w:rsidR="00446768">
        <w:rPr>
          <w:rFonts w:ascii="Arial" w:hAnsi="Arial" w:cs="Arial"/>
          <w:bCs/>
          <w:color w:val="000000"/>
          <w:sz w:val="22"/>
          <w:szCs w:val="22"/>
          <w:shd w:val="clear" w:color="auto" w:fill="FFFFFF"/>
        </w:rPr>
        <w:t>is</w:t>
      </w:r>
      <w:r w:rsidRPr="006E621B">
        <w:rPr>
          <w:rFonts w:ascii="Arial" w:hAnsi="Arial" w:cs="Arial"/>
          <w:bCs/>
          <w:color w:val="000000"/>
          <w:sz w:val="22"/>
          <w:szCs w:val="22"/>
          <w:shd w:val="clear" w:color="auto" w:fill="FFFFFF"/>
        </w:rPr>
        <w:t>consorte por pasiva de la Defensoría del Pueblo.</w:t>
      </w:r>
    </w:p>
    <w:p w14:paraId="5C759723" w14:textId="77777777" w:rsidR="0000202A" w:rsidRPr="006E621B" w:rsidRDefault="0000202A" w:rsidP="006E621B">
      <w:pPr>
        <w:pStyle w:val="NormalWeb"/>
        <w:spacing w:before="0" w:beforeAutospacing="0" w:after="0" w:afterAutospacing="0" w:line="276" w:lineRule="auto"/>
        <w:jc w:val="both"/>
        <w:rPr>
          <w:rFonts w:ascii="Arial" w:hAnsi="Arial" w:cs="Arial"/>
          <w:bCs/>
          <w:color w:val="000000"/>
          <w:sz w:val="22"/>
          <w:szCs w:val="22"/>
          <w:shd w:val="clear" w:color="auto" w:fill="FFFFFF"/>
        </w:rPr>
      </w:pPr>
    </w:p>
    <w:p w14:paraId="2633FB80" w14:textId="77777777" w:rsidR="0000202A" w:rsidRPr="006E621B" w:rsidRDefault="0000202A" w:rsidP="006E621B">
      <w:pPr>
        <w:pStyle w:val="NormalWeb"/>
        <w:spacing w:before="0" w:beforeAutospacing="0" w:after="0" w:afterAutospacing="0" w:line="276" w:lineRule="auto"/>
        <w:jc w:val="both"/>
        <w:rPr>
          <w:rFonts w:ascii="Arial" w:hAnsi="Arial" w:cs="Arial"/>
          <w:color w:val="000000"/>
          <w:sz w:val="22"/>
          <w:szCs w:val="22"/>
          <w:shd w:val="clear" w:color="auto" w:fill="FFFFFF"/>
        </w:rPr>
      </w:pPr>
      <w:r w:rsidRPr="006E621B">
        <w:rPr>
          <w:rFonts w:ascii="Arial" w:hAnsi="Arial" w:cs="Arial"/>
          <w:bCs/>
          <w:color w:val="000000"/>
          <w:sz w:val="22"/>
          <w:szCs w:val="22"/>
          <w:shd w:val="clear" w:color="auto" w:fill="FFFFFF"/>
        </w:rPr>
        <w:t>El artículo 134 del C.G.P dispone</w:t>
      </w:r>
      <w:r w:rsidRPr="006E621B">
        <w:rPr>
          <w:rFonts w:ascii="Arial" w:hAnsi="Arial" w:cs="Arial"/>
          <w:bCs/>
          <w:i/>
          <w:iCs/>
          <w:color w:val="000000"/>
          <w:sz w:val="22"/>
          <w:szCs w:val="22"/>
          <w:shd w:val="clear" w:color="auto" w:fill="FFFFFF"/>
        </w:rPr>
        <w:t xml:space="preserve">: “(…) </w:t>
      </w:r>
      <w:r w:rsidRPr="006E621B">
        <w:rPr>
          <w:rFonts w:ascii="Arial" w:hAnsi="Arial" w:cs="Arial"/>
          <w:i/>
          <w:color w:val="000000"/>
          <w:sz w:val="22"/>
          <w:szCs w:val="22"/>
        </w:rPr>
        <w:t xml:space="preserve">Las nulidades podrán alegarse en cualquiera de las instancias antes de que se dicte sentencia o con posteridad a esta, si ocurrieren en ella. La nulidad por indebida representación o falta de notificación o emplazamiento en legal forma, o la originada en la sentencia contra la cual no proceda recurso, podrá también alegarse en la diligencia de entrega o como excepción en la ejecución de la sentencia, o mediante el recurso de revisión, si no se pudo alegar por la parte en las anteriores oportunidades. Dichas causales podrán alegarse en el proceso ejecutivo, incluso con posterioridad a la orden de seguir adelante con la ejecución, mientras no haya terminado por el pago total a los acreedores o por cualquier otra causa legal. </w:t>
      </w:r>
      <w:r w:rsidRPr="006E621B">
        <w:rPr>
          <w:rFonts w:ascii="Arial" w:hAnsi="Arial" w:cs="Arial"/>
          <w:b/>
          <w:i/>
          <w:color w:val="000000"/>
          <w:sz w:val="22"/>
          <w:szCs w:val="22"/>
        </w:rPr>
        <w:t xml:space="preserve">El juez resolverá la solicitud de nulidad previo traslado, decreto y práctica de las pruebas que fueren necesarias. </w:t>
      </w:r>
      <w:r w:rsidRPr="006E621B">
        <w:rPr>
          <w:rFonts w:ascii="Arial" w:hAnsi="Arial" w:cs="Arial"/>
          <w:i/>
          <w:color w:val="000000"/>
          <w:sz w:val="22"/>
          <w:szCs w:val="22"/>
        </w:rPr>
        <w:t xml:space="preserve">La nulidad por indebida representación, notificación o </w:t>
      </w:r>
      <w:proofErr w:type="gramStart"/>
      <w:r w:rsidRPr="006E621B">
        <w:rPr>
          <w:rFonts w:ascii="Arial" w:hAnsi="Arial" w:cs="Arial"/>
          <w:i/>
          <w:color w:val="000000"/>
          <w:sz w:val="22"/>
          <w:szCs w:val="22"/>
        </w:rPr>
        <w:t>emplazamiento,</w:t>
      </w:r>
      <w:proofErr w:type="gramEnd"/>
      <w:r w:rsidRPr="006E621B">
        <w:rPr>
          <w:rFonts w:ascii="Arial" w:hAnsi="Arial" w:cs="Arial"/>
          <w:i/>
          <w:color w:val="000000"/>
          <w:sz w:val="22"/>
          <w:szCs w:val="22"/>
        </w:rPr>
        <w:t xml:space="preserve"> solo beneficiará a quien la haya invocado. Cuando exista litisconsorcio necesario y se hubiere proferido sentencia, esta se anulará y se integrará el contradictorio (…)</w:t>
      </w:r>
      <w:r w:rsidRPr="006E621B">
        <w:rPr>
          <w:rFonts w:ascii="Arial" w:hAnsi="Arial" w:cs="Arial"/>
          <w:color w:val="000000"/>
          <w:sz w:val="22"/>
          <w:szCs w:val="22"/>
        </w:rPr>
        <w:t xml:space="preserve">” </w:t>
      </w:r>
      <w:r w:rsidRPr="006E621B">
        <w:rPr>
          <w:rFonts w:ascii="Arial" w:hAnsi="Arial" w:cs="Arial"/>
          <w:color w:val="000000"/>
          <w:sz w:val="22"/>
          <w:szCs w:val="22"/>
          <w:shd w:val="clear" w:color="auto" w:fill="FFFFFF"/>
        </w:rPr>
        <w:t>(negrita fuera de texto)</w:t>
      </w:r>
    </w:p>
    <w:p w14:paraId="3344128D" w14:textId="77777777" w:rsidR="0000202A" w:rsidRPr="006E621B" w:rsidRDefault="0000202A" w:rsidP="006E621B">
      <w:pPr>
        <w:pStyle w:val="NormalWeb"/>
        <w:spacing w:before="0" w:beforeAutospacing="0" w:after="0" w:afterAutospacing="0" w:line="276" w:lineRule="auto"/>
        <w:jc w:val="both"/>
        <w:rPr>
          <w:rFonts w:ascii="Arial" w:hAnsi="Arial" w:cs="Arial"/>
          <w:color w:val="000000"/>
          <w:sz w:val="22"/>
          <w:szCs w:val="22"/>
          <w:shd w:val="clear" w:color="auto" w:fill="FFFFFF"/>
        </w:rPr>
      </w:pPr>
    </w:p>
    <w:p w14:paraId="558875C6" w14:textId="77777777" w:rsidR="0000202A" w:rsidRPr="006E621B" w:rsidRDefault="0000202A" w:rsidP="006E621B">
      <w:pPr>
        <w:tabs>
          <w:tab w:val="left" w:pos="426"/>
        </w:tabs>
        <w:spacing w:line="276" w:lineRule="auto"/>
        <w:contextualSpacing/>
        <w:jc w:val="both"/>
        <w:rPr>
          <w:rFonts w:ascii="Arial" w:hAnsi="Arial" w:cs="Arial"/>
          <w:color w:val="000000"/>
        </w:rPr>
      </w:pPr>
      <w:r w:rsidRPr="006E621B">
        <w:rPr>
          <w:rFonts w:ascii="Arial" w:hAnsi="Arial" w:cs="Arial"/>
          <w:color w:val="000000"/>
        </w:rPr>
        <w:t xml:space="preserve">Teniendo en cuenta lo anterior, en el presente caso se correrá traslado a la parte demandada para que pueda pronunciarse de la nulidad propuesta por la parte demandante.  </w:t>
      </w:r>
    </w:p>
    <w:p w14:paraId="6F1B22DD" w14:textId="77777777" w:rsidR="006E621B" w:rsidRPr="006E621B" w:rsidRDefault="006E621B" w:rsidP="006E621B">
      <w:pPr>
        <w:spacing w:line="276" w:lineRule="auto"/>
        <w:rPr>
          <w:rFonts w:ascii="Arial" w:hAnsi="Arial" w:cs="Arial"/>
        </w:rPr>
      </w:pPr>
    </w:p>
    <w:p w14:paraId="7F1574BD" w14:textId="77777777" w:rsidR="0000202A" w:rsidRPr="006E621B" w:rsidRDefault="0000202A" w:rsidP="006E621B">
      <w:pPr>
        <w:spacing w:line="276" w:lineRule="auto"/>
        <w:rPr>
          <w:rFonts w:ascii="Arial" w:hAnsi="Arial" w:cs="Arial"/>
          <w:b/>
        </w:rPr>
      </w:pPr>
      <w:r w:rsidRPr="006E621B">
        <w:rPr>
          <w:rFonts w:ascii="Arial" w:hAnsi="Arial" w:cs="Arial"/>
        </w:rPr>
        <w:lastRenderedPageBreak/>
        <w:t>Por lo brevemente expuesto,</w:t>
      </w:r>
      <w:r w:rsidRPr="006E621B">
        <w:rPr>
          <w:rFonts w:ascii="Arial" w:hAnsi="Arial" w:cs="Arial"/>
          <w:b/>
        </w:rPr>
        <w:t xml:space="preserve"> SE DISPONE:</w:t>
      </w:r>
    </w:p>
    <w:p w14:paraId="752C6B9F" w14:textId="77777777" w:rsidR="006E621B" w:rsidRPr="006E621B" w:rsidRDefault="0000202A" w:rsidP="006E621B">
      <w:pPr>
        <w:spacing w:line="276" w:lineRule="auto"/>
        <w:jc w:val="both"/>
        <w:rPr>
          <w:rFonts w:ascii="Arial" w:hAnsi="Arial" w:cs="Arial"/>
          <w:color w:val="000000"/>
        </w:rPr>
      </w:pPr>
      <w:r w:rsidRPr="006E621B">
        <w:rPr>
          <w:rFonts w:ascii="Arial" w:hAnsi="Arial" w:cs="Arial"/>
          <w:b/>
          <w:color w:val="000000"/>
        </w:rPr>
        <w:t>Córrase traslado</w:t>
      </w:r>
      <w:r w:rsidRPr="006E621B">
        <w:rPr>
          <w:rFonts w:ascii="Arial" w:hAnsi="Arial" w:cs="Arial"/>
          <w:color w:val="000000"/>
        </w:rPr>
        <w:t xml:space="preserve"> a la parte demandada del incidente de nulidad propuesto por la parte demandante, para que dentro de los tres (3) días siguientes a su notificación haga el respectivo pronunciamiento.  </w:t>
      </w:r>
    </w:p>
    <w:p w14:paraId="4429A16E" w14:textId="77777777" w:rsidR="0000202A" w:rsidRPr="006E621B" w:rsidRDefault="0000202A" w:rsidP="006E621B">
      <w:pPr>
        <w:spacing w:line="276" w:lineRule="auto"/>
        <w:jc w:val="both"/>
        <w:rPr>
          <w:rFonts w:ascii="Arial" w:hAnsi="Arial" w:cs="Arial"/>
          <w:b/>
          <w:color w:val="000000"/>
        </w:rPr>
      </w:pPr>
      <w:r w:rsidRPr="006E621B">
        <w:rPr>
          <w:rFonts w:ascii="Arial" w:hAnsi="Arial" w:cs="Arial"/>
          <w:b/>
          <w:color w:val="000000"/>
        </w:rPr>
        <w:t>NOTIFÍQUESE Y CÚMPLASE,</w:t>
      </w:r>
    </w:p>
    <w:p w14:paraId="0C22DDBE" w14:textId="77777777" w:rsidR="0000202A" w:rsidRPr="006E621B" w:rsidRDefault="0000202A" w:rsidP="006E621B">
      <w:pPr>
        <w:spacing w:after="0" w:line="276" w:lineRule="auto"/>
        <w:jc w:val="center"/>
        <w:rPr>
          <w:rFonts w:ascii="Arial" w:hAnsi="Arial" w:cs="Arial"/>
          <w:b/>
          <w:color w:val="000000"/>
        </w:rPr>
      </w:pPr>
      <w:r w:rsidRPr="006E621B">
        <w:rPr>
          <w:rFonts w:ascii="Arial" w:hAnsi="Arial" w:cs="Arial"/>
          <w:b/>
          <w:color w:val="000000"/>
        </w:rPr>
        <w:t>OLGA CECILIA HENAO MARÍN</w:t>
      </w:r>
    </w:p>
    <w:p w14:paraId="30A18144" w14:textId="77777777" w:rsidR="0000202A" w:rsidRPr="006E621B" w:rsidRDefault="0000202A" w:rsidP="006E621B">
      <w:pPr>
        <w:spacing w:after="0" w:line="276" w:lineRule="auto"/>
        <w:jc w:val="center"/>
        <w:rPr>
          <w:rFonts w:ascii="Arial" w:hAnsi="Arial" w:cs="Arial"/>
          <w:color w:val="000000"/>
        </w:rPr>
      </w:pPr>
      <w:r w:rsidRPr="006E621B">
        <w:rPr>
          <w:rFonts w:ascii="Arial" w:hAnsi="Arial" w:cs="Arial"/>
          <w:color w:val="000000"/>
        </w:rPr>
        <w:t>Juez</w:t>
      </w:r>
    </w:p>
    <w:p w14:paraId="3EE8CCDE" w14:textId="77777777" w:rsidR="0000202A" w:rsidRPr="006E621B" w:rsidRDefault="0000202A" w:rsidP="006E621B">
      <w:pPr>
        <w:spacing w:after="0" w:line="276" w:lineRule="auto"/>
        <w:jc w:val="both"/>
        <w:rPr>
          <w:rFonts w:ascii="Arial" w:eastAsia="Arial" w:hAnsi="Arial" w:cs="Arial"/>
          <w:sz w:val="10"/>
          <w:szCs w:val="10"/>
          <w:lang w:eastAsia="es-CO"/>
        </w:rPr>
      </w:pPr>
      <w:r w:rsidRPr="006E621B">
        <w:rPr>
          <w:rFonts w:ascii="Arial" w:eastAsia="Arial" w:hAnsi="Arial" w:cs="Arial"/>
          <w:sz w:val="10"/>
          <w:szCs w:val="10"/>
          <w:lang w:eastAsia="es-CO"/>
        </w:rPr>
        <w:t>SLDR</w:t>
      </w:r>
    </w:p>
    <w:p w14:paraId="04083F36" w14:textId="77777777" w:rsidR="0000202A" w:rsidRPr="006E621B" w:rsidRDefault="0000202A" w:rsidP="006E621B">
      <w:pPr>
        <w:spacing w:after="0" w:line="276" w:lineRule="auto"/>
        <w:jc w:val="both"/>
        <w:rPr>
          <w:rFonts w:ascii="Arial" w:eastAsia="Arial" w:hAnsi="Arial" w:cs="Arial"/>
          <w:lang w:eastAsia="es-CO"/>
        </w:rPr>
      </w:pPr>
    </w:p>
    <w:p w14:paraId="4B6DB6EF" w14:textId="77777777" w:rsidR="0000202A" w:rsidRPr="006E621B" w:rsidRDefault="0000202A" w:rsidP="006E621B">
      <w:pPr>
        <w:spacing w:after="0" w:line="276" w:lineRule="auto"/>
        <w:jc w:val="both"/>
        <w:rPr>
          <w:rFonts w:ascii="Arial" w:hAnsi="Arial" w:cs="Arial"/>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00202A" w:rsidRPr="006E621B" w14:paraId="09329830" w14:textId="77777777" w:rsidTr="00A57861">
        <w:trPr>
          <w:trHeight w:val="1404"/>
        </w:trPr>
        <w:tc>
          <w:tcPr>
            <w:tcW w:w="5954" w:type="dxa"/>
          </w:tcPr>
          <w:p w14:paraId="4B0FD121" w14:textId="77777777" w:rsidR="0000202A" w:rsidRPr="006E621B" w:rsidRDefault="0000202A" w:rsidP="006E621B">
            <w:pPr>
              <w:spacing w:line="276" w:lineRule="auto"/>
              <w:jc w:val="center"/>
              <w:rPr>
                <w:rFonts w:ascii="Arial" w:hAnsi="Arial" w:cs="Arial"/>
                <w:b/>
                <w:sz w:val="18"/>
                <w:szCs w:val="18"/>
              </w:rPr>
            </w:pPr>
          </w:p>
          <w:p w14:paraId="38D6C4D1" w14:textId="77777777" w:rsidR="0000202A" w:rsidRPr="006E621B" w:rsidRDefault="0000202A" w:rsidP="006E621B">
            <w:pPr>
              <w:spacing w:line="276" w:lineRule="auto"/>
              <w:jc w:val="center"/>
              <w:rPr>
                <w:rFonts w:ascii="Arial" w:hAnsi="Arial" w:cs="Arial"/>
                <w:b/>
                <w:sz w:val="18"/>
                <w:szCs w:val="18"/>
              </w:rPr>
            </w:pPr>
            <w:r w:rsidRPr="006E621B">
              <w:rPr>
                <w:rFonts w:ascii="Arial" w:hAnsi="Arial" w:cs="Arial"/>
                <w:b/>
                <w:sz w:val="18"/>
                <w:szCs w:val="18"/>
              </w:rPr>
              <w:t xml:space="preserve">JUZGADO TREINTA Y CUATRO ADMINISTRATIVO CIRCUITO DE BOGOTÁ </w:t>
            </w:r>
            <w:proofErr w:type="gramStart"/>
            <w:r w:rsidRPr="006E621B">
              <w:rPr>
                <w:rFonts w:ascii="Arial" w:hAnsi="Arial" w:cs="Arial"/>
                <w:b/>
                <w:sz w:val="18"/>
                <w:szCs w:val="18"/>
              </w:rPr>
              <w:t>-  SECCIÓN</w:t>
            </w:r>
            <w:proofErr w:type="gramEnd"/>
            <w:r w:rsidRPr="006E621B">
              <w:rPr>
                <w:rFonts w:ascii="Arial" w:hAnsi="Arial" w:cs="Arial"/>
                <w:b/>
                <w:sz w:val="18"/>
                <w:szCs w:val="18"/>
              </w:rPr>
              <w:t xml:space="preserve"> TERCERA</w:t>
            </w:r>
          </w:p>
          <w:p w14:paraId="224959FF" w14:textId="77777777" w:rsidR="0000202A" w:rsidRPr="006E621B" w:rsidRDefault="006E621B" w:rsidP="006E621B">
            <w:pPr>
              <w:spacing w:line="276" w:lineRule="auto"/>
              <w:jc w:val="both"/>
              <w:rPr>
                <w:rFonts w:ascii="Arial" w:hAnsi="Arial" w:cs="Arial"/>
                <w:sz w:val="18"/>
                <w:szCs w:val="18"/>
              </w:rPr>
            </w:pPr>
            <w:r w:rsidRPr="006E621B">
              <w:rPr>
                <w:rFonts w:ascii="Arial" w:hAnsi="Arial" w:cs="Arial"/>
                <w:b/>
                <w:noProof/>
                <w:sz w:val="18"/>
                <w:szCs w:val="18"/>
                <w:lang w:eastAsia="es-CO"/>
              </w:rPr>
              <w:drawing>
                <wp:anchor distT="0" distB="0" distL="114300" distR="114300" simplePos="0" relativeHeight="251659264" behindDoc="0" locked="0" layoutInCell="1" allowOverlap="1" wp14:anchorId="0E68963D" wp14:editId="5D58552F">
                  <wp:simplePos x="0" y="0"/>
                  <wp:positionH relativeFrom="margin">
                    <wp:posOffset>1449202</wp:posOffset>
                  </wp:positionH>
                  <wp:positionV relativeFrom="paragraph">
                    <wp:posOffset>335385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202A" w:rsidRPr="006E621B">
              <w:rPr>
                <w:rFonts w:ascii="Arial" w:hAnsi="Arial" w:cs="Arial"/>
                <w:sz w:val="18"/>
                <w:szCs w:val="18"/>
              </w:rPr>
              <w:t xml:space="preserve">Por anotación en ESTADO notifico a las partes la providencia anterior, hoy </w:t>
            </w:r>
            <w:r w:rsidR="0000202A" w:rsidRPr="006E621B">
              <w:rPr>
                <w:rFonts w:ascii="Arial" w:hAnsi="Arial" w:cs="Arial"/>
                <w:b/>
                <w:sz w:val="18"/>
                <w:szCs w:val="18"/>
              </w:rPr>
              <w:t>____________________________</w:t>
            </w:r>
            <w:r w:rsidR="0000202A" w:rsidRPr="006E621B">
              <w:rPr>
                <w:rFonts w:ascii="Arial" w:hAnsi="Arial" w:cs="Arial"/>
                <w:sz w:val="18"/>
                <w:szCs w:val="18"/>
              </w:rPr>
              <w:t>a las 8:00 a.m.</w:t>
            </w:r>
          </w:p>
          <w:p w14:paraId="730E5DD5" w14:textId="77777777" w:rsidR="0000202A" w:rsidRPr="006E621B" w:rsidRDefault="0000202A" w:rsidP="006E621B">
            <w:pPr>
              <w:spacing w:line="276" w:lineRule="auto"/>
              <w:rPr>
                <w:rFonts w:ascii="Arial" w:hAnsi="Arial" w:cs="Arial"/>
                <w:sz w:val="18"/>
                <w:szCs w:val="18"/>
              </w:rPr>
            </w:pPr>
          </w:p>
        </w:tc>
      </w:tr>
    </w:tbl>
    <w:p w14:paraId="75051AD0" w14:textId="77777777" w:rsidR="0000202A" w:rsidRPr="006E621B" w:rsidRDefault="0000202A" w:rsidP="006E621B">
      <w:pPr>
        <w:spacing w:line="276" w:lineRule="auto"/>
        <w:rPr>
          <w:rFonts w:ascii="Arial" w:hAnsi="Arial" w:cs="Arial"/>
        </w:rPr>
      </w:pPr>
    </w:p>
    <w:p w14:paraId="5FE2924D" w14:textId="77777777" w:rsidR="0000202A" w:rsidRPr="006E621B" w:rsidRDefault="0000202A" w:rsidP="006E621B">
      <w:pPr>
        <w:spacing w:line="276" w:lineRule="auto"/>
        <w:rPr>
          <w:rFonts w:ascii="Arial" w:hAnsi="Arial" w:cs="Arial"/>
        </w:rPr>
      </w:pPr>
    </w:p>
    <w:p w14:paraId="12136DD1" w14:textId="77777777" w:rsidR="00A50FF4" w:rsidRPr="006E621B" w:rsidRDefault="00A50FF4" w:rsidP="006E621B">
      <w:pPr>
        <w:spacing w:line="276" w:lineRule="auto"/>
        <w:rPr>
          <w:rFonts w:ascii="Arial" w:hAnsi="Arial" w:cs="Arial"/>
        </w:rPr>
      </w:pPr>
    </w:p>
    <w:sectPr w:rsidR="00A50FF4" w:rsidRPr="006E621B" w:rsidSect="00D47DB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E9D5" w14:textId="77777777" w:rsidR="00A15E7B" w:rsidRDefault="00A15E7B" w:rsidP="0000202A">
      <w:pPr>
        <w:spacing w:after="0" w:line="240" w:lineRule="auto"/>
      </w:pPr>
      <w:r>
        <w:separator/>
      </w:r>
    </w:p>
  </w:endnote>
  <w:endnote w:type="continuationSeparator" w:id="0">
    <w:p w14:paraId="5C69E04F" w14:textId="77777777" w:rsidR="00A15E7B" w:rsidRDefault="00A15E7B" w:rsidP="0000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58DA" w14:textId="77777777" w:rsidR="00A15E7B" w:rsidRDefault="00A15E7B" w:rsidP="0000202A">
      <w:pPr>
        <w:spacing w:after="0" w:line="240" w:lineRule="auto"/>
      </w:pPr>
      <w:r>
        <w:separator/>
      </w:r>
    </w:p>
  </w:footnote>
  <w:footnote w:type="continuationSeparator" w:id="0">
    <w:p w14:paraId="77449C46" w14:textId="77777777" w:rsidR="00A15E7B" w:rsidRDefault="00A15E7B" w:rsidP="0000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227E" w14:textId="77777777" w:rsidR="00550210" w:rsidRPr="006E621B" w:rsidRDefault="00A15E7B" w:rsidP="006E621B">
    <w:pPr>
      <w:pStyle w:val="Encabezado"/>
      <w:spacing w:line="276" w:lineRule="auto"/>
      <w:jc w:val="right"/>
      <w:rPr>
        <w:rFonts w:ascii="Tahoma" w:hAnsi="Tahoma" w:cs="Tahoma"/>
        <w:sz w:val="16"/>
        <w:szCs w:val="16"/>
      </w:rPr>
    </w:pPr>
    <w:r w:rsidRPr="006E621B">
      <w:rPr>
        <w:rFonts w:ascii="Tahoma" w:hAnsi="Tahoma" w:cs="Tahoma"/>
        <w:sz w:val="16"/>
        <w:szCs w:val="16"/>
      </w:rPr>
      <w:t xml:space="preserve">Expediente </w:t>
    </w:r>
    <w:proofErr w:type="spellStart"/>
    <w:r w:rsidRPr="006E621B">
      <w:rPr>
        <w:rFonts w:ascii="Tahoma" w:hAnsi="Tahoma" w:cs="Tahoma"/>
        <w:sz w:val="16"/>
        <w:szCs w:val="16"/>
      </w:rPr>
      <w:t>N°</w:t>
    </w:r>
    <w:proofErr w:type="spellEnd"/>
    <w:r w:rsidRPr="006E621B">
      <w:rPr>
        <w:rFonts w:ascii="Tahoma" w:hAnsi="Tahoma" w:cs="Tahoma"/>
        <w:sz w:val="16"/>
        <w:szCs w:val="16"/>
      </w:rPr>
      <w:t xml:space="preserve"> </w:t>
    </w:r>
    <w:r w:rsidR="006E621B" w:rsidRPr="006E621B">
      <w:rPr>
        <w:rFonts w:ascii="Tahoma" w:hAnsi="Tahoma" w:cs="Tahoma"/>
        <w:sz w:val="16"/>
        <w:szCs w:val="16"/>
      </w:rPr>
      <w:t>2017-0270</w:t>
    </w:r>
  </w:p>
  <w:p w14:paraId="71BEED86" w14:textId="77777777" w:rsidR="0064608D" w:rsidRPr="006E621B" w:rsidRDefault="00A15E7B" w:rsidP="006E621B">
    <w:pPr>
      <w:pStyle w:val="Encabezado"/>
      <w:spacing w:line="276" w:lineRule="auto"/>
      <w:jc w:val="right"/>
      <w:rPr>
        <w:rFonts w:ascii="Tahoma" w:hAnsi="Tahoma" w:cs="Tahoma"/>
        <w:sz w:val="16"/>
        <w:szCs w:val="16"/>
        <w:lang w:val="es-MX"/>
      </w:rPr>
    </w:pPr>
    <w:r w:rsidRPr="006E621B">
      <w:rPr>
        <w:rFonts w:ascii="Tahoma" w:hAnsi="Tahoma" w:cs="Tahoma"/>
        <w:sz w:val="16"/>
        <w:szCs w:val="16"/>
        <w:lang w:val="es-MX"/>
      </w:rPr>
      <w:t>CORRE T</w:t>
    </w:r>
    <w:r w:rsidR="006E621B" w:rsidRPr="006E621B">
      <w:rPr>
        <w:rFonts w:ascii="Tahoma" w:hAnsi="Tahoma" w:cs="Tahoma"/>
        <w:sz w:val="16"/>
        <w:szCs w:val="16"/>
        <w:lang w:val="es-MX"/>
      </w:rPr>
      <w:t>RASLADO DE INCIDENTE DE NULIDAD</w:t>
    </w:r>
  </w:p>
  <w:p w14:paraId="44AB1EE5" w14:textId="77777777" w:rsidR="00550210" w:rsidRPr="006E621B" w:rsidRDefault="00A15E7B" w:rsidP="006E621B">
    <w:pPr>
      <w:pStyle w:val="Encabezado"/>
      <w:spacing w:line="276" w:lineRule="auto"/>
      <w:jc w:val="right"/>
      <w:rPr>
        <w:rFonts w:ascii="Tahoma" w:hAnsi="Tahoma" w:cs="Tahoma"/>
        <w:sz w:val="16"/>
        <w:szCs w:val="16"/>
      </w:rPr>
    </w:pPr>
    <w:r w:rsidRPr="006E621B">
      <w:rPr>
        <w:rFonts w:ascii="Tahoma" w:hAnsi="Tahoma" w:cs="Tahoma"/>
        <w:sz w:val="16"/>
        <w:szCs w:val="16"/>
      </w:rPr>
      <w:t xml:space="preserve">Página </w:t>
    </w:r>
    <w:r w:rsidRPr="006E621B">
      <w:rPr>
        <w:rFonts w:ascii="Tahoma" w:hAnsi="Tahoma" w:cs="Tahoma"/>
        <w:sz w:val="16"/>
        <w:szCs w:val="16"/>
      </w:rPr>
      <w:fldChar w:fldCharType="begin"/>
    </w:r>
    <w:r w:rsidRPr="006E621B">
      <w:rPr>
        <w:rFonts w:ascii="Tahoma" w:hAnsi="Tahoma" w:cs="Tahoma"/>
        <w:sz w:val="16"/>
        <w:szCs w:val="16"/>
      </w:rPr>
      <w:instrText xml:space="preserve"> PAGE  \* Arabic  \* MERGEFORMAT </w:instrText>
    </w:r>
    <w:r w:rsidRPr="006E621B">
      <w:rPr>
        <w:rFonts w:ascii="Tahoma" w:hAnsi="Tahoma" w:cs="Tahoma"/>
        <w:sz w:val="16"/>
        <w:szCs w:val="16"/>
      </w:rPr>
      <w:fldChar w:fldCharType="separate"/>
    </w:r>
    <w:r w:rsidR="006E621B">
      <w:rPr>
        <w:rFonts w:ascii="Tahoma" w:hAnsi="Tahoma" w:cs="Tahoma"/>
        <w:noProof/>
        <w:sz w:val="16"/>
        <w:szCs w:val="16"/>
      </w:rPr>
      <w:t>2</w:t>
    </w:r>
    <w:r w:rsidRPr="006E621B">
      <w:rPr>
        <w:rFonts w:ascii="Tahoma" w:hAnsi="Tahoma" w:cs="Tahoma"/>
        <w:sz w:val="16"/>
        <w:szCs w:val="16"/>
      </w:rPr>
      <w:fldChar w:fldCharType="end"/>
    </w:r>
    <w:r w:rsidRPr="006E621B">
      <w:rPr>
        <w:rFonts w:ascii="Tahoma" w:hAnsi="Tahoma" w:cs="Tahoma"/>
        <w:sz w:val="16"/>
        <w:szCs w:val="16"/>
      </w:rPr>
      <w:t xml:space="preserve"> de </w:t>
    </w:r>
    <w:r w:rsidRPr="006E621B">
      <w:rPr>
        <w:rFonts w:ascii="Tahoma" w:hAnsi="Tahoma" w:cs="Tahoma"/>
        <w:sz w:val="16"/>
        <w:szCs w:val="16"/>
      </w:rPr>
      <w:fldChar w:fldCharType="begin"/>
    </w:r>
    <w:r w:rsidRPr="006E621B">
      <w:rPr>
        <w:rFonts w:ascii="Tahoma" w:hAnsi="Tahoma" w:cs="Tahoma"/>
        <w:sz w:val="16"/>
        <w:szCs w:val="16"/>
      </w:rPr>
      <w:instrText xml:space="preserve"> NUMPAGES  \* Arabic  \* MERGEFORMAT </w:instrText>
    </w:r>
    <w:r w:rsidRPr="006E621B">
      <w:rPr>
        <w:rFonts w:ascii="Tahoma" w:hAnsi="Tahoma" w:cs="Tahoma"/>
        <w:sz w:val="16"/>
        <w:szCs w:val="16"/>
      </w:rPr>
      <w:fldChar w:fldCharType="separate"/>
    </w:r>
    <w:r w:rsidR="006E621B">
      <w:rPr>
        <w:rFonts w:ascii="Tahoma" w:hAnsi="Tahoma" w:cs="Tahoma"/>
        <w:noProof/>
        <w:sz w:val="16"/>
        <w:szCs w:val="16"/>
      </w:rPr>
      <w:t>2</w:t>
    </w:r>
    <w:r w:rsidRPr="006E621B">
      <w:rPr>
        <w:rFonts w:ascii="Tahoma" w:hAnsi="Tahoma" w:cs="Tahoma"/>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930F" w14:textId="77777777" w:rsidR="00550210" w:rsidRPr="006E621B" w:rsidRDefault="00A15E7B" w:rsidP="00DA3468">
    <w:pPr>
      <w:pStyle w:val="Encabezado"/>
      <w:jc w:val="center"/>
      <w:rPr>
        <w:rFonts w:ascii="Arial" w:hAnsi="Arial" w:cs="Arial"/>
        <w:b/>
        <w:i/>
        <w:sz w:val="16"/>
        <w:szCs w:val="16"/>
      </w:rPr>
    </w:pPr>
    <w:r w:rsidRPr="006E621B">
      <w:rPr>
        <w:rFonts w:ascii="Arial" w:hAnsi="Arial" w:cs="Arial"/>
        <w:b/>
        <w:i/>
        <w:noProof/>
        <w:sz w:val="16"/>
        <w:szCs w:val="16"/>
        <w:lang w:eastAsia="es-CO"/>
      </w:rPr>
      <w:drawing>
        <wp:inline distT="0" distB="0" distL="0" distR="0" wp14:anchorId="17F6930E" wp14:editId="69743F9F">
          <wp:extent cx="666750" cy="657225"/>
          <wp:effectExtent l="1905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ama_judicial"/>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p w14:paraId="2D4B7281" w14:textId="77777777" w:rsidR="00550210" w:rsidRPr="006E621B" w:rsidRDefault="00A15E7B" w:rsidP="00DA3468">
    <w:pPr>
      <w:pStyle w:val="Encabezado"/>
      <w:jc w:val="center"/>
      <w:rPr>
        <w:rFonts w:ascii="Arial" w:hAnsi="Arial" w:cs="Arial"/>
        <w:b/>
        <w:sz w:val="16"/>
        <w:szCs w:val="16"/>
        <w:lang w:val="es-MX"/>
      </w:rPr>
    </w:pPr>
    <w:r w:rsidRPr="006E621B">
      <w:rPr>
        <w:rFonts w:ascii="Arial" w:hAnsi="Arial" w:cs="Arial"/>
        <w:b/>
        <w:sz w:val="16"/>
        <w:szCs w:val="16"/>
        <w:lang w:val="es-MX"/>
      </w:rPr>
      <w:t>JUZGADO TREINTA Y CUATRO ADMINISTRATIVO</w:t>
    </w:r>
  </w:p>
  <w:p w14:paraId="4274805A" w14:textId="77777777" w:rsidR="00550210" w:rsidRPr="006E621B" w:rsidRDefault="00A15E7B" w:rsidP="00DA3468">
    <w:pPr>
      <w:pStyle w:val="Encabezado"/>
      <w:jc w:val="center"/>
      <w:rPr>
        <w:rFonts w:ascii="Arial" w:hAnsi="Arial" w:cs="Arial"/>
        <w:b/>
        <w:sz w:val="16"/>
        <w:szCs w:val="16"/>
        <w:lang w:val="es-MX"/>
      </w:rPr>
    </w:pPr>
    <w:r w:rsidRPr="006E621B">
      <w:rPr>
        <w:rFonts w:ascii="Arial" w:hAnsi="Arial" w:cs="Arial"/>
        <w:b/>
        <w:sz w:val="16"/>
        <w:szCs w:val="16"/>
        <w:lang w:val="es-MX"/>
      </w:rPr>
      <w:t>ORAL DE BOGOTÁ</w:t>
    </w:r>
  </w:p>
  <w:p w14:paraId="0A6CCD19" w14:textId="77777777" w:rsidR="00550210" w:rsidRPr="006E621B" w:rsidRDefault="00A15E7B" w:rsidP="00DA3468">
    <w:pPr>
      <w:pStyle w:val="Encabezado"/>
      <w:jc w:val="center"/>
      <w:rPr>
        <w:rFonts w:ascii="Arial" w:hAnsi="Arial" w:cs="Arial"/>
        <w:b/>
        <w:sz w:val="16"/>
        <w:szCs w:val="16"/>
        <w:lang w:val="es-MX"/>
      </w:rPr>
    </w:pPr>
    <w:r w:rsidRPr="006E621B">
      <w:rPr>
        <w:rFonts w:ascii="Arial" w:hAnsi="Arial" w:cs="Arial"/>
        <w:b/>
        <w:sz w:val="16"/>
        <w:szCs w:val="16"/>
        <w:lang w:val="es-MX"/>
      </w:rPr>
      <w:t>Sección Tercera</w:t>
    </w:r>
  </w:p>
  <w:p w14:paraId="0B04E7BD" w14:textId="77777777" w:rsidR="00550210" w:rsidRPr="006E621B" w:rsidRDefault="00A15E7B">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6AC2"/>
    <w:multiLevelType w:val="hybridMultilevel"/>
    <w:tmpl w:val="F9EEBD30"/>
    <w:lvl w:ilvl="0" w:tplc="91002F8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A"/>
    <w:rsid w:val="0000202A"/>
    <w:rsid w:val="00040636"/>
    <w:rsid w:val="0017080E"/>
    <w:rsid w:val="001F3F86"/>
    <w:rsid w:val="00446768"/>
    <w:rsid w:val="006E621B"/>
    <w:rsid w:val="008F1D50"/>
    <w:rsid w:val="00941CB2"/>
    <w:rsid w:val="00A15E7B"/>
    <w:rsid w:val="00A46BB8"/>
    <w:rsid w:val="00A50FF4"/>
    <w:rsid w:val="00B07975"/>
    <w:rsid w:val="00B1661A"/>
    <w:rsid w:val="00CC2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156"/>
  <w15:chartTrackingRefBased/>
  <w15:docId w15:val="{98C101FF-2004-4C18-B4A2-9D6E5EC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2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0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02A"/>
  </w:style>
  <w:style w:type="paragraph" w:styleId="Prrafodelista">
    <w:name w:val="List Paragraph"/>
    <w:basedOn w:val="Normal"/>
    <w:uiPriority w:val="34"/>
    <w:qFormat/>
    <w:rsid w:val="0000202A"/>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0020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00202A"/>
    <w:pPr>
      <w:spacing w:after="0" w:line="240" w:lineRule="auto"/>
    </w:pPr>
    <w:rPr>
      <w:rFonts w:eastAsia="Times New Roman" w:cs="Times New Roman"/>
      <w:sz w:val="20"/>
      <w:szCs w:val="20"/>
      <w:lang w:val="es-E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00202A"/>
    <w:rPr>
      <w:rFonts w:eastAsia="Times New Roman" w:cs="Times New Roman"/>
      <w:sz w:val="20"/>
      <w:szCs w:val="20"/>
      <w:lang w:val="es-ES"/>
    </w:rPr>
  </w:style>
  <w:style w:type="character" w:styleId="Refdenotaalpie">
    <w:name w:val="footnote reference"/>
    <w:rsid w:val="0000202A"/>
    <w:rPr>
      <w:vertAlign w:val="superscript"/>
    </w:rPr>
  </w:style>
  <w:style w:type="table" w:styleId="Tablaconcuadrcula">
    <w:name w:val="Table Grid"/>
    <w:basedOn w:val="Tablanormal"/>
    <w:uiPriority w:val="39"/>
    <w:rsid w:val="0000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0202A"/>
    <w:pPr>
      <w:spacing w:after="0" w:line="240" w:lineRule="auto"/>
    </w:pPr>
  </w:style>
  <w:style w:type="paragraph" w:styleId="Piedepgina">
    <w:name w:val="footer"/>
    <w:basedOn w:val="Normal"/>
    <w:link w:val="PiedepginaCar"/>
    <w:uiPriority w:val="99"/>
    <w:unhideWhenUsed/>
    <w:rsid w:val="006E62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2019-12-19T15:14:00Z</dcterms:created>
  <dcterms:modified xsi:type="dcterms:W3CDTF">2019-12-19T15:14:00Z</dcterms:modified>
</cp:coreProperties>
</file>