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73"/>
      </w:tblGrid>
      <w:tr w:rsidR="00C91007" w:rsidRPr="00DB12AA" w14:paraId="7E28CA5E" w14:textId="77777777" w:rsidTr="00820982">
        <w:tc>
          <w:tcPr>
            <w:tcW w:w="2127" w:type="dxa"/>
            <w:shd w:val="clear" w:color="auto" w:fill="auto"/>
          </w:tcPr>
          <w:p w14:paraId="00760F9A" w14:textId="77777777" w:rsidR="00C91007" w:rsidRPr="00DB12AA" w:rsidRDefault="00C91007" w:rsidP="00DB12AA">
            <w:pPr>
              <w:spacing w:line="276" w:lineRule="auto"/>
              <w:jc w:val="both"/>
              <w:rPr>
                <w:rFonts w:ascii="Arial Narrow" w:hAnsi="Arial Narrow" w:cs="Arial"/>
                <w:sz w:val="20"/>
                <w:szCs w:val="20"/>
                <w:lang w:val="es-MX"/>
              </w:rPr>
            </w:pPr>
            <w:r w:rsidRPr="00DB12AA">
              <w:rPr>
                <w:rFonts w:ascii="Arial Narrow" w:hAnsi="Arial Narrow" w:cs="Arial"/>
                <w:sz w:val="20"/>
                <w:szCs w:val="20"/>
                <w:lang w:val="es-MX"/>
              </w:rPr>
              <w:t>CIUDAD Y FECHA</w:t>
            </w:r>
          </w:p>
        </w:tc>
        <w:tc>
          <w:tcPr>
            <w:tcW w:w="6873" w:type="dxa"/>
            <w:shd w:val="clear" w:color="auto" w:fill="auto"/>
          </w:tcPr>
          <w:p w14:paraId="4C413F5E" w14:textId="57ECB2E1" w:rsidR="00C91007" w:rsidRPr="00DB12AA" w:rsidRDefault="00C91007" w:rsidP="00DB12AA">
            <w:pPr>
              <w:spacing w:line="276" w:lineRule="auto"/>
              <w:jc w:val="both"/>
              <w:rPr>
                <w:rFonts w:ascii="Arial Narrow" w:hAnsi="Arial Narrow" w:cs="Arial"/>
                <w:b/>
                <w:sz w:val="20"/>
                <w:szCs w:val="20"/>
                <w:lang w:val="es-MX"/>
              </w:rPr>
            </w:pPr>
            <w:r w:rsidRPr="00DB12AA">
              <w:rPr>
                <w:rFonts w:ascii="Arial Narrow" w:hAnsi="Arial Narrow" w:cs="Arial"/>
                <w:b/>
                <w:sz w:val="20"/>
                <w:szCs w:val="20"/>
                <w:lang w:val="es-MX"/>
              </w:rPr>
              <w:t xml:space="preserve">Bogotá D.C., </w:t>
            </w:r>
            <w:r w:rsidR="002F08A4">
              <w:rPr>
                <w:rFonts w:ascii="Arial Narrow" w:hAnsi="Arial Narrow" w:cs="Arial"/>
                <w:b/>
                <w:sz w:val="20"/>
                <w:szCs w:val="20"/>
                <w:lang w:val="es-MX"/>
              </w:rPr>
              <w:t>diecinueve (19)</w:t>
            </w:r>
            <w:r w:rsidRPr="00DB12AA">
              <w:rPr>
                <w:rFonts w:ascii="Arial Narrow" w:hAnsi="Arial Narrow" w:cs="Arial"/>
                <w:b/>
                <w:sz w:val="20"/>
                <w:szCs w:val="20"/>
                <w:lang w:val="es-MX"/>
              </w:rPr>
              <w:t xml:space="preserve"> de diciembre de dos mil diecinueve (2019)</w:t>
            </w:r>
          </w:p>
        </w:tc>
      </w:tr>
      <w:tr w:rsidR="00C91007" w:rsidRPr="00DB12AA" w14:paraId="61234491" w14:textId="77777777" w:rsidTr="00820982">
        <w:tc>
          <w:tcPr>
            <w:tcW w:w="2127" w:type="dxa"/>
            <w:shd w:val="clear" w:color="auto" w:fill="auto"/>
          </w:tcPr>
          <w:p w14:paraId="7DE87FEA" w14:textId="77777777" w:rsidR="00C91007" w:rsidRPr="00DB12AA" w:rsidRDefault="00C91007" w:rsidP="00DB12AA">
            <w:pPr>
              <w:spacing w:line="276" w:lineRule="auto"/>
              <w:jc w:val="both"/>
              <w:rPr>
                <w:rFonts w:ascii="Arial Narrow" w:hAnsi="Arial Narrow" w:cs="Arial"/>
                <w:sz w:val="20"/>
                <w:szCs w:val="20"/>
                <w:lang w:val="es-MX"/>
              </w:rPr>
            </w:pPr>
            <w:r w:rsidRPr="00DB12AA">
              <w:rPr>
                <w:rFonts w:ascii="Arial Narrow" w:hAnsi="Arial Narrow" w:cs="Arial"/>
                <w:sz w:val="20"/>
                <w:szCs w:val="20"/>
                <w:lang w:val="es-MX"/>
              </w:rPr>
              <w:t>REFERENCIA</w:t>
            </w:r>
          </w:p>
        </w:tc>
        <w:tc>
          <w:tcPr>
            <w:tcW w:w="6873" w:type="dxa"/>
          </w:tcPr>
          <w:p w14:paraId="5B80394E" w14:textId="77777777" w:rsidR="00C91007" w:rsidRPr="00DB12AA" w:rsidRDefault="00C91007" w:rsidP="00DB12AA">
            <w:pPr>
              <w:pStyle w:val="Sinespaciado"/>
              <w:spacing w:line="276" w:lineRule="auto"/>
              <w:rPr>
                <w:rFonts w:ascii="Arial Narrow" w:hAnsi="Arial Narrow" w:cs="Arial"/>
                <w:b/>
                <w:color w:val="000000"/>
                <w:sz w:val="20"/>
                <w:szCs w:val="20"/>
              </w:rPr>
            </w:pPr>
            <w:r w:rsidRPr="00DB12AA">
              <w:rPr>
                <w:rFonts w:ascii="Arial Narrow" w:hAnsi="Arial Narrow" w:cs="Arial"/>
                <w:b/>
                <w:color w:val="000000"/>
                <w:sz w:val="20"/>
                <w:szCs w:val="20"/>
              </w:rPr>
              <w:t xml:space="preserve">Expediente No. </w:t>
            </w:r>
            <w:r w:rsidRPr="00DB12AA">
              <w:rPr>
                <w:rFonts w:ascii="Arial Narrow" w:hAnsi="Arial Narrow" w:cs="Arial"/>
                <w:b/>
                <w:bCs/>
                <w:color w:val="000000"/>
                <w:sz w:val="20"/>
                <w:szCs w:val="20"/>
              </w:rPr>
              <w:t>11001333603420170028600</w:t>
            </w:r>
          </w:p>
        </w:tc>
      </w:tr>
      <w:tr w:rsidR="00C91007" w:rsidRPr="00DB12AA" w14:paraId="60C62E14" w14:textId="77777777" w:rsidTr="00820982">
        <w:tc>
          <w:tcPr>
            <w:tcW w:w="2127" w:type="dxa"/>
            <w:shd w:val="clear" w:color="auto" w:fill="auto"/>
          </w:tcPr>
          <w:p w14:paraId="210A69B6" w14:textId="77777777" w:rsidR="00C91007" w:rsidRPr="00DB12AA" w:rsidRDefault="00C91007" w:rsidP="00DB12AA">
            <w:pPr>
              <w:spacing w:line="276" w:lineRule="auto"/>
              <w:jc w:val="both"/>
              <w:rPr>
                <w:rFonts w:ascii="Arial Narrow" w:hAnsi="Arial Narrow" w:cs="Arial"/>
                <w:sz w:val="20"/>
                <w:szCs w:val="20"/>
                <w:lang w:val="es-MX"/>
              </w:rPr>
            </w:pPr>
            <w:r w:rsidRPr="00DB12AA">
              <w:rPr>
                <w:rFonts w:ascii="Arial Narrow" w:hAnsi="Arial Narrow" w:cs="Arial"/>
                <w:sz w:val="20"/>
                <w:szCs w:val="20"/>
                <w:lang w:val="es-MX"/>
              </w:rPr>
              <w:t>DEMANDANTE</w:t>
            </w:r>
          </w:p>
        </w:tc>
        <w:tc>
          <w:tcPr>
            <w:tcW w:w="6873" w:type="dxa"/>
          </w:tcPr>
          <w:p w14:paraId="27862856" w14:textId="77777777" w:rsidR="00C91007" w:rsidRPr="00DB12AA" w:rsidRDefault="00C91007" w:rsidP="00DB12AA">
            <w:pPr>
              <w:pStyle w:val="Sinespaciado"/>
              <w:spacing w:line="276" w:lineRule="auto"/>
              <w:rPr>
                <w:rFonts w:ascii="Arial Narrow" w:hAnsi="Arial Narrow" w:cs="Arial"/>
                <w:b/>
                <w:color w:val="000000"/>
                <w:sz w:val="20"/>
                <w:szCs w:val="20"/>
              </w:rPr>
            </w:pPr>
            <w:r w:rsidRPr="00DB12AA">
              <w:rPr>
                <w:rFonts w:ascii="Arial Narrow" w:hAnsi="Arial Narrow" w:cs="Arial"/>
                <w:b/>
                <w:color w:val="000000"/>
                <w:sz w:val="20"/>
                <w:szCs w:val="20"/>
              </w:rPr>
              <w:t>JORGE LUIS MONTEALEGRE (Heredero de HERNÁN MONTEALEGRE GUZMÁN)</w:t>
            </w:r>
          </w:p>
        </w:tc>
      </w:tr>
      <w:tr w:rsidR="00C91007" w:rsidRPr="00DB12AA" w14:paraId="17CFCEC4" w14:textId="77777777" w:rsidTr="00820982">
        <w:tc>
          <w:tcPr>
            <w:tcW w:w="2127" w:type="dxa"/>
            <w:shd w:val="clear" w:color="auto" w:fill="auto"/>
          </w:tcPr>
          <w:p w14:paraId="2DE29001" w14:textId="77777777" w:rsidR="00C91007" w:rsidRPr="00DB12AA" w:rsidRDefault="00C91007" w:rsidP="00DB12AA">
            <w:pPr>
              <w:spacing w:line="276" w:lineRule="auto"/>
              <w:jc w:val="both"/>
              <w:rPr>
                <w:rFonts w:ascii="Arial Narrow" w:hAnsi="Arial Narrow" w:cs="Arial"/>
                <w:sz w:val="20"/>
                <w:szCs w:val="20"/>
                <w:lang w:val="es-MX"/>
              </w:rPr>
            </w:pPr>
            <w:r w:rsidRPr="00DB12AA">
              <w:rPr>
                <w:rFonts w:ascii="Arial Narrow" w:hAnsi="Arial Narrow" w:cs="Arial"/>
                <w:sz w:val="20"/>
                <w:szCs w:val="20"/>
                <w:lang w:val="es-MX"/>
              </w:rPr>
              <w:t>DEMANDADO</w:t>
            </w:r>
          </w:p>
        </w:tc>
        <w:tc>
          <w:tcPr>
            <w:tcW w:w="6873" w:type="dxa"/>
          </w:tcPr>
          <w:p w14:paraId="67BB4EED" w14:textId="77777777" w:rsidR="00C91007" w:rsidRPr="00DB12AA" w:rsidRDefault="00C91007" w:rsidP="00DB12AA">
            <w:pPr>
              <w:pStyle w:val="Sinespaciado"/>
              <w:spacing w:line="276" w:lineRule="auto"/>
              <w:rPr>
                <w:rFonts w:ascii="Arial Narrow" w:hAnsi="Arial Narrow" w:cs="Arial"/>
                <w:b/>
                <w:color w:val="000000"/>
                <w:sz w:val="20"/>
                <w:szCs w:val="20"/>
              </w:rPr>
            </w:pPr>
            <w:r w:rsidRPr="00DB12AA">
              <w:rPr>
                <w:rFonts w:ascii="Arial Narrow" w:hAnsi="Arial Narrow" w:cs="Arial"/>
                <w:b/>
                <w:color w:val="000000"/>
                <w:sz w:val="20"/>
                <w:szCs w:val="20"/>
              </w:rPr>
              <w:t>FISCALÍA GENERAL DE LA NACIÓN</w:t>
            </w:r>
          </w:p>
        </w:tc>
      </w:tr>
      <w:tr w:rsidR="00C91007" w:rsidRPr="00DB12AA" w14:paraId="3D5767E1" w14:textId="77777777" w:rsidTr="00820982">
        <w:tc>
          <w:tcPr>
            <w:tcW w:w="2127" w:type="dxa"/>
            <w:shd w:val="clear" w:color="auto" w:fill="auto"/>
          </w:tcPr>
          <w:p w14:paraId="1A3BE190" w14:textId="77777777" w:rsidR="00C91007" w:rsidRPr="00DB12AA" w:rsidRDefault="00C91007" w:rsidP="00DB12AA">
            <w:pPr>
              <w:spacing w:line="276" w:lineRule="auto"/>
              <w:jc w:val="both"/>
              <w:rPr>
                <w:rFonts w:ascii="Arial Narrow" w:hAnsi="Arial Narrow" w:cs="Arial"/>
                <w:sz w:val="20"/>
                <w:szCs w:val="20"/>
                <w:lang w:val="es-MX"/>
              </w:rPr>
            </w:pPr>
            <w:r w:rsidRPr="00DB12AA">
              <w:rPr>
                <w:rFonts w:ascii="Arial Narrow" w:hAnsi="Arial Narrow" w:cs="Arial"/>
                <w:sz w:val="20"/>
                <w:szCs w:val="20"/>
                <w:lang w:val="es-MX"/>
              </w:rPr>
              <w:t>MEDIO DE CONTROL</w:t>
            </w:r>
          </w:p>
        </w:tc>
        <w:tc>
          <w:tcPr>
            <w:tcW w:w="6873" w:type="dxa"/>
          </w:tcPr>
          <w:p w14:paraId="0649192C" w14:textId="77777777" w:rsidR="00C91007" w:rsidRPr="00DB12AA" w:rsidRDefault="00C91007" w:rsidP="00DB12AA">
            <w:pPr>
              <w:pStyle w:val="Sinespaciado"/>
              <w:spacing w:line="276" w:lineRule="auto"/>
              <w:rPr>
                <w:rFonts w:ascii="Arial Narrow" w:hAnsi="Arial Narrow" w:cs="Arial"/>
                <w:b/>
                <w:sz w:val="20"/>
                <w:szCs w:val="20"/>
              </w:rPr>
            </w:pPr>
            <w:r w:rsidRPr="00DB12AA">
              <w:rPr>
                <w:rFonts w:ascii="Arial Narrow" w:hAnsi="Arial Narrow" w:cs="Arial"/>
                <w:b/>
                <w:sz w:val="20"/>
                <w:szCs w:val="20"/>
              </w:rPr>
              <w:t>EJECUTIVO</w:t>
            </w:r>
          </w:p>
        </w:tc>
      </w:tr>
      <w:tr w:rsidR="00C91007" w:rsidRPr="00DB12AA" w14:paraId="1C0351FB" w14:textId="77777777" w:rsidTr="00820982">
        <w:tc>
          <w:tcPr>
            <w:tcW w:w="2127" w:type="dxa"/>
            <w:shd w:val="clear" w:color="auto" w:fill="auto"/>
          </w:tcPr>
          <w:p w14:paraId="5D38F3BC" w14:textId="77777777" w:rsidR="00C91007" w:rsidRPr="00DB12AA" w:rsidRDefault="00C91007" w:rsidP="00DB12AA">
            <w:pPr>
              <w:spacing w:line="276" w:lineRule="auto"/>
              <w:jc w:val="both"/>
              <w:rPr>
                <w:rFonts w:ascii="Arial Narrow" w:hAnsi="Arial Narrow" w:cs="Arial"/>
                <w:sz w:val="20"/>
                <w:szCs w:val="20"/>
                <w:lang w:val="es-MX"/>
              </w:rPr>
            </w:pPr>
            <w:r w:rsidRPr="00DB12AA">
              <w:rPr>
                <w:rFonts w:ascii="Arial Narrow" w:hAnsi="Arial Narrow" w:cs="Arial"/>
                <w:sz w:val="20"/>
                <w:szCs w:val="20"/>
                <w:lang w:val="es-MX"/>
              </w:rPr>
              <w:t>ASUNTO</w:t>
            </w:r>
          </w:p>
        </w:tc>
        <w:tc>
          <w:tcPr>
            <w:tcW w:w="6873" w:type="dxa"/>
            <w:shd w:val="clear" w:color="auto" w:fill="auto"/>
          </w:tcPr>
          <w:p w14:paraId="6CEB5AB2" w14:textId="77777777" w:rsidR="00C91007" w:rsidRPr="00DB12AA" w:rsidRDefault="00C91007" w:rsidP="00DB12AA">
            <w:pPr>
              <w:pStyle w:val="Ttulo2"/>
              <w:spacing w:line="276" w:lineRule="auto"/>
              <w:rPr>
                <w:rFonts w:ascii="Arial Narrow" w:hAnsi="Arial Narrow" w:cs="Arial"/>
                <w:sz w:val="20"/>
                <w:szCs w:val="20"/>
                <w:lang w:val="es-MX"/>
              </w:rPr>
            </w:pPr>
            <w:r w:rsidRPr="00DB12AA">
              <w:rPr>
                <w:rFonts w:ascii="Arial Narrow" w:eastAsia="Times New Roman" w:hAnsi="Arial Narrow" w:cs="Arial"/>
                <w:b/>
                <w:noProof/>
                <w:color w:val="auto"/>
                <w:sz w:val="20"/>
                <w:szCs w:val="20"/>
                <w:lang w:val="es-MX"/>
              </w:rPr>
              <w:t>DECIDE INCIDENTE DE REGULACION DE INTERESES</w:t>
            </w:r>
          </w:p>
        </w:tc>
      </w:tr>
    </w:tbl>
    <w:p w14:paraId="466CD2A4" w14:textId="77777777" w:rsidR="00C91007" w:rsidRPr="00DB12AA" w:rsidRDefault="00C91007" w:rsidP="00DB12AA">
      <w:pPr>
        <w:spacing w:after="160" w:line="276" w:lineRule="auto"/>
        <w:jc w:val="both"/>
        <w:rPr>
          <w:rFonts w:ascii="Arial" w:hAnsi="Arial" w:cs="Arial"/>
          <w:bCs/>
          <w:sz w:val="22"/>
          <w:szCs w:val="22"/>
        </w:rPr>
      </w:pPr>
    </w:p>
    <w:p w14:paraId="57D9A9DB" w14:textId="59420324" w:rsidR="00C22005" w:rsidRPr="00DB12AA" w:rsidRDefault="00C22005" w:rsidP="00DB12AA">
      <w:pPr>
        <w:spacing w:line="276" w:lineRule="auto"/>
        <w:jc w:val="both"/>
        <w:rPr>
          <w:rFonts w:ascii="Arial" w:hAnsi="Arial" w:cs="Arial"/>
          <w:sz w:val="22"/>
          <w:szCs w:val="22"/>
          <w:lang w:val="es-CO"/>
        </w:rPr>
      </w:pPr>
      <w:r w:rsidRPr="00DB12AA">
        <w:rPr>
          <w:rFonts w:ascii="Arial" w:hAnsi="Arial" w:cs="Arial"/>
          <w:sz w:val="22"/>
          <w:szCs w:val="22"/>
          <w:lang w:val="es-CO"/>
        </w:rPr>
        <w:t xml:space="preserve">Mediante la presente demanda </w:t>
      </w:r>
      <w:r w:rsidRPr="00DB12AA">
        <w:rPr>
          <w:rFonts w:ascii="Arial" w:hAnsi="Arial" w:cs="Arial"/>
          <w:color w:val="000000"/>
          <w:sz w:val="22"/>
          <w:szCs w:val="22"/>
          <w:lang w:val="es-CO"/>
        </w:rPr>
        <w:t>JORGE LUIS MONTEALEGRE</w:t>
      </w:r>
      <w:r w:rsidRPr="00DB12AA">
        <w:rPr>
          <w:rFonts w:ascii="Arial" w:hAnsi="Arial" w:cs="Arial"/>
          <w:sz w:val="22"/>
          <w:szCs w:val="22"/>
          <w:lang w:val="es-CO"/>
        </w:rPr>
        <w:t xml:space="preserve"> en calidad de heredero de Hernán Montealegre Guzmán pretende obtener de la </w:t>
      </w:r>
      <w:bookmarkStart w:id="0" w:name="_GoBack"/>
      <w:bookmarkEnd w:id="0"/>
      <w:r w:rsidRPr="00DB12AA">
        <w:rPr>
          <w:rFonts w:ascii="Arial" w:hAnsi="Arial" w:cs="Arial"/>
          <w:sz w:val="22"/>
          <w:szCs w:val="22"/>
          <w:lang w:val="es-CO"/>
        </w:rPr>
        <w:t>FISCALÍA GENERAL DE LA NACIÓN</w:t>
      </w:r>
      <w:r w:rsidR="002F08A4">
        <w:rPr>
          <w:rFonts w:ascii="Arial" w:hAnsi="Arial" w:cs="Arial"/>
          <w:sz w:val="22"/>
          <w:szCs w:val="22"/>
          <w:lang w:val="es-CO"/>
        </w:rPr>
        <w:t>,</w:t>
      </w:r>
      <w:r w:rsidRPr="00DB12AA">
        <w:rPr>
          <w:rFonts w:ascii="Arial" w:hAnsi="Arial" w:cs="Arial"/>
          <w:sz w:val="22"/>
          <w:szCs w:val="22"/>
          <w:lang w:val="es-CO"/>
        </w:rPr>
        <w:t xml:space="preserve"> el pago de la sentencia proferida por el CONSEJO DE ESTADO el 9 de octubre de 2012 en proceso de reparación directa con radicado número 2500-23-26-000-1997-04775-01 (22731). </w:t>
      </w:r>
    </w:p>
    <w:p w14:paraId="54560CF3" w14:textId="77777777" w:rsidR="00C22005" w:rsidRPr="00DB12AA" w:rsidRDefault="00C22005" w:rsidP="00DB12AA">
      <w:pPr>
        <w:spacing w:line="276" w:lineRule="auto"/>
        <w:jc w:val="both"/>
        <w:rPr>
          <w:rFonts w:ascii="Arial" w:hAnsi="Arial" w:cs="Arial"/>
          <w:sz w:val="22"/>
          <w:szCs w:val="22"/>
          <w:lang w:val="es-CO"/>
        </w:rPr>
      </w:pPr>
    </w:p>
    <w:p w14:paraId="043BB0AE" w14:textId="77777777" w:rsidR="00C22005" w:rsidRPr="00DB12AA" w:rsidRDefault="00C22005" w:rsidP="00DB12AA">
      <w:pPr>
        <w:spacing w:line="276" w:lineRule="auto"/>
        <w:jc w:val="both"/>
        <w:rPr>
          <w:rFonts w:ascii="Arial" w:hAnsi="Arial" w:cs="Arial"/>
          <w:sz w:val="22"/>
          <w:szCs w:val="22"/>
          <w:lang w:val="es-CO"/>
        </w:rPr>
      </w:pPr>
      <w:r w:rsidRPr="00DB12AA">
        <w:rPr>
          <w:rFonts w:ascii="Arial" w:hAnsi="Arial" w:cs="Arial"/>
          <w:sz w:val="22"/>
          <w:szCs w:val="22"/>
          <w:lang w:val="es-CO"/>
        </w:rPr>
        <w:t>Con auto del 12 de febrero de 2018 se inadmitió la demanda para que la parte actora aclarara algunos puntos</w:t>
      </w:r>
      <w:r w:rsidRPr="00DB12AA">
        <w:rPr>
          <w:rStyle w:val="Refdenotaalpie"/>
          <w:rFonts w:ascii="Arial" w:hAnsi="Arial" w:cs="Arial"/>
          <w:sz w:val="22"/>
          <w:szCs w:val="22"/>
          <w:lang w:val="es-CO"/>
        </w:rPr>
        <w:footnoteReference w:id="1"/>
      </w:r>
      <w:r w:rsidRPr="00DB12AA">
        <w:rPr>
          <w:rFonts w:ascii="Arial" w:hAnsi="Arial" w:cs="Arial"/>
          <w:sz w:val="22"/>
          <w:szCs w:val="22"/>
          <w:lang w:val="es-CO"/>
        </w:rPr>
        <w:t>.</w:t>
      </w:r>
    </w:p>
    <w:p w14:paraId="00F5B3FE" w14:textId="77777777" w:rsidR="00C22005" w:rsidRPr="00DB12AA" w:rsidRDefault="00C22005" w:rsidP="00DB12AA">
      <w:pPr>
        <w:spacing w:line="276" w:lineRule="auto"/>
        <w:rPr>
          <w:rFonts w:ascii="Arial" w:hAnsi="Arial" w:cs="Arial"/>
          <w:sz w:val="22"/>
          <w:szCs w:val="22"/>
          <w:lang w:val="es-CO"/>
        </w:rPr>
      </w:pPr>
    </w:p>
    <w:p w14:paraId="6D06D443" w14:textId="77777777" w:rsidR="00C22005" w:rsidRPr="00DB12AA" w:rsidRDefault="00C22005" w:rsidP="00DB12AA">
      <w:pPr>
        <w:spacing w:line="276" w:lineRule="auto"/>
        <w:rPr>
          <w:rFonts w:ascii="Arial" w:hAnsi="Arial" w:cs="Arial"/>
          <w:sz w:val="22"/>
          <w:szCs w:val="22"/>
          <w:lang w:val="es-CO"/>
        </w:rPr>
      </w:pPr>
      <w:r w:rsidRPr="00DB12AA">
        <w:rPr>
          <w:rFonts w:ascii="Arial" w:hAnsi="Arial" w:cs="Arial"/>
          <w:sz w:val="22"/>
          <w:szCs w:val="22"/>
          <w:lang w:val="es-CO"/>
        </w:rPr>
        <w:t>Mediante providencia de 30 de julio de 2018 se requirió a parte actora</w:t>
      </w:r>
      <w:r w:rsidRPr="00DB12AA">
        <w:rPr>
          <w:rStyle w:val="Refdenotaalpie"/>
          <w:rFonts w:ascii="Arial" w:hAnsi="Arial" w:cs="Arial"/>
          <w:sz w:val="22"/>
          <w:szCs w:val="22"/>
          <w:lang w:val="es-CO"/>
        </w:rPr>
        <w:footnoteReference w:id="2"/>
      </w:r>
      <w:r w:rsidRPr="00DB12AA">
        <w:rPr>
          <w:rFonts w:ascii="Arial" w:hAnsi="Arial" w:cs="Arial"/>
          <w:sz w:val="22"/>
          <w:szCs w:val="22"/>
          <w:lang w:val="es-CO"/>
        </w:rPr>
        <w:t xml:space="preserve">. </w:t>
      </w:r>
    </w:p>
    <w:p w14:paraId="3A0A0900" w14:textId="77777777" w:rsidR="00C22005" w:rsidRPr="00DB12AA" w:rsidRDefault="00C22005" w:rsidP="00DB12AA">
      <w:pPr>
        <w:spacing w:line="276" w:lineRule="auto"/>
        <w:jc w:val="both"/>
        <w:rPr>
          <w:rFonts w:ascii="Arial" w:hAnsi="Arial" w:cs="Arial"/>
          <w:spacing w:val="1"/>
          <w:sz w:val="22"/>
          <w:szCs w:val="22"/>
          <w:highlight w:val="green"/>
          <w:lang w:val="es-CO"/>
        </w:rPr>
      </w:pPr>
    </w:p>
    <w:p w14:paraId="2E08115A" w14:textId="77777777" w:rsidR="00C22005" w:rsidRPr="00DB12AA" w:rsidRDefault="00C22005" w:rsidP="00DB12AA">
      <w:pPr>
        <w:spacing w:line="276" w:lineRule="auto"/>
        <w:jc w:val="both"/>
        <w:rPr>
          <w:rFonts w:ascii="Arial" w:hAnsi="Arial" w:cs="Arial"/>
          <w:spacing w:val="1"/>
          <w:sz w:val="22"/>
          <w:szCs w:val="22"/>
          <w:lang w:val="es-CO"/>
        </w:rPr>
      </w:pPr>
      <w:r w:rsidRPr="00DB12AA">
        <w:rPr>
          <w:rFonts w:ascii="Arial" w:hAnsi="Arial" w:cs="Arial"/>
          <w:spacing w:val="1"/>
          <w:sz w:val="22"/>
          <w:szCs w:val="22"/>
          <w:lang w:val="es-CO"/>
        </w:rPr>
        <w:t>El 27 de marzo de 2019 el apoderado de la parte ejecutada radicó incidente de regulación o pérdida de intereses.</w:t>
      </w:r>
    </w:p>
    <w:p w14:paraId="068E870F" w14:textId="77777777" w:rsidR="00C22005" w:rsidRPr="00DB12AA" w:rsidRDefault="00C22005" w:rsidP="00DB12AA">
      <w:pPr>
        <w:spacing w:line="276" w:lineRule="auto"/>
        <w:jc w:val="both"/>
        <w:rPr>
          <w:rFonts w:ascii="Arial" w:hAnsi="Arial" w:cs="Arial"/>
          <w:sz w:val="22"/>
          <w:szCs w:val="22"/>
          <w:lang w:val="es-CO"/>
        </w:rPr>
      </w:pPr>
    </w:p>
    <w:p w14:paraId="24E00A5D" w14:textId="77777777" w:rsidR="00C22005" w:rsidRPr="00DB12AA" w:rsidRDefault="00C22005" w:rsidP="00DB12AA">
      <w:pPr>
        <w:spacing w:line="276" w:lineRule="auto"/>
        <w:jc w:val="both"/>
        <w:rPr>
          <w:rFonts w:ascii="Arial" w:hAnsi="Arial" w:cs="Arial"/>
          <w:sz w:val="22"/>
          <w:szCs w:val="22"/>
          <w:lang w:val="es-CO"/>
        </w:rPr>
      </w:pPr>
      <w:r w:rsidRPr="00DB12AA">
        <w:rPr>
          <w:rFonts w:ascii="Arial" w:hAnsi="Arial" w:cs="Arial"/>
          <w:sz w:val="22"/>
          <w:szCs w:val="22"/>
          <w:lang w:val="es-CO"/>
        </w:rPr>
        <w:t>En auto de 11 de septiembre de 2019 se corrió traslado del incidente de regulación de intereses.</w:t>
      </w:r>
    </w:p>
    <w:p w14:paraId="41FA694D" w14:textId="77777777" w:rsidR="00C22005" w:rsidRPr="00DB12AA" w:rsidRDefault="00C22005" w:rsidP="00DB12AA">
      <w:pPr>
        <w:spacing w:line="276" w:lineRule="auto"/>
        <w:jc w:val="both"/>
        <w:rPr>
          <w:rFonts w:ascii="Arial" w:hAnsi="Arial" w:cs="Arial"/>
          <w:sz w:val="22"/>
          <w:szCs w:val="22"/>
          <w:lang w:val="es-CO"/>
        </w:rPr>
      </w:pPr>
    </w:p>
    <w:p w14:paraId="3EA68ECE" w14:textId="77777777" w:rsidR="00C22005" w:rsidRPr="00DB12AA" w:rsidRDefault="00C22005" w:rsidP="00DB12AA">
      <w:pPr>
        <w:spacing w:line="276" w:lineRule="auto"/>
        <w:jc w:val="both"/>
        <w:rPr>
          <w:rFonts w:ascii="Arial" w:hAnsi="Arial" w:cs="Arial"/>
          <w:sz w:val="22"/>
          <w:szCs w:val="22"/>
          <w:lang w:val="es-CO"/>
        </w:rPr>
      </w:pPr>
      <w:r w:rsidRPr="00DB12AA">
        <w:rPr>
          <w:rFonts w:ascii="Arial" w:hAnsi="Arial" w:cs="Arial"/>
          <w:sz w:val="22"/>
          <w:szCs w:val="22"/>
          <w:lang w:val="es-CO"/>
        </w:rPr>
        <w:t>En auto de 18 de septiembre de 2019 se ordenó seguir adelante con la ejecución.</w:t>
      </w:r>
    </w:p>
    <w:p w14:paraId="16C15AE4" w14:textId="77777777" w:rsidR="00C22005" w:rsidRPr="00DB12AA" w:rsidRDefault="00C22005" w:rsidP="00DB12AA">
      <w:pPr>
        <w:spacing w:line="276" w:lineRule="auto"/>
        <w:jc w:val="both"/>
        <w:rPr>
          <w:rFonts w:ascii="Arial" w:hAnsi="Arial" w:cs="Arial"/>
          <w:sz w:val="22"/>
          <w:szCs w:val="22"/>
          <w:lang w:val="es-CO"/>
        </w:rPr>
      </w:pPr>
    </w:p>
    <w:p w14:paraId="12C89F71" w14:textId="77777777" w:rsidR="00C22005" w:rsidRPr="00DB12AA" w:rsidRDefault="00C22005" w:rsidP="00DB12AA">
      <w:pPr>
        <w:spacing w:line="276" w:lineRule="auto"/>
        <w:jc w:val="both"/>
        <w:rPr>
          <w:rFonts w:ascii="Arial" w:hAnsi="Arial" w:cs="Arial"/>
          <w:i/>
          <w:sz w:val="22"/>
          <w:szCs w:val="22"/>
          <w:lang w:val="es-CO"/>
        </w:rPr>
      </w:pPr>
      <w:r w:rsidRPr="00DB12AA">
        <w:rPr>
          <w:rFonts w:ascii="Arial" w:hAnsi="Arial" w:cs="Arial"/>
          <w:sz w:val="22"/>
          <w:szCs w:val="22"/>
          <w:lang w:val="es-CO"/>
        </w:rPr>
        <w:t xml:space="preserve">En informe secretarial de octubre 11 de 2019 se anotó: </w:t>
      </w:r>
      <w:r w:rsidRPr="00DB12AA">
        <w:rPr>
          <w:rFonts w:ascii="Arial" w:hAnsi="Arial" w:cs="Arial"/>
          <w:i/>
          <w:sz w:val="22"/>
          <w:szCs w:val="22"/>
          <w:lang w:val="es-CO"/>
        </w:rPr>
        <w:t>“LIQUIDACIÓN DEL CRÉDITO APORTADA POR DEMANDANTE (SEPTIEMBRE 24 DE 2019), SIN HABERSE TRAMITATO POR CUANDO OBRA MEMORIAL DE FISCALIA SOLICITANDO PRONUNCIAMIENTO RESPECTO DE PETICIÓN DE REGULACIÓN DE INTERESES (SEPTIEMBRE 19 DE 2019). MEMORIAL DE LUIS RAMÍREZ DESCORRIENDO TRASLADO DE ESTE ESCRITO (SEPTIEMBRE 19 DE 2019). SÍRVASE PROVEER”.</w:t>
      </w:r>
    </w:p>
    <w:p w14:paraId="359977E3" w14:textId="77777777" w:rsidR="00C91007" w:rsidRPr="00DB12AA" w:rsidRDefault="00C91007" w:rsidP="00DB12AA">
      <w:pPr>
        <w:pStyle w:val="Sinespaciado"/>
        <w:spacing w:line="276" w:lineRule="auto"/>
        <w:jc w:val="both"/>
        <w:rPr>
          <w:rFonts w:ascii="Arial" w:hAnsi="Arial" w:cs="Arial"/>
          <w:sz w:val="22"/>
          <w:szCs w:val="22"/>
          <w:lang w:val="es-CO"/>
        </w:rPr>
      </w:pPr>
    </w:p>
    <w:p w14:paraId="5B98FE07" w14:textId="77777777" w:rsidR="00C91007" w:rsidRPr="00DB12AA" w:rsidRDefault="00C91007" w:rsidP="00DB12AA">
      <w:pPr>
        <w:spacing w:line="276" w:lineRule="auto"/>
        <w:jc w:val="both"/>
        <w:rPr>
          <w:rFonts w:ascii="Arial" w:hAnsi="Arial" w:cs="Arial"/>
          <w:sz w:val="22"/>
          <w:szCs w:val="22"/>
        </w:rPr>
      </w:pPr>
      <w:r w:rsidRPr="00DB12AA">
        <w:rPr>
          <w:rFonts w:ascii="Arial" w:hAnsi="Arial" w:cs="Arial"/>
          <w:sz w:val="22"/>
          <w:szCs w:val="22"/>
        </w:rPr>
        <w:t>Procede el Despacho a pronunciarse sobre lo anotado.</w:t>
      </w:r>
    </w:p>
    <w:p w14:paraId="17564616" w14:textId="77777777" w:rsidR="00DB12AA" w:rsidRDefault="00DB12AA" w:rsidP="00DB12AA">
      <w:pPr>
        <w:spacing w:line="276" w:lineRule="auto"/>
        <w:rPr>
          <w:rFonts w:ascii="Arial" w:hAnsi="Arial" w:cs="Arial"/>
          <w:sz w:val="22"/>
          <w:szCs w:val="22"/>
        </w:rPr>
      </w:pPr>
    </w:p>
    <w:p w14:paraId="63CB70EA" w14:textId="77777777" w:rsidR="00C91007" w:rsidRPr="00DB12AA" w:rsidRDefault="00C91007" w:rsidP="00DB12AA">
      <w:pPr>
        <w:spacing w:line="276" w:lineRule="auto"/>
        <w:jc w:val="center"/>
        <w:rPr>
          <w:rFonts w:ascii="Arial" w:hAnsi="Arial" w:cs="Arial"/>
          <w:b/>
          <w:sz w:val="22"/>
          <w:szCs w:val="22"/>
        </w:rPr>
      </w:pPr>
      <w:r w:rsidRPr="00DB12AA">
        <w:rPr>
          <w:rFonts w:ascii="Arial" w:hAnsi="Arial" w:cs="Arial"/>
          <w:b/>
          <w:sz w:val="22"/>
          <w:szCs w:val="22"/>
        </w:rPr>
        <w:t>CONSIDERACIONES</w:t>
      </w:r>
    </w:p>
    <w:p w14:paraId="0EB7A052" w14:textId="77777777" w:rsidR="00C91007" w:rsidRPr="00DB12AA" w:rsidRDefault="00C91007" w:rsidP="00DB12AA">
      <w:pPr>
        <w:spacing w:line="276" w:lineRule="auto"/>
        <w:jc w:val="center"/>
        <w:rPr>
          <w:rFonts w:ascii="Arial" w:hAnsi="Arial" w:cs="Arial"/>
          <w:b/>
          <w:sz w:val="22"/>
          <w:szCs w:val="22"/>
        </w:rPr>
      </w:pPr>
    </w:p>
    <w:p w14:paraId="358E1F10" w14:textId="77777777" w:rsidR="00C91007" w:rsidRPr="00DB12AA" w:rsidRDefault="00C91007" w:rsidP="00DB12AA">
      <w:pPr>
        <w:tabs>
          <w:tab w:val="left" w:pos="426"/>
        </w:tabs>
        <w:spacing w:line="276" w:lineRule="auto"/>
        <w:jc w:val="both"/>
        <w:rPr>
          <w:rFonts w:ascii="Arial" w:hAnsi="Arial" w:cs="Arial"/>
          <w:b/>
          <w:sz w:val="22"/>
          <w:szCs w:val="22"/>
        </w:rPr>
      </w:pPr>
      <w:r w:rsidRPr="00DB12AA">
        <w:rPr>
          <w:rFonts w:ascii="Arial" w:hAnsi="Arial" w:cs="Arial"/>
          <w:b/>
          <w:sz w:val="22"/>
          <w:szCs w:val="22"/>
        </w:rPr>
        <w:t>1. Fundamentación del incidente:</w:t>
      </w:r>
    </w:p>
    <w:p w14:paraId="284A8846" w14:textId="77777777" w:rsidR="00C91007" w:rsidRPr="00DB12AA" w:rsidRDefault="00C91007" w:rsidP="00DB12AA">
      <w:pPr>
        <w:spacing w:line="276" w:lineRule="auto"/>
        <w:jc w:val="both"/>
        <w:rPr>
          <w:rFonts w:ascii="Arial" w:hAnsi="Arial" w:cs="Arial"/>
          <w:b/>
          <w:sz w:val="22"/>
          <w:szCs w:val="22"/>
        </w:rPr>
      </w:pPr>
    </w:p>
    <w:p w14:paraId="4E5AA8A4" w14:textId="77777777" w:rsidR="00C22005" w:rsidRPr="00DB12AA" w:rsidRDefault="00C22005" w:rsidP="00DB12AA">
      <w:pPr>
        <w:spacing w:line="276" w:lineRule="auto"/>
        <w:jc w:val="both"/>
        <w:rPr>
          <w:rFonts w:ascii="Arial" w:hAnsi="Arial" w:cs="Arial"/>
          <w:sz w:val="22"/>
          <w:szCs w:val="22"/>
        </w:rPr>
      </w:pPr>
      <w:r w:rsidRPr="00DB12AA">
        <w:rPr>
          <w:rFonts w:ascii="Arial" w:hAnsi="Arial" w:cs="Arial"/>
          <w:sz w:val="22"/>
          <w:szCs w:val="22"/>
        </w:rPr>
        <w:t>La apoderada de la entidad ejecutada fundamenta el incidente en lo siguiente:</w:t>
      </w:r>
    </w:p>
    <w:p w14:paraId="070472CC" w14:textId="77777777" w:rsidR="00C22005" w:rsidRPr="00DB12AA" w:rsidRDefault="00C22005" w:rsidP="00DB12AA">
      <w:pPr>
        <w:spacing w:line="276" w:lineRule="auto"/>
        <w:jc w:val="both"/>
        <w:rPr>
          <w:rFonts w:ascii="Arial" w:hAnsi="Arial" w:cs="Arial"/>
          <w:sz w:val="22"/>
          <w:szCs w:val="22"/>
        </w:rPr>
      </w:pPr>
    </w:p>
    <w:p w14:paraId="50B4C012" w14:textId="77777777" w:rsidR="00C22005" w:rsidRPr="00DB12AA" w:rsidRDefault="00C22005" w:rsidP="00DB12AA">
      <w:pPr>
        <w:spacing w:line="276" w:lineRule="auto"/>
        <w:jc w:val="both"/>
        <w:rPr>
          <w:rFonts w:ascii="Arial" w:hAnsi="Arial" w:cs="Arial"/>
          <w:i/>
          <w:sz w:val="22"/>
          <w:szCs w:val="22"/>
        </w:rPr>
      </w:pPr>
      <w:r w:rsidRPr="00DB12AA">
        <w:rPr>
          <w:rFonts w:ascii="Arial" w:hAnsi="Arial" w:cs="Arial"/>
          <w:i/>
          <w:sz w:val="22"/>
          <w:szCs w:val="22"/>
        </w:rPr>
        <w:t xml:space="preserve">“(…) me permito invocar como sustento legal del presente escrito el artículo 60 de la ley 446 de 1998, que modificó el citado artículo 177 del Código Contencioso Administrativo. </w:t>
      </w:r>
      <w:proofErr w:type="gramStart"/>
      <w:r w:rsidRPr="00DB12AA">
        <w:rPr>
          <w:rFonts w:ascii="Arial" w:hAnsi="Arial" w:cs="Arial"/>
          <w:i/>
          <w:sz w:val="22"/>
          <w:szCs w:val="22"/>
        </w:rPr>
        <w:t>Los emolumentos ejecutados por el demandant</w:t>
      </w:r>
      <w:r w:rsidR="00DB12AA">
        <w:rPr>
          <w:rFonts w:ascii="Arial" w:hAnsi="Arial" w:cs="Arial"/>
          <w:i/>
          <w:sz w:val="22"/>
          <w:szCs w:val="22"/>
        </w:rPr>
        <w:t>e genera</w:t>
      </w:r>
      <w:proofErr w:type="gramEnd"/>
      <w:r w:rsidR="00DB12AA">
        <w:rPr>
          <w:rFonts w:ascii="Arial" w:hAnsi="Arial" w:cs="Arial"/>
          <w:i/>
          <w:sz w:val="22"/>
          <w:szCs w:val="22"/>
        </w:rPr>
        <w:t xml:space="preserve"> intereses desde un día</w:t>
      </w:r>
      <w:r w:rsidRPr="00DB12AA">
        <w:rPr>
          <w:rFonts w:ascii="Arial" w:hAnsi="Arial" w:cs="Arial"/>
          <w:i/>
          <w:sz w:val="22"/>
          <w:szCs w:val="22"/>
        </w:rPr>
        <w:t xml:space="preserve"> después a la ejecutoria, lo cierto es que en el presente caso </w:t>
      </w:r>
      <w:r w:rsidRPr="00DB12AA">
        <w:rPr>
          <w:rFonts w:ascii="Arial" w:hAnsi="Arial" w:cs="Arial"/>
          <w:b/>
          <w:i/>
          <w:sz w:val="22"/>
          <w:szCs w:val="22"/>
        </w:rPr>
        <w:t>opero la cesación de los intereses</w:t>
      </w:r>
      <w:r w:rsidRPr="00DB12AA">
        <w:rPr>
          <w:rFonts w:ascii="Arial" w:hAnsi="Arial" w:cs="Arial"/>
          <w:i/>
          <w:sz w:val="22"/>
          <w:szCs w:val="22"/>
        </w:rPr>
        <w:t xml:space="preserve"> adeudados por la Fiscalía General de la Nacion, artículo que reza:</w:t>
      </w:r>
    </w:p>
    <w:p w14:paraId="413942B6" w14:textId="77777777" w:rsidR="00C22005" w:rsidRPr="00DB12AA" w:rsidRDefault="00C22005" w:rsidP="00DB12AA">
      <w:pPr>
        <w:spacing w:line="276" w:lineRule="auto"/>
        <w:jc w:val="both"/>
        <w:rPr>
          <w:rFonts w:ascii="Arial" w:hAnsi="Arial" w:cs="Arial"/>
          <w:i/>
          <w:sz w:val="22"/>
          <w:szCs w:val="22"/>
        </w:rPr>
      </w:pPr>
    </w:p>
    <w:p w14:paraId="4CC12798" w14:textId="77777777" w:rsidR="00C22005" w:rsidRPr="00DB12AA" w:rsidRDefault="00C22005" w:rsidP="00DB12AA">
      <w:pPr>
        <w:spacing w:line="276" w:lineRule="auto"/>
        <w:ind w:left="567" w:right="618"/>
        <w:jc w:val="both"/>
        <w:rPr>
          <w:rFonts w:ascii="Arial" w:hAnsi="Arial" w:cs="Arial"/>
          <w:b/>
          <w:i/>
          <w:sz w:val="22"/>
          <w:szCs w:val="22"/>
        </w:rPr>
      </w:pPr>
      <w:r w:rsidRPr="00DB12AA">
        <w:rPr>
          <w:rFonts w:ascii="Arial" w:hAnsi="Arial" w:cs="Arial"/>
          <w:i/>
          <w:sz w:val="22"/>
          <w:szCs w:val="22"/>
        </w:rPr>
        <w:t xml:space="preserve">“(…) Pago de sentencias. </w:t>
      </w:r>
      <w:r w:rsidRPr="00DB12AA">
        <w:rPr>
          <w:rFonts w:ascii="Arial" w:hAnsi="Arial" w:cs="Arial"/>
          <w:b/>
          <w:i/>
          <w:sz w:val="22"/>
          <w:szCs w:val="22"/>
        </w:rPr>
        <w:t>Cumplidos seis meses desde la ejecutoria de la providencia que imponga o liquide una condena</w:t>
      </w:r>
      <w:r w:rsidRPr="00DB12AA">
        <w:rPr>
          <w:rFonts w:ascii="Arial" w:hAnsi="Arial" w:cs="Arial"/>
          <w:i/>
          <w:sz w:val="22"/>
          <w:szCs w:val="22"/>
        </w:rPr>
        <w:t xml:space="preserve"> o de la que apruebe una conciliación, </w:t>
      </w:r>
      <w:r w:rsidRPr="00DB12AA">
        <w:rPr>
          <w:rFonts w:ascii="Arial" w:hAnsi="Arial" w:cs="Arial"/>
          <w:b/>
          <w:i/>
          <w:sz w:val="22"/>
          <w:szCs w:val="22"/>
        </w:rPr>
        <w:t xml:space="preserve">sin que los beneficiarios hayan acudido ante la entidad responsable para hacerla efectiva, acompañando la documentación exigida para el efecto, </w:t>
      </w:r>
      <w:r w:rsidRPr="00DB12AA">
        <w:rPr>
          <w:rFonts w:ascii="Arial" w:hAnsi="Arial" w:cs="Arial"/>
          <w:b/>
          <w:i/>
          <w:sz w:val="22"/>
          <w:szCs w:val="22"/>
          <w:u w:val="single"/>
        </w:rPr>
        <w:t xml:space="preserve">cesará la causación de intereses de todo tipo desde entonces hasta cuando se presentare la solicitud en legal forma </w:t>
      </w:r>
      <w:r w:rsidRPr="00DB12AA">
        <w:rPr>
          <w:rFonts w:ascii="Arial" w:hAnsi="Arial" w:cs="Arial"/>
          <w:b/>
          <w:i/>
          <w:sz w:val="22"/>
          <w:szCs w:val="22"/>
        </w:rPr>
        <w:t>(…)”</w:t>
      </w:r>
    </w:p>
    <w:p w14:paraId="2918C624" w14:textId="77777777" w:rsidR="00C22005" w:rsidRPr="00DB12AA" w:rsidRDefault="00C22005" w:rsidP="00DB12AA">
      <w:pPr>
        <w:spacing w:line="276" w:lineRule="auto"/>
        <w:jc w:val="both"/>
        <w:rPr>
          <w:rFonts w:ascii="Arial" w:hAnsi="Arial" w:cs="Arial"/>
          <w:b/>
          <w:i/>
          <w:sz w:val="22"/>
          <w:szCs w:val="22"/>
        </w:rPr>
      </w:pPr>
    </w:p>
    <w:p w14:paraId="36761757" w14:textId="77777777" w:rsidR="00C22005" w:rsidRPr="00DB12AA" w:rsidRDefault="00C22005" w:rsidP="00DB12AA">
      <w:pPr>
        <w:spacing w:line="276" w:lineRule="auto"/>
        <w:jc w:val="both"/>
        <w:rPr>
          <w:rFonts w:ascii="Arial" w:hAnsi="Arial" w:cs="Arial"/>
          <w:i/>
          <w:sz w:val="22"/>
          <w:szCs w:val="22"/>
        </w:rPr>
      </w:pPr>
      <w:r w:rsidRPr="00DB12AA">
        <w:rPr>
          <w:rFonts w:ascii="Arial" w:hAnsi="Arial" w:cs="Arial"/>
          <w:i/>
          <w:sz w:val="22"/>
          <w:szCs w:val="22"/>
        </w:rPr>
        <w:t xml:space="preserve">El beneficiario de la condena a través de apoderado judicial presento solicitud de pago mediante radicado No. 20146111635872 del 20 de octubre de 2014, y en respuesta la Fiscalía General de la Nación a través de oficio con radicado No. 20141500080911 del 28 de octubre de 2014 requiere al apoderado para que </w:t>
      </w:r>
      <w:r w:rsidR="00DB12AA" w:rsidRPr="00DB12AA">
        <w:rPr>
          <w:rFonts w:ascii="Arial" w:hAnsi="Arial" w:cs="Arial"/>
          <w:i/>
          <w:sz w:val="22"/>
          <w:szCs w:val="22"/>
        </w:rPr>
        <w:t>dé</w:t>
      </w:r>
      <w:r w:rsidRPr="00DB12AA">
        <w:rPr>
          <w:rFonts w:ascii="Arial" w:hAnsi="Arial" w:cs="Arial"/>
          <w:i/>
          <w:sz w:val="22"/>
          <w:szCs w:val="22"/>
        </w:rPr>
        <w:t xml:space="preserve"> cumplimiento de los requisitos faltantes.</w:t>
      </w:r>
    </w:p>
    <w:p w14:paraId="6B6A2A49" w14:textId="77777777" w:rsidR="00C22005" w:rsidRPr="00DB12AA" w:rsidRDefault="00C22005" w:rsidP="00DB12AA">
      <w:pPr>
        <w:spacing w:line="276" w:lineRule="auto"/>
        <w:jc w:val="both"/>
        <w:rPr>
          <w:rFonts w:ascii="Arial" w:hAnsi="Arial" w:cs="Arial"/>
          <w:i/>
          <w:sz w:val="22"/>
          <w:szCs w:val="22"/>
        </w:rPr>
      </w:pPr>
    </w:p>
    <w:p w14:paraId="62E52FDF" w14:textId="77777777" w:rsidR="00C22005" w:rsidRPr="00DB12AA" w:rsidRDefault="00C22005" w:rsidP="00DB12AA">
      <w:pPr>
        <w:spacing w:line="276" w:lineRule="auto"/>
        <w:jc w:val="both"/>
        <w:rPr>
          <w:rFonts w:ascii="Arial" w:hAnsi="Arial" w:cs="Arial"/>
          <w:i/>
          <w:sz w:val="22"/>
          <w:szCs w:val="22"/>
        </w:rPr>
      </w:pPr>
      <w:r w:rsidRPr="00DB12AA">
        <w:rPr>
          <w:rFonts w:ascii="Arial" w:hAnsi="Arial" w:cs="Arial"/>
          <w:i/>
          <w:sz w:val="22"/>
          <w:szCs w:val="22"/>
        </w:rPr>
        <w:t xml:space="preserve">Cumpliendo con la presentación de la solicitud de pago y el total de los requisitos exigidos por la ley el día </w:t>
      </w:r>
      <w:r w:rsidRPr="00DB12AA">
        <w:rPr>
          <w:rFonts w:ascii="Arial" w:hAnsi="Arial" w:cs="Arial"/>
          <w:b/>
          <w:i/>
          <w:sz w:val="22"/>
          <w:szCs w:val="22"/>
        </w:rPr>
        <w:t>10 de noviembre de 2014</w:t>
      </w:r>
      <w:r w:rsidRPr="00DB12AA">
        <w:rPr>
          <w:rFonts w:ascii="Arial" w:hAnsi="Arial" w:cs="Arial"/>
          <w:i/>
          <w:sz w:val="22"/>
          <w:szCs w:val="22"/>
        </w:rPr>
        <w:t xml:space="preserve"> mediante radicado No. 20146111718252, fecha en que se le asigno turno de pago; es decir, posterior a los 6 meses estipulados en la norma antes citada, de acuerdo con la certificación del turno allegada con la contestación de la demanda. </w:t>
      </w:r>
    </w:p>
    <w:p w14:paraId="0D6A79DF" w14:textId="77777777" w:rsidR="00C22005" w:rsidRPr="00DB12AA" w:rsidRDefault="00C22005" w:rsidP="00DB12AA">
      <w:pPr>
        <w:spacing w:line="276" w:lineRule="auto"/>
        <w:jc w:val="both"/>
        <w:rPr>
          <w:rFonts w:ascii="Arial" w:hAnsi="Arial" w:cs="Arial"/>
          <w:i/>
          <w:sz w:val="22"/>
          <w:szCs w:val="22"/>
        </w:rPr>
      </w:pPr>
      <w:r w:rsidRPr="00DB12AA">
        <w:rPr>
          <w:rFonts w:ascii="Arial" w:hAnsi="Arial" w:cs="Arial"/>
          <w:i/>
          <w:sz w:val="22"/>
          <w:szCs w:val="22"/>
        </w:rPr>
        <w:t>(…)</w:t>
      </w:r>
    </w:p>
    <w:p w14:paraId="48D21D27" w14:textId="77777777" w:rsidR="00E9754A" w:rsidRPr="00DB12AA" w:rsidRDefault="00E9754A" w:rsidP="00DB12AA">
      <w:pPr>
        <w:spacing w:line="276" w:lineRule="auto"/>
        <w:jc w:val="both"/>
        <w:rPr>
          <w:rFonts w:ascii="Arial" w:hAnsi="Arial" w:cs="Arial"/>
          <w:i/>
          <w:sz w:val="22"/>
          <w:szCs w:val="22"/>
        </w:rPr>
      </w:pPr>
    </w:p>
    <w:p w14:paraId="3FB54366" w14:textId="77777777" w:rsidR="00E9754A" w:rsidRPr="00DB12AA" w:rsidRDefault="00DB12AA" w:rsidP="00DB12AA">
      <w:pPr>
        <w:spacing w:line="276" w:lineRule="auto"/>
        <w:jc w:val="both"/>
        <w:rPr>
          <w:rFonts w:ascii="Arial" w:hAnsi="Arial" w:cs="Arial"/>
          <w:i/>
          <w:sz w:val="22"/>
          <w:szCs w:val="22"/>
        </w:rPr>
      </w:pPr>
      <w:r w:rsidRPr="00DB12AA">
        <w:rPr>
          <w:rFonts w:ascii="Arial" w:hAnsi="Arial" w:cs="Arial"/>
          <w:i/>
          <w:sz w:val="22"/>
          <w:szCs w:val="22"/>
        </w:rPr>
        <w:t>Así</w:t>
      </w:r>
      <w:r w:rsidR="00E9754A" w:rsidRPr="00DB12AA">
        <w:rPr>
          <w:rFonts w:ascii="Arial" w:hAnsi="Arial" w:cs="Arial"/>
          <w:i/>
          <w:sz w:val="22"/>
          <w:szCs w:val="22"/>
        </w:rPr>
        <w:t xml:space="preserve"> entonces, el Despacho debe verificar que en el asunto sub examine, el aquí demandante efectivamente elevaron a través de apoderado la reclamación administrativa de cumplimiento de la sentencia ante la Fiscalía General de la Nación, con la salvedad de que dicha reclamación fue presentada fuera del término consagrado en la Ley.</w:t>
      </w:r>
    </w:p>
    <w:p w14:paraId="27E77EEA" w14:textId="77777777" w:rsidR="00E9754A" w:rsidRPr="00DB12AA" w:rsidRDefault="00E9754A" w:rsidP="00DB12AA">
      <w:pPr>
        <w:spacing w:line="276" w:lineRule="auto"/>
        <w:jc w:val="both"/>
        <w:rPr>
          <w:rFonts w:ascii="Arial" w:hAnsi="Arial" w:cs="Arial"/>
          <w:i/>
          <w:sz w:val="22"/>
          <w:szCs w:val="22"/>
        </w:rPr>
      </w:pPr>
    </w:p>
    <w:p w14:paraId="76FCAF32" w14:textId="77777777" w:rsidR="00E9754A" w:rsidRPr="00DB12AA" w:rsidRDefault="00E9754A" w:rsidP="00DB12AA">
      <w:pPr>
        <w:spacing w:line="276" w:lineRule="auto"/>
        <w:jc w:val="both"/>
        <w:rPr>
          <w:rFonts w:ascii="Arial" w:hAnsi="Arial" w:cs="Arial"/>
          <w:i/>
          <w:sz w:val="22"/>
          <w:szCs w:val="22"/>
        </w:rPr>
      </w:pPr>
      <w:r w:rsidRPr="00DB12AA">
        <w:rPr>
          <w:rFonts w:ascii="Arial" w:hAnsi="Arial" w:cs="Arial"/>
          <w:i/>
          <w:sz w:val="22"/>
          <w:szCs w:val="22"/>
        </w:rPr>
        <w:t xml:space="preserve">En este orden, es importante indicar que el demandante una vez cumplió con los requisitos señalados en los Decretos 768 de 1993 y decreto 818 de 1994, se procedió asignar el respectivo </w:t>
      </w:r>
      <w:r w:rsidRPr="00DB12AA">
        <w:rPr>
          <w:rFonts w:ascii="Arial" w:hAnsi="Arial" w:cs="Arial"/>
          <w:b/>
          <w:i/>
          <w:sz w:val="22"/>
          <w:szCs w:val="22"/>
          <w:u w:val="single"/>
        </w:rPr>
        <w:t>turno de pago con fecha 10 de noviembre de 2014,</w:t>
      </w:r>
      <w:r w:rsidRPr="00DB12AA">
        <w:rPr>
          <w:rFonts w:ascii="Arial" w:hAnsi="Arial" w:cs="Arial"/>
          <w:i/>
          <w:sz w:val="22"/>
          <w:szCs w:val="22"/>
        </w:rPr>
        <w:t xml:space="preserve"> dentro del listado de sentencias por pagar.</w:t>
      </w:r>
    </w:p>
    <w:p w14:paraId="56DA0959" w14:textId="77777777" w:rsidR="00E9754A" w:rsidRPr="00DB12AA" w:rsidRDefault="00E9754A" w:rsidP="00DB12AA">
      <w:pPr>
        <w:spacing w:line="276" w:lineRule="auto"/>
        <w:jc w:val="both"/>
        <w:rPr>
          <w:rFonts w:ascii="Arial" w:hAnsi="Arial" w:cs="Arial"/>
          <w:i/>
          <w:sz w:val="22"/>
          <w:szCs w:val="22"/>
        </w:rPr>
      </w:pPr>
    </w:p>
    <w:p w14:paraId="05A582A9" w14:textId="77777777" w:rsidR="00E9754A" w:rsidRPr="00DB12AA" w:rsidRDefault="00E9754A" w:rsidP="00DB12AA">
      <w:pPr>
        <w:spacing w:line="276" w:lineRule="auto"/>
        <w:jc w:val="both"/>
        <w:rPr>
          <w:rFonts w:ascii="Arial" w:hAnsi="Arial" w:cs="Arial"/>
          <w:i/>
          <w:sz w:val="22"/>
          <w:szCs w:val="22"/>
        </w:rPr>
      </w:pPr>
      <w:r w:rsidRPr="00DB12AA">
        <w:rPr>
          <w:rFonts w:ascii="Arial" w:hAnsi="Arial" w:cs="Arial"/>
          <w:i/>
          <w:sz w:val="22"/>
          <w:szCs w:val="22"/>
        </w:rPr>
        <w:t xml:space="preserve">Es </w:t>
      </w:r>
      <w:proofErr w:type="gramStart"/>
      <w:r w:rsidRPr="00DB12AA">
        <w:rPr>
          <w:rFonts w:ascii="Arial" w:hAnsi="Arial" w:cs="Arial"/>
          <w:i/>
          <w:sz w:val="22"/>
          <w:szCs w:val="22"/>
        </w:rPr>
        <w:t>decir</w:t>
      </w:r>
      <w:proofErr w:type="gramEnd"/>
      <w:r w:rsidRPr="00DB12AA">
        <w:rPr>
          <w:rFonts w:ascii="Arial" w:hAnsi="Arial" w:cs="Arial"/>
          <w:i/>
          <w:sz w:val="22"/>
          <w:szCs w:val="22"/>
        </w:rPr>
        <w:t xml:space="preserve"> entonces, que a partir de la ejecutoria de la obligación 15 de octubre de 2013 al 15 de abril de 2014, transcurrieron los 6 meses a que se refiere el artículo 177 del CCA, para que el beneficiario presentara la solicitud de pago con el lleno de los requisitos, hecho que no ocurrió en este caso.</w:t>
      </w:r>
    </w:p>
    <w:p w14:paraId="39925361" w14:textId="77777777" w:rsidR="00E9754A" w:rsidRPr="00DB12AA" w:rsidRDefault="00E9754A" w:rsidP="00DB12AA">
      <w:pPr>
        <w:spacing w:line="276" w:lineRule="auto"/>
        <w:jc w:val="both"/>
        <w:rPr>
          <w:rFonts w:ascii="Arial" w:hAnsi="Arial" w:cs="Arial"/>
          <w:i/>
          <w:sz w:val="22"/>
          <w:szCs w:val="22"/>
        </w:rPr>
      </w:pPr>
    </w:p>
    <w:p w14:paraId="3D957CBE" w14:textId="77777777" w:rsidR="00E9754A" w:rsidRPr="00DB12AA" w:rsidRDefault="00E9754A" w:rsidP="00DB12AA">
      <w:pPr>
        <w:spacing w:line="276" w:lineRule="auto"/>
        <w:jc w:val="both"/>
        <w:rPr>
          <w:rFonts w:ascii="Arial" w:hAnsi="Arial" w:cs="Arial"/>
          <w:i/>
          <w:sz w:val="22"/>
          <w:szCs w:val="22"/>
        </w:rPr>
      </w:pPr>
      <w:r w:rsidRPr="00DB12AA">
        <w:rPr>
          <w:rFonts w:ascii="Arial" w:hAnsi="Arial" w:cs="Arial"/>
          <w:i/>
          <w:sz w:val="22"/>
          <w:szCs w:val="22"/>
        </w:rPr>
        <w:t xml:space="preserve">El demandante cumplió con el total de los requisitos el día 10 de noviembre de 2014, pretendiendo cobrar intereses por un periodo de tiempo en que para el caso concreto se configuro </w:t>
      </w:r>
      <w:r w:rsidRPr="00DB12AA">
        <w:rPr>
          <w:rFonts w:ascii="Arial" w:hAnsi="Arial" w:cs="Arial"/>
          <w:b/>
          <w:i/>
          <w:sz w:val="22"/>
          <w:szCs w:val="22"/>
        </w:rPr>
        <w:t>la cesación de intereses</w:t>
      </w:r>
      <w:r w:rsidRPr="00DB12AA">
        <w:rPr>
          <w:rFonts w:ascii="Arial" w:hAnsi="Arial" w:cs="Arial"/>
          <w:i/>
          <w:sz w:val="22"/>
          <w:szCs w:val="22"/>
        </w:rPr>
        <w:t xml:space="preserve"> de que habla la norma arriba citada.</w:t>
      </w:r>
    </w:p>
    <w:p w14:paraId="2ADF49F6" w14:textId="77777777" w:rsidR="00E9754A" w:rsidRPr="00DB12AA" w:rsidRDefault="00E9754A" w:rsidP="00DB12AA">
      <w:pPr>
        <w:spacing w:line="276" w:lineRule="auto"/>
        <w:jc w:val="both"/>
        <w:rPr>
          <w:rFonts w:ascii="Arial" w:hAnsi="Arial" w:cs="Arial"/>
          <w:i/>
          <w:sz w:val="22"/>
          <w:szCs w:val="22"/>
        </w:rPr>
      </w:pPr>
    </w:p>
    <w:p w14:paraId="53251A0A" w14:textId="77777777" w:rsidR="00E9754A" w:rsidRPr="00DB12AA" w:rsidRDefault="00E9754A" w:rsidP="00DB12AA">
      <w:pPr>
        <w:spacing w:line="276" w:lineRule="auto"/>
        <w:jc w:val="both"/>
        <w:rPr>
          <w:rFonts w:ascii="Arial" w:hAnsi="Arial" w:cs="Arial"/>
          <w:i/>
          <w:sz w:val="22"/>
          <w:szCs w:val="22"/>
        </w:rPr>
      </w:pPr>
      <w:r w:rsidRPr="00DB12AA">
        <w:rPr>
          <w:rFonts w:ascii="Arial" w:hAnsi="Arial" w:cs="Arial"/>
          <w:i/>
          <w:sz w:val="22"/>
          <w:szCs w:val="22"/>
        </w:rPr>
        <w:lastRenderedPageBreak/>
        <w:t xml:space="preserve">De lo anterior, se infiere que </w:t>
      </w:r>
      <w:r w:rsidRPr="00DB12AA">
        <w:rPr>
          <w:rFonts w:ascii="Arial" w:hAnsi="Arial" w:cs="Arial"/>
          <w:b/>
          <w:i/>
          <w:sz w:val="22"/>
          <w:szCs w:val="22"/>
          <w:u w:val="single"/>
        </w:rPr>
        <w:t>ceso la causación de intereses</w:t>
      </w:r>
      <w:r w:rsidRPr="00DB12AA">
        <w:rPr>
          <w:rFonts w:ascii="Arial" w:hAnsi="Arial" w:cs="Arial"/>
          <w:b/>
          <w:i/>
          <w:sz w:val="22"/>
          <w:szCs w:val="22"/>
        </w:rPr>
        <w:t xml:space="preserve"> entre el periodo comprendido del 16 de abril de 2014 y hasta el 9 de noviembre de 2014.</w:t>
      </w:r>
      <w:r w:rsidRPr="00DB12AA">
        <w:rPr>
          <w:rFonts w:ascii="Arial" w:hAnsi="Arial" w:cs="Arial"/>
          <w:i/>
          <w:sz w:val="22"/>
          <w:szCs w:val="22"/>
        </w:rPr>
        <w:t xml:space="preserve"> Dicho de otro modo, se generan intereses moratorios desde el 15 de octubre de 2013 hasta el 15 de abril de 2014 y del 10 de noviembre de 2014 hasta cuando se verifique el pago.</w:t>
      </w:r>
    </w:p>
    <w:p w14:paraId="5164C9E6" w14:textId="77777777" w:rsidR="00E9754A" w:rsidRPr="00DB12AA" w:rsidRDefault="00E9754A" w:rsidP="00DB12AA">
      <w:pPr>
        <w:spacing w:line="276" w:lineRule="auto"/>
        <w:jc w:val="both"/>
        <w:rPr>
          <w:rFonts w:ascii="Arial" w:hAnsi="Arial" w:cs="Arial"/>
          <w:i/>
          <w:sz w:val="22"/>
          <w:szCs w:val="22"/>
        </w:rPr>
      </w:pPr>
    </w:p>
    <w:p w14:paraId="22A25559" w14:textId="77777777" w:rsidR="00E9754A" w:rsidRPr="00DB12AA" w:rsidRDefault="00E9754A" w:rsidP="00DB12AA">
      <w:pPr>
        <w:spacing w:line="276" w:lineRule="auto"/>
        <w:jc w:val="both"/>
        <w:rPr>
          <w:rFonts w:ascii="Arial" w:hAnsi="Arial" w:cs="Arial"/>
          <w:i/>
          <w:sz w:val="22"/>
          <w:szCs w:val="22"/>
        </w:rPr>
      </w:pPr>
      <w:r w:rsidRPr="00DB12AA">
        <w:rPr>
          <w:rFonts w:ascii="Arial" w:hAnsi="Arial" w:cs="Arial"/>
          <w:i/>
          <w:sz w:val="22"/>
          <w:szCs w:val="22"/>
        </w:rPr>
        <w:t>En conclusión, debe tenerse en cuenta la fecha en que el parte actor cumplió con los requisitos legales para el pago, como punto de partida para reanudar nuevamente la causación de intereses; por lo que es improcedente acceder al cobro de estos intereses por periodos anteriores, ello como se indicó, para impedirle al beneficiario de la condena judicial que demore por tiempo indefinido su reclamación para hacerla efectiva, con el objeto de que se generen mayores intereses de mora</w:t>
      </w:r>
      <w:r w:rsidR="00254A19" w:rsidRPr="00DB12AA">
        <w:rPr>
          <w:rFonts w:ascii="Arial" w:hAnsi="Arial" w:cs="Arial"/>
          <w:i/>
          <w:sz w:val="22"/>
          <w:szCs w:val="22"/>
        </w:rPr>
        <w:t xml:space="preserve"> (…)”</w:t>
      </w:r>
    </w:p>
    <w:p w14:paraId="48B0F42C" w14:textId="77777777" w:rsidR="00C22005" w:rsidRPr="00DB12AA" w:rsidRDefault="00C22005" w:rsidP="00DB12AA">
      <w:pPr>
        <w:spacing w:line="276" w:lineRule="auto"/>
        <w:jc w:val="both"/>
        <w:rPr>
          <w:rFonts w:ascii="Arial" w:hAnsi="Arial" w:cs="Arial"/>
          <w:b/>
          <w:sz w:val="22"/>
          <w:szCs w:val="22"/>
        </w:rPr>
      </w:pPr>
    </w:p>
    <w:p w14:paraId="479428B5" w14:textId="77777777" w:rsidR="00C91007" w:rsidRPr="00DB12AA" w:rsidRDefault="00C91007" w:rsidP="00DB12AA">
      <w:pPr>
        <w:spacing w:line="276" w:lineRule="auto"/>
        <w:jc w:val="both"/>
        <w:rPr>
          <w:rFonts w:ascii="Arial" w:hAnsi="Arial" w:cs="Arial"/>
          <w:b/>
          <w:sz w:val="22"/>
          <w:szCs w:val="22"/>
        </w:rPr>
      </w:pPr>
      <w:r w:rsidRPr="00DB12AA">
        <w:rPr>
          <w:rFonts w:ascii="Arial" w:hAnsi="Arial" w:cs="Arial"/>
          <w:b/>
          <w:sz w:val="22"/>
          <w:szCs w:val="22"/>
        </w:rPr>
        <w:t>2. Normatividad:</w:t>
      </w:r>
    </w:p>
    <w:p w14:paraId="19EA70BD" w14:textId="77777777" w:rsidR="00C91007" w:rsidRPr="00DB12AA" w:rsidRDefault="00C91007" w:rsidP="00DB12AA">
      <w:pPr>
        <w:spacing w:line="276" w:lineRule="auto"/>
        <w:jc w:val="both"/>
        <w:rPr>
          <w:rFonts w:ascii="Arial" w:hAnsi="Arial" w:cs="Arial"/>
          <w:b/>
          <w:sz w:val="22"/>
          <w:szCs w:val="22"/>
          <w:highlight w:val="yellow"/>
        </w:rPr>
      </w:pPr>
    </w:p>
    <w:p w14:paraId="51F3B2FD" w14:textId="77777777" w:rsidR="00254A19" w:rsidRPr="00DB12AA" w:rsidRDefault="00254A19" w:rsidP="00DB12AA">
      <w:pPr>
        <w:spacing w:line="276" w:lineRule="auto"/>
        <w:jc w:val="both"/>
        <w:rPr>
          <w:rFonts w:ascii="Arial" w:hAnsi="Arial" w:cs="Arial"/>
          <w:b/>
          <w:sz w:val="22"/>
          <w:szCs w:val="22"/>
        </w:rPr>
      </w:pPr>
      <w:r w:rsidRPr="00DB12AA">
        <w:rPr>
          <w:rFonts w:ascii="Arial" w:hAnsi="Arial" w:cs="Arial"/>
          <w:sz w:val="22"/>
          <w:szCs w:val="22"/>
          <w:lang w:val="es-CO"/>
        </w:rPr>
        <w:t xml:space="preserve">El artículo 425 del </w:t>
      </w:r>
      <w:r w:rsidR="00DB12AA" w:rsidRPr="00DB12AA">
        <w:rPr>
          <w:rFonts w:ascii="Arial" w:hAnsi="Arial" w:cs="Arial"/>
          <w:sz w:val="22"/>
          <w:szCs w:val="22"/>
          <w:lang w:val="es-CO"/>
        </w:rPr>
        <w:t>C.G.P</w:t>
      </w:r>
      <w:r w:rsidRPr="00DB12AA">
        <w:rPr>
          <w:rFonts w:ascii="Arial" w:hAnsi="Arial" w:cs="Arial"/>
          <w:sz w:val="22"/>
          <w:szCs w:val="22"/>
          <w:lang w:val="es-CO"/>
        </w:rPr>
        <w:t xml:space="preserve"> </w:t>
      </w:r>
      <w:r w:rsidRPr="00DB12AA">
        <w:rPr>
          <w:rFonts w:ascii="Arial" w:hAnsi="Arial" w:cs="Arial"/>
          <w:sz w:val="22"/>
          <w:szCs w:val="22"/>
        </w:rPr>
        <w:t xml:space="preserve">aplicable por remisión del artículo 306 </w:t>
      </w:r>
      <w:proofErr w:type="gramStart"/>
      <w:r w:rsidRPr="00DB12AA">
        <w:rPr>
          <w:rFonts w:ascii="Arial" w:hAnsi="Arial" w:cs="Arial"/>
          <w:sz w:val="22"/>
          <w:szCs w:val="22"/>
        </w:rPr>
        <w:t>del  Código</w:t>
      </w:r>
      <w:proofErr w:type="gramEnd"/>
      <w:r w:rsidRPr="00DB12AA">
        <w:rPr>
          <w:rFonts w:ascii="Arial" w:hAnsi="Arial" w:cs="Arial"/>
          <w:sz w:val="22"/>
          <w:szCs w:val="22"/>
        </w:rPr>
        <w:t xml:space="preserve"> de Procedimiento Administrativo y de lo Contencioso Administrativo</w:t>
      </w:r>
      <w:r w:rsidRPr="00DB12AA">
        <w:rPr>
          <w:rStyle w:val="Refdenotaalpie"/>
          <w:rFonts w:ascii="Arial" w:hAnsi="Arial" w:cs="Arial"/>
          <w:sz w:val="22"/>
          <w:szCs w:val="22"/>
        </w:rPr>
        <w:footnoteReference w:id="3"/>
      </w:r>
      <w:r w:rsidRPr="00DB12AA">
        <w:rPr>
          <w:rFonts w:ascii="Arial" w:hAnsi="Arial" w:cs="Arial"/>
          <w:sz w:val="22"/>
          <w:szCs w:val="22"/>
        </w:rPr>
        <w:t>, señala que:</w:t>
      </w:r>
      <w:r w:rsidRPr="00DB12AA">
        <w:rPr>
          <w:rFonts w:ascii="Arial" w:hAnsi="Arial" w:cs="Arial"/>
          <w:i/>
          <w:sz w:val="22"/>
          <w:szCs w:val="22"/>
          <w:lang w:val="es-CO"/>
        </w:rPr>
        <w:t xml:space="preserve"> “Dentro del término para proponer excepciones el ejecutado podrá pedir la regulación o pérdida de intereses, la reducción de la pena, hipoteca o prenda*, y la fijación de la tasa de cambio. Tales solicitudes se tramitarán y decidirán junto con las excepciones que se hubieren formulado; </w:t>
      </w:r>
      <w:r w:rsidRPr="00DB12AA">
        <w:rPr>
          <w:rFonts w:ascii="Arial" w:hAnsi="Arial" w:cs="Arial"/>
          <w:b/>
          <w:i/>
          <w:sz w:val="22"/>
          <w:szCs w:val="22"/>
          <w:lang w:val="es-CO"/>
        </w:rPr>
        <w:t>si no se propusieren excepciones se resolverán por incidente que se tramitará por fuera de audiencia.” (Negrilla fuera de texto)</w:t>
      </w:r>
    </w:p>
    <w:p w14:paraId="0D2673D2" w14:textId="77777777" w:rsidR="00254A19" w:rsidRPr="00DB12AA" w:rsidRDefault="00254A19" w:rsidP="00DB12AA">
      <w:pPr>
        <w:pStyle w:val="Textoindependiente"/>
        <w:spacing w:line="276" w:lineRule="auto"/>
        <w:jc w:val="both"/>
        <w:rPr>
          <w:rFonts w:ascii="Arial" w:hAnsi="Arial" w:cs="Arial"/>
          <w:i/>
          <w:sz w:val="22"/>
          <w:szCs w:val="22"/>
          <w:lang w:val="es-CO"/>
        </w:rPr>
      </w:pPr>
    </w:p>
    <w:p w14:paraId="173605F3" w14:textId="77777777" w:rsidR="00254A19" w:rsidRPr="00DB12AA" w:rsidRDefault="00254A19" w:rsidP="00DB12AA">
      <w:pPr>
        <w:pStyle w:val="Textoindependiente"/>
        <w:spacing w:after="0" w:line="276" w:lineRule="auto"/>
        <w:jc w:val="both"/>
        <w:rPr>
          <w:rFonts w:ascii="Arial" w:hAnsi="Arial" w:cs="Arial"/>
          <w:i/>
          <w:sz w:val="22"/>
          <w:szCs w:val="22"/>
          <w:lang w:val="es-CO"/>
        </w:rPr>
      </w:pPr>
      <w:r w:rsidRPr="00DB12AA">
        <w:rPr>
          <w:rFonts w:ascii="Arial" w:hAnsi="Arial" w:cs="Arial"/>
          <w:sz w:val="22"/>
          <w:szCs w:val="22"/>
          <w:lang w:val="es-CO"/>
        </w:rPr>
        <w:t xml:space="preserve">A su vez el artículo 129 del Código General del Proceso dispone </w:t>
      </w:r>
      <w:r w:rsidRPr="00DB12AA">
        <w:rPr>
          <w:rFonts w:ascii="Arial" w:hAnsi="Arial" w:cs="Arial"/>
          <w:i/>
          <w:sz w:val="22"/>
          <w:szCs w:val="22"/>
          <w:lang w:val="es-CO"/>
        </w:rPr>
        <w:t>“</w:t>
      </w:r>
      <w:r w:rsidRPr="00DB12AA">
        <w:rPr>
          <w:rFonts w:ascii="Arial" w:hAnsi="Arial" w:cs="Arial"/>
          <w:b/>
          <w:bCs/>
          <w:i/>
          <w:sz w:val="22"/>
          <w:szCs w:val="22"/>
          <w:lang w:val="es-CO"/>
        </w:rPr>
        <w:t>PROPOSICIÓN, TRÁMITE Y EFECTO DE LOS INCIDENTES.</w:t>
      </w:r>
      <w:bookmarkStart w:id="1" w:name="129"/>
      <w:bookmarkEnd w:id="1"/>
      <w:r w:rsidRPr="00DB12AA">
        <w:rPr>
          <w:rStyle w:val="apple-converted-space"/>
          <w:rFonts w:ascii="Arial" w:hAnsi="Arial" w:cs="Arial"/>
          <w:i/>
          <w:sz w:val="22"/>
          <w:szCs w:val="22"/>
          <w:lang w:val="es-CO"/>
        </w:rPr>
        <w:t> </w:t>
      </w:r>
      <w:r w:rsidRPr="00DB12AA">
        <w:rPr>
          <w:rFonts w:ascii="Arial" w:hAnsi="Arial" w:cs="Arial"/>
          <w:i/>
          <w:sz w:val="22"/>
          <w:szCs w:val="22"/>
          <w:lang w:val="es-CO"/>
        </w:rPr>
        <w:t>Quien promueva un incidente deberá expresar lo que pide, los hechos en que se funda y las pruebas que pretenda hacer valer.</w:t>
      </w:r>
      <w:r w:rsidRPr="00DB12AA">
        <w:rPr>
          <w:rFonts w:ascii="Arial" w:hAnsi="Arial" w:cs="Arial"/>
          <w:i/>
          <w:sz w:val="22"/>
          <w:szCs w:val="22"/>
          <w:lang w:val="es-CO"/>
        </w:rPr>
        <w:br/>
      </w:r>
    </w:p>
    <w:p w14:paraId="0E8EF9C5" w14:textId="77777777" w:rsidR="00254A19" w:rsidRPr="00DB12AA" w:rsidRDefault="00254A19" w:rsidP="00DB12AA">
      <w:pPr>
        <w:pStyle w:val="Textoindependiente"/>
        <w:spacing w:after="0" w:line="276" w:lineRule="auto"/>
        <w:jc w:val="both"/>
        <w:rPr>
          <w:rFonts w:ascii="Arial" w:hAnsi="Arial" w:cs="Arial"/>
          <w:i/>
          <w:sz w:val="22"/>
          <w:szCs w:val="22"/>
          <w:lang w:val="es-CO"/>
        </w:rPr>
      </w:pPr>
      <w:r w:rsidRPr="00DB12AA">
        <w:rPr>
          <w:rFonts w:ascii="Arial" w:hAnsi="Arial" w:cs="Arial"/>
          <w:i/>
          <w:sz w:val="22"/>
          <w:szCs w:val="22"/>
          <w:lang w:val="es-CO"/>
        </w:rPr>
        <w:t>Las partes solo podrán promover incidentes en audiencia, salvo cuando se haya proferido sentencia. Del incidente promovido por una parte se correrá traslado a la otra para que se pronuncie y en seguida se decretarán y practicarán las pruebas necesarias.</w:t>
      </w:r>
    </w:p>
    <w:p w14:paraId="1E10C0C7" w14:textId="77777777" w:rsidR="00254A19" w:rsidRPr="00DB12AA" w:rsidRDefault="00254A19" w:rsidP="00DB12AA">
      <w:pPr>
        <w:pStyle w:val="NormalWeb"/>
        <w:spacing w:after="0" w:afterAutospacing="0" w:line="276" w:lineRule="auto"/>
        <w:jc w:val="both"/>
        <w:rPr>
          <w:rFonts w:ascii="Arial" w:hAnsi="Arial" w:cs="Arial"/>
          <w:i/>
          <w:sz w:val="22"/>
          <w:szCs w:val="22"/>
        </w:rPr>
      </w:pPr>
      <w:r w:rsidRPr="00DB12AA">
        <w:rPr>
          <w:rFonts w:ascii="Arial" w:hAnsi="Arial" w:cs="Arial"/>
          <w:i/>
          <w:sz w:val="22"/>
          <w:szCs w:val="22"/>
        </w:rPr>
        <w:t>En los casos en que el incidente puede promoverse fuera de audiencia, del escrito se correrá traslado por tres (3) días, vencidos los cuales el juez convocará a audiencia mediante auto en el que decretará las pruebas pedidas por las partes y las que de oficio considere pertinentes.</w:t>
      </w:r>
    </w:p>
    <w:p w14:paraId="03C04D57" w14:textId="77777777" w:rsidR="00254A19" w:rsidRPr="00DB12AA" w:rsidRDefault="00254A19" w:rsidP="00DB12AA">
      <w:pPr>
        <w:pStyle w:val="NormalWeb"/>
        <w:spacing w:after="0" w:afterAutospacing="0" w:line="276" w:lineRule="auto"/>
        <w:jc w:val="both"/>
        <w:rPr>
          <w:rFonts w:ascii="Arial" w:hAnsi="Arial" w:cs="Arial"/>
          <w:i/>
          <w:sz w:val="22"/>
          <w:szCs w:val="22"/>
        </w:rPr>
      </w:pPr>
      <w:r w:rsidRPr="00DB12AA">
        <w:rPr>
          <w:rFonts w:ascii="Arial" w:hAnsi="Arial" w:cs="Arial"/>
          <w:i/>
          <w:sz w:val="22"/>
          <w:szCs w:val="22"/>
        </w:rPr>
        <w:t>Los incidentes no suspenden el curso del proceso y serán resueltos en la sentencia, salvo disposición legal en contrario.</w:t>
      </w:r>
    </w:p>
    <w:p w14:paraId="0363BB2E" w14:textId="77777777" w:rsidR="00254A19" w:rsidRPr="00DB12AA" w:rsidRDefault="00254A19" w:rsidP="00DB12AA">
      <w:pPr>
        <w:pStyle w:val="NormalWeb"/>
        <w:spacing w:after="0" w:afterAutospacing="0" w:line="276" w:lineRule="auto"/>
        <w:jc w:val="both"/>
        <w:rPr>
          <w:rFonts w:ascii="Arial" w:hAnsi="Arial" w:cs="Arial"/>
          <w:i/>
          <w:sz w:val="22"/>
          <w:szCs w:val="22"/>
        </w:rPr>
      </w:pPr>
      <w:r w:rsidRPr="00DB12AA">
        <w:rPr>
          <w:rFonts w:ascii="Arial" w:hAnsi="Arial" w:cs="Arial"/>
          <w:i/>
          <w:sz w:val="22"/>
          <w:szCs w:val="22"/>
        </w:rPr>
        <w:t>Cuando el incidente no guarde relación con el objeto de la audiencia en que se promueva, se tramitará por fuera de ella en la forma señalada en el inciso tercero.”</w:t>
      </w:r>
    </w:p>
    <w:p w14:paraId="24108C82" w14:textId="77777777" w:rsidR="00C91007" w:rsidRPr="00DB12AA" w:rsidRDefault="00C91007" w:rsidP="00DB12AA">
      <w:pPr>
        <w:spacing w:line="276" w:lineRule="auto"/>
        <w:jc w:val="both"/>
        <w:rPr>
          <w:rFonts w:ascii="Arial" w:hAnsi="Arial" w:cs="Arial"/>
          <w:b/>
          <w:sz w:val="22"/>
          <w:szCs w:val="22"/>
          <w:lang w:val="es-CO"/>
        </w:rPr>
      </w:pPr>
    </w:p>
    <w:p w14:paraId="29EB24EE" w14:textId="77777777" w:rsidR="00254A19" w:rsidRPr="00DB12AA" w:rsidRDefault="00254A19" w:rsidP="00DB12AA">
      <w:pPr>
        <w:spacing w:line="276" w:lineRule="auto"/>
        <w:jc w:val="both"/>
        <w:rPr>
          <w:rFonts w:ascii="Arial" w:hAnsi="Arial" w:cs="Arial"/>
          <w:sz w:val="22"/>
          <w:szCs w:val="22"/>
          <w:lang w:val="es-CO"/>
        </w:rPr>
      </w:pPr>
      <w:r w:rsidRPr="00DB12AA">
        <w:rPr>
          <w:rFonts w:ascii="Arial" w:hAnsi="Arial" w:cs="Arial"/>
          <w:sz w:val="22"/>
          <w:szCs w:val="22"/>
          <w:lang w:val="es-CO"/>
        </w:rPr>
        <w:t>Mediante auto de 11 de septiembre de 2019 se corrió traslado del incidente a la parte ejecutante ante lo cual se pronunció de la siguiente manera:</w:t>
      </w:r>
    </w:p>
    <w:p w14:paraId="3CF47FCD" w14:textId="77777777" w:rsidR="00254A19" w:rsidRPr="00DB12AA" w:rsidRDefault="00254A19" w:rsidP="00DB12AA">
      <w:pPr>
        <w:spacing w:line="276" w:lineRule="auto"/>
        <w:jc w:val="both"/>
        <w:rPr>
          <w:rFonts w:ascii="Arial" w:hAnsi="Arial" w:cs="Arial"/>
          <w:sz w:val="22"/>
          <w:szCs w:val="22"/>
          <w:lang w:val="es-CO"/>
        </w:rPr>
      </w:pPr>
    </w:p>
    <w:p w14:paraId="0AD79DF0" w14:textId="77777777" w:rsidR="00254A19" w:rsidRPr="00DB12AA" w:rsidRDefault="00254A19" w:rsidP="00DB12AA">
      <w:pPr>
        <w:spacing w:line="276" w:lineRule="auto"/>
        <w:jc w:val="both"/>
        <w:rPr>
          <w:rFonts w:ascii="Arial" w:hAnsi="Arial" w:cs="Arial"/>
          <w:i/>
          <w:sz w:val="22"/>
          <w:szCs w:val="22"/>
          <w:lang w:val="es-CO"/>
        </w:rPr>
      </w:pPr>
      <w:r w:rsidRPr="00DB12AA">
        <w:rPr>
          <w:rFonts w:ascii="Arial" w:hAnsi="Arial" w:cs="Arial"/>
          <w:i/>
          <w:sz w:val="22"/>
          <w:szCs w:val="22"/>
          <w:lang w:val="es-CO"/>
        </w:rPr>
        <w:lastRenderedPageBreak/>
        <w:t>“(…) Aunque no se trata propiamente de tal figura, se entiende que se refiere a la SUSPENSIÓN del pago de dichos frutos después de los seis meses de la ejecutoria del fallo, por no haberse presentado dentro de ellos la solicitud de pago.</w:t>
      </w:r>
    </w:p>
    <w:p w14:paraId="0CD2B816" w14:textId="77777777" w:rsidR="00254A19" w:rsidRPr="00DB12AA" w:rsidRDefault="00254A19" w:rsidP="00DB12AA">
      <w:pPr>
        <w:spacing w:line="276" w:lineRule="auto"/>
        <w:jc w:val="both"/>
        <w:rPr>
          <w:rFonts w:ascii="Arial" w:hAnsi="Arial" w:cs="Arial"/>
          <w:i/>
          <w:sz w:val="22"/>
          <w:szCs w:val="22"/>
          <w:lang w:val="es-CO"/>
        </w:rPr>
      </w:pPr>
    </w:p>
    <w:p w14:paraId="0AECEACE" w14:textId="77777777" w:rsidR="00254A19" w:rsidRPr="00DB12AA" w:rsidRDefault="00254A19" w:rsidP="00DB12AA">
      <w:pPr>
        <w:spacing w:line="276" w:lineRule="auto"/>
        <w:jc w:val="both"/>
        <w:rPr>
          <w:rFonts w:ascii="Arial" w:hAnsi="Arial" w:cs="Arial"/>
          <w:i/>
          <w:sz w:val="22"/>
          <w:szCs w:val="22"/>
          <w:lang w:val="es-CO"/>
        </w:rPr>
      </w:pPr>
      <w:r w:rsidRPr="00DB12AA">
        <w:rPr>
          <w:rFonts w:ascii="Arial" w:hAnsi="Arial" w:cs="Arial"/>
          <w:i/>
          <w:sz w:val="22"/>
          <w:szCs w:val="22"/>
          <w:lang w:val="es-CO"/>
        </w:rPr>
        <w:t>Como en verdad esta se hizo debidamente el 10 de noviembre de 2014, los intereses se suspendieron entre el 16 de abril y el 9 de noviembre de 2014; fecha esta última en que se reanudaron.</w:t>
      </w:r>
    </w:p>
    <w:p w14:paraId="3DF886E6" w14:textId="77777777" w:rsidR="00254A19" w:rsidRPr="00DB12AA" w:rsidRDefault="00254A19" w:rsidP="00DB12AA">
      <w:pPr>
        <w:spacing w:line="276" w:lineRule="auto"/>
        <w:jc w:val="both"/>
        <w:rPr>
          <w:rFonts w:ascii="Arial" w:hAnsi="Arial" w:cs="Arial"/>
          <w:i/>
          <w:sz w:val="22"/>
          <w:szCs w:val="22"/>
          <w:lang w:val="es-CO"/>
        </w:rPr>
      </w:pPr>
    </w:p>
    <w:p w14:paraId="025C09E3" w14:textId="77777777" w:rsidR="00254A19" w:rsidRPr="00DB12AA" w:rsidRDefault="00254A19" w:rsidP="00DB12AA">
      <w:pPr>
        <w:spacing w:line="276" w:lineRule="auto"/>
        <w:jc w:val="both"/>
        <w:rPr>
          <w:rFonts w:ascii="Arial" w:hAnsi="Arial" w:cs="Arial"/>
          <w:i/>
          <w:sz w:val="22"/>
          <w:szCs w:val="22"/>
          <w:lang w:val="es-CO"/>
        </w:rPr>
      </w:pPr>
      <w:r w:rsidRPr="00DB12AA">
        <w:rPr>
          <w:rFonts w:ascii="Arial" w:hAnsi="Arial" w:cs="Arial"/>
          <w:i/>
          <w:sz w:val="22"/>
          <w:szCs w:val="22"/>
          <w:lang w:val="es-CO"/>
        </w:rPr>
        <w:t>En consonancia con lo anterior, los intereses a pagar por la Fiscalía comprenderán los seis primeros meses a partir de la ejecutoria de la condena, y desde el 10 de noviembre de 2014 hasta que realice el pago total de la obligación”</w:t>
      </w:r>
    </w:p>
    <w:p w14:paraId="1FF40543" w14:textId="77777777" w:rsidR="00254A19" w:rsidRPr="00DB12AA" w:rsidRDefault="00254A19" w:rsidP="00DB12AA">
      <w:pPr>
        <w:spacing w:line="276" w:lineRule="auto"/>
        <w:jc w:val="both"/>
        <w:rPr>
          <w:rFonts w:ascii="Arial" w:hAnsi="Arial" w:cs="Arial"/>
          <w:sz w:val="22"/>
          <w:szCs w:val="22"/>
          <w:lang w:val="es-CO"/>
        </w:rPr>
      </w:pPr>
    </w:p>
    <w:p w14:paraId="6F7A8CDE" w14:textId="77777777" w:rsidR="00C91007" w:rsidRPr="00DB12AA" w:rsidRDefault="00C91007" w:rsidP="00DB12AA">
      <w:pPr>
        <w:spacing w:line="276" w:lineRule="auto"/>
        <w:jc w:val="both"/>
        <w:rPr>
          <w:rFonts w:ascii="Arial" w:hAnsi="Arial" w:cs="Arial"/>
          <w:b/>
          <w:sz w:val="22"/>
          <w:szCs w:val="22"/>
        </w:rPr>
      </w:pPr>
      <w:r w:rsidRPr="00DB12AA">
        <w:rPr>
          <w:rFonts w:ascii="Arial" w:hAnsi="Arial" w:cs="Arial"/>
          <w:b/>
          <w:sz w:val="22"/>
          <w:szCs w:val="22"/>
        </w:rPr>
        <w:t>3. Caso concreto:</w:t>
      </w:r>
    </w:p>
    <w:p w14:paraId="4B7B13F6" w14:textId="77777777" w:rsidR="00254A19" w:rsidRPr="00DB12AA" w:rsidRDefault="00254A19" w:rsidP="00DB12AA">
      <w:pPr>
        <w:spacing w:line="276" w:lineRule="auto"/>
        <w:jc w:val="both"/>
        <w:rPr>
          <w:rFonts w:ascii="Arial" w:hAnsi="Arial" w:cs="Arial"/>
          <w:b/>
          <w:sz w:val="22"/>
          <w:szCs w:val="22"/>
        </w:rPr>
      </w:pPr>
    </w:p>
    <w:p w14:paraId="4BB9B330" w14:textId="77777777" w:rsidR="00254A19" w:rsidRPr="00DB12AA" w:rsidRDefault="00254A19" w:rsidP="00DB12AA">
      <w:pPr>
        <w:spacing w:line="276" w:lineRule="auto"/>
        <w:jc w:val="both"/>
        <w:rPr>
          <w:rFonts w:ascii="Arial" w:hAnsi="Arial" w:cs="Arial"/>
          <w:sz w:val="22"/>
          <w:szCs w:val="22"/>
        </w:rPr>
      </w:pPr>
      <w:r w:rsidRPr="00DB12AA">
        <w:rPr>
          <w:rFonts w:ascii="Arial" w:hAnsi="Arial" w:cs="Arial"/>
          <w:sz w:val="22"/>
          <w:szCs w:val="22"/>
        </w:rPr>
        <w:t>Revisad</w:t>
      </w:r>
      <w:r w:rsidR="005F2906">
        <w:rPr>
          <w:rFonts w:ascii="Arial" w:hAnsi="Arial" w:cs="Arial"/>
          <w:sz w:val="22"/>
          <w:szCs w:val="22"/>
        </w:rPr>
        <w:t xml:space="preserve">o el expediente </w:t>
      </w:r>
      <w:r w:rsidRPr="00DB12AA">
        <w:rPr>
          <w:rFonts w:ascii="Arial" w:hAnsi="Arial" w:cs="Arial"/>
          <w:sz w:val="22"/>
          <w:szCs w:val="22"/>
        </w:rPr>
        <w:t xml:space="preserve">y </w:t>
      </w:r>
      <w:proofErr w:type="gramStart"/>
      <w:r w:rsidRPr="00DB12AA">
        <w:rPr>
          <w:rFonts w:ascii="Arial" w:hAnsi="Arial" w:cs="Arial"/>
          <w:sz w:val="22"/>
          <w:szCs w:val="22"/>
        </w:rPr>
        <w:t>de acuerdo a</w:t>
      </w:r>
      <w:proofErr w:type="gramEnd"/>
      <w:r w:rsidRPr="00DB12AA">
        <w:rPr>
          <w:rFonts w:ascii="Arial" w:hAnsi="Arial" w:cs="Arial"/>
          <w:sz w:val="22"/>
          <w:szCs w:val="22"/>
        </w:rPr>
        <w:t xml:space="preserve"> lo manifestado por las partes, el despacho tendrá en cuenta la regulación de intereses </w:t>
      </w:r>
      <w:r w:rsidR="00C92401" w:rsidRPr="00DB12AA">
        <w:rPr>
          <w:rFonts w:ascii="Arial" w:hAnsi="Arial" w:cs="Arial"/>
          <w:sz w:val="22"/>
          <w:szCs w:val="22"/>
        </w:rPr>
        <w:t xml:space="preserve">presentada por la ejecutada y aceptada por la ejecutante. </w:t>
      </w:r>
    </w:p>
    <w:p w14:paraId="2E1C04B7" w14:textId="77777777" w:rsidR="00C92401" w:rsidRPr="00DB12AA" w:rsidRDefault="00C92401" w:rsidP="00DB12AA">
      <w:pPr>
        <w:spacing w:line="276" w:lineRule="auto"/>
        <w:jc w:val="both"/>
        <w:rPr>
          <w:rFonts w:ascii="Arial" w:hAnsi="Arial" w:cs="Arial"/>
          <w:sz w:val="22"/>
          <w:szCs w:val="22"/>
        </w:rPr>
      </w:pPr>
    </w:p>
    <w:p w14:paraId="03EDB6E0" w14:textId="3560BD62" w:rsidR="00C91007" w:rsidRPr="005F2906" w:rsidRDefault="00C92401" w:rsidP="00DB12AA">
      <w:pPr>
        <w:spacing w:line="276" w:lineRule="auto"/>
        <w:jc w:val="both"/>
        <w:rPr>
          <w:rFonts w:ascii="Arial" w:hAnsi="Arial" w:cs="Arial"/>
          <w:sz w:val="22"/>
          <w:szCs w:val="22"/>
        </w:rPr>
      </w:pPr>
      <w:r w:rsidRPr="00DB12AA">
        <w:rPr>
          <w:rFonts w:ascii="Arial" w:hAnsi="Arial" w:cs="Arial"/>
          <w:sz w:val="22"/>
          <w:szCs w:val="22"/>
        </w:rPr>
        <w:t>Por otra parte, comoquiera que con memorial del 24 de septiembre de 2019 la parte ejecutante present</w:t>
      </w:r>
      <w:r w:rsidR="002F08A4">
        <w:rPr>
          <w:rFonts w:ascii="Arial" w:hAnsi="Arial" w:cs="Arial"/>
          <w:sz w:val="22"/>
          <w:szCs w:val="22"/>
        </w:rPr>
        <w:t>ó</w:t>
      </w:r>
      <w:r w:rsidRPr="00DB12AA">
        <w:rPr>
          <w:rFonts w:ascii="Arial" w:hAnsi="Arial" w:cs="Arial"/>
          <w:sz w:val="22"/>
          <w:szCs w:val="22"/>
        </w:rPr>
        <w:t xml:space="preserve"> liquidación del cr</w:t>
      </w:r>
      <w:r w:rsidR="00DB12AA" w:rsidRPr="00DB12AA">
        <w:rPr>
          <w:rFonts w:ascii="Arial" w:hAnsi="Arial" w:cs="Arial"/>
          <w:sz w:val="22"/>
          <w:szCs w:val="22"/>
        </w:rPr>
        <w:t xml:space="preserve">édito, se ordenará que por secretaria se surta el </w:t>
      </w:r>
      <w:r w:rsidR="00DB12AA" w:rsidRPr="005F2906">
        <w:rPr>
          <w:rFonts w:ascii="Arial" w:hAnsi="Arial" w:cs="Arial"/>
          <w:sz w:val="22"/>
          <w:szCs w:val="22"/>
        </w:rPr>
        <w:t>trámite correspondiente.</w:t>
      </w:r>
    </w:p>
    <w:p w14:paraId="518D7369" w14:textId="77777777" w:rsidR="005F2906" w:rsidRPr="005F2906" w:rsidRDefault="005F2906" w:rsidP="00DB12AA">
      <w:pPr>
        <w:spacing w:line="276" w:lineRule="auto"/>
        <w:jc w:val="both"/>
        <w:rPr>
          <w:rFonts w:ascii="Arial" w:hAnsi="Arial" w:cs="Arial"/>
          <w:sz w:val="22"/>
          <w:szCs w:val="22"/>
        </w:rPr>
      </w:pPr>
    </w:p>
    <w:p w14:paraId="3A915A49" w14:textId="77777777" w:rsidR="00C91007" w:rsidRPr="00DB12AA" w:rsidRDefault="00C91007" w:rsidP="00DB12AA">
      <w:pPr>
        <w:spacing w:line="276" w:lineRule="auto"/>
        <w:jc w:val="both"/>
        <w:rPr>
          <w:rFonts w:ascii="Arial" w:hAnsi="Arial" w:cs="Arial"/>
          <w:b/>
          <w:sz w:val="22"/>
          <w:szCs w:val="22"/>
        </w:rPr>
      </w:pPr>
      <w:r w:rsidRPr="005F2906">
        <w:rPr>
          <w:rFonts w:ascii="Arial" w:hAnsi="Arial" w:cs="Arial"/>
          <w:sz w:val="22"/>
          <w:szCs w:val="22"/>
        </w:rPr>
        <w:t>En mérito de lo expuesto, se</w:t>
      </w:r>
      <w:r w:rsidRPr="005F2906">
        <w:rPr>
          <w:rFonts w:ascii="Arial" w:hAnsi="Arial" w:cs="Arial"/>
          <w:b/>
          <w:sz w:val="22"/>
          <w:szCs w:val="22"/>
        </w:rPr>
        <w:t xml:space="preserve"> RESUELVE:</w:t>
      </w:r>
    </w:p>
    <w:p w14:paraId="754185DF" w14:textId="77777777" w:rsidR="00C91007" w:rsidRPr="00DB12AA" w:rsidRDefault="00C91007" w:rsidP="00DB12AA">
      <w:pPr>
        <w:spacing w:line="276" w:lineRule="auto"/>
        <w:jc w:val="both"/>
        <w:rPr>
          <w:rFonts w:ascii="Arial" w:hAnsi="Arial" w:cs="Arial"/>
          <w:b/>
          <w:sz w:val="22"/>
          <w:szCs w:val="22"/>
        </w:rPr>
      </w:pPr>
    </w:p>
    <w:p w14:paraId="6DB9B6AB" w14:textId="77777777" w:rsidR="00C91007" w:rsidRPr="00DB12AA" w:rsidRDefault="00DB12AA" w:rsidP="00DB12AA">
      <w:pPr>
        <w:tabs>
          <w:tab w:val="left" w:pos="5572"/>
        </w:tabs>
        <w:spacing w:line="276" w:lineRule="auto"/>
        <w:jc w:val="both"/>
        <w:rPr>
          <w:rFonts w:ascii="Arial" w:hAnsi="Arial" w:cs="Arial"/>
          <w:sz w:val="22"/>
          <w:szCs w:val="22"/>
        </w:rPr>
      </w:pPr>
      <w:r w:rsidRPr="00DB12AA">
        <w:rPr>
          <w:rFonts w:ascii="Arial" w:hAnsi="Arial" w:cs="Arial"/>
          <w:b/>
          <w:sz w:val="22"/>
          <w:szCs w:val="22"/>
        </w:rPr>
        <w:t xml:space="preserve">Primero: </w:t>
      </w:r>
      <w:r w:rsidRPr="00DB12AA">
        <w:rPr>
          <w:rFonts w:ascii="Arial" w:hAnsi="Arial" w:cs="Arial"/>
          <w:sz w:val="22"/>
          <w:szCs w:val="22"/>
        </w:rPr>
        <w:t xml:space="preserve">Téngase en cuenta la regulación de intereses presentada por la parte ejecutada, de conformidad con lo anotado en la parte motiva de este auto. </w:t>
      </w:r>
    </w:p>
    <w:p w14:paraId="08A1A54D" w14:textId="77777777" w:rsidR="00DB12AA" w:rsidRPr="00DB12AA" w:rsidRDefault="00DB12AA" w:rsidP="00DB12AA">
      <w:pPr>
        <w:tabs>
          <w:tab w:val="left" w:pos="5572"/>
        </w:tabs>
        <w:spacing w:line="276" w:lineRule="auto"/>
        <w:jc w:val="both"/>
        <w:rPr>
          <w:rFonts w:ascii="Arial" w:hAnsi="Arial" w:cs="Arial"/>
          <w:sz w:val="22"/>
          <w:szCs w:val="22"/>
        </w:rPr>
      </w:pPr>
    </w:p>
    <w:p w14:paraId="3C4F3318" w14:textId="77777777" w:rsidR="00DB12AA" w:rsidRPr="00DB12AA" w:rsidRDefault="00DB12AA" w:rsidP="00DB12AA">
      <w:pPr>
        <w:pStyle w:val="Textoindependiente2"/>
        <w:spacing w:after="0" w:line="276" w:lineRule="auto"/>
        <w:jc w:val="both"/>
        <w:rPr>
          <w:rFonts w:ascii="Arial" w:hAnsi="Arial" w:cs="Arial"/>
          <w:sz w:val="22"/>
          <w:szCs w:val="22"/>
          <w:lang w:val="es-CO"/>
        </w:rPr>
      </w:pPr>
      <w:r w:rsidRPr="00DB12AA">
        <w:rPr>
          <w:rFonts w:ascii="Arial" w:hAnsi="Arial" w:cs="Arial"/>
          <w:b/>
          <w:sz w:val="22"/>
          <w:szCs w:val="22"/>
        </w:rPr>
        <w:t xml:space="preserve">Segundo: </w:t>
      </w:r>
      <w:r w:rsidRPr="00DB12AA">
        <w:rPr>
          <w:rFonts w:ascii="Arial" w:hAnsi="Arial" w:cs="Arial"/>
          <w:sz w:val="22"/>
          <w:szCs w:val="22"/>
          <w:lang w:val="es-CO"/>
        </w:rPr>
        <w:t xml:space="preserve">De la liquidación del crédito visible a folio 76 al 78 del cuaderno principal, presentada por el apoderado de la parte ejecutante, córrase traslado al ejecutado por el término de tres (3) días, al tenor de lo dispuesto en el artículo 446 numeral 2 del Código General del Proceso. </w:t>
      </w:r>
    </w:p>
    <w:p w14:paraId="4567FB6E" w14:textId="77777777" w:rsidR="00C91007" w:rsidRPr="00DB12AA" w:rsidRDefault="00DB12AA" w:rsidP="00DB12AA">
      <w:pPr>
        <w:spacing w:line="276" w:lineRule="auto"/>
        <w:jc w:val="both"/>
        <w:rPr>
          <w:rFonts w:ascii="Arial" w:hAnsi="Arial" w:cs="Arial"/>
          <w:sz w:val="22"/>
          <w:szCs w:val="22"/>
        </w:rPr>
      </w:pPr>
      <w:r w:rsidRPr="00DB12AA">
        <w:rPr>
          <w:rFonts w:ascii="Arial" w:hAnsi="Arial" w:cs="Arial"/>
          <w:sz w:val="22"/>
          <w:szCs w:val="22"/>
        </w:rPr>
        <w:t xml:space="preserve"> </w:t>
      </w:r>
      <w:r w:rsidR="00C91007" w:rsidRPr="00DB12AA">
        <w:rPr>
          <w:rFonts w:ascii="Arial" w:hAnsi="Arial" w:cs="Arial"/>
          <w:sz w:val="22"/>
          <w:szCs w:val="22"/>
        </w:rPr>
        <w:tab/>
      </w:r>
    </w:p>
    <w:p w14:paraId="41259163" w14:textId="77777777" w:rsidR="00C91007" w:rsidRPr="00DB12AA" w:rsidRDefault="00C91007" w:rsidP="00DB12AA">
      <w:pPr>
        <w:tabs>
          <w:tab w:val="left" w:pos="7181"/>
        </w:tabs>
        <w:spacing w:line="276" w:lineRule="auto"/>
        <w:jc w:val="both"/>
        <w:rPr>
          <w:rFonts w:ascii="Arial" w:hAnsi="Arial" w:cs="Arial"/>
          <w:b/>
          <w:sz w:val="22"/>
          <w:szCs w:val="22"/>
        </w:rPr>
      </w:pPr>
      <w:r w:rsidRPr="00DB12AA">
        <w:rPr>
          <w:rFonts w:ascii="Arial" w:hAnsi="Arial" w:cs="Arial"/>
          <w:b/>
          <w:sz w:val="22"/>
          <w:szCs w:val="22"/>
        </w:rPr>
        <w:t>NOTIFÍQUESE Y CÚMPLASE,</w:t>
      </w:r>
    </w:p>
    <w:p w14:paraId="5947686B" w14:textId="77777777" w:rsidR="00C91007" w:rsidRPr="00DB12AA" w:rsidRDefault="00C91007" w:rsidP="005F2906">
      <w:pPr>
        <w:tabs>
          <w:tab w:val="left" w:pos="7181"/>
        </w:tabs>
        <w:spacing w:line="276" w:lineRule="auto"/>
        <w:rPr>
          <w:rFonts w:ascii="Arial" w:hAnsi="Arial" w:cs="Arial"/>
          <w:b/>
          <w:sz w:val="22"/>
          <w:szCs w:val="22"/>
        </w:rPr>
      </w:pPr>
    </w:p>
    <w:p w14:paraId="237DA877" w14:textId="77777777" w:rsidR="00C91007" w:rsidRPr="00DB12AA" w:rsidRDefault="00C91007" w:rsidP="00DB12AA">
      <w:pPr>
        <w:tabs>
          <w:tab w:val="left" w:pos="7181"/>
        </w:tabs>
        <w:spacing w:line="276" w:lineRule="auto"/>
        <w:jc w:val="center"/>
        <w:rPr>
          <w:rFonts w:ascii="Arial" w:hAnsi="Arial" w:cs="Arial"/>
          <w:b/>
          <w:sz w:val="22"/>
          <w:szCs w:val="22"/>
        </w:rPr>
      </w:pPr>
      <w:r w:rsidRPr="00DB12AA">
        <w:rPr>
          <w:rFonts w:ascii="Arial" w:hAnsi="Arial" w:cs="Arial"/>
          <w:b/>
          <w:sz w:val="22"/>
          <w:szCs w:val="22"/>
        </w:rPr>
        <w:t>OLGA CECILIA HENAO MARÍN</w:t>
      </w:r>
    </w:p>
    <w:p w14:paraId="26B49DAC" w14:textId="77777777" w:rsidR="00C91007" w:rsidRPr="00DB12AA" w:rsidRDefault="00C91007" w:rsidP="00DB12AA">
      <w:pPr>
        <w:tabs>
          <w:tab w:val="left" w:pos="7181"/>
        </w:tabs>
        <w:spacing w:line="276" w:lineRule="auto"/>
        <w:jc w:val="center"/>
        <w:rPr>
          <w:rFonts w:ascii="Arial" w:hAnsi="Arial" w:cs="Arial"/>
          <w:sz w:val="22"/>
          <w:szCs w:val="22"/>
        </w:rPr>
      </w:pPr>
      <w:r w:rsidRPr="00DB12AA">
        <w:rPr>
          <w:rFonts w:ascii="Arial" w:hAnsi="Arial" w:cs="Arial"/>
          <w:sz w:val="22"/>
          <w:szCs w:val="22"/>
        </w:rPr>
        <w:t>Juez</w:t>
      </w:r>
    </w:p>
    <w:p w14:paraId="7A118B0D" w14:textId="77777777" w:rsidR="00C91007" w:rsidRPr="005F2906" w:rsidRDefault="005F2906" w:rsidP="00DB12AA">
      <w:pPr>
        <w:tabs>
          <w:tab w:val="left" w:pos="7181"/>
        </w:tabs>
        <w:spacing w:line="276" w:lineRule="auto"/>
        <w:rPr>
          <w:rFonts w:ascii="Arial" w:hAnsi="Arial" w:cs="Arial"/>
          <w:sz w:val="10"/>
          <w:szCs w:val="10"/>
        </w:rPr>
      </w:pPr>
      <w:r w:rsidRPr="005F2906">
        <w:rPr>
          <w:rFonts w:ascii="Arial" w:hAnsi="Arial" w:cs="Arial"/>
          <w:sz w:val="10"/>
          <w:szCs w:val="10"/>
        </w:rPr>
        <w:t>SLDR</w:t>
      </w:r>
    </w:p>
    <w:p w14:paraId="0E105B13" w14:textId="77777777" w:rsidR="00C91007" w:rsidRPr="00DB12AA" w:rsidRDefault="00C91007" w:rsidP="00DB12AA">
      <w:pPr>
        <w:tabs>
          <w:tab w:val="left" w:pos="7181"/>
        </w:tabs>
        <w:spacing w:line="276" w:lineRule="auto"/>
        <w:rPr>
          <w:rFonts w:ascii="Arial" w:hAnsi="Arial" w:cs="Arial"/>
          <w:sz w:val="22"/>
          <w:szCs w:val="22"/>
        </w:rPr>
      </w:pPr>
    </w:p>
    <w:p w14:paraId="2482AA5E" w14:textId="77777777" w:rsidR="00C91007" w:rsidRPr="00DB12AA" w:rsidRDefault="00C91007" w:rsidP="00DB12AA">
      <w:pPr>
        <w:tabs>
          <w:tab w:val="left" w:pos="7181"/>
        </w:tabs>
        <w:spacing w:line="276" w:lineRule="auto"/>
        <w:rPr>
          <w:rFonts w:ascii="Arial" w:hAnsi="Arial" w:cs="Arial"/>
          <w:sz w:val="22"/>
          <w:szCs w:val="22"/>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414"/>
      </w:tblGrid>
      <w:tr w:rsidR="00C91007" w:rsidRPr="005F2906" w14:paraId="086E239D" w14:textId="77777777" w:rsidTr="00820982">
        <w:trPr>
          <w:trHeight w:val="2603"/>
        </w:trPr>
        <w:tc>
          <w:tcPr>
            <w:tcW w:w="6414" w:type="dxa"/>
          </w:tcPr>
          <w:p w14:paraId="43CE900C" w14:textId="77777777" w:rsidR="00C91007" w:rsidRPr="005F2906" w:rsidRDefault="00C91007" w:rsidP="00DB12AA">
            <w:pPr>
              <w:spacing w:line="276" w:lineRule="auto"/>
              <w:jc w:val="center"/>
              <w:rPr>
                <w:rFonts w:ascii="Arial" w:hAnsi="Arial" w:cs="Arial"/>
                <w:b/>
                <w:sz w:val="18"/>
                <w:szCs w:val="18"/>
              </w:rPr>
            </w:pPr>
          </w:p>
          <w:p w14:paraId="6678E32A" w14:textId="77777777" w:rsidR="00C91007" w:rsidRPr="005F2906" w:rsidRDefault="00C91007" w:rsidP="00DB12AA">
            <w:pPr>
              <w:spacing w:line="276" w:lineRule="auto"/>
              <w:jc w:val="center"/>
              <w:rPr>
                <w:rFonts w:ascii="Arial" w:hAnsi="Arial" w:cs="Arial"/>
                <w:b/>
                <w:sz w:val="18"/>
                <w:szCs w:val="18"/>
              </w:rPr>
            </w:pPr>
            <w:r w:rsidRPr="005F2906">
              <w:rPr>
                <w:rFonts w:ascii="Arial" w:hAnsi="Arial" w:cs="Arial"/>
                <w:b/>
                <w:sz w:val="18"/>
                <w:szCs w:val="18"/>
              </w:rPr>
              <w:t xml:space="preserve">JUZGADO TREINTA Y CUATRO ADMINISTRATIVO CIRCUITO DE BOGOTA </w:t>
            </w:r>
            <w:proofErr w:type="gramStart"/>
            <w:r w:rsidRPr="005F2906">
              <w:rPr>
                <w:rFonts w:ascii="Arial" w:hAnsi="Arial" w:cs="Arial"/>
                <w:b/>
                <w:sz w:val="18"/>
                <w:szCs w:val="18"/>
              </w:rPr>
              <w:t>-  SECCIÓN</w:t>
            </w:r>
            <w:proofErr w:type="gramEnd"/>
            <w:r w:rsidRPr="005F2906">
              <w:rPr>
                <w:rFonts w:ascii="Arial" w:hAnsi="Arial" w:cs="Arial"/>
                <w:b/>
                <w:sz w:val="18"/>
                <w:szCs w:val="18"/>
              </w:rPr>
              <w:t xml:space="preserve"> TERCERA</w:t>
            </w:r>
          </w:p>
          <w:p w14:paraId="46AFB50C" w14:textId="77777777" w:rsidR="00C91007" w:rsidRPr="005F2906" w:rsidRDefault="00C91007" w:rsidP="00DB12AA">
            <w:pPr>
              <w:spacing w:line="276" w:lineRule="auto"/>
              <w:jc w:val="center"/>
              <w:rPr>
                <w:rFonts w:ascii="Arial" w:hAnsi="Arial" w:cs="Arial"/>
                <w:sz w:val="18"/>
                <w:szCs w:val="18"/>
              </w:rPr>
            </w:pPr>
          </w:p>
          <w:p w14:paraId="5DC171B0" w14:textId="77777777" w:rsidR="00C91007" w:rsidRPr="005F2906" w:rsidRDefault="00C91007" w:rsidP="00DB12AA">
            <w:pPr>
              <w:spacing w:line="276" w:lineRule="auto"/>
              <w:jc w:val="both"/>
              <w:rPr>
                <w:rFonts w:ascii="Arial" w:hAnsi="Arial" w:cs="Arial"/>
                <w:sz w:val="18"/>
                <w:szCs w:val="18"/>
              </w:rPr>
            </w:pPr>
            <w:r w:rsidRPr="005F2906">
              <w:rPr>
                <w:rFonts w:ascii="Arial" w:hAnsi="Arial" w:cs="Arial"/>
                <w:sz w:val="18"/>
                <w:szCs w:val="18"/>
              </w:rPr>
              <w:t xml:space="preserve">Por anotación en ESTADO notifico a las partes la providencia anterior, hoy </w:t>
            </w:r>
            <w:r w:rsidRPr="005F2906">
              <w:rPr>
                <w:rFonts w:ascii="Arial" w:hAnsi="Arial" w:cs="Arial"/>
                <w:b/>
                <w:sz w:val="18"/>
                <w:szCs w:val="18"/>
              </w:rPr>
              <w:t>____________________________</w:t>
            </w:r>
            <w:r w:rsidRPr="005F2906">
              <w:rPr>
                <w:rFonts w:ascii="Arial" w:hAnsi="Arial" w:cs="Arial"/>
                <w:sz w:val="18"/>
                <w:szCs w:val="18"/>
              </w:rPr>
              <w:t>a las 8:00 a.m.</w:t>
            </w:r>
          </w:p>
          <w:p w14:paraId="61334F18" w14:textId="77777777" w:rsidR="00C91007" w:rsidRPr="005F2906" w:rsidRDefault="00C91007" w:rsidP="00DB12AA">
            <w:pPr>
              <w:spacing w:line="276" w:lineRule="auto"/>
              <w:rPr>
                <w:rFonts w:ascii="Arial" w:hAnsi="Arial" w:cs="Arial"/>
                <w:sz w:val="18"/>
                <w:szCs w:val="18"/>
              </w:rPr>
            </w:pPr>
            <w:r w:rsidRPr="005F2906">
              <w:rPr>
                <w:rFonts w:ascii="Arial" w:hAnsi="Arial" w:cs="Arial"/>
                <w:b/>
                <w:noProof/>
                <w:sz w:val="18"/>
                <w:szCs w:val="18"/>
                <w:lang w:val="es-CO" w:eastAsia="es-CO"/>
              </w:rPr>
              <w:drawing>
                <wp:anchor distT="0" distB="0" distL="114300" distR="114300" simplePos="0" relativeHeight="251659264" behindDoc="0" locked="0" layoutInCell="1" allowOverlap="1" wp14:anchorId="74485F31" wp14:editId="1778D323">
                  <wp:simplePos x="0" y="0"/>
                  <wp:positionH relativeFrom="margin">
                    <wp:posOffset>1323340</wp:posOffset>
                  </wp:positionH>
                  <wp:positionV relativeFrom="paragraph">
                    <wp:posOffset>149225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458F3FD" w14:textId="77777777" w:rsidR="00C91007" w:rsidRPr="00DB12AA" w:rsidRDefault="00C91007" w:rsidP="00DB12AA">
      <w:pPr>
        <w:tabs>
          <w:tab w:val="left" w:pos="7181"/>
        </w:tabs>
        <w:spacing w:line="276" w:lineRule="auto"/>
        <w:rPr>
          <w:rFonts w:ascii="Arial" w:hAnsi="Arial" w:cs="Arial"/>
          <w:sz w:val="22"/>
          <w:szCs w:val="22"/>
        </w:rPr>
      </w:pPr>
    </w:p>
    <w:p w14:paraId="6394DBFE" w14:textId="77777777" w:rsidR="00C91007" w:rsidRPr="00DB12AA" w:rsidRDefault="00C91007" w:rsidP="00DB12AA">
      <w:pPr>
        <w:spacing w:line="276" w:lineRule="auto"/>
        <w:rPr>
          <w:rFonts w:ascii="Arial" w:hAnsi="Arial" w:cs="Arial"/>
          <w:sz w:val="22"/>
          <w:szCs w:val="22"/>
        </w:rPr>
      </w:pPr>
    </w:p>
    <w:p w14:paraId="60C88A1F" w14:textId="77777777" w:rsidR="00C91007" w:rsidRPr="00DB12AA" w:rsidRDefault="00C91007" w:rsidP="00DB12AA">
      <w:pPr>
        <w:spacing w:line="276" w:lineRule="auto"/>
        <w:rPr>
          <w:rFonts w:ascii="Arial" w:hAnsi="Arial" w:cs="Arial"/>
          <w:sz w:val="22"/>
          <w:szCs w:val="22"/>
        </w:rPr>
      </w:pPr>
    </w:p>
    <w:p w14:paraId="0867A1DB" w14:textId="77777777" w:rsidR="00A50FF4" w:rsidRPr="00DB12AA" w:rsidRDefault="00A50FF4" w:rsidP="00DB12AA">
      <w:pPr>
        <w:spacing w:line="276" w:lineRule="auto"/>
        <w:rPr>
          <w:rFonts w:ascii="Arial" w:hAnsi="Arial" w:cs="Arial"/>
          <w:sz w:val="22"/>
          <w:szCs w:val="22"/>
        </w:rPr>
      </w:pPr>
    </w:p>
    <w:p w14:paraId="0AB8F2D4" w14:textId="77777777" w:rsidR="00DB12AA" w:rsidRPr="00DB12AA" w:rsidRDefault="00DB12AA">
      <w:pPr>
        <w:spacing w:line="276" w:lineRule="auto"/>
        <w:rPr>
          <w:rFonts w:ascii="Arial" w:hAnsi="Arial" w:cs="Arial"/>
          <w:sz w:val="22"/>
          <w:szCs w:val="22"/>
        </w:rPr>
      </w:pPr>
    </w:p>
    <w:sectPr w:rsidR="00DB12AA" w:rsidRPr="00DB12AA" w:rsidSect="00EE385D">
      <w:headerReference w:type="even" r:id="rId8"/>
      <w:headerReference w:type="default" r:id="rId9"/>
      <w:footerReference w:type="even" r:id="rId10"/>
      <w:footerReference w:type="default" r:id="rId11"/>
      <w:headerReference w:type="first" r:id="rId12"/>
      <w:pgSz w:w="12242" w:h="18722"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70AB3" w14:textId="77777777" w:rsidR="00840AEF" w:rsidRDefault="00840AEF" w:rsidP="00C22005">
      <w:r>
        <w:separator/>
      </w:r>
    </w:p>
  </w:endnote>
  <w:endnote w:type="continuationSeparator" w:id="0">
    <w:p w14:paraId="27AFEDD1" w14:textId="77777777" w:rsidR="00840AEF" w:rsidRDefault="00840AEF" w:rsidP="00C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F583" w14:textId="77777777" w:rsidR="003B1617" w:rsidRPr="004C0D2E" w:rsidRDefault="009269A8" w:rsidP="00580C88">
    <w:pPr>
      <w:pStyle w:val="Piedepgina"/>
      <w:rPr>
        <w:szCs w:val="18"/>
      </w:rPr>
    </w:pPr>
    <w:r w:rsidRPr="004C0D2E">
      <w:rPr>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A46D" w14:textId="77777777" w:rsidR="003B1617" w:rsidRPr="00116394" w:rsidRDefault="009269A8" w:rsidP="00580C88">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8144" w14:textId="77777777" w:rsidR="00840AEF" w:rsidRDefault="00840AEF" w:rsidP="00C22005">
      <w:r>
        <w:separator/>
      </w:r>
    </w:p>
  </w:footnote>
  <w:footnote w:type="continuationSeparator" w:id="0">
    <w:p w14:paraId="2D6884B3" w14:textId="77777777" w:rsidR="00840AEF" w:rsidRDefault="00840AEF" w:rsidP="00C22005">
      <w:r>
        <w:continuationSeparator/>
      </w:r>
    </w:p>
  </w:footnote>
  <w:footnote w:id="1">
    <w:p w14:paraId="42695D36" w14:textId="77777777" w:rsidR="00C22005" w:rsidRPr="00DB12AA" w:rsidRDefault="00C22005" w:rsidP="00DB12AA">
      <w:pPr>
        <w:spacing w:line="276" w:lineRule="auto"/>
        <w:jc w:val="both"/>
        <w:rPr>
          <w:rFonts w:ascii="Arial" w:hAnsi="Arial" w:cs="Arial"/>
          <w:sz w:val="16"/>
          <w:szCs w:val="16"/>
        </w:rPr>
      </w:pPr>
      <w:r w:rsidRPr="00DB12AA">
        <w:rPr>
          <w:rStyle w:val="Refdenotaalpie"/>
          <w:rFonts w:ascii="Arial" w:hAnsi="Arial" w:cs="Arial"/>
          <w:sz w:val="16"/>
          <w:szCs w:val="16"/>
        </w:rPr>
        <w:footnoteRef/>
      </w:r>
      <w:r w:rsidRPr="00DB12AA">
        <w:rPr>
          <w:rFonts w:ascii="Arial" w:hAnsi="Arial" w:cs="Arial"/>
          <w:sz w:val="16"/>
          <w:szCs w:val="16"/>
        </w:rPr>
        <w:t xml:space="preserve">Cuando en una demanda </w:t>
      </w:r>
      <w:proofErr w:type="gramStart"/>
      <w:r w:rsidRPr="00DB12AA">
        <w:rPr>
          <w:rFonts w:ascii="Arial" w:hAnsi="Arial" w:cs="Arial"/>
          <w:sz w:val="16"/>
          <w:szCs w:val="16"/>
        </w:rPr>
        <w:t>ejecutiva  se</w:t>
      </w:r>
      <w:proofErr w:type="gramEnd"/>
      <w:r w:rsidRPr="00DB12AA">
        <w:rPr>
          <w:rFonts w:ascii="Arial" w:hAnsi="Arial" w:cs="Arial"/>
          <w:sz w:val="16"/>
          <w:szCs w:val="16"/>
        </w:rPr>
        <w:t xml:space="preserve"> pretende la ejecución de una sentencia, el titulo ejecutivo está contenido dentro de varios documentos,  la sentencia de primera y segunda instancia, la constancia de ejecutoria,  y en  sentencia proferidas por esta jurisdicción, también por el documento de que trata el artículo 177 del C.C.A  hoy reemplazado por el 192 del C.P.A.C.A. , ya que este documento permitirá establecer parte de la causación de intereses. </w:t>
      </w:r>
    </w:p>
    <w:p w14:paraId="5F29AB65" w14:textId="77777777" w:rsidR="00C22005" w:rsidRPr="00DB12AA" w:rsidRDefault="00C22005" w:rsidP="00DB12AA">
      <w:pPr>
        <w:spacing w:line="276" w:lineRule="auto"/>
        <w:jc w:val="both"/>
        <w:rPr>
          <w:rFonts w:ascii="Arial" w:hAnsi="Arial" w:cs="Arial"/>
          <w:sz w:val="16"/>
          <w:szCs w:val="16"/>
        </w:rPr>
      </w:pPr>
      <w:r w:rsidRPr="00DB12AA">
        <w:rPr>
          <w:rFonts w:ascii="Arial" w:hAnsi="Arial" w:cs="Arial"/>
          <w:sz w:val="16"/>
          <w:szCs w:val="16"/>
        </w:rPr>
        <w:t xml:space="preserve">Revisada la demanda, se observa que el ejecutante en el acápite de pretensiones solicita se libre mandamiento de pago por los intereses moratorios causados, para lo cual es necesario que se aporte como documento que integra el título, </w:t>
      </w:r>
      <w:proofErr w:type="gramStart"/>
      <w:r w:rsidRPr="00DB12AA">
        <w:rPr>
          <w:rFonts w:ascii="Arial" w:hAnsi="Arial" w:cs="Arial"/>
          <w:sz w:val="16"/>
          <w:szCs w:val="16"/>
        </w:rPr>
        <w:t>el  documento</w:t>
      </w:r>
      <w:proofErr w:type="gramEnd"/>
      <w:r w:rsidRPr="00DB12AA">
        <w:rPr>
          <w:rFonts w:ascii="Arial" w:hAnsi="Arial" w:cs="Arial"/>
          <w:sz w:val="16"/>
          <w:szCs w:val="16"/>
        </w:rPr>
        <w:t xml:space="preserve"> presentado por el actor a la entidad requiriendo el cumplimiento de la sentencia. Lo anterior con fundamento en los artículos antes mencionados.</w:t>
      </w:r>
    </w:p>
    <w:p w14:paraId="5CA1262B" w14:textId="77777777" w:rsidR="00C22005" w:rsidRPr="00DB12AA" w:rsidRDefault="00C22005" w:rsidP="00DB12AA">
      <w:pPr>
        <w:spacing w:line="276" w:lineRule="auto"/>
        <w:jc w:val="both"/>
        <w:rPr>
          <w:rFonts w:ascii="Arial" w:hAnsi="Arial" w:cs="Arial"/>
          <w:sz w:val="16"/>
          <w:szCs w:val="16"/>
        </w:rPr>
      </w:pPr>
      <w:r w:rsidRPr="00DB12AA">
        <w:rPr>
          <w:rFonts w:ascii="Arial" w:hAnsi="Arial" w:cs="Arial"/>
          <w:sz w:val="16"/>
          <w:szCs w:val="16"/>
        </w:rPr>
        <w:t xml:space="preserve">Por </w:t>
      </w:r>
      <w:proofErr w:type="gramStart"/>
      <w:r w:rsidRPr="00DB12AA">
        <w:rPr>
          <w:rFonts w:ascii="Arial" w:hAnsi="Arial" w:cs="Arial"/>
          <w:sz w:val="16"/>
          <w:szCs w:val="16"/>
        </w:rPr>
        <w:t>tanto</w:t>
      </w:r>
      <w:proofErr w:type="gramEnd"/>
      <w:r w:rsidRPr="00DB12AA">
        <w:rPr>
          <w:rFonts w:ascii="Arial" w:hAnsi="Arial" w:cs="Arial"/>
          <w:sz w:val="16"/>
          <w:szCs w:val="16"/>
        </w:rPr>
        <w:t xml:space="preserve"> se solicita se aporte solicitud presentada ante la Fiscalía General de la Nación pretendiendo el pago de la condena. </w:t>
      </w:r>
    </w:p>
  </w:footnote>
  <w:footnote w:id="2">
    <w:p w14:paraId="2D422FB7" w14:textId="77777777" w:rsidR="00C22005" w:rsidRPr="00DB12AA" w:rsidRDefault="00C22005" w:rsidP="00DB12AA">
      <w:pPr>
        <w:pStyle w:val="Textonotapie"/>
        <w:spacing w:line="276" w:lineRule="auto"/>
        <w:jc w:val="both"/>
        <w:rPr>
          <w:rFonts w:ascii="Arial" w:hAnsi="Arial" w:cs="Arial"/>
          <w:sz w:val="16"/>
          <w:szCs w:val="16"/>
        </w:rPr>
      </w:pPr>
      <w:r w:rsidRPr="00DB12AA">
        <w:rPr>
          <w:rStyle w:val="Refdenotaalpie"/>
          <w:rFonts w:ascii="Arial" w:hAnsi="Arial" w:cs="Arial"/>
          <w:sz w:val="16"/>
          <w:szCs w:val="16"/>
        </w:rPr>
        <w:footnoteRef/>
      </w:r>
      <w:r w:rsidRPr="00DB12AA">
        <w:rPr>
          <w:rFonts w:ascii="Arial" w:hAnsi="Arial" w:cs="Arial"/>
          <w:sz w:val="16"/>
          <w:szCs w:val="16"/>
        </w:rPr>
        <w:t xml:space="preserve"> Revisados los documentos aportados y el escrito de demanda, aún no resulta claro para el Despacho el valor sobre el cual solicita se libre mandamiento de pago, razón por la cual se requiere al actor para que discrimine el monto, según las normas aplicables y las reglas dispuestas en la </w:t>
      </w:r>
      <w:proofErr w:type="gramStart"/>
      <w:r w:rsidRPr="00DB12AA">
        <w:rPr>
          <w:rFonts w:ascii="Arial" w:hAnsi="Arial" w:cs="Arial"/>
          <w:sz w:val="16"/>
          <w:szCs w:val="16"/>
        </w:rPr>
        <w:t>sentencia  del</w:t>
      </w:r>
      <w:proofErr w:type="gramEnd"/>
      <w:r w:rsidRPr="00DB12AA">
        <w:rPr>
          <w:rFonts w:ascii="Arial" w:hAnsi="Arial" w:cs="Arial"/>
          <w:sz w:val="16"/>
          <w:szCs w:val="16"/>
        </w:rPr>
        <w:t xml:space="preserve"> 29 de octubre de 2012,  donde se estableció la obligación a cargo de la Rama Judicial con cargo al presupuesto de la Fiscalía General de la Nación.</w:t>
      </w:r>
    </w:p>
  </w:footnote>
  <w:footnote w:id="3">
    <w:p w14:paraId="5F2D4F21" w14:textId="77777777" w:rsidR="00254A19" w:rsidRPr="00DB12AA" w:rsidRDefault="00254A19" w:rsidP="00DB12AA">
      <w:pPr>
        <w:pStyle w:val="Textonotapie"/>
        <w:spacing w:line="276" w:lineRule="auto"/>
        <w:jc w:val="both"/>
        <w:rPr>
          <w:rFonts w:ascii="Arial" w:hAnsi="Arial" w:cs="Arial"/>
          <w:i/>
          <w:sz w:val="16"/>
          <w:szCs w:val="16"/>
        </w:rPr>
      </w:pPr>
      <w:r w:rsidRPr="00DB12AA">
        <w:rPr>
          <w:rStyle w:val="Refdenotaalpie"/>
          <w:rFonts w:ascii="Arial" w:hAnsi="Arial" w:cs="Arial"/>
          <w:sz w:val="16"/>
          <w:szCs w:val="16"/>
        </w:rPr>
        <w:footnoteRef/>
      </w:r>
      <w:r w:rsidRPr="00DB12AA">
        <w:rPr>
          <w:rFonts w:ascii="Arial" w:hAnsi="Arial" w:cs="Arial"/>
          <w:sz w:val="16"/>
          <w:szCs w:val="16"/>
        </w:rPr>
        <w:t xml:space="preserve">  Código de Procedimiento Administrativo y de lo Contencioso Administrativo: </w:t>
      </w:r>
      <w:r w:rsidRPr="00DB12AA">
        <w:rPr>
          <w:rFonts w:ascii="Arial" w:hAnsi="Arial" w:cs="Arial"/>
          <w:i/>
          <w:sz w:val="16"/>
          <w:szCs w:val="16"/>
        </w:rPr>
        <w:t>ARTÍCULO 306. ASPECTOS NO REGULADOS. En los aspectos no contemplados en este Código se seguirá el Código de Procedimiento Civil en lo que sea compatible con la naturaleza de los procesos y actuaciones que correspondan a la Jurisdicción de lo Contencioso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C9D7" w14:textId="77777777" w:rsidR="003B1617" w:rsidRDefault="009269A8" w:rsidP="00580C88">
    <w:pPr>
      <w:pStyle w:val="Piedepgina"/>
      <w:jc w:val="right"/>
      <w:rPr>
        <w:rFonts w:ascii="Tahoma" w:hAnsi="Tahoma" w:cs="Tahoma"/>
        <w:sz w:val="18"/>
        <w:szCs w:val="18"/>
        <w:lang w:val="es-MX"/>
      </w:rPr>
    </w:pPr>
    <w:r w:rsidRPr="002416A1">
      <w:rPr>
        <w:rFonts w:ascii="Tahoma" w:hAnsi="Tahoma" w:cs="Tahoma"/>
        <w:sz w:val="18"/>
        <w:szCs w:val="18"/>
        <w:lang w:val="es-MX"/>
      </w:rPr>
      <w:t>Expediente No.</w:t>
    </w:r>
    <w:r>
      <w:rPr>
        <w:rFonts w:ascii="Tahoma" w:hAnsi="Tahoma" w:cs="Tahoma"/>
        <w:b/>
        <w:sz w:val="18"/>
        <w:szCs w:val="18"/>
        <w:lang w:val="es-MX"/>
      </w:rPr>
      <w:t xml:space="preserve"> </w:t>
    </w:r>
    <w:r>
      <w:rPr>
        <w:rFonts w:ascii="Tahoma" w:hAnsi="Tahoma" w:cs="Tahoma"/>
        <w:sz w:val="18"/>
        <w:szCs w:val="18"/>
        <w:lang w:val="es-MX"/>
      </w:rPr>
      <w:t>2005-0030</w:t>
    </w:r>
  </w:p>
  <w:p w14:paraId="2857288E" w14:textId="77777777" w:rsidR="003B1617" w:rsidRPr="009D3EE7" w:rsidRDefault="009269A8" w:rsidP="00580C88">
    <w:pPr>
      <w:pStyle w:val="Piedepgina"/>
      <w:jc w:val="right"/>
      <w:rPr>
        <w:rFonts w:ascii="Tahoma" w:hAnsi="Tahoma" w:cs="Tahoma"/>
        <w:sz w:val="18"/>
        <w:szCs w:val="18"/>
        <w:lang w:val="es-MX"/>
      </w:rPr>
    </w:pPr>
    <w:r w:rsidRPr="009D3EE7">
      <w:rPr>
        <w:rFonts w:ascii="Tahoma" w:hAnsi="Tahoma" w:cs="Tahoma"/>
        <w:sz w:val="18"/>
        <w:szCs w:val="18"/>
        <w:lang w:val="es-MX"/>
      </w:rPr>
      <w:t>AVOCA CONOCIMIENTO, RECONOCE PERSONERÍA Y CORRE TRASLADO PARA ALEGAR</w:t>
    </w:r>
  </w:p>
  <w:p w14:paraId="32BB9532" w14:textId="77777777" w:rsidR="003B1617" w:rsidRPr="002416A1" w:rsidRDefault="009269A8" w:rsidP="00580C88">
    <w:pPr>
      <w:pStyle w:val="Piedepgina"/>
      <w:jc w:val="right"/>
      <w:rPr>
        <w:rFonts w:ascii="Tahoma" w:hAnsi="Tahoma" w:cs="Tahoma"/>
        <w:sz w:val="18"/>
        <w:szCs w:val="18"/>
        <w:lang w:val="es-MX"/>
      </w:rPr>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3</w:t>
    </w:r>
    <w:r w:rsidRPr="002416A1">
      <w:rPr>
        <w:rStyle w:val="Nmerodepgina"/>
        <w:rFonts w:ascii="Tahoma" w:hAnsi="Tahoma" w:cs="Tahoma"/>
        <w:sz w:val="18"/>
        <w:szCs w:val="18"/>
      </w:rPr>
      <w:fldChar w:fldCharType="end"/>
    </w:r>
    <w:r w:rsidRPr="002416A1">
      <w:rPr>
        <w:rFonts w:ascii="Tahoma" w:hAnsi="Tahoma" w:cs="Tahoma"/>
        <w:sz w:val="18"/>
        <w:szCs w:val="18"/>
        <w:lang w:val="es-MX"/>
      </w:rPr>
      <w:t xml:space="preserve"> </w:t>
    </w:r>
  </w:p>
  <w:p w14:paraId="61576F30" w14:textId="77777777" w:rsidR="003B1617" w:rsidRDefault="00840A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1BFC" w14:textId="77777777" w:rsidR="003B1617" w:rsidRPr="003017FB" w:rsidRDefault="009269A8">
    <w:pPr>
      <w:pStyle w:val="Encabezado"/>
      <w:jc w:val="right"/>
      <w:rPr>
        <w:rFonts w:ascii="Tahoma" w:hAnsi="Tahoma" w:cs="Tahoma"/>
        <w:sz w:val="16"/>
        <w:szCs w:val="16"/>
      </w:rPr>
    </w:pPr>
    <w:r w:rsidRPr="003017FB">
      <w:rPr>
        <w:rFonts w:ascii="Tahoma" w:hAnsi="Tahoma" w:cs="Tahoma"/>
        <w:sz w:val="16"/>
        <w:szCs w:val="16"/>
      </w:rPr>
      <w:t xml:space="preserve">Expediente N° </w:t>
    </w:r>
    <w:r w:rsidR="00254A19">
      <w:rPr>
        <w:rFonts w:ascii="Tahoma" w:hAnsi="Tahoma" w:cs="Tahoma"/>
        <w:sz w:val="16"/>
        <w:szCs w:val="16"/>
      </w:rPr>
      <w:t>2017-0286</w:t>
    </w:r>
  </w:p>
  <w:p w14:paraId="2B315635" w14:textId="77777777" w:rsidR="00190B4A" w:rsidRPr="003017FB" w:rsidRDefault="009269A8" w:rsidP="008C607B">
    <w:pPr>
      <w:pStyle w:val="Encabezado"/>
      <w:jc w:val="right"/>
      <w:rPr>
        <w:rFonts w:ascii="Tahoma" w:hAnsi="Tahoma" w:cs="Tahoma"/>
        <w:sz w:val="16"/>
        <w:szCs w:val="16"/>
      </w:rPr>
    </w:pPr>
    <w:r w:rsidRPr="003017FB">
      <w:rPr>
        <w:rFonts w:ascii="Tahoma" w:hAnsi="Tahoma" w:cs="Tahoma"/>
        <w:sz w:val="16"/>
        <w:szCs w:val="16"/>
      </w:rPr>
      <w:t xml:space="preserve">DECIDE INCIDENTE DE </w:t>
    </w:r>
    <w:r w:rsidR="00254A19">
      <w:rPr>
        <w:rFonts w:ascii="Tahoma" w:hAnsi="Tahoma" w:cs="Tahoma"/>
        <w:sz w:val="16"/>
        <w:szCs w:val="16"/>
      </w:rPr>
      <w:t>REGULACIÓN DE INTERESES</w:t>
    </w:r>
    <w:r w:rsidRPr="003017FB">
      <w:rPr>
        <w:rFonts w:ascii="Tahoma" w:hAnsi="Tahoma" w:cs="Tahoma"/>
        <w:sz w:val="16"/>
        <w:szCs w:val="16"/>
      </w:rPr>
      <w:t xml:space="preserve"> </w:t>
    </w:r>
  </w:p>
  <w:p w14:paraId="1EC509EB" w14:textId="77777777" w:rsidR="003B1617" w:rsidRPr="003017FB" w:rsidRDefault="009269A8" w:rsidP="008C607B">
    <w:pPr>
      <w:pStyle w:val="Encabezado"/>
      <w:jc w:val="right"/>
      <w:rPr>
        <w:rFonts w:ascii="Tahoma" w:hAnsi="Tahoma" w:cs="Tahoma"/>
        <w:sz w:val="16"/>
        <w:szCs w:val="16"/>
      </w:rPr>
    </w:pPr>
    <w:r w:rsidRPr="003017FB">
      <w:rPr>
        <w:rFonts w:ascii="Tahoma" w:hAnsi="Tahoma" w:cs="Tahoma"/>
        <w:sz w:val="16"/>
        <w:szCs w:val="16"/>
      </w:rPr>
      <w:t xml:space="preserve">Página </w:t>
    </w:r>
    <w:r w:rsidRPr="003017FB">
      <w:rPr>
        <w:rFonts w:ascii="Tahoma" w:hAnsi="Tahoma" w:cs="Tahoma"/>
        <w:b/>
        <w:sz w:val="16"/>
        <w:szCs w:val="16"/>
      </w:rPr>
      <w:fldChar w:fldCharType="begin"/>
    </w:r>
    <w:r w:rsidRPr="003017FB">
      <w:rPr>
        <w:rFonts w:ascii="Tahoma" w:hAnsi="Tahoma" w:cs="Tahoma"/>
        <w:b/>
        <w:sz w:val="16"/>
        <w:szCs w:val="16"/>
      </w:rPr>
      <w:instrText>PAGE</w:instrText>
    </w:r>
    <w:r w:rsidRPr="003017FB">
      <w:rPr>
        <w:rFonts w:ascii="Tahoma" w:hAnsi="Tahoma" w:cs="Tahoma"/>
        <w:b/>
        <w:sz w:val="16"/>
        <w:szCs w:val="16"/>
      </w:rPr>
      <w:fldChar w:fldCharType="separate"/>
    </w:r>
    <w:r>
      <w:rPr>
        <w:rFonts w:ascii="Tahoma" w:hAnsi="Tahoma" w:cs="Tahoma"/>
        <w:b/>
        <w:noProof/>
        <w:sz w:val="16"/>
        <w:szCs w:val="16"/>
      </w:rPr>
      <w:t>4</w:t>
    </w:r>
    <w:r w:rsidRPr="003017FB">
      <w:rPr>
        <w:rFonts w:ascii="Tahoma" w:hAnsi="Tahoma" w:cs="Tahoma"/>
        <w:b/>
        <w:sz w:val="16"/>
        <w:szCs w:val="16"/>
      </w:rPr>
      <w:fldChar w:fldCharType="end"/>
    </w:r>
    <w:r w:rsidRPr="003017FB">
      <w:rPr>
        <w:rFonts w:ascii="Tahoma" w:hAnsi="Tahoma" w:cs="Tahoma"/>
        <w:sz w:val="16"/>
        <w:szCs w:val="16"/>
      </w:rPr>
      <w:t xml:space="preserve"> de </w:t>
    </w:r>
    <w:r w:rsidRPr="003017FB">
      <w:rPr>
        <w:rFonts w:ascii="Tahoma" w:hAnsi="Tahoma" w:cs="Tahoma"/>
        <w:b/>
        <w:sz w:val="16"/>
        <w:szCs w:val="16"/>
      </w:rPr>
      <w:fldChar w:fldCharType="begin"/>
    </w:r>
    <w:r w:rsidRPr="003017FB">
      <w:rPr>
        <w:rFonts w:ascii="Tahoma" w:hAnsi="Tahoma" w:cs="Tahoma"/>
        <w:b/>
        <w:sz w:val="16"/>
        <w:szCs w:val="16"/>
      </w:rPr>
      <w:instrText>NUMPAGES</w:instrText>
    </w:r>
    <w:r w:rsidRPr="003017FB">
      <w:rPr>
        <w:rFonts w:ascii="Tahoma" w:hAnsi="Tahoma" w:cs="Tahoma"/>
        <w:b/>
        <w:sz w:val="16"/>
        <w:szCs w:val="16"/>
      </w:rPr>
      <w:fldChar w:fldCharType="separate"/>
    </w:r>
    <w:r>
      <w:rPr>
        <w:rFonts w:ascii="Tahoma" w:hAnsi="Tahoma" w:cs="Tahoma"/>
        <w:b/>
        <w:noProof/>
        <w:sz w:val="16"/>
        <w:szCs w:val="16"/>
      </w:rPr>
      <w:t>5</w:t>
    </w:r>
    <w:r w:rsidRPr="003017FB">
      <w:rPr>
        <w:rFonts w:ascii="Tahoma" w:hAnsi="Tahoma" w:cs="Tahoma"/>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172E" w14:textId="77777777" w:rsidR="003B1617" w:rsidRPr="003017FB" w:rsidRDefault="009269A8" w:rsidP="008C607B">
    <w:pPr>
      <w:pStyle w:val="Encabezado"/>
      <w:jc w:val="center"/>
      <w:rPr>
        <w:rFonts w:ascii="Tahoma" w:hAnsi="Tahoma" w:cs="Tahoma"/>
        <w:b/>
        <w:i/>
        <w:sz w:val="16"/>
        <w:szCs w:val="16"/>
      </w:rPr>
    </w:pPr>
    <w:r w:rsidRPr="003017FB">
      <w:rPr>
        <w:rFonts w:ascii="Tahoma" w:hAnsi="Tahoma" w:cs="Tahoma"/>
        <w:b/>
        <w:i/>
        <w:noProof/>
        <w:sz w:val="16"/>
        <w:szCs w:val="16"/>
        <w:lang w:val="es-CO" w:eastAsia="es-CO"/>
      </w:rPr>
      <w:drawing>
        <wp:inline distT="0" distB="0" distL="0" distR="0" wp14:anchorId="233E5567" wp14:editId="295F2709">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4EE112CE" w14:textId="77777777" w:rsidR="003B1617" w:rsidRPr="003017FB" w:rsidRDefault="009269A8" w:rsidP="008C607B">
    <w:pPr>
      <w:pStyle w:val="Encabezado"/>
      <w:jc w:val="center"/>
      <w:rPr>
        <w:rFonts w:ascii="Tahoma" w:hAnsi="Tahoma" w:cs="Tahoma"/>
        <w:b/>
        <w:sz w:val="16"/>
        <w:szCs w:val="16"/>
        <w:lang w:val="es-MX"/>
      </w:rPr>
    </w:pPr>
    <w:r w:rsidRPr="003017FB">
      <w:rPr>
        <w:rFonts w:ascii="Tahoma" w:hAnsi="Tahoma" w:cs="Tahoma"/>
        <w:b/>
        <w:sz w:val="16"/>
        <w:szCs w:val="16"/>
        <w:lang w:val="es-MX"/>
      </w:rPr>
      <w:t>JUZGADO TREINTA Y CUATRO ADMINISTRATIVO</w:t>
    </w:r>
  </w:p>
  <w:p w14:paraId="2B9B5389" w14:textId="77777777" w:rsidR="003B1617" w:rsidRPr="003017FB" w:rsidRDefault="009269A8" w:rsidP="008C607B">
    <w:pPr>
      <w:pStyle w:val="Encabezado"/>
      <w:jc w:val="center"/>
      <w:rPr>
        <w:rFonts w:ascii="Tahoma" w:hAnsi="Tahoma" w:cs="Tahoma"/>
        <w:b/>
        <w:sz w:val="16"/>
        <w:szCs w:val="16"/>
        <w:lang w:val="es-MX"/>
      </w:rPr>
    </w:pPr>
    <w:r w:rsidRPr="003017FB">
      <w:rPr>
        <w:rFonts w:ascii="Tahoma" w:hAnsi="Tahoma" w:cs="Tahoma"/>
        <w:b/>
        <w:sz w:val="16"/>
        <w:szCs w:val="16"/>
        <w:lang w:val="es-MX"/>
      </w:rPr>
      <w:t>CIRCUITO DE BOGOTÁ</w:t>
    </w:r>
  </w:p>
  <w:p w14:paraId="00E07B6D" w14:textId="77777777" w:rsidR="003B1617" w:rsidRPr="003017FB" w:rsidRDefault="009269A8" w:rsidP="008C607B">
    <w:pPr>
      <w:pStyle w:val="Encabezado"/>
      <w:jc w:val="center"/>
      <w:rPr>
        <w:rFonts w:ascii="Tahoma" w:hAnsi="Tahoma" w:cs="Tahoma"/>
        <w:b/>
        <w:sz w:val="16"/>
        <w:szCs w:val="16"/>
        <w:lang w:val="es-MX"/>
      </w:rPr>
    </w:pPr>
    <w:r w:rsidRPr="003017FB">
      <w:rPr>
        <w:rFonts w:ascii="Tahoma" w:hAnsi="Tahoma" w:cs="Tahoma"/>
        <w:b/>
        <w:sz w:val="16"/>
        <w:szCs w:val="16"/>
        <w:lang w:val="es-MX"/>
      </w:rPr>
      <w:t>Sección Tercera</w:t>
    </w:r>
  </w:p>
  <w:p w14:paraId="3EEBB11B" w14:textId="77777777" w:rsidR="003B1617" w:rsidRPr="003017FB" w:rsidRDefault="00840AEF">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23444"/>
    <w:multiLevelType w:val="hybridMultilevel"/>
    <w:tmpl w:val="68A6202A"/>
    <w:lvl w:ilvl="0" w:tplc="C0E493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07"/>
    <w:rsid w:val="00040636"/>
    <w:rsid w:val="001F3F86"/>
    <w:rsid w:val="00254A19"/>
    <w:rsid w:val="002F08A4"/>
    <w:rsid w:val="005F2906"/>
    <w:rsid w:val="00840AEF"/>
    <w:rsid w:val="009269A8"/>
    <w:rsid w:val="00941CB2"/>
    <w:rsid w:val="00A46BB8"/>
    <w:rsid w:val="00A50FF4"/>
    <w:rsid w:val="00B07975"/>
    <w:rsid w:val="00B1661A"/>
    <w:rsid w:val="00C22005"/>
    <w:rsid w:val="00C91007"/>
    <w:rsid w:val="00C92401"/>
    <w:rsid w:val="00CC207E"/>
    <w:rsid w:val="00DB12AA"/>
    <w:rsid w:val="00E14B40"/>
    <w:rsid w:val="00E975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6EA0"/>
  <w15:chartTrackingRefBased/>
  <w15:docId w15:val="{D8DE00E0-ACC8-4AEB-8121-3425DFB1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0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910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1007"/>
    <w:rPr>
      <w:rFonts w:asciiTheme="majorHAnsi" w:eastAsiaTheme="majorEastAsia" w:hAnsiTheme="majorHAnsi" w:cstheme="majorBidi"/>
      <w:color w:val="365F91" w:themeColor="accent1" w:themeShade="BF"/>
      <w:sz w:val="26"/>
      <w:szCs w:val="26"/>
      <w:lang w:val="es-ES" w:eastAsia="es-ES"/>
    </w:rPr>
  </w:style>
  <w:style w:type="paragraph" w:styleId="Encabezado">
    <w:name w:val="header"/>
    <w:basedOn w:val="Normal"/>
    <w:link w:val="EncabezadoCar"/>
    <w:uiPriority w:val="99"/>
    <w:rsid w:val="00C91007"/>
    <w:pPr>
      <w:tabs>
        <w:tab w:val="center" w:pos="4252"/>
        <w:tab w:val="right" w:pos="8504"/>
      </w:tabs>
    </w:pPr>
  </w:style>
  <w:style w:type="character" w:customStyle="1" w:styleId="EncabezadoCar">
    <w:name w:val="Encabezado Car"/>
    <w:basedOn w:val="Fuentedeprrafopredeter"/>
    <w:link w:val="Encabezado"/>
    <w:uiPriority w:val="99"/>
    <w:rsid w:val="00C9100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91007"/>
    <w:pPr>
      <w:tabs>
        <w:tab w:val="center" w:pos="4252"/>
        <w:tab w:val="right" w:pos="8504"/>
      </w:tabs>
    </w:pPr>
  </w:style>
  <w:style w:type="character" w:customStyle="1" w:styleId="PiedepginaCar">
    <w:name w:val="Pie de página Car"/>
    <w:basedOn w:val="Fuentedeprrafopredeter"/>
    <w:link w:val="Piedepgina"/>
    <w:rsid w:val="00C9100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1007"/>
  </w:style>
  <w:style w:type="paragraph" w:styleId="Prrafodelista">
    <w:name w:val="List Paragraph"/>
    <w:basedOn w:val="Normal"/>
    <w:uiPriority w:val="34"/>
    <w:qFormat/>
    <w:rsid w:val="00C91007"/>
    <w:pPr>
      <w:ind w:left="720"/>
      <w:contextualSpacing/>
    </w:pPr>
  </w:style>
  <w:style w:type="table" w:styleId="Tablaconcuadrcula">
    <w:name w:val="Table Grid"/>
    <w:basedOn w:val="Tablanormal"/>
    <w:uiPriority w:val="39"/>
    <w:rsid w:val="00C9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91007"/>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Car,C"/>
    <w:basedOn w:val="Normal"/>
    <w:link w:val="TextonotapieCar"/>
    <w:uiPriority w:val="99"/>
    <w:unhideWhenUsed/>
    <w:rsid w:val="00C22005"/>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Ref. de nota al pie1 Car"/>
    <w:basedOn w:val="Fuentedeprrafopredeter"/>
    <w:link w:val="Textonotapie"/>
    <w:uiPriority w:val="99"/>
    <w:rsid w:val="00C22005"/>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C22005"/>
    <w:rPr>
      <w:rFonts w:ascii="Times New Roman" w:hAnsi="Times New Roman" w:cs="Times New Roman" w:hint="default"/>
      <w:vertAlign w:val="superscript"/>
    </w:rPr>
  </w:style>
  <w:style w:type="paragraph" w:styleId="NormalWeb">
    <w:name w:val="Normal (Web)"/>
    <w:basedOn w:val="Normal"/>
    <w:uiPriority w:val="99"/>
    <w:semiHidden/>
    <w:unhideWhenUsed/>
    <w:rsid w:val="00254A19"/>
    <w:pPr>
      <w:spacing w:before="100" w:beforeAutospacing="1" w:after="100" w:afterAutospacing="1"/>
    </w:pPr>
    <w:rPr>
      <w:lang w:val="es-CO" w:eastAsia="es-CO"/>
    </w:rPr>
  </w:style>
  <w:style w:type="paragraph" w:styleId="Textoindependiente">
    <w:name w:val="Body Text"/>
    <w:basedOn w:val="Normal"/>
    <w:link w:val="TextoindependienteCar"/>
    <w:uiPriority w:val="99"/>
    <w:unhideWhenUsed/>
    <w:rsid w:val="00254A19"/>
    <w:pPr>
      <w:spacing w:after="120"/>
    </w:pPr>
  </w:style>
  <w:style w:type="character" w:customStyle="1" w:styleId="TextoindependienteCar">
    <w:name w:val="Texto independiente Car"/>
    <w:basedOn w:val="Fuentedeprrafopredeter"/>
    <w:link w:val="Textoindependiente"/>
    <w:uiPriority w:val="99"/>
    <w:rsid w:val="00254A19"/>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54A19"/>
  </w:style>
  <w:style w:type="paragraph" w:styleId="Textoindependiente2">
    <w:name w:val="Body Text 2"/>
    <w:basedOn w:val="Normal"/>
    <w:link w:val="Textoindependiente2Car"/>
    <w:rsid w:val="00DB12AA"/>
    <w:pPr>
      <w:spacing w:after="120" w:line="480" w:lineRule="auto"/>
    </w:pPr>
  </w:style>
  <w:style w:type="character" w:customStyle="1" w:styleId="Textoindependiente2Car">
    <w:name w:val="Texto independiente 2 Car"/>
    <w:basedOn w:val="Fuentedeprrafopredeter"/>
    <w:link w:val="Textoindependiente2"/>
    <w:rsid w:val="00DB12A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1369</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3</cp:revision>
  <dcterms:created xsi:type="dcterms:W3CDTF">2020-01-13T10:17:00Z</dcterms:created>
  <dcterms:modified xsi:type="dcterms:W3CDTF">2020-01-13T10:19:00Z</dcterms:modified>
</cp:coreProperties>
</file>