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2B3E49" w:rsidRPr="00FA2C9A" w14:paraId="5A55CDFC" w14:textId="77777777" w:rsidTr="00FA2C9A">
        <w:tc>
          <w:tcPr>
            <w:tcW w:w="1985" w:type="dxa"/>
            <w:tcBorders>
              <w:top w:val="single" w:sz="4" w:space="0" w:color="auto"/>
              <w:left w:val="single" w:sz="4" w:space="0" w:color="auto"/>
              <w:bottom w:val="single" w:sz="4" w:space="0" w:color="auto"/>
              <w:right w:val="single" w:sz="4" w:space="0" w:color="auto"/>
            </w:tcBorders>
            <w:hideMark/>
          </w:tcPr>
          <w:p w14:paraId="4F9FD7F8" w14:textId="77777777" w:rsidR="002B3E49" w:rsidRPr="00FA2C9A" w:rsidRDefault="002B3E49" w:rsidP="00FA2C9A">
            <w:pPr>
              <w:spacing w:after="0" w:line="276" w:lineRule="auto"/>
              <w:rPr>
                <w:rFonts w:ascii="Arial Narrow" w:hAnsi="Arial Narrow" w:cs="Arial"/>
                <w:color w:val="000000"/>
                <w:sz w:val="20"/>
              </w:rPr>
            </w:pPr>
            <w:r w:rsidRPr="00FA2C9A">
              <w:rPr>
                <w:rFonts w:ascii="Arial Narrow" w:hAnsi="Arial Narrow" w:cs="Arial"/>
                <w:color w:val="000000"/>
                <w:sz w:val="20"/>
              </w:rPr>
              <w:t>CIUDAD Y FECHA</w:t>
            </w:r>
          </w:p>
        </w:tc>
        <w:tc>
          <w:tcPr>
            <w:tcW w:w="6735" w:type="dxa"/>
            <w:tcBorders>
              <w:top w:val="single" w:sz="4" w:space="0" w:color="auto"/>
              <w:left w:val="single" w:sz="4" w:space="0" w:color="auto"/>
              <w:bottom w:val="single" w:sz="4" w:space="0" w:color="auto"/>
              <w:right w:val="single" w:sz="4" w:space="0" w:color="auto"/>
            </w:tcBorders>
            <w:hideMark/>
          </w:tcPr>
          <w:p w14:paraId="422D2E4B" w14:textId="0B07061D" w:rsidR="002B3E49" w:rsidRPr="00FA2C9A" w:rsidRDefault="002B3E49" w:rsidP="00FA2C9A">
            <w:pPr>
              <w:spacing w:after="0" w:line="276" w:lineRule="auto"/>
              <w:rPr>
                <w:rFonts w:ascii="Arial Narrow" w:hAnsi="Arial Narrow" w:cs="Arial"/>
                <w:b/>
                <w:color w:val="000000"/>
                <w:sz w:val="20"/>
              </w:rPr>
            </w:pPr>
            <w:r w:rsidRPr="00FA2C9A">
              <w:rPr>
                <w:rFonts w:ascii="Arial Narrow" w:hAnsi="Arial Narrow" w:cs="Arial"/>
                <w:b/>
                <w:color w:val="000000"/>
                <w:sz w:val="20"/>
              </w:rPr>
              <w:t xml:space="preserve">Bogotá D. C., </w:t>
            </w:r>
            <w:r w:rsidR="008A3689">
              <w:rPr>
                <w:rFonts w:ascii="Arial Narrow" w:hAnsi="Arial Narrow" w:cs="Arial"/>
                <w:b/>
                <w:color w:val="000000"/>
                <w:sz w:val="20"/>
              </w:rPr>
              <w:t>diecinueve (19)</w:t>
            </w:r>
            <w:r w:rsidRPr="00FA2C9A">
              <w:rPr>
                <w:rFonts w:ascii="Arial Narrow" w:hAnsi="Arial Narrow" w:cs="Arial"/>
                <w:b/>
                <w:color w:val="000000"/>
                <w:sz w:val="20"/>
              </w:rPr>
              <w:t xml:space="preserve"> de diciembre de dos mil diecinueve (2019)</w:t>
            </w:r>
          </w:p>
        </w:tc>
      </w:tr>
      <w:tr w:rsidR="002B3E49" w:rsidRPr="00FA2C9A" w14:paraId="5AC92F76" w14:textId="77777777" w:rsidTr="00FA2C9A">
        <w:tc>
          <w:tcPr>
            <w:tcW w:w="1985" w:type="dxa"/>
            <w:tcBorders>
              <w:top w:val="single" w:sz="4" w:space="0" w:color="auto"/>
              <w:left w:val="single" w:sz="4" w:space="0" w:color="auto"/>
              <w:bottom w:val="single" w:sz="4" w:space="0" w:color="auto"/>
              <w:right w:val="single" w:sz="4" w:space="0" w:color="auto"/>
            </w:tcBorders>
            <w:hideMark/>
          </w:tcPr>
          <w:p w14:paraId="28CC151D" w14:textId="77777777" w:rsidR="002B3E49" w:rsidRPr="00FA2C9A" w:rsidRDefault="002B3E49" w:rsidP="00FA2C9A">
            <w:pPr>
              <w:spacing w:after="0" w:line="276" w:lineRule="auto"/>
              <w:rPr>
                <w:rFonts w:ascii="Arial Narrow" w:hAnsi="Arial Narrow" w:cs="Arial"/>
                <w:color w:val="000000"/>
                <w:sz w:val="20"/>
              </w:rPr>
            </w:pPr>
            <w:r w:rsidRPr="00FA2C9A">
              <w:rPr>
                <w:rFonts w:ascii="Arial Narrow" w:hAnsi="Arial Narrow" w:cs="Arial"/>
                <w:color w:val="000000"/>
                <w:sz w:val="20"/>
              </w:rPr>
              <w:t>REFERENCIA</w:t>
            </w:r>
          </w:p>
        </w:tc>
        <w:tc>
          <w:tcPr>
            <w:tcW w:w="6735" w:type="dxa"/>
            <w:tcBorders>
              <w:top w:val="single" w:sz="4" w:space="0" w:color="auto"/>
              <w:left w:val="single" w:sz="4" w:space="0" w:color="auto"/>
              <w:bottom w:val="single" w:sz="4" w:space="0" w:color="auto"/>
              <w:right w:val="single" w:sz="4" w:space="0" w:color="auto"/>
            </w:tcBorders>
            <w:hideMark/>
          </w:tcPr>
          <w:p w14:paraId="3852C7D6" w14:textId="77777777" w:rsidR="002B3E49" w:rsidRPr="00FA2C9A" w:rsidRDefault="002B3E49" w:rsidP="00FA2C9A">
            <w:pPr>
              <w:spacing w:after="0" w:line="276" w:lineRule="auto"/>
              <w:rPr>
                <w:rFonts w:ascii="Arial Narrow" w:eastAsia="Calibri" w:hAnsi="Arial Narrow" w:cs="Arial"/>
                <w:b/>
                <w:sz w:val="20"/>
              </w:rPr>
            </w:pPr>
            <w:r w:rsidRPr="00FA2C9A">
              <w:rPr>
                <w:rFonts w:ascii="Arial Narrow" w:hAnsi="Arial Narrow" w:cs="Arial"/>
                <w:b/>
                <w:color w:val="000000"/>
                <w:sz w:val="20"/>
              </w:rPr>
              <w:t xml:space="preserve">Expediente No. </w:t>
            </w:r>
            <w:r w:rsidRPr="00FA2C9A">
              <w:rPr>
                <w:rFonts w:ascii="Arial Narrow" w:hAnsi="Arial Narrow" w:cs="Arial"/>
                <w:b/>
                <w:color w:val="000000"/>
                <w:sz w:val="20"/>
              </w:rPr>
              <w:fldChar w:fldCharType="begin"/>
            </w:r>
            <w:r w:rsidRPr="00FA2C9A">
              <w:rPr>
                <w:rFonts w:ascii="Arial Narrow" w:hAnsi="Arial Narrow" w:cs="Arial"/>
                <w:b/>
                <w:color w:val="000000"/>
                <w:sz w:val="20"/>
              </w:rPr>
              <w:instrText xml:space="preserve"> MERGEFIELD No_DE_EXPEDIENTE </w:instrText>
            </w:r>
            <w:r w:rsidRPr="00FA2C9A">
              <w:rPr>
                <w:rFonts w:ascii="Arial Narrow" w:hAnsi="Arial Narrow" w:cs="Arial"/>
                <w:b/>
                <w:color w:val="000000"/>
                <w:sz w:val="20"/>
              </w:rPr>
              <w:fldChar w:fldCharType="separate"/>
            </w:r>
            <w:r w:rsidRPr="00FA2C9A">
              <w:rPr>
                <w:rFonts w:ascii="Arial Narrow" w:hAnsi="Arial Narrow" w:cs="Arial"/>
                <w:b/>
                <w:noProof/>
                <w:color w:val="000000"/>
                <w:sz w:val="20"/>
              </w:rPr>
              <w:t>11001333603420180005600</w:t>
            </w:r>
            <w:r w:rsidRPr="00FA2C9A">
              <w:rPr>
                <w:rFonts w:ascii="Arial Narrow" w:hAnsi="Arial Narrow" w:cs="Arial"/>
                <w:b/>
                <w:color w:val="000000"/>
                <w:sz w:val="20"/>
              </w:rPr>
              <w:fldChar w:fldCharType="end"/>
            </w:r>
          </w:p>
        </w:tc>
      </w:tr>
      <w:tr w:rsidR="002B3E49" w:rsidRPr="00FA2C9A" w14:paraId="0E3CF167" w14:textId="77777777" w:rsidTr="00FA2C9A">
        <w:tc>
          <w:tcPr>
            <w:tcW w:w="1985" w:type="dxa"/>
            <w:tcBorders>
              <w:top w:val="single" w:sz="4" w:space="0" w:color="auto"/>
              <w:left w:val="single" w:sz="4" w:space="0" w:color="auto"/>
              <w:bottom w:val="single" w:sz="4" w:space="0" w:color="auto"/>
              <w:right w:val="single" w:sz="4" w:space="0" w:color="auto"/>
            </w:tcBorders>
            <w:hideMark/>
          </w:tcPr>
          <w:p w14:paraId="732EB015" w14:textId="77777777" w:rsidR="002B3E49" w:rsidRPr="00FA2C9A" w:rsidRDefault="002B3E49" w:rsidP="00FA2C9A">
            <w:pPr>
              <w:spacing w:after="0" w:line="276" w:lineRule="auto"/>
              <w:rPr>
                <w:rFonts w:ascii="Arial Narrow" w:hAnsi="Arial Narrow" w:cs="Arial"/>
                <w:color w:val="000000"/>
                <w:sz w:val="20"/>
              </w:rPr>
            </w:pPr>
            <w:r w:rsidRPr="00FA2C9A">
              <w:rPr>
                <w:rFonts w:ascii="Arial Narrow" w:hAnsi="Arial Narrow" w:cs="Arial"/>
                <w:color w:val="000000"/>
                <w:sz w:val="20"/>
              </w:rPr>
              <w:t>DEMANDANTE</w:t>
            </w:r>
          </w:p>
        </w:tc>
        <w:tc>
          <w:tcPr>
            <w:tcW w:w="6735" w:type="dxa"/>
            <w:tcBorders>
              <w:top w:val="single" w:sz="4" w:space="0" w:color="auto"/>
              <w:left w:val="single" w:sz="4" w:space="0" w:color="auto"/>
              <w:bottom w:val="single" w:sz="4" w:space="0" w:color="auto"/>
              <w:right w:val="single" w:sz="4" w:space="0" w:color="auto"/>
            </w:tcBorders>
            <w:hideMark/>
          </w:tcPr>
          <w:p w14:paraId="61261D3F" w14:textId="77777777" w:rsidR="002B3E49" w:rsidRPr="00FA2C9A" w:rsidRDefault="002B3E49" w:rsidP="00FA2C9A">
            <w:pPr>
              <w:spacing w:after="0" w:line="276" w:lineRule="auto"/>
              <w:rPr>
                <w:rFonts w:ascii="Arial Narrow" w:eastAsia="Calibri" w:hAnsi="Arial Narrow" w:cs="Arial"/>
                <w:b/>
                <w:sz w:val="20"/>
              </w:rPr>
            </w:pPr>
            <w:r w:rsidRPr="00FA2C9A">
              <w:rPr>
                <w:rFonts w:ascii="Arial Narrow" w:hAnsi="Arial Narrow" w:cs="Arial"/>
                <w:b/>
                <w:sz w:val="20"/>
              </w:rPr>
              <w:t>AGUA Y TIERRA LOGÍSTICA SAS</w:t>
            </w:r>
          </w:p>
        </w:tc>
      </w:tr>
      <w:tr w:rsidR="002B3E49" w:rsidRPr="00FA2C9A" w14:paraId="7720BE87" w14:textId="77777777" w:rsidTr="00FA2C9A">
        <w:trPr>
          <w:trHeight w:val="448"/>
        </w:trPr>
        <w:tc>
          <w:tcPr>
            <w:tcW w:w="1985" w:type="dxa"/>
            <w:tcBorders>
              <w:top w:val="single" w:sz="4" w:space="0" w:color="auto"/>
              <w:left w:val="single" w:sz="4" w:space="0" w:color="auto"/>
              <w:bottom w:val="single" w:sz="4" w:space="0" w:color="auto"/>
              <w:right w:val="single" w:sz="4" w:space="0" w:color="auto"/>
            </w:tcBorders>
            <w:hideMark/>
          </w:tcPr>
          <w:p w14:paraId="5305A507" w14:textId="77777777" w:rsidR="002B3E49" w:rsidRPr="00FA2C9A" w:rsidRDefault="002B3E49" w:rsidP="00FA2C9A">
            <w:pPr>
              <w:spacing w:after="0" w:line="276" w:lineRule="auto"/>
              <w:rPr>
                <w:rFonts w:ascii="Arial Narrow" w:hAnsi="Arial Narrow" w:cs="Arial"/>
                <w:color w:val="000000"/>
                <w:sz w:val="20"/>
              </w:rPr>
            </w:pPr>
            <w:r w:rsidRPr="00FA2C9A">
              <w:rPr>
                <w:rFonts w:ascii="Arial Narrow" w:hAnsi="Arial Narrow" w:cs="Arial"/>
                <w:color w:val="000000"/>
                <w:sz w:val="20"/>
              </w:rPr>
              <w:t>DEMANDADO</w:t>
            </w:r>
          </w:p>
        </w:tc>
        <w:tc>
          <w:tcPr>
            <w:tcW w:w="6735" w:type="dxa"/>
            <w:tcBorders>
              <w:top w:val="single" w:sz="4" w:space="0" w:color="auto"/>
              <w:left w:val="single" w:sz="4" w:space="0" w:color="auto"/>
              <w:bottom w:val="single" w:sz="4" w:space="0" w:color="auto"/>
              <w:right w:val="single" w:sz="4" w:space="0" w:color="auto"/>
            </w:tcBorders>
            <w:hideMark/>
          </w:tcPr>
          <w:p w14:paraId="1A98E89E" w14:textId="77777777" w:rsidR="002B3E49" w:rsidRPr="00FA2C9A" w:rsidRDefault="002B3E49" w:rsidP="00FA2C9A">
            <w:pPr>
              <w:spacing w:after="0" w:line="276" w:lineRule="auto"/>
              <w:jc w:val="both"/>
              <w:rPr>
                <w:rFonts w:ascii="Arial Narrow" w:eastAsia="Calibri" w:hAnsi="Arial Narrow" w:cs="Arial"/>
                <w:b/>
                <w:sz w:val="20"/>
              </w:rPr>
            </w:pPr>
            <w:r w:rsidRPr="00FA2C9A">
              <w:rPr>
                <w:rFonts w:ascii="Arial Narrow" w:hAnsi="Arial Narrow" w:cs="Arial"/>
                <w:b/>
                <w:sz w:val="20"/>
              </w:rPr>
              <w:t>NACIÓN-MINISTERIO DE DEFENSA-ARMADA NACIONAL-COMANDO BASE NAVAL ARC “BOGOTÁ”</w:t>
            </w:r>
          </w:p>
        </w:tc>
      </w:tr>
      <w:tr w:rsidR="002B3E49" w:rsidRPr="00FA2C9A" w14:paraId="1788F273" w14:textId="77777777" w:rsidTr="00FA2C9A">
        <w:tc>
          <w:tcPr>
            <w:tcW w:w="1985" w:type="dxa"/>
            <w:tcBorders>
              <w:top w:val="single" w:sz="4" w:space="0" w:color="auto"/>
              <w:left w:val="single" w:sz="4" w:space="0" w:color="auto"/>
              <w:bottom w:val="single" w:sz="4" w:space="0" w:color="auto"/>
              <w:right w:val="single" w:sz="4" w:space="0" w:color="auto"/>
            </w:tcBorders>
            <w:hideMark/>
          </w:tcPr>
          <w:p w14:paraId="3E3A25AC" w14:textId="77777777" w:rsidR="002B3E49" w:rsidRPr="00FA2C9A" w:rsidRDefault="002B3E49" w:rsidP="00FA2C9A">
            <w:pPr>
              <w:spacing w:after="0" w:line="276" w:lineRule="auto"/>
              <w:rPr>
                <w:rFonts w:ascii="Arial Narrow" w:hAnsi="Arial Narrow" w:cs="Arial"/>
                <w:color w:val="000000"/>
                <w:sz w:val="20"/>
              </w:rPr>
            </w:pPr>
            <w:r w:rsidRPr="00FA2C9A">
              <w:rPr>
                <w:rFonts w:ascii="Arial Narrow" w:hAnsi="Arial Narrow" w:cs="Arial"/>
                <w:color w:val="000000"/>
                <w:sz w:val="20"/>
              </w:rPr>
              <w:t>MEDIO DE CONTROL</w:t>
            </w:r>
          </w:p>
        </w:tc>
        <w:tc>
          <w:tcPr>
            <w:tcW w:w="6735" w:type="dxa"/>
            <w:tcBorders>
              <w:top w:val="single" w:sz="4" w:space="0" w:color="auto"/>
              <w:left w:val="single" w:sz="4" w:space="0" w:color="auto"/>
              <w:bottom w:val="single" w:sz="4" w:space="0" w:color="auto"/>
              <w:right w:val="single" w:sz="4" w:space="0" w:color="auto"/>
            </w:tcBorders>
            <w:hideMark/>
          </w:tcPr>
          <w:p w14:paraId="57C40F39" w14:textId="77777777" w:rsidR="002B3E49" w:rsidRPr="00FA2C9A" w:rsidRDefault="002B3E49" w:rsidP="00FA2C9A">
            <w:pPr>
              <w:pStyle w:val="Sinespaciado"/>
              <w:spacing w:line="276" w:lineRule="auto"/>
              <w:rPr>
                <w:rFonts w:ascii="Arial Narrow" w:hAnsi="Arial Narrow" w:cs="Arial"/>
                <w:b/>
                <w:sz w:val="20"/>
                <w:lang w:val="es-MX"/>
              </w:rPr>
            </w:pPr>
            <w:r w:rsidRPr="00FA2C9A">
              <w:rPr>
                <w:rFonts w:ascii="Arial Narrow" w:hAnsi="Arial Narrow" w:cs="Arial"/>
                <w:b/>
                <w:sz w:val="20"/>
                <w:lang w:val="es-MX"/>
              </w:rPr>
              <w:t>CONTROVERSIAS CONTRACTUALES</w:t>
            </w:r>
          </w:p>
        </w:tc>
      </w:tr>
      <w:tr w:rsidR="002B3E49" w:rsidRPr="00FA2C9A" w14:paraId="0CA74A22" w14:textId="77777777" w:rsidTr="00FA2C9A">
        <w:tc>
          <w:tcPr>
            <w:tcW w:w="1985" w:type="dxa"/>
            <w:tcBorders>
              <w:top w:val="single" w:sz="4" w:space="0" w:color="auto"/>
              <w:left w:val="single" w:sz="4" w:space="0" w:color="auto"/>
              <w:bottom w:val="single" w:sz="4" w:space="0" w:color="auto"/>
              <w:right w:val="single" w:sz="4" w:space="0" w:color="auto"/>
            </w:tcBorders>
            <w:hideMark/>
          </w:tcPr>
          <w:p w14:paraId="7BC9D91A" w14:textId="77777777" w:rsidR="002B3E49" w:rsidRPr="00FA2C9A" w:rsidRDefault="002B3E49" w:rsidP="00FA2C9A">
            <w:pPr>
              <w:spacing w:after="0" w:line="276" w:lineRule="auto"/>
              <w:rPr>
                <w:rFonts w:ascii="Arial Narrow" w:hAnsi="Arial Narrow" w:cs="Arial"/>
                <w:color w:val="000000"/>
                <w:sz w:val="20"/>
              </w:rPr>
            </w:pPr>
            <w:r w:rsidRPr="00FA2C9A">
              <w:rPr>
                <w:rFonts w:ascii="Arial Narrow" w:hAnsi="Arial Narrow" w:cs="Arial"/>
                <w:color w:val="000000"/>
                <w:sz w:val="20"/>
              </w:rPr>
              <w:t>ASUNTO</w:t>
            </w:r>
          </w:p>
        </w:tc>
        <w:tc>
          <w:tcPr>
            <w:tcW w:w="6735" w:type="dxa"/>
            <w:tcBorders>
              <w:top w:val="single" w:sz="4" w:space="0" w:color="auto"/>
              <w:left w:val="single" w:sz="4" w:space="0" w:color="auto"/>
              <w:bottom w:val="single" w:sz="4" w:space="0" w:color="auto"/>
              <w:right w:val="single" w:sz="4" w:space="0" w:color="auto"/>
            </w:tcBorders>
            <w:hideMark/>
          </w:tcPr>
          <w:p w14:paraId="099AA48C" w14:textId="77777777" w:rsidR="002B3E49" w:rsidRPr="00FA2C9A" w:rsidRDefault="00FA2C9A" w:rsidP="00FA2C9A">
            <w:pPr>
              <w:spacing w:after="0" w:line="276" w:lineRule="auto"/>
              <w:jc w:val="both"/>
              <w:rPr>
                <w:rFonts w:ascii="Arial Narrow" w:hAnsi="Arial Narrow" w:cs="Arial"/>
                <w:b/>
                <w:color w:val="000000"/>
                <w:sz w:val="20"/>
              </w:rPr>
            </w:pPr>
            <w:r w:rsidRPr="00FA2C9A">
              <w:rPr>
                <w:rFonts w:ascii="Arial Narrow" w:hAnsi="Arial Narrow" w:cs="Arial"/>
                <w:b/>
                <w:color w:val="000000"/>
                <w:sz w:val="20"/>
              </w:rPr>
              <w:t>DECIDE SOLICITUD DE PAGO DE HONORARIOS DEL PERITO</w:t>
            </w:r>
          </w:p>
        </w:tc>
      </w:tr>
    </w:tbl>
    <w:p w14:paraId="08D3A178" w14:textId="77777777" w:rsidR="002B3E49" w:rsidRPr="00FA2C9A" w:rsidRDefault="002B3E49" w:rsidP="00FA2C9A">
      <w:pPr>
        <w:spacing w:after="0" w:line="276" w:lineRule="auto"/>
        <w:jc w:val="both"/>
        <w:rPr>
          <w:rFonts w:ascii="Arial Narrow" w:hAnsi="Arial Narrow" w:cs="Arial"/>
          <w:color w:val="000000"/>
          <w:lang w:eastAsia="es-ES"/>
        </w:rPr>
      </w:pPr>
    </w:p>
    <w:p w14:paraId="39E62507" w14:textId="77777777" w:rsidR="002B3E49" w:rsidRPr="00FA2C9A" w:rsidRDefault="002B3E49" w:rsidP="00FA2C9A">
      <w:pPr>
        <w:spacing w:after="0" w:line="276" w:lineRule="auto"/>
        <w:jc w:val="both"/>
        <w:rPr>
          <w:rFonts w:ascii="Arial" w:hAnsi="Arial" w:cs="Arial"/>
          <w:color w:val="000000"/>
        </w:rPr>
      </w:pPr>
      <w:r w:rsidRPr="00FA2C9A">
        <w:rPr>
          <w:rFonts w:ascii="Arial" w:hAnsi="Arial" w:cs="Arial"/>
          <w:color w:val="000000"/>
        </w:rPr>
        <w:t>El presente asunto pretende que se declare la nulidad de la Resolución de Adjudicación No. 310-ARC-CBN6-2017 en el cual se adjudica el proceso de selección No. 209-ARC-CBN6-2017 a HB INTERNATIONAL CORP. SAS-HBCORP SAS, y se declare la nulidad absoluta del contrato No. 238-ARC-CBN6-2017 celebrado entre la ARMADA NACIONAL- COMANDO BASE NAVAL ARC “BOGOTÁ” y HB INTERNATIONAL CORP. SAS-HBCORP SAS</w:t>
      </w:r>
    </w:p>
    <w:p w14:paraId="4D274C5E" w14:textId="77777777" w:rsidR="002B3E49" w:rsidRPr="00FA2C9A" w:rsidRDefault="002B3E49" w:rsidP="00FA2C9A">
      <w:pPr>
        <w:spacing w:after="0" w:line="276" w:lineRule="auto"/>
        <w:jc w:val="both"/>
        <w:rPr>
          <w:rFonts w:ascii="Arial" w:hAnsi="Arial" w:cs="Arial"/>
          <w:highlight w:val="green"/>
          <w:lang w:val="es-ES" w:eastAsia="es-ES"/>
        </w:rPr>
      </w:pPr>
    </w:p>
    <w:p w14:paraId="77A98F48" w14:textId="77777777" w:rsidR="002B3E49" w:rsidRPr="00FA2C9A" w:rsidRDefault="002B3E49" w:rsidP="00FA2C9A">
      <w:pPr>
        <w:spacing w:after="0" w:line="276" w:lineRule="auto"/>
        <w:jc w:val="both"/>
        <w:rPr>
          <w:rFonts w:ascii="Arial" w:hAnsi="Arial" w:cs="Arial"/>
        </w:rPr>
      </w:pPr>
      <w:r w:rsidRPr="00FA2C9A">
        <w:rPr>
          <w:rFonts w:ascii="Arial" w:hAnsi="Arial" w:cs="Arial"/>
        </w:rPr>
        <w:t xml:space="preserve">Mediante providencia proferida en audiencia inicial llevada a cabo el 11 de julio de 2019 el Despacho decretó como prueba de oficio dictamen pericial a cargo de la parte actora con el objeto de demostrar el monto de </w:t>
      </w:r>
      <w:r w:rsidR="00936FA6" w:rsidRPr="00FA2C9A">
        <w:rPr>
          <w:rFonts w:ascii="Arial" w:hAnsi="Arial" w:cs="Arial"/>
        </w:rPr>
        <w:t xml:space="preserve">los ingresos y utilidades que la parte </w:t>
      </w:r>
      <w:r w:rsidR="00C968B3" w:rsidRPr="00FA2C9A">
        <w:rPr>
          <w:rFonts w:ascii="Arial" w:hAnsi="Arial" w:cs="Arial"/>
        </w:rPr>
        <w:t xml:space="preserve">demandada hubiere recibido de haber adjudicado el contrato a los demandantes. </w:t>
      </w:r>
    </w:p>
    <w:p w14:paraId="3EEAB4E4" w14:textId="77777777" w:rsidR="002B3E49" w:rsidRPr="00FA2C9A" w:rsidRDefault="002B3E49" w:rsidP="00FA2C9A">
      <w:pPr>
        <w:spacing w:after="0" w:line="276" w:lineRule="auto"/>
        <w:jc w:val="both"/>
        <w:rPr>
          <w:rFonts w:ascii="Arial" w:hAnsi="Arial" w:cs="Arial"/>
          <w:highlight w:val="green"/>
        </w:rPr>
      </w:pPr>
    </w:p>
    <w:p w14:paraId="4D2A72DB" w14:textId="77777777" w:rsidR="002B3E49" w:rsidRPr="00FA2C9A" w:rsidRDefault="00C968B3" w:rsidP="00FA2C9A">
      <w:pPr>
        <w:spacing w:after="0" w:line="276" w:lineRule="auto"/>
        <w:jc w:val="both"/>
        <w:rPr>
          <w:rFonts w:ascii="Arial" w:hAnsi="Arial" w:cs="Arial"/>
        </w:rPr>
      </w:pPr>
      <w:r w:rsidRPr="00FA2C9A">
        <w:rPr>
          <w:rFonts w:ascii="Arial" w:hAnsi="Arial" w:cs="Arial"/>
        </w:rPr>
        <w:t xml:space="preserve">El 27 de agosto de 2019 se llevó acabo audiencia de prueba y se realizó control de dictamen de la prueba pericial aportado por el perito. </w:t>
      </w:r>
    </w:p>
    <w:p w14:paraId="70852834" w14:textId="77777777" w:rsidR="00C968B3" w:rsidRPr="00FA2C9A" w:rsidRDefault="00C968B3" w:rsidP="00FA2C9A">
      <w:pPr>
        <w:spacing w:after="0" w:line="276" w:lineRule="auto"/>
        <w:jc w:val="both"/>
        <w:rPr>
          <w:rFonts w:ascii="Arial" w:hAnsi="Arial" w:cs="Arial"/>
        </w:rPr>
      </w:pPr>
    </w:p>
    <w:p w14:paraId="3F643B44" w14:textId="2DF43C1D" w:rsidR="00C968B3" w:rsidRPr="00FA2C9A" w:rsidRDefault="008A3689" w:rsidP="00FA2C9A">
      <w:pPr>
        <w:spacing w:after="0" w:line="276" w:lineRule="auto"/>
        <w:jc w:val="both"/>
        <w:rPr>
          <w:rFonts w:ascii="Arial" w:hAnsi="Arial" w:cs="Arial"/>
          <w:lang w:val="es-ES" w:eastAsia="es-ES"/>
        </w:rPr>
      </w:pPr>
      <w:r>
        <w:rPr>
          <w:rFonts w:ascii="Arial" w:hAnsi="Arial" w:cs="Arial"/>
          <w:lang w:val="es-ES" w:eastAsia="es-ES"/>
        </w:rPr>
        <w:t>Con</w:t>
      </w:r>
      <w:r w:rsidR="00C968B3" w:rsidRPr="00FA2C9A">
        <w:rPr>
          <w:rFonts w:ascii="Arial" w:hAnsi="Arial" w:cs="Arial"/>
          <w:lang w:val="es-ES" w:eastAsia="es-ES"/>
        </w:rPr>
        <w:t xml:space="preserve"> providencia del 30 de agosto de 2019 se profirió sentencia de primera instancia en donde se condenó a la demanda y no hubo condena en costas. </w:t>
      </w:r>
    </w:p>
    <w:p w14:paraId="03427A98" w14:textId="77777777" w:rsidR="00C968B3" w:rsidRPr="00FA2C9A" w:rsidRDefault="00C968B3" w:rsidP="00FA2C9A">
      <w:pPr>
        <w:spacing w:after="0" w:line="276" w:lineRule="auto"/>
        <w:jc w:val="both"/>
        <w:rPr>
          <w:rFonts w:ascii="Arial" w:hAnsi="Arial" w:cs="Arial"/>
          <w:lang w:val="es-ES" w:eastAsia="es-ES"/>
        </w:rPr>
      </w:pPr>
    </w:p>
    <w:p w14:paraId="2865D95C" w14:textId="77777777" w:rsidR="002B3E49" w:rsidRPr="00FA2C9A" w:rsidRDefault="002B3E49" w:rsidP="00FA2C9A">
      <w:pPr>
        <w:spacing w:after="0" w:line="276" w:lineRule="auto"/>
        <w:jc w:val="both"/>
        <w:rPr>
          <w:rFonts w:ascii="Arial" w:hAnsi="Arial" w:cs="Arial"/>
          <w:i/>
          <w:sz w:val="20"/>
        </w:rPr>
      </w:pPr>
      <w:r w:rsidRPr="00FA2C9A">
        <w:rPr>
          <w:rFonts w:ascii="Arial" w:hAnsi="Arial" w:cs="Arial"/>
        </w:rPr>
        <w:t xml:space="preserve">En informe secretarial del </w:t>
      </w:r>
      <w:r w:rsidR="00C968B3" w:rsidRPr="00FA2C9A">
        <w:rPr>
          <w:rFonts w:ascii="Arial" w:hAnsi="Arial" w:cs="Arial"/>
        </w:rPr>
        <w:t>27 de septiembre de 2019,</w:t>
      </w:r>
      <w:r w:rsidRPr="00FA2C9A">
        <w:rPr>
          <w:rFonts w:ascii="Arial" w:hAnsi="Arial" w:cs="Arial"/>
        </w:rPr>
        <w:t xml:space="preserve"> se anotó: </w:t>
      </w:r>
      <w:r w:rsidRPr="00FA2C9A">
        <w:rPr>
          <w:rFonts w:ascii="Arial" w:hAnsi="Arial" w:cs="Arial"/>
          <w:i/>
        </w:rPr>
        <w:t>“</w:t>
      </w:r>
      <w:r w:rsidR="00C968B3" w:rsidRPr="00FA2C9A">
        <w:rPr>
          <w:rFonts w:ascii="Arial" w:hAnsi="Arial" w:cs="Arial"/>
          <w:i/>
          <w:sz w:val="20"/>
        </w:rPr>
        <w:t>SOLICITUD DE LIQUIDACION DE AGENCIAS EN DERECHO POR ACTOR (SEPTIEMBRE 19 DE 2019). SIRVASE PROVEER.”</w:t>
      </w:r>
    </w:p>
    <w:p w14:paraId="6650647B" w14:textId="77777777" w:rsidR="002B3E49" w:rsidRPr="00FA2C9A" w:rsidRDefault="002B3E49" w:rsidP="00FA2C9A">
      <w:pPr>
        <w:spacing w:after="0" w:line="276" w:lineRule="auto"/>
        <w:jc w:val="both"/>
        <w:rPr>
          <w:rFonts w:ascii="Arial" w:hAnsi="Arial" w:cs="Arial"/>
          <w:highlight w:val="green"/>
          <w:lang w:val="es-ES" w:eastAsia="es-ES"/>
        </w:rPr>
      </w:pPr>
    </w:p>
    <w:p w14:paraId="352BAD28" w14:textId="77777777" w:rsidR="002B3E49" w:rsidRPr="00FA2C9A" w:rsidRDefault="002B3E49" w:rsidP="00FA2C9A">
      <w:pPr>
        <w:spacing w:after="0" w:line="276" w:lineRule="auto"/>
        <w:jc w:val="center"/>
        <w:rPr>
          <w:rFonts w:ascii="Arial" w:hAnsi="Arial" w:cs="Arial"/>
          <w:b/>
        </w:rPr>
      </w:pPr>
      <w:r w:rsidRPr="00FA2C9A">
        <w:rPr>
          <w:rFonts w:ascii="Arial" w:hAnsi="Arial" w:cs="Arial"/>
          <w:b/>
        </w:rPr>
        <w:t>CONSIDERACIONES</w:t>
      </w:r>
    </w:p>
    <w:p w14:paraId="679EB5A4" w14:textId="77777777" w:rsidR="002B3E49" w:rsidRPr="00FA2C9A" w:rsidRDefault="002B3E49" w:rsidP="00FA2C9A">
      <w:pPr>
        <w:spacing w:after="0" w:line="276" w:lineRule="auto"/>
        <w:jc w:val="center"/>
        <w:rPr>
          <w:rFonts w:ascii="Arial" w:hAnsi="Arial" w:cs="Arial"/>
          <w:b/>
        </w:rPr>
      </w:pPr>
    </w:p>
    <w:p w14:paraId="4EAB33D0" w14:textId="77777777" w:rsidR="002B3E49" w:rsidRPr="00FA2C9A" w:rsidRDefault="002B3E49" w:rsidP="00FA2C9A">
      <w:pPr>
        <w:spacing w:after="0" w:line="276" w:lineRule="auto"/>
        <w:rPr>
          <w:rFonts w:ascii="Arial" w:hAnsi="Arial" w:cs="Arial"/>
          <w:b/>
        </w:rPr>
      </w:pPr>
      <w:r w:rsidRPr="00FA2C9A">
        <w:rPr>
          <w:rFonts w:ascii="Arial" w:hAnsi="Arial" w:cs="Arial"/>
          <w:b/>
        </w:rPr>
        <w:t>1.- Pago de honorarios a los peritos y su procedencia.</w:t>
      </w:r>
    </w:p>
    <w:p w14:paraId="18EF873C" w14:textId="77777777" w:rsidR="002B3E49" w:rsidRPr="00FA2C9A" w:rsidRDefault="002B3E49" w:rsidP="00FA2C9A">
      <w:pPr>
        <w:spacing w:after="0" w:line="276" w:lineRule="auto"/>
        <w:rPr>
          <w:rFonts w:ascii="Arial" w:hAnsi="Arial" w:cs="Arial"/>
          <w:b/>
        </w:rPr>
      </w:pPr>
    </w:p>
    <w:p w14:paraId="3823C604" w14:textId="77777777" w:rsidR="002B3E49" w:rsidRPr="00FA2C9A" w:rsidRDefault="002B3E49" w:rsidP="00FA2C9A">
      <w:pPr>
        <w:spacing w:after="0" w:line="276" w:lineRule="auto"/>
        <w:jc w:val="both"/>
        <w:rPr>
          <w:rFonts w:ascii="Arial" w:hAnsi="Arial" w:cs="Arial"/>
          <w:i/>
          <w:sz w:val="20"/>
        </w:rPr>
      </w:pPr>
      <w:r w:rsidRPr="00FA2C9A">
        <w:rPr>
          <w:rFonts w:ascii="Arial" w:hAnsi="Arial" w:cs="Arial"/>
          <w:i/>
          <w:sz w:val="20"/>
        </w:rPr>
        <w:t xml:space="preserve">ARTÍCULO 221 DEL CPACA. HONORARIOS DEL PERITO. En el caso de que el juez decrete un dictamen pericial, los honorarios de los peritos se fijarán en el auto de traslado de las aclaraciones o complementaciones al dictamen, cuando estas han sido solicitadas; o, una vez vencido el término para solicitar las aclaraciones y complementaciones, cuando no se soliciten. Tratándose de los dictámenes presentados directamente por las partes, el juez solo fijará honorarios a los peritos en el caso de que las complementaciones a que haya habido lugar dentro del proceso lo </w:t>
      </w:r>
      <w:proofErr w:type="gramStart"/>
      <w:r w:rsidRPr="00FA2C9A">
        <w:rPr>
          <w:rFonts w:ascii="Arial" w:hAnsi="Arial" w:cs="Arial"/>
          <w:i/>
          <w:sz w:val="20"/>
        </w:rPr>
        <w:t>amerite</w:t>
      </w:r>
      <w:proofErr w:type="gramEnd"/>
      <w:r w:rsidRPr="00FA2C9A">
        <w:rPr>
          <w:rFonts w:ascii="Arial" w:hAnsi="Arial" w:cs="Arial"/>
          <w:i/>
          <w:sz w:val="20"/>
        </w:rPr>
        <w:t>.</w:t>
      </w:r>
    </w:p>
    <w:p w14:paraId="4F704A4A" w14:textId="77777777" w:rsidR="002B3E49" w:rsidRPr="00FA2C9A" w:rsidRDefault="002B3E49" w:rsidP="00FA2C9A">
      <w:pPr>
        <w:spacing w:after="0" w:line="276" w:lineRule="auto"/>
        <w:jc w:val="both"/>
        <w:rPr>
          <w:rFonts w:ascii="Arial" w:hAnsi="Arial" w:cs="Arial"/>
          <w:i/>
          <w:sz w:val="20"/>
        </w:rPr>
      </w:pPr>
    </w:p>
    <w:p w14:paraId="21DED3A0" w14:textId="77777777" w:rsidR="002B3E49" w:rsidRPr="00FA2C9A" w:rsidRDefault="002B3E49" w:rsidP="00FA2C9A">
      <w:pPr>
        <w:spacing w:after="0" w:line="276" w:lineRule="auto"/>
        <w:jc w:val="both"/>
        <w:rPr>
          <w:rFonts w:ascii="Arial" w:hAnsi="Arial" w:cs="Arial"/>
          <w:b/>
          <w:i/>
          <w:sz w:val="20"/>
        </w:rPr>
      </w:pPr>
      <w:r w:rsidRPr="00FA2C9A">
        <w:rPr>
          <w:rFonts w:ascii="Arial" w:hAnsi="Arial" w:cs="Arial"/>
          <w:i/>
          <w:sz w:val="20"/>
        </w:rPr>
        <w:t xml:space="preserve">Los honorarios de los peritos se señalarán de acuerdo con la tarifa oficial y </w:t>
      </w:r>
      <w:r w:rsidRPr="00FA2C9A">
        <w:rPr>
          <w:rFonts w:ascii="Arial" w:hAnsi="Arial" w:cs="Arial"/>
          <w:b/>
          <w:i/>
          <w:sz w:val="20"/>
        </w:rPr>
        <w:t>cuando el dictamen se decrete de oficio se determinará lo que de ellos deba pagar cada parte. En el caso de que se trate de asunto de especial complejidad, la autoridad judicial podrá señalarles los honorarios a los peritos sin sujeción a la tarifa oficial.</w:t>
      </w:r>
    </w:p>
    <w:p w14:paraId="7C695353" w14:textId="77777777" w:rsidR="002B3E49" w:rsidRPr="00FA2C9A" w:rsidRDefault="002B3E49" w:rsidP="00FA2C9A">
      <w:pPr>
        <w:spacing w:after="0" w:line="276" w:lineRule="auto"/>
        <w:jc w:val="both"/>
        <w:rPr>
          <w:rFonts w:ascii="Arial" w:hAnsi="Arial" w:cs="Arial"/>
          <w:i/>
          <w:sz w:val="20"/>
          <w:highlight w:val="green"/>
        </w:rPr>
      </w:pPr>
    </w:p>
    <w:p w14:paraId="6FAE8BD0" w14:textId="77777777" w:rsidR="002B3E49" w:rsidRPr="00FA2C9A" w:rsidRDefault="002B3E49" w:rsidP="00FA2C9A">
      <w:pPr>
        <w:spacing w:after="0" w:line="276" w:lineRule="auto"/>
        <w:jc w:val="both"/>
        <w:rPr>
          <w:rFonts w:ascii="Arial" w:hAnsi="Arial" w:cs="Arial"/>
          <w:i/>
          <w:sz w:val="20"/>
        </w:rPr>
      </w:pPr>
      <w:r w:rsidRPr="00FA2C9A">
        <w:rPr>
          <w:rFonts w:ascii="Arial" w:hAnsi="Arial" w:cs="Arial"/>
          <w:i/>
          <w:sz w:val="20"/>
        </w:rPr>
        <w:t>Antes del vencimiento del traslado del escrito de objeciones, el objetante deberá presentar al despacho correspondiente, el comprobante del pago de los honorarios a su cargo hecho directamente al perito o los títulos de los depósitos judiciales, los cuales se le entregarán al perito sin necesidad de auto que lo ordene. En caso de inobservancia en el pago de los honorarios de los peritos dentro del término anterior, se entenderá desistida la objeción.</w:t>
      </w:r>
    </w:p>
    <w:p w14:paraId="1636A3B9" w14:textId="77777777" w:rsidR="002B3E49" w:rsidRPr="00FA2C9A" w:rsidRDefault="002B3E49" w:rsidP="00FA2C9A">
      <w:pPr>
        <w:spacing w:after="0" w:line="276" w:lineRule="auto"/>
        <w:jc w:val="both"/>
        <w:rPr>
          <w:rFonts w:ascii="Arial" w:hAnsi="Arial" w:cs="Arial"/>
          <w:i/>
          <w:sz w:val="20"/>
        </w:rPr>
      </w:pPr>
    </w:p>
    <w:p w14:paraId="4933BF1B" w14:textId="77777777" w:rsidR="002B3E49" w:rsidRPr="00FA2C9A" w:rsidRDefault="002B3E49" w:rsidP="00FA2C9A">
      <w:pPr>
        <w:spacing w:after="0" w:line="276" w:lineRule="auto"/>
        <w:jc w:val="both"/>
        <w:rPr>
          <w:rFonts w:ascii="Arial" w:hAnsi="Arial" w:cs="Arial"/>
          <w:i/>
        </w:rPr>
      </w:pPr>
      <w:r w:rsidRPr="00FA2C9A">
        <w:rPr>
          <w:rFonts w:ascii="Arial" w:hAnsi="Arial" w:cs="Arial"/>
          <w:i/>
          <w:sz w:val="20"/>
        </w:rPr>
        <w:t xml:space="preserve">El perito restituirá los honorarios en el porcentaje que determine la providencia que declare la prosperidad de la objeción, dentro de los diez (10) días siguientes a la comunicación que se haga de la decisión, por medio de servicio postal autorizado. Si el perito no restituye los honorarios en el </w:t>
      </w:r>
      <w:r w:rsidRPr="00FA2C9A">
        <w:rPr>
          <w:rFonts w:ascii="Arial" w:hAnsi="Arial" w:cs="Arial"/>
          <w:i/>
          <w:sz w:val="20"/>
        </w:rPr>
        <w:lastRenderedPageBreak/>
        <w:t>término señalado, la parte que los pagó podrá cobrarlos ejecutivamente. En este caso, el perito deberá ser excluido de la lista de auxiliares de la justicia, para lo cual se comunicará a quien corresponda, sin perjuicio de la acción disciplinaria a que hubiere lugar. (</w:t>
      </w:r>
      <w:r w:rsidRPr="00FA2C9A">
        <w:rPr>
          <w:rFonts w:ascii="Arial" w:hAnsi="Arial" w:cs="Arial"/>
          <w:b/>
          <w:i/>
        </w:rPr>
        <w:t>Negrita fuera de texto</w:t>
      </w:r>
      <w:r w:rsidRPr="00FA2C9A">
        <w:rPr>
          <w:rFonts w:ascii="Arial" w:hAnsi="Arial" w:cs="Arial"/>
          <w:i/>
        </w:rPr>
        <w:t>)</w:t>
      </w:r>
    </w:p>
    <w:p w14:paraId="613752E9" w14:textId="77777777" w:rsidR="002B3E49" w:rsidRPr="00FA2C9A" w:rsidRDefault="002B3E49" w:rsidP="00FA2C9A">
      <w:pPr>
        <w:spacing w:after="0" w:line="276" w:lineRule="auto"/>
        <w:jc w:val="both"/>
        <w:rPr>
          <w:rFonts w:ascii="Arial" w:hAnsi="Arial" w:cs="Arial"/>
          <w:i/>
        </w:rPr>
      </w:pPr>
    </w:p>
    <w:p w14:paraId="2274A843" w14:textId="77777777" w:rsidR="00290B01" w:rsidRPr="00FA2C9A" w:rsidRDefault="00290B01" w:rsidP="00FA2C9A">
      <w:pPr>
        <w:spacing w:after="0" w:line="276" w:lineRule="auto"/>
        <w:jc w:val="both"/>
        <w:rPr>
          <w:rFonts w:ascii="Arial" w:hAnsi="Arial" w:cs="Arial"/>
        </w:rPr>
      </w:pPr>
      <w:r w:rsidRPr="00FA2C9A">
        <w:rPr>
          <w:rFonts w:ascii="Arial" w:hAnsi="Arial" w:cs="Arial"/>
        </w:rPr>
        <w:t xml:space="preserve">Mediante escrito del 19 de septiembre de 2019 el apoderado de la parte actora solicita al despacho que liquide los honorarios del perito contable Joaquín Orlando Garzón Pereira.  </w:t>
      </w:r>
    </w:p>
    <w:p w14:paraId="7067D03A" w14:textId="77777777" w:rsidR="00290B01" w:rsidRPr="00FA2C9A" w:rsidRDefault="00290B01" w:rsidP="00FA2C9A">
      <w:pPr>
        <w:spacing w:after="0" w:line="276" w:lineRule="auto"/>
        <w:jc w:val="both"/>
        <w:rPr>
          <w:rFonts w:ascii="Arial" w:hAnsi="Arial" w:cs="Arial"/>
          <w:highlight w:val="green"/>
        </w:rPr>
      </w:pPr>
    </w:p>
    <w:p w14:paraId="59AC429F" w14:textId="77777777" w:rsidR="00CE2142" w:rsidRPr="00FA2C9A" w:rsidRDefault="00290B01" w:rsidP="00FA2C9A">
      <w:pPr>
        <w:spacing w:after="0" w:line="276" w:lineRule="auto"/>
        <w:jc w:val="both"/>
        <w:rPr>
          <w:rFonts w:ascii="Arial" w:hAnsi="Arial" w:cs="Arial"/>
          <w:i/>
          <w:highlight w:val="green"/>
        </w:rPr>
      </w:pPr>
      <w:r w:rsidRPr="00FA2C9A">
        <w:rPr>
          <w:rFonts w:ascii="Arial" w:hAnsi="Arial" w:cs="Arial"/>
        </w:rPr>
        <w:t>De</w:t>
      </w:r>
      <w:r w:rsidR="002B3E49" w:rsidRPr="00FA2C9A">
        <w:rPr>
          <w:rFonts w:ascii="Arial" w:hAnsi="Arial" w:cs="Arial"/>
        </w:rPr>
        <w:t xml:space="preserve"> conformidad con las directrices señaladas en el en el Acuerdo No. </w:t>
      </w:r>
      <w:r w:rsidR="00CE2142" w:rsidRPr="00FA2C9A">
        <w:rPr>
          <w:rFonts w:ascii="Arial" w:hAnsi="Arial" w:cs="Arial"/>
        </w:rPr>
        <w:t>1518 de 2002</w:t>
      </w:r>
      <w:r w:rsidR="002B3E49" w:rsidRPr="00FA2C9A">
        <w:rPr>
          <w:rFonts w:ascii="Arial" w:hAnsi="Arial" w:cs="Arial"/>
        </w:rPr>
        <w:t>, a través del cual se estableció el régimen y los honorarios de los auxiliares de la justicia, pagaderos una vez se resolviera el asunto, es decir al momento del fallo</w:t>
      </w:r>
      <w:r w:rsidR="00CE2142" w:rsidRPr="00FA2C9A">
        <w:rPr>
          <w:rFonts w:ascii="Arial" w:hAnsi="Arial" w:cs="Arial"/>
        </w:rPr>
        <w:t>, en su artículo 3</w:t>
      </w:r>
      <w:r w:rsidR="00FA2C9A">
        <w:rPr>
          <w:rFonts w:ascii="Arial" w:hAnsi="Arial" w:cs="Arial"/>
        </w:rPr>
        <w:t>8</w:t>
      </w:r>
      <w:r w:rsidR="00CE2142" w:rsidRPr="00FA2C9A">
        <w:rPr>
          <w:rFonts w:ascii="Arial" w:hAnsi="Arial" w:cs="Arial"/>
        </w:rPr>
        <w:t xml:space="preserve"> establece </w:t>
      </w:r>
      <w:r w:rsidR="00CE2142" w:rsidRPr="00FA2C9A">
        <w:rPr>
          <w:rFonts w:ascii="Arial" w:hAnsi="Arial" w:cs="Arial"/>
          <w:i/>
          <w:sz w:val="20"/>
        </w:rPr>
        <w:t>“Cuando se requieran expertos en conocimientos muy especializados, el juez podrá señalarles honorarios sin sujetarse a los límites cuantitativos de este Acuerdo, pero teniendo en cuenta su prestancia y lo previsto en los artículos 35 y 36 del mismo.”</w:t>
      </w:r>
    </w:p>
    <w:p w14:paraId="4084A9D9" w14:textId="77777777" w:rsidR="002B3E49" w:rsidRPr="00FA2C9A" w:rsidRDefault="002B3E49" w:rsidP="00FA2C9A">
      <w:pPr>
        <w:spacing w:after="0" w:line="276" w:lineRule="auto"/>
        <w:jc w:val="both"/>
        <w:rPr>
          <w:rFonts w:ascii="Arial" w:hAnsi="Arial" w:cs="Arial"/>
          <w:highlight w:val="green"/>
          <w:lang w:val="es-ES"/>
        </w:rPr>
      </w:pPr>
    </w:p>
    <w:p w14:paraId="3C74CCBD" w14:textId="77777777" w:rsidR="006F73E9" w:rsidRPr="00FA2C9A" w:rsidRDefault="00CE2142" w:rsidP="00FA2C9A">
      <w:pPr>
        <w:spacing w:after="0" w:line="276" w:lineRule="auto"/>
        <w:jc w:val="both"/>
        <w:rPr>
          <w:rFonts w:ascii="Arial" w:hAnsi="Arial" w:cs="Arial"/>
          <w:lang w:val="es-ES"/>
        </w:rPr>
      </w:pPr>
      <w:r w:rsidRPr="00FA2C9A">
        <w:rPr>
          <w:rFonts w:ascii="Arial" w:hAnsi="Arial" w:cs="Arial"/>
          <w:lang w:val="es-ES"/>
        </w:rPr>
        <w:t>En consecuencia, con base en lo anterior para el presente caso este operador judicial</w:t>
      </w:r>
      <w:r w:rsidR="006F73E9" w:rsidRPr="00FA2C9A">
        <w:rPr>
          <w:rFonts w:ascii="Arial" w:hAnsi="Arial" w:cs="Arial"/>
          <w:lang w:val="es-ES"/>
        </w:rPr>
        <w:t xml:space="preserve"> establece como honorarios a favor de perito Joaquín Orlando Garzón Pereira el </w:t>
      </w:r>
      <w:r w:rsidR="00FA2C9A">
        <w:rPr>
          <w:rFonts w:ascii="Arial" w:hAnsi="Arial" w:cs="Arial"/>
          <w:lang w:val="es-ES"/>
        </w:rPr>
        <w:t xml:space="preserve">1% </w:t>
      </w:r>
      <w:r w:rsidR="006F73E9" w:rsidRPr="00FA2C9A">
        <w:rPr>
          <w:rFonts w:ascii="Arial" w:hAnsi="Arial" w:cs="Arial"/>
          <w:lang w:val="es-ES"/>
        </w:rPr>
        <w:t xml:space="preserve">de la condena impuesta en la sentencia de primera instancia; es decir la suma de </w:t>
      </w:r>
      <w:r w:rsidR="006F73E9" w:rsidRPr="00FA2C9A">
        <w:rPr>
          <w:rFonts w:ascii="Arial" w:hAnsi="Arial" w:cs="Arial"/>
          <w:b/>
          <w:lang w:val="es-ES"/>
        </w:rPr>
        <w:t>QUINIENTOS SESENTA MIL SEISCIENTOS OCHENTA Y OCHO PESOS CON OCHENTA Y NUEVE CENTAVOS ($560.688,89),</w:t>
      </w:r>
      <w:r w:rsidR="006F73E9" w:rsidRPr="00FA2C9A">
        <w:rPr>
          <w:rFonts w:ascii="Arial" w:hAnsi="Arial" w:cs="Arial"/>
          <w:lang w:val="es-ES"/>
        </w:rPr>
        <w:t xml:space="preserve"> teniendo en cuenta que la condena impuesta en sentencia fue de $56.068.889,74. Este valor debe ser cancelando por la parte actora. </w:t>
      </w:r>
    </w:p>
    <w:p w14:paraId="67DF3F81" w14:textId="77777777" w:rsidR="006F73E9" w:rsidRPr="00FA2C9A" w:rsidRDefault="006F73E9" w:rsidP="00FA2C9A">
      <w:pPr>
        <w:spacing w:after="0" w:line="276" w:lineRule="auto"/>
        <w:jc w:val="both"/>
        <w:rPr>
          <w:rFonts w:ascii="Arial" w:hAnsi="Arial" w:cs="Arial"/>
          <w:lang w:val="es-ES"/>
        </w:rPr>
      </w:pPr>
    </w:p>
    <w:p w14:paraId="7A9437B0" w14:textId="0DB2DFA8" w:rsidR="006F73E9" w:rsidRPr="00FA2C9A" w:rsidRDefault="006F73E9" w:rsidP="00FA2C9A">
      <w:pPr>
        <w:spacing w:after="0" w:line="276" w:lineRule="auto"/>
        <w:jc w:val="both"/>
        <w:rPr>
          <w:rFonts w:ascii="Arial" w:hAnsi="Arial" w:cs="Arial"/>
          <w:lang w:val="es-ES"/>
        </w:rPr>
      </w:pPr>
      <w:r w:rsidRPr="00FA2C9A">
        <w:rPr>
          <w:rFonts w:ascii="Arial" w:hAnsi="Arial" w:cs="Arial"/>
          <w:b/>
          <w:lang w:val="es-ES"/>
        </w:rPr>
        <w:t>2.</w:t>
      </w:r>
      <w:r w:rsidRPr="00FA2C9A">
        <w:rPr>
          <w:rFonts w:ascii="Arial" w:hAnsi="Arial" w:cs="Arial"/>
          <w:lang w:val="es-ES"/>
        </w:rPr>
        <w:t xml:space="preserve"> Sobre la solicitud de actor de liquidar las agencias en derecho este Despacho </w:t>
      </w:r>
      <w:r w:rsidR="00FA2C9A" w:rsidRPr="00FA2C9A">
        <w:rPr>
          <w:rFonts w:ascii="Arial" w:hAnsi="Arial" w:cs="Arial"/>
          <w:lang w:val="es-ES"/>
        </w:rPr>
        <w:t xml:space="preserve">se estará a lo dispuesto en la sentencia de primera instancia, donde se decidió </w:t>
      </w:r>
      <w:r w:rsidRPr="00FA2C9A">
        <w:rPr>
          <w:rFonts w:ascii="Arial" w:hAnsi="Arial" w:cs="Arial"/>
          <w:lang w:val="es-ES"/>
        </w:rPr>
        <w:t>no condenar en costa</w:t>
      </w:r>
      <w:r w:rsidR="008A3689">
        <w:rPr>
          <w:rFonts w:ascii="Arial" w:hAnsi="Arial" w:cs="Arial"/>
          <w:lang w:val="es-ES"/>
        </w:rPr>
        <w:t>,</w:t>
      </w:r>
      <w:r w:rsidRPr="00FA2C9A">
        <w:rPr>
          <w:rFonts w:ascii="Arial" w:hAnsi="Arial" w:cs="Arial"/>
          <w:lang w:val="es-ES"/>
        </w:rPr>
        <w:t xml:space="preserve"> </w:t>
      </w:r>
      <w:r w:rsidR="00FA2C9A" w:rsidRPr="00FA2C9A">
        <w:rPr>
          <w:rFonts w:ascii="Arial" w:hAnsi="Arial" w:cs="Arial"/>
          <w:lang w:val="es-ES"/>
        </w:rPr>
        <w:t xml:space="preserve">concepto que incluye también el de agencia en derecho. </w:t>
      </w:r>
    </w:p>
    <w:p w14:paraId="2329567F" w14:textId="77777777" w:rsidR="002B3E49" w:rsidRPr="00FA2C9A" w:rsidRDefault="002B3E49" w:rsidP="00FA2C9A">
      <w:pPr>
        <w:spacing w:after="0" w:line="276" w:lineRule="auto"/>
        <w:jc w:val="both"/>
        <w:rPr>
          <w:rFonts w:ascii="Arial" w:hAnsi="Arial" w:cs="Arial"/>
        </w:rPr>
      </w:pPr>
    </w:p>
    <w:p w14:paraId="03E80DD9" w14:textId="77777777" w:rsidR="002B3E49" w:rsidRPr="00FA2C9A" w:rsidRDefault="002B3E49" w:rsidP="00FA2C9A">
      <w:pPr>
        <w:spacing w:line="276" w:lineRule="auto"/>
        <w:jc w:val="both"/>
        <w:rPr>
          <w:rFonts w:ascii="Arial" w:hAnsi="Arial" w:cs="Arial"/>
          <w:b/>
          <w:lang w:val="es-ES"/>
        </w:rPr>
      </w:pPr>
      <w:r w:rsidRPr="00FA2C9A">
        <w:rPr>
          <w:rFonts w:ascii="Arial" w:hAnsi="Arial" w:cs="Arial"/>
          <w:lang w:val="es-ES"/>
        </w:rPr>
        <w:t>En mérito de lo expuesto, se</w:t>
      </w:r>
      <w:r w:rsidRPr="00FA2C9A">
        <w:rPr>
          <w:rFonts w:ascii="Arial" w:hAnsi="Arial" w:cs="Arial"/>
          <w:b/>
          <w:lang w:val="es-ES"/>
        </w:rPr>
        <w:t xml:space="preserve"> RESUELVE:</w:t>
      </w:r>
    </w:p>
    <w:p w14:paraId="7867EAC9" w14:textId="223AEF93" w:rsidR="00FA2C9A" w:rsidRPr="00FA2C9A" w:rsidRDefault="00FA2C9A" w:rsidP="00FA2C9A">
      <w:pPr>
        <w:spacing w:after="0" w:line="276" w:lineRule="auto"/>
        <w:jc w:val="both"/>
        <w:rPr>
          <w:rFonts w:ascii="Arial" w:hAnsi="Arial" w:cs="Arial"/>
          <w:lang w:eastAsia="es-ES"/>
        </w:rPr>
      </w:pPr>
      <w:r w:rsidRPr="00FA2C9A">
        <w:rPr>
          <w:rFonts w:ascii="Arial" w:hAnsi="Arial" w:cs="Arial"/>
          <w:lang w:eastAsia="es-ES"/>
        </w:rPr>
        <w:t>Fíjes</w:t>
      </w:r>
      <w:r w:rsidR="008A3689">
        <w:rPr>
          <w:rFonts w:ascii="Arial" w:hAnsi="Arial" w:cs="Arial"/>
          <w:lang w:eastAsia="es-ES"/>
        </w:rPr>
        <w:t>n</w:t>
      </w:r>
      <w:bookmarkStart w:id="0" w:name="_GoBack"/>
      <w:bookmarkEnd w:id="0"/>
      <w:r w:rsidRPr="00FA2C9A">
        <w:rPr>
          <w:rFonts w:ascii="Arial" w:hAnsi="Arial" w:cs="Arial"/>
          <w:lang w:eastAsia="es-ES"/>
        </w:rPr>
        <w:t xml:space="preserve">e como horarios del perito el 1% de la condena impuesta en la sentencia de primera instancia que equivale a la suma de QUINIENTOS SESENTA MIL SEISCIENTOS OCHENTA Y OCHO PESOS CON OCHENTA Y NUEVE CENTAVOS ($560.688,89). </w:t>
      </w:r>
    </w:p>
    <w:p w14:paraId="45A7209F" w14:textId="77777777" w:rsidR="002B3E49" w:rsidRPr="00FA2C9A" w:rsidRDefault="002B3E49" w:rsidP="00FA2C9A">
      <w:pPr>
        <w:spacing w:after="0" w:line="276" w:lineRule="auto"/>
        <w:jc w:val="both"/>
        <w:rPr>
          <w:rFonts w:ascii="Arial" w:hAnsi="Arial" w:cs="Arial"/>
          <w:highlight w:val="green"/>
          <w:lang w:eastAsia="es-ES"/>
        </w:rPr>
      </w:pPr>
    </w:p>
    <w:p w14:paraId="379B5A7D" w14:textId="77777777" w:rsidR="002B3E49" w:rsidRPr="00FA2C9A" w:rsidRDefault="002B3E49" w:rsidP="00FA2C9A">
      <w:pPr>
        <w:spacing w:after="0" w:line="276" w:lineRule="auto"/>
        <w:jc w:val="both"/>
        <w:rPr>
          <w:rFonts w:ascii="Arial" w:hAnsi="Arial" w:cs="Arial"/>
          <w:b/>
          <w:bCs/>
          <w:lang w:eastAsia="es-ES"/>
        </w:rPr>
      </w:pPr>
      <w:r w:rsidRPr="00FA2C9A">
        <w:rPr>
          <w:rFonts w:ascii="Arial" w:hAnsi="Arial" w:cs="Arial"/>
          <w:b/>
          <w:bCs/>
          <w:lang w:eastAsia="es-ES"/>
        </w:rPr>
        <w:t xml:space="preserve">NOTIFÍQUESE Y </w:t>
      </w:r>
      <w:r w:rsidR="00FA2C9A" w:rsidRPr="00FA2C9A">
        <w:rPr>
          <w:rFonts w:ascii="Arial" w:hAnsi="Arial" w:cs="Arial"/>
          <w:b/>
          <w:bCs/>
          <w:lang w:eastAsia="es-ES"/>
        </w:rPr>
        <w:t>CÚMPLASE</w:t>
      </w:r>
    </w:p>
    <w:p w14:paraId="5DEB485F" w14:textId="77777777" w:rsidR="002B3E49" w:rsidRPr="00FA2C9A" w:rsidRDefault="002B3E49" w:rsidP="00FA2C9A">
      <w:pPr>
        <w:spacing w:after="0" w:line="276" w:lineRule="auto"/>
        <w:jc w:val="both"/>
        <w:rPr>
          <w:rFonts w:ascii="Arial" w:hAnsi="Arial" w:cs="Arial"/>
          <w:b/>
          <w:color w:val="000000"/>
          <w:lang w:eastAsia="es-ES"/>
        </w:rPr>
      </w:pPr>
    </w:p>
    <w:p w14:paraId="264451FC" w14:textId="77777777" w:rsidR="002B3E49" w:rsidRPr="00FA2C9A" w:rsidRDefault="002B3E49" w:rsidP="00FA2C9A">
      <w:pPr>
        <w:spacing w:after="0" w:line="276" w:lineRule="auto"/>
        <w:ind w:left="283"/>
        <w:jc w:val="center"/>
        <w:rPr>
          <w:rFonts w:ascii="Arial" w:hAnsi="Arial" w:cs="Arial"/>
          <w:b/>
          <w:color w:val="000000"/>
          <w:lang w:eastAsia="es-ES"/>
        </w:rPr>
      </w:pPr>
      <w:r w:rsidRPr="00FA2C9A">
        <w:rPr>
          <w:rFonts w:ascii="Arial" w:hAnsi="Arial" w:cs="Arial"/>
          <w:b/>
          <w:color w:val="000000"/>
          <w:lang w:eastAsia="es-ES"/>
        </w:rPr>
        <w:t>OLGA CECILIA HENAO MARÍN</w:t>
      </w:r>
    </w:p>
    <w:p w14:paraId="2609F27C" w14:textId="77777777" w:rsidR="002B3E49" w:rsidRPr="00FA2C9A" w:rsidRDefault="002B3E49" w:rsidP="00FA2C9A">
      <w:pPr>
        <w:spacing w:after="0" w:line="276" w:lineRule="auto"/>
        <w:ind w:left="283"/>
        <w:jc w:val="center"/>
        <w:rPr>
          <w:rFonts w:ascii="Arial" w:hAnsi="Arial" w:cs="Arial"/>
          <w:b/>
          <w:color w:val="000000"/>
          <w:lang w:eastAsia="es-ES"/>
        </w:rPr>
      </w:pPr>
      <w:r w:rsidRPr="00FA2C9A">
        <w:rPr>
          <w:rFonts w:ascii="Arial" w:hAnsi="Arial" w:cs="Arial"/>
          <w:b/>
          <w:color w:val="000000"/>
          <w:lang w:eastAsia="es-ES"/>
        </w:rPr>
        <w:t>Juez</w:t>
      </w:r>
    </w:p>
    <w:p w14:paraId="66A852E4" w14:textId="77777777" w:rsidR="002B3E49" w:rsidRPr="00FA2C9A" w:rsidRDefault="00FA2C9A" w:rsidP="00FA2C9A">
      <w:pPr>
        <w:spacing w:after="0" w:line="276" w:lineRule="auto"/>
        <w:jc w:val="both"/>
        <w:rPr>
          <w:rFonts w:ascii="Arial" w:eastAsia="Calibri" w:hAnsi="Arial" w:cs="Arial"/>
          <w:sz w:val="12"/>
          <w:lang w:eastAsia="es-ES"/>
        </w:rPr>
      </w:pPr>
      <w:r w:rsidRPr="00FA2C9A">
        <w:rPr>
          <w:rFonts w:ascii="Arial" w:eastAsia="Calibri" w:hAnsi="Arial" w:cs="Arial"/>
          <w:sz w:val="12"/>
          <w:lang w:eastAsia="es-ES"/>
        </w:rPr>
        <w:t>JBR</w:t>
      </w:r>
    </w:p>
    <w:p w14:paraId="6280D87B" w14:textId="77777777" w:rsidR="00977E91" w:rsidRPr="00FA2C9A" w:rsidRDefault="009F0F03" w:rsidP="00FA2C9A">
      <w:pPr>
        <w:spacing w:line="276" w:lineRule="auto"/>
        <w:rPr>
          <w:rFonts w:ascii="Arial" w:hAnsi="Arial" w:cs="Arial"/>
        </w:rPr>
      </w:pPr>
    </w:p>
    <w:sectPr w:rsidR="00977E91" w:rsidRPr="00FA2C9A" w:rsidSect="008D4073">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64DF6" w14:textId="77777777" w:rsidR="009F0F03" w:rsidRDefault="009F0F03" w:rsidP="002B3E49">
      <w:pPr>
        <w:spacing w:after="0" w:line="240" w:lineRule="auto"/>
      </w:pPr>
      <w:r>
        <w:separator/>
      </w:r>
    </w:p>
  </w:endnote>
  <w:endnote w:type="continuationSeparator" w:id="0">
    <w:p w14:paraId="0052E5A0" w14:textId="77777777" w:rsidR="009F0F03" w:rsidRDefault="009F0F03" w:rsidP="002B3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5B5D8" w14:textId="77777777" w:rsidR="009F0F03" w:rsidRDefault="009F0F03" w:rsidP="002B3E49">
      <w:pPr>
        <w:spacing w:after="0" w:line="240" w:lineRule="auto"/>
      </w:pPr>
      <w:r>
        <w:separator/>
      </w:r>
    </w:p>
  </w:footnote>
  <w:footnote w:type="continuationSeparator" w:id="0">
    <w:p w14:paraId="1FD3077A" w14:textId="77777777" w:rsidR="009F0F03" w:rsidRDefault="009F0F03" w:rsidP="002B3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96765" w14:textId="77777777" w:rsidR="00FA2C9A" w:rsidRDefault="00FA2C9A" w:rsidP="008D4073">
    <w:pPr>
      <w:pStyle w:val="Encabezado"/>
      <w:jc w:val="right"/>
      <w:rPr>
        <w:rFonts w:ascii="Tahoma" w:hAnsi="Tahoma" w:cs="Tahoma"/>
        <w:sz w:val="14"/>
        <w:szCs w:val="14"/>
      </w:rPr>
    </w:pPr>
    <w:r w:rsidRPr="00263EBF">
      <w:rPr>
        <w:rFonts w:ascii="Tahoma" w:hAnsi="Tahoma" w:cs="Tahoma"/>
        <w:sz w:val="14"/>
        <w:szCs w:val="14"/>
      </w:rPr>
      <w:t xml:space="preserve">Expediente: </w:t>
    </w:r>
    <w:r>
      <w:rPr>
        <w:rFonts w:ascii="Tahoma" w:hAnsi="Tahoma" w:cs="Tahoma"/>
        <w:sz w:val="14"/>
        <w:szCs w:val="14"/>
      </w:rPr>
      <w:t>2018-0056</w:t>
    </w:r>
  </w:p>
  <w:p w14:paraId="20E048F6" w14:textId="77777777" w:rsidR="00263EBF" w:rsidRPr="00263EBF" w:rsidRDefault="00FA2C9A" w:rsidP="008D4073">
    <w:pPr>
      <w:pStyle w:val="Encabezado"/>
      <w:jc w:val="right"/>
      <w:rPr>
        <w:rFonts w:ascii="Tahoma" w:hAnsi="Tahoma" w:cs="Tahoma"/>
        <w:sz w:val="14"/>
        <w:szCs w:val="14"/>
        <w:lang w:val="es-MX" w:eastAsia="es-ES"/>
      </w:rPr>
    </w:pPr>
    <w:r w:rsidRPr="00263EBF">
      <w:rPr>
        <w:rFonts w:ascii="Tahoma" w:hAnsi="Tahoma" w:cs="Tahoma"/>
        <w:sz w:val="14"/>
        <w:szCs w:val="14"/>
        <w:lang w:val="es-MX" w:eastAsia="es-ES"/>
      </w:rPr>
      <w:t xml:space="preserve">DECIDE SOLICITUD </w:t>
    </w:r>
    <w:r>
      <w:rPr>
        <w:rFonts w:ascii="Tahoma" w:hAnsi="Tahoma" w:cs="Tahoma"/>
        <w:sz w:val="14"/>
        <w:szCs w:val="14"/>
        <w:lang w:val="es-MX" w:eastAsia="es-ES"/>
      </w:rPr>
      <w:t xml:space="preserve">DE PAGO DE HONORARIOS </w:t>
    </w:r>
    <w:r w:rsidRPr="00263EBF">
      <w:rPr>
        <w:rFonts w:ascii="Tahoma" w:hAnsi="Tahoma" w:cs="Tahoma"/>
        <w:sz w:val="14"/>
        <w:szCs w:val="14"/>
        <w:lang w:val="es-MX" w:eastAsia="es-ES"/>
      </w:rPr>
      <w:t>DEL PERITO</w:t>
    </w:r>
  </w:p>
  <w:p w14:paraId="575BD2D8" w14:textId="77777777" w:rsidR="008D4073" w:rsidRPr="00263EBF" w:rsidRDefault="00FA2C9A" w:rsidP="008D4073">
    <w:pPr>
      <w:pStyle w:val="Encabezado"/>
      <w:jc w:val="right"/>
      <w:rPr>
        <w:rFonts w:ascii="Tahoma" w:hAnsi="Tahoma" w:cs="Tahoma"/>
        <w:sz w:val="14"/>
        <w:szCs w:val="14"/>
      </w:rPr>
    </w:pPr>
    <w:r w:rsidRPr="00263EBF">
      <w:rPr>
        <w:rFonts w:ascii="Tahoma" w:hAnsi="Tahoma" w:cs="Tahoma"/>
        <w:sz w:val="14"/>
        <w:szCs w:val="14"/>
      </w:rPr>
      <w:t xml:space="preserve">Página 2 de </w:t>
    </w:r>
    <w:r w:rsidRPr="00263EBF">
      <w:rPr>
        <w:rFonts w:ascii="Tahoma" w:hAnsi="Tahoma" w:cs="Tahoma"/>
        <w:sz w:val="14"/>
        <w:szCs w:val="14"/>
      </w:rPr>
      <w:fldChar w:fldCharType="begin"/>
    </w:r>
    <w:r w:rsidRPr="00263EBF">
      <w:rPr>
        <w:rFonts w:ascii="Tahoma" w:hAnsi="Tahoma" w:cs="Tahoma"/>
        <w:sz w:val="14"/>
        <w:szCs w:val="14"/>
      </w:rPr>
      <w:instrText xml:space="preserve"> NUMPAGES  \* Arabic  \* MERGEFORMAT </w:instrText>
    </w:r>
    <w:r w:rsidRPr="00263EBF">
      <w:rPr>
        <w:rFonts w:ascii="Tahoma" w:hAnsi="Tahoma" w:cs="Tahoma"/>
        <w:sz w:val="14"/>
        <w:szCs w:val="14"/>
      </w:rPr>
      <w:fldChar w:fldCharType="separate"/>
    </w:r>
    <w:r>
      <w:rPr>
        <w:rFonts w:ascii="Tahoma" w:hAnsi="Tahoma" w:cs="Tahoma"/>
        <w:noProof/>
        <w:sz w:val="14"/>
        <w:szCs w:val="14"/>
      </w:rPr>
      <w:t>2</w:t>
    </w:r>
    <w:r w:rsidRPr="00263EBF">
      <w:rPr>
        <w:rFonts w:ascii="Tahoma" w:hAnsi="Tahoma" w:cs="Tahoma"/>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9AE87" w14:textId="77777777" w:rsidR="008D4073" w:rsidRPr="00B810C3" w:rsidRDefault="00FA2C9A" w:rsidP="008D4073">
    <w:pPr>
      <w:pStyle w:val="Encabezado"/>
      <w:jc w:val="center"/>
      <w:rPr>
        <w:rFonts w:ascii="Arial" w:hAnsi="Arial" w:cs="Arial"/>
        <w:b/>
        <w:i/>
        <w:sz w:val="12"/>
        <w:szCs w:val="12"/>
      </w:rPr>
    </w:pPr>
    <w:r w:rsidRPr="00B810C3">
      <w:rPr>
        <w:rFonts w:ascii="Arial" w:hAnsi="Arial" w:cs="Arial"/>
        <w:b/>
        <w:i/>
        <w:noProof/>
        <w:sz w:val="12"/>
        <w:szCs w:val="12"/>
        <w:lang w:val="es-ES" w:eastAsia="es-ES"/>
      </w:rPr>
      <w:drawing>
        <wp:inline distT="0" distB="0" distL="0" distR="0" wp14:anchorId="11DDFF1D" wp14:editId="0C90C891">
          <wp:extent cx="666750" cy="571500"/>
          <wp:effectExtent l="0" t="0" r="0" b="0"/>
          <wp:docPr id="2"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571500"/>
                  </a:xfrm>
                  <a:prstGeom prst="rect">
                    <a:avLst/>
                  </a:prstGeom>
                  <a:noFill/>
                  <a:ln>
                    <a:noFill/>
                  </a:ln>
                </pic:spPr>
              </pic:pic>
            </a:graphicData>
          </a:graphic>
        </wp:inline>
      </w:drawing>
    </w:r>
  </w:p>
  <w:p w14:paraId="25D94E2E" w14:textId="77777777" w:rsidR="008D4073" w:rsidRPr="00B810C3" w:rsidRDefault="00FA2C9A" w:rsidP="008D4073">
    <w:pPr>
      <w:pStyle w:val="Encabezado"/>
      <w:jc w:val="center"/>
      <w:rPr>
        <w:rFonts w:ascii="Tahoma" w:hAnsi="Tahoma" w:cs="Tahoma"/>
        <w:b/>
        <w:sz w:val="12"/>
        <w:szCs w:val="12"/>
        <w:lang w:val="es-MX"/>
      </w:rPr>
    </w:pPr>
    <w:r w:rsidRPr="00B810C3">
      <w:rPr>
        <w:rFonts w:ascii="Tahoma" w:hAnsi="Tahoma" w:cs="Tahoma"/>
        <w:b/>
        <w:sz w:val="12"/>
        <w:szCs w:val="12"/>
        <w:lang w:val="es-MX"/>
      </w:rPr>
      <w:t>JUZGADO TREINTA Y CUATRO ADMINISTRATIVO</w:t>
    </w:r>
  </w:p>
  <w:p w14:paraId="1C990C16" w14:textId="77777777" w:rsidR="008D4073" w:rsidRPr="00B810C3" w:rsidRDefault="00FA2C9A" w:rsidP="008D4073">
    <w:pPr>
      <w:pStyle w:val="Encabezado"/>
      <w:jc w:val="center"/>
      <w:rPr>
        <w:rFonts w:ascii="Tahoma" w:hAnsi="Tahoma" w:cs="Tahoma"/>
        <w:b/>
        <w:sz w:val="12"/>
        <w:szCs w:val="12"/>
        <w:lang w:val="es-MX"/>
      </w:rPr>
    </w:pPr>
    <w:r w:rsidRPr="00B810C3">
      <w:rPr>
        <w:rFonts w:ascii="Tahoma" w:hAnsi="Tahoma" w:cs="Tahoma"/>
        <w:b/>
        <w:sz w:val="12"/>
        <w:szCs w:val="12"/>
        <w:lang w:val="es-MX"/>
      </w:rPr>
      <w:t>ORAL DE BOGOTÁ</w:t>
    </w:r>
  </w:p>
  <w:p w14:paraId="36716582" w14:textId="77777777" w:rsidR="008D4073" w:rsidRPr="00B810C3" w:rsidRDefault="00FA2C9A" w:rsidP="008D4073">
    <w:pPr>
      <w:pStyle w:val="Encabezado"/>
      <w:jc w:val="center"/>
      <w:rPr>
        <w:rFonts w:ascii="Tahoma" w:hAnsi="Tahoma" w:cs="Tahoma"/>
        <w:b/>
        <w:sz w:val="12"/>
        <w:szCs w:val="12"/>
        <w:lang w:val="es-MX"/>
      </w:rPr>
    </w:pPr>
    <w:r w:rsidRPr="00B810C3">
      <w:rPr>
        <w:rFonts w:ascii="Tahoma" w:hAnsi="Tahoma" w:cs="Tahoma"/>
        <w:b/>
        <w:sz w:val="12"/>
        <w:szCs w:val="12"/>
        <w:lang w:val="es-MX"/>
      </w:rPr>
      <w:t>Sección Tercera</w:t>
    </w:r>
  </w:p>
  <w:p w14:paraId="37500AF0" w14:textId="77777777" w:rsidR="008D4073" w:rsidRDefault="009F0F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49"/>
    <w:rsid w:val="00041F99"/>
    <w:rsid w:val="00167985"/>
    <w:rsid w:val="00290B01"/>
    <w:rsid w:val="002B3E49"/>
    <w:rsid w:val="002E2A2F"/>
    <w:rsid w:val="0035280B"/>
    <w:rsid w:val="00380A99"/>
    <w:rsid w:val="003C778E"/>
    <w:rsid w:val="0064624D"/>
    <w:rsid w:val="006F73E9"/>
    <w:rsid w:val="008A3689"/>
    <w:rsid w:val="00936FA6"/>
    <w:rsid w:val="0098707E"/>
    <w:rsid w:val="009F0F03"/>
    <w:rsid w:val="00B355E6"/>
    <w:rsid w:val="00C360B1"/>
    <w:rsid w:val="00C968B3"/>
    <w:rsid w:val="00CE2142"/>
    <w:rsid w:val="00FA2C9A"/>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39F3"/>
  <w15:chartTrackingRefBased/>
  <w15:docId w15:val="{A0F748BB-9996-4CC8-BF63-DE07FA0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49"/>
    <w:pPr>
      <w:spacing w:after="160" w:line="259" w:lineRule="auto"/>
    </w:pPr>
    <w:rPr>
      <w:rFonts w:eastAsia="Times New Roman"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3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3E49"/>
    <w:rPr>
      <w:rFonts w:eastAsia="Times New Roman" w:cs="Times New Roman"/>
      <w:lang w:val="es-CO"/>
    </w:rPr>
  </w:style>
  <w:style w:type="character" w:styleId="Refdenotaalpie">
    <w:name w:val="footnote reference"/>
    <w:basedOn w:val="Fuentedeprrafopredeter"/>
    <w:uiPriority w:val="99"/>
    <w:semiHidden/>
    <w:unhideWhenUsed/>
    <w:rsid w:val="002B3E49"/>
    <w:rPr>
      <w:rFonts w:cs="Times New Roman"/>
      <w:vertAlign w:val="superscript"/>
    </w:rPr>
  </w:style>
  <w:style w:type="paragraph" w:styleId="Textonotapie">
    <w:name w:val="footnote text"/>
    <w:basedOn w:val="Normal"/>
    <w:link w:val="TextonotapieCar"/>
    <w:uiPriority w:val="99"/>
    <w:semiHidden/>
    <w:unhideWhenUsed/>
    <w:rsid w:val="002B3E49"/>
    <w:pPr>
      <w:spacing w:after="0" w:line="240" w:lineRule="auto"/>
    </w:pPr>
    <w:rPr>
      <w:rFonts w:eastAsiaTheme="minorHAnsi" w:cstheme="minorBidi"/>
      <w:sz w:val="20"/>
      <w:szCs w:val="20"/>
    </w:rPr>
  </w:style>
  <w:style w:type="character" w:customStyle="1" w:styleId="TextonotapieCar">
    <w:name w:val="Texto nota pie Car"/>
    <w:basedOn w:val="Fuentedeprrafopredeter"/>
    <w:link w:val="Textonotapie"/>
    <w:uiPriority w:val="99"/>
    <w:semiHidden/>
    <w:rsid w:val="002B3E49"/>
    <w:rPr>
      <w:sz w:val="20"/>
      <w:szCs w:val="20"/>
      <w:lang w:val="es-CO"/>
    </w:rPr>
  </w:style>
  <w:style w:type="paragraph" w:styleId="Sinespaciado">
    <w:name w:val="No Spacing"/>
    <w:uiPriority w:val="1"/>
    <w:qFormat/>
    <w:rsid w:val="002B3E49"/>
    <w:pPr>
      <w:spacing w:after="0" w:line="240" w:lineRule="auto"/>
    </w:pPr>
    <w:rPr>
      <w:lang w:val="es-CO"/>
    </w:rPr>
  </w:style>
  <w:style w:type="paragraph" w:styleId="Piedepgina">
    <w:name w:val="footer"/>
    <w:basedOn w:val="Normal"/>
    <w:link w:val="PiedepginaCar"/>
    <w:uiPriority w:val="99"/>
    <w:unhideWhenUsed/>
    <w:rsid w:val="00FA2C9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2C9A"/>
    <w:rPr>
      <w:rFonts w:eastAsia="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32298">
      <w:bodyDiv w:val="1"/>
      <w:marLeft w:val="0"/>
      <w:marRight w:val="0"/>
      <w:marTop w:val="0"/>
      <w:marBottom w:val="0"/>
      <w:divBdr>
        <w:top w:val="none" w:sz="0" w:space="0" w:color="auto"/>
        <w:left w:val="none" w:sz="0" w:space="0" w:color="auto"/>
        <w:bottom w:val="none" w:sz="0" w:space="0" w:color="auto"/>
        <w:right w:val="none" w:sz="0" w:space="0" w:color="auto"/>
      </w:divBdr>
    </w:div>
    <w:div w:id="201676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A9E0-1B10-4989-88ED-E4379EB5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2020-01-13T09:52:00Z</dcterms:created>
  <dcterms:modified xsi:type="dcterms:W3CDTF">2020-01-13T09:52:00Z</dcterms:modified>
</cp:coreProperties>
</file>