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663"/>
      </w:tblGrid>
      <w:tr w:rsidR="007925DD" w:rsidRPr="00FF7D36" w:rsidTr="00D606EC">
        <w:tc>
          <w:tcPr>
            <w:tcW w:w="2268" w:type="dxa"/>
            <w:tcBorders>
              <w:top w:val="single" w:sz="4" w:space="0" w:color="auto"/>
              <w:left w:val="single" w:sz="4" w:space="0" w:color="auto"/>
              <w:bottom w:val="single" w:sz="4" w:space="0" w:color="auto"/>
              <w:right w:val="single" w:sz="4" w:space="0" w:color="auto"/>
            </w:tcBorders>
            <w:vAlign w:val="center"/>
            <w:hideMark/>
          </w:tcPr>
          <w:p w:rsidR="007925DD" w:rsidRPr="00FF7D36" w:rsidRDefault="007925DD" w:rsidP="00D606EC">
            <w:pPr>
              <w:spacing w:after="0" w:line="276" w:lineRule="auto"/>
              <w:rPr>
                <w:rFonts w:ascii="Century Gothic" w:hAnsi="Century Gothic" w:cs="Arial"/>
              </w:rPr>
            </w:pPr>
            <w:r w:rsidRPr="00FF7D36">
              <w:rPr>
                <w:rFonts w:ascii="Century Gothic" w:hAnsi="Century Gothic" w:cs="Arial"/>
              </w:rPr>
              <w:t>CIUDAD Y FECHA</w:t>
            </w:r>
          </w:p>
        </w:tc>
        <w:tc>
          <w:tcPr>
            <w:tcW w:w="6663" w:type="dxa"/>
            <w:tcBorders>
              <w:top w:val="single" w:sz="4" w:space="0" w:color="auto"/>
              <w:left w:val="single" w:sz="4" w:space="0" w:color="auto"/>
              <w:bottom w:val="single" w:sz="4" w:space="0" w:color="auto"/>
              <w:right w:val="single" w:sz="4" w:space="0" w:color="auto"/>
            </w:tcBorders>
            <w:hideMark/>
          </w:tcPr>
          <w:p w:rsidR="007925DD" w:rsidRPr="00FF7D36" w:rsidRDefault="007925DD" w:rsidP="00D606EC">
            <w:pPr>
              <w:spacing w:after="0" w:line="276" w:lineRule="auto"/>
              <w:rPr>
                <w:rFonts w:ascii="Century Gothic" w:hAnsi="Century Gothic" w:cs="Arial"/>
                <w:b/>
              </w:rPr>
            </w:pPr>
            <w:r w:rsidRPr="00FF7D36">
              <w:rPr>
                <w:rFonts w:ascii="Century Gothic" w:hAnsi="Century Gothic" w:cs="Arial"/>
                <w:b/>
              </w:rPr>
              <w:t xml:space="preserve">Bogotá D.C., </w:t>
            </w:r>
            <w:r>
              <w:rPr>
                <w:rFonts w:ascii="Century Gothic" w:hAnsi="Century Gothic" w:cs="Arial"/>
                <w:b/>
              </w:rPr>
              <w:t>once (11</w:t>
            </w:r>
            <w:r w:rsidRPr="00FF7D36">
              <w:rPr>
                <w:rFonts w:ascii="Century Gothic" w:hAnsi="Century Gothic" w:cs="Arial"/>
                <w:b/>
              </w:rPr>
              <w:t xml:space="preserve">) de </w:t>
            </w:r>
            <w:r>
              <w:rPr>
                <w:rFonts w:ascii="Century Gothic" w:hAnsi="Century Gothic" w:cs="Arial"/>
                <w:b/>
              </w:rPr>
              <w:t>marzo</w:t>
            </w:r>
            <w:r w:rsidRPr="00FF7D36">
              <w:rPr>
                <w:rFonts w:ascii="Century Gothic" w:hAnsi="Century Gothic" w:cs="Arial"/>
                <w:b/>
              </w:rPr>
              <w:t xml:space="preserve"> </w:t>
            </w:r>
            <w:r w:rsidRPr="00FF7D36">
              <w:rPr>
                <w:rFonts w:ascii="Century Gothic" w:hAnsi="Century Gothic" w:cs="Arial"/>
                <w:b/>
              </w:rPr>
              <w:fldChar w:fldCharType="begin"/>
            </w:r>
            <w:r w:rsidRPr="00FF7D36">
              <w:rPr>
                <w:rFonts w:ascii="Century Gothic" w:hAnsi="Century Gothic" w:cs="Arial"/>
                <w:b/>
              </w:rPr>
              <w:instrText xml:space="preserve"> MERGEFIELD FECHA_AUTO_ </w:instrText>
            </w:r>
            <w:r w:rsidRPr="00FF7D36">
              <w:rPr>
                <w:rFonts w:ascii="Century Gothic" w:hAnsi="Century Gothic" w:cs="Arial"/>
                <w:b/>
              </w:rPr>
              <w:fldChar w:fldCharType="separate"/>
            </w:r>
            <w:r w:rsidRPr="00FF7D36">
              <w:rPr>
                <w:rFonts w:ascii="Century Gothic" w:hAnsi="Century Gothic" w:cs="Arial"/>
                <w:b/>
              </w:rPr>
              <w:t>de dos mil veinte (2020)</w:t>
            </w:r>
            <w:r w:rsidRPr="00FF7D36">
              <w:rPr>
                <w:rFonts w:ascii="Century Gothic" w:hAnsi="Century Gothic" w:cs="Arial"/>
                <w:b/>
              </w:rPr>
              <w:fldChar w:fldCharType="end"/>
            </w:r>
          </w:p>
        </w:tc>
      </w:tr>
      <w:tr w:rsidR="007925DD" w:rsidRPr="00FF7D36" w:rsidTr="00D606EC">
        <w:tc>
          <w:tcPr>
            <w:tcW w:w="2268" w:type="dxa"/>
            <w:tcBorders>
              <w:top w:val="single" w:sz="4" w:space="0" w:color="auto"/>
              <w:left w:val="single" w:sz="4" w:space="0" w:color="auto"/>
              <w:bottom w:val="single" w:sz="4" w:space="0" w:color="auto"/>
              <w:right w:val="single" w:sz="4" w:space="0" w:color="auto"/>
            </w:tcBorders>
            <w:vAlign w:val="center"/>
            <w:hideMark/>
          </w:tcPr>
          <w:p w:rsidR="007925DD" w:rsidRPr="00FF7D36" w:rsidRDefault="007925DD" w:rsidP="00D606EC">
            <w:pPr>
              <w:spacing w:after="0" w:line="276" w:lineRule="auto"/>
              <w:rPr>
                <w:rFonts w:ascii="Century Gothic" w:hAnsi="Century Gothic" w:cs="Arial"/>
              </w:rPr>
            </w:pPr>
            <w:r w:rsidRPr="00FF7D36">
              <w:rPr>
                <w:rFonts w:ascii="Century Gothic" w:hAnsi="Century Gothic" w:cs="Arial"/>
              </w:rPr>
              <w:t>REFERENCIA</w:t>
            </w:r>
          </w:p>
        </w:tc>
        <w:tc>
          <w:tcPr>
            <w:tcW w:w="6663" w:type="dxa"/>
            <w:tcBorders>
              <w:top w:val="single" w:sz="4" w:space="0" w:color="auto"/>
              <w:left w:val="single" w:sz="4" w:space="0" w:color="auto"/>
              <w:bottom w:val="single" w:sz="4" w:space="0" w:color="auto"/>
              <w:right w:val="single" w:sz="4" w:space="0" w:color="auto"/>
            </w:tcBorders>
            <w:hideMark/>
          </w:tcPr>
          <w:p w:rsidR="007925DD" w:rsidRPr="00FF7D36" w:rsidRDefault="007925DD" w:rsidP="00D606EC">
            <w:pPr>
              <w:spacing w:after="0" w:line="276" w:lineRule="auto"/>
              <w:jc w:val="both"/>
              <w:rPr>
                <w:rFonts w:ascii="Century Gothic" w:hAnsi="Century Gothic" w:cs="Arial"/>
                <w:b/>
              </w:rPr>
            </w:pPr>
            <w:r w:rsidRPr="00FF7D36">
              <w:rPr>
                <w:rFonts w:ascii="Century Gothic" w:hAnsi="Century Gothic" w:cs="Arial"/>
                <w:b/>
              </w:rPr>
              <w:t xml:space="preserve">Expediente No. </w:t>
            </w:r>
            <w:r w:rsidRPr="00FF7D36">
              <w:rPr>
                <w:rFonts w:ascii="Century Gothic" w:hAnsi="Century Gothic" w:cs="Arial"/>
                <w:b/>
              </w:rPr>
              <w:fldChar w:fldCharType="begin"/>
            </w:r>
            <w:r w:rsidRPr="00FF7D36">
              <w:rPr>
                <w:rFonts w:ascii="Century Gothic" w:hAnsi="Century Gothic" w:cs="Arial"/>
                <w:b/>
              </w:rPr>
              <w:instrText xml:space="preserve"> MERGEFIELD EXPEDIENTE </w:instrText>
            </w:r>
            <w:r w:rsidRPr="00FF7D36">
              <w:rPr>
                <w:rFonts w:ascii="Century Gothic" w:hAnsi="Century Gothic" w:cs="Arial"/>
                <w:b/>
              </w:rPr>
              <w:fldChar w:fldCharType="separate"/>
            </w:r>
            <w:r w:rsidRPr="00FF7D36">
              <w:rPr>
                <w:rFonts w:ascii="Century Gothic" w:hAnsi="Century Gothic" w:cs="Arial"/>
                <w:b/>
              </w:rPr>
              <w:t>11001333603420190026700</w:t>
            </w:r>
            <w:r w:rsidRPr="00FF7D36">
              <w:rPr>
                <w:rFonts w:ascii="Century Gothic" w:hAnsi="Century Gothic" w:cs="Arial"/>
                <w:b/>
              </w:rPr>
              <w:fldChar w:fldCharType="end"/>
            </w:r>
          </w:p>
        </w:tc>
      </w:tr>
      <w:tr w:rsidR="007925DD" w:rsidRPr="00FF7D36" w:rsidTr="00D606EC">
        <w:tc>
          <w:tcPr>
            <w:tcW w:w="2268" w:type="dxa"/>
            <w:tcBorders>
              <w:top w:val="single" w:sz="4" w:space="0" w:color="auto"/>
              <w:left w:val="single" w:sz="4" w:space="0" w:color="auto"/>
              <w:bottom w:val="single" w:sz="4" w:space="0" w:color="auto"/>
              <w:right w:val="single" w:sz="4" w:space="0" w:color="auto"/>
            </w:tcBorders>
            <w:vAlign w:val="center"/>
            <w:hideMark/>
          </w:tcPr>
          <w:p w:rsidR="007925DD" w:rsidRPr="00FF7D36" w:rsidRDefault="007925DD" w:rsidP="00D606EC">
            <w:pPr>
              <w:spacing w:after="0" w:line="276" w:lineRule="auto"/>
              <w:rPr>
                <w:rFonts w:ascii="Century Gothic" w:hAnsi="Century Gothic" w:cs="Arial"/>
              </w:rPr>
            </w:pPr>
            <w:r w:rsidRPr="00FF7D36">
              <w:rPr>
                <w:rFonts w:ascii="Century Gothic" w:hAnsi="Century Gothic" w:cs="Arial"/>
              </w:rPr>
              <w:t>DEMANDANTE</w:t>
            </w:r>
          </w:p>
        </w:tc>
        <w:tc>
          <w:tcPr>
            <w:tcW w:w="6663" w:type="dxa"/>
            <w:tcBorders>
              <w:top w:val="single" w:sz="4" w:space="0" w:color="auto"/>
              <w:left w:val="single" w:sz="4" w:space="0" w:color="auto"/>
              <w:bottom w:val="single" w:sz="4" w:space="0" w:color="auto"/>
              <w:right w:val="single" w:sz="4" w:space="0" w:color="auto"/>
            </w:tcBorders>
            <w:hideMark/>
          </w:tcPr>
          <w:p w:rsidR="007925DD" w:rsidRPr="00FF7D36" w:rsidRDefault="007925DD" w:rsidP="00D606EC">
            <w:pPr>
              <w:shd w:val="clear" w:color="auto" w:fill="FFFFFF"/>
              <w:spacing w:after="0" w:line="276" w:lineRule="auto"/>
              <w:jc w:val="both"/>
              <w:rPr>
                <w:rFonts w:ascii="Century Gothic" w:hAnsi="Century Gothic" w:cs="Arial"/>
                <w:b/>
              </w:rPr>
            </w:pPr>
            <w:r w:rsidRPr="00FF7D36">
              <w:rPr>
                <w:rFonts w:ascii="Century Gothic" w:hAnsi="Century Gothic" w:cs="Arial"/>
                <w:b/>
              </w:rPr>
              <w:fldChar w:fldCharType="begin"/>
            </w:r>
            <w:r w:rsidRPr="00FF7D36">
              <w:rPr>
                <w:rFonts w:ascii="Century Gothic" w:hAnsi="Century Gothic" w:cs="Arial"/>
                <w:b/>
              </w:rPr>
              <w:instrText xml:space="preserve"> MERGEFIELD DEMANDANTE </w:instrText>
            </w:r>
            <w:r w:rsidRPr="00FF7D36">
              <w:rPr>
                <w:rFonts w:ascii="Century Gothic" w:hAnsi="Century Gothic" w:cs="Arial"/>
                <w:b/>
              </w:rPr>
              <w:fldChar w:fldCharType="separate"/>
            </w:r>
            <w:r w:rsidRPr="00FF7D36">
              <w:rPr>
                <w:rFonts w:ascii="Century Gothic" w:hAnsi="Century Gothic" w:cs="Arial"/>
                <w:b/>
              </w:rPr>
              <w:t xml:space="preserve">MIGUEL ÁNGEL ROZO SÁNCHEZ Y OTROS </w:t>
            </w:r>
            <w:r w:rsidRPr="00FF7D36">
              <w:rPr>
                <w:rFonts w:ascii="Century Gothic" w:hAnsi="Century Gothic" w:cs="Arial"/>
                <w:b/>
              </w:rPr>
              <w:fldChar w:fldCharType="end"/>
            </w:r>
          </w:p>
        </w:tc>
      </w:tr>
      <w:tr w:rsidR="007925DD" w:rsidRPr="00FF7D36" w:rsidTr="00D606EC">
        <w:tc>
          <w:tcPr>
            <w:tcW w:w="2268" w:type="dxa"/>
            <w:tcBorders>
              <w:top w:val="single" w:sz="4" w:space="0" w:color="auto"/>
              <w:left w:val="single" w:sz="4" w:space="0" w:color="auto"/>
              <w:bottom w:val="single" w:sz="4" w:space="0" w:color="auto"/>
              <w:right w:val="single" w:sz="4" w:space="0" w:color="auto"/>
            </w:tcBorders>
            <w:vAlign w:val="center"/>
            <w:hideMark/>
          </w:tcPr>
          <w:p w:rsidR="007925DD" w:rsidRPr="00FF7D36" w:rsidRDefault="007925DD" w:rsidP="00D606EC">
            <w:pPr>
              <w:spacing w:after="0" w:line="276" w:lineRule="auto"/>
              <w:rPr>
                <w:rFonts w:ascii="Century Gothic" w:hAnsi="Century Gothic" w:cs="Arial"/>
              </w:rPr>
            </w:pPr>
            <w:r w:rsidRPr="00FF7D36">
              <w:rPr>
                <w:rFonts w:ascii="Century Gothic" w:hAnsi="Century Gothic" w:cs="Arial"/>
              </w:rPr>
              <w:t>DEMANDADO</w:t>
            </w:r>
          </w:p>
        </w:tc>
        <w:tc>
          <w:tcPr>
            <w:tcW w:w="6663" w:type="dxa"/>
            <w:tcBorders>
              <w:top w:val="single" w:sz="4" w:space="0" w:color="auto"/>
              <w:left w:val="single" w:sz="4" w:space="0" w:color="auto"/>
              <w:bottom w:val="single" w:sz="4" w:space="0" w:color="auto"/>
              <w:right w:val="single" w:sz="4" w:space="0" w:color="auto"/>
            </w:tcBorders>
            <w:hideMark/>
          </w:tcPr>
          <w:p w:rsidR="007925DD" w:rsidRPr="00FF7D36" w:rsidRDefault="007925DD" w:rsidP="00D606EC">
            <w:pPr>
              <w:shd w:val="clear" w:color="auto" w:fill="FFFFFF"/>
              <w:spacing w:after="0" w:line="276" w:lineRule="auto"/>
              <w:jc w:val="both"/>
              <w:rPr>
                <w:rFonts w:ascii="Century Gothic" w:hAnsi="Century Gothic" w:cs="Arial"/>
                <w:b/>
              </w:rPr>
            </w:pPr>
            <w:r w:rsidRPr="00FF7D36">
              <w:rPr>
                <w:rFonts w:ascii="Century Gothic" w:hAnsi="Century Gothic" w:cs="Arial"/>
                <w:b/>
              </w:rPr>
              <w:t xml:space="preserve">BOGOTÁ </w:t>
            </w:r>
            <w:r>
              <w:rPr>
                <w:rFonts w:ascii="Century Gothic" w:hAnsi="Century Gothic" w:cs="Arial"/>
                <w:b/>
              </w:rPr>
              <w:t xml:space="preserve">D.C., </w:t>
            </w:r>
            <w:r w:rsidRPr="00FF7D36">
              <w:rPr>
                <w:rFonts w:ascii="Century Gothic" w:hAnsi="Century Gothic" w:cs="Arial"/>
                <w:b/>
              </w:rPr>
              <w:t>Y OTROS</w:t>
            </w:r>
          </w:p>
        </w:tc>
      </w:tr>
      <w:tr w:rsidR="007925DD" w:rsidRPr="00FF7D36" w:rsidTr="00D606EC">
        <w:trPr>
          <w:trHeight w:val="238"/>
        </w:trPr>
        <w:tc>
          <w:tcPr>
            <w:tcW w:w="2268" w:type="dxa"/>
            <w:tcBorders>
              <w:top w:val="single" w:sz="4" w:space="0" w:color="auto"/>
              <w:left w:val="single" w:sz="4" w:space="0" w:color="auto"/>
              <w:bottom w:val="single" w:sz="4" w:space="0" w:color="auto"/>
              <w:right w:val="single" w:sz="4" w:space="0" w:color="auto"/>
            </w:tcBorders>
            <w:vAlign w:val="center"/>
            <w:hideMark/>
          </w:tcPr>
          <w:p w:rsidR="007925DD" w:rsidRPr="00FF7D36" w:rsidRDefault="007925DD" w:rsidP="00D606EC">
            <w:pPr>
              <w:spacing w:after="0" w:line="276" w:lineRule="auto"/>
              <w:rPr>
                <w:rFonts w:ascii="Century Gothic" w:hAnsi="Century Gothic" w:cs="Arial"/>
              </w:rPr>
            </w:pPr>
            <w:r w:rsidRPr="00FF7D36">
              <w:rPr>
                <w:rFonts w:ascii="Century Gothic" w:hAnsi="Century Gothic" w:cs="Arial"/>
              </w:rPr>
              <w:t>MEDIO DE CONTROL</w:t>
            </w:r>
          </w:p>
        </w:tc>
        <w:tc>
          <w:tcPr>
            <w:tcW w:w="6663" w:type="dxa"/>
            <w:tcBorders>
              <w:top w:val="single" w:sz="4" w:space="0" w:color="auto"/>
              <w:left w:val="single" w:sz="4" w:space="0" w:color="auto"/>
              <w:bottom w:val="single" w:sz="4" w:space="0" w:color="auto"/>
              <w:right w:val="single" w:sz="4" w:space="0" w:color="auto"/>
            </w:tcBorders>
            <w:hideMark/>
          </w:tcPr>
          <w:p w:rsidR="007925DD" w:rsidRPr="00FF7D36" w:rsidRDefault="007925DD" w:rsidP="00D606EC">
            <w:pPr>
              <w:spacing w:after="0" w:line="276" w:lineRule="auto"/>
              <w:rPr>
                <w:rFonts w:ascii="Century Gothic" w:hAnsi="Century Gothic" w:cs="Arial"/>
                <w:b/>
              </w:rPr>
            </w:pPr>
            <w:r w:rsidRPr="00FF7D36">
              <w:rPr>
                <w:rFonts w:ascii="Century Gothic" w:hAnsi="Century Gothic" w:cs="Arial"/>
                <w:b/>
              </w:rPr>
              <w:fldChar w:fldCharType="begin"/>
            </w:r>
            <w:r w:rsidRPr="00FF7D36">
              <w:rPr>
                <w:rFonts w:ascii="Century Gothic" w:hAnsi="Century Gothic" w:cs="Arial"/>
                <w:b/>
              </w:rPr>
              <w:instrText xml:space="preserve"> MERGEFIELD MEDIO_DE_CONTROL </w:instrText>
            </w:r>
            <w:r w:rsidRPr="00FF7D36">
              <w:rPr>
                <w:rFonts w:ascii="Century Gothic" w:hAnsi="Century Gothic" w:cs="Arial"/>
                <w:b/>
              </w:rPr>
              <w:fldChar w:fldCharType="separate"/>
            </w:r>
            <w:r w:rsidRPr="00FF7D36">
              <w:rPr>
                <w:rFonts w:ascii="Century Gothic" w:hAnsi="Century Gothic" w:cs="Arial"/>
                <w:b/>
              </w:rPr>
              <w:t>REPARACIÓN DIRECTA</w:t>
            </w:r>
            <w:r w:rsidRPr="00FF7D36">
              <w:rPr>
                <w:rFonts w:ascii="Century Gothic" w:hAnsi="Century Gothic" w:cs="Arial"/>
                <w:b/>
              </w:rPr>
              <w:fldChar w:fldCharType="end"/>
            </w:r>
          </w:p>
        </w:tc>
      </w:tr>
      <w:tr w:rsidR="007925DD" w:rsidRPr="00FF7D36" w:rsidTr="00D606EC">
        <w:tc>
          <w:tcPr>
            <w:tcW w:w="2268" w:type="dxa"/>
            <w:tcBorders>
              <w:top w:val="single" w:sz="4" w:space="0" w:color="auto"/>
              <w:left w:val="single" w:sz="4" w:space="0" w:color="auto"/>
              <w:bottom w:val="single" w:sz="4" w:space="0" w:color="auto"/>
              <w:right w:val="single" w:sz="4" w:space="0" w:color="auto"/>
            </w:tcBorders>
            <w:vAlign w:val="center"/>
            <w:hideMark/>
          </w:tcPr>
          <w:p w:rsidR="007925DD" w:rsidRPr="00FF7D36" w:rsidRDefault="007925DD" w:rsidP="00D606EC">
            <w:pPr>
              <w:spacing w:after="0" w:line="276" w:lineRule="auto"/>
              <w:rPr>
                <w:rFonts w:ascii="Century Gothic" w:hAnsi="Century Gothic" w:cs="Arial"/>
              </w:rPr>
            </w:pPr>
            <w:r w:rsidRPr="00FF7D36">
              <w:rPr>
                <w:rFonts w:ascii="Century Gothic" w:hAnsi="Century Gothic" w:cs="Arial"/>
              </w:rPr>
              <w:t>ASUNTO</w:t>
            </w:r>
          </w:p>
        </w:tc>
        <w:tc>
          <w:tcPr>
            <w:tcW w:w="6663" w:type="dxa"/>
            <w:tcBorders>
              <w:top w:val="single" w:sz="4" w:space="0" w:color="auto"/>
              <w:left w:val="single" w:sz="4" w:space="0" w:color="auto"/>
              <w:bottom w:val="single" w:sz="4" w:space="0" w:color="auto"/>
              <w:right w:val="single" w:sz="4" w:space="0" w:color="auto"/>
            </w:tcBorders>
            <w:hideMark/>
          </w:tcPr>
          <w:p w:rsidR="007925DD" w:rsidRPr="00FF7D36" w:rsidRDefault="007925DD" w:rsidP="00D606EC">
            <w:pPr>
              <w:spacing w:after="0" w:line="276" w:lineRule="auto"/>
              <w:rPr>
                <w:rFonts w:ascii="Century Gothic" w:hAnsi="Century Gothic" w:cs="Arial"/>
                <w:b/>
              </w:rPr>
            </w:pPr>
            <w:bookmarkStart w:id="0" w:name="_GoBack"/>
            <w:r w:rsidRPr="00FF7D36">
              <w:rPr>
                <w:rFonts w:ascii="Century Gothic" w:hAnsi="Century Gothic" w:cs="Arial"/>
                <w:b/>
              </w:rPr>
              <w:t>RECHAZA RECURSO DE REPOSICIÓN Y EN SUBSIDIO APELACIÓN POR EXTEMPORÁNEO</w:t>
            </w:r>
            <w:bookmarkEnd w:id="0"/>
          </w:p>
        </w:tc>
      </w:tr>
    </w:tbl>
    <w:p w:rsidR="007925DD" w:rsidRPr="00FF7D36" w:rsidRDefault="007925DD" w:rsidP="007925DD">
      <w:pPr>
        <w:shd w:val="clear" w:color="auto" w:fill="FFFFFF"/>
        <w:spacing w:after="0" w:line="276" w:lineRule="auto"/>
        <w:jc w:val="both"/>
        <w:rPr>
          <w:rFonts w:ascii="Century Gothic" w:hAnsi="Century Gothic" w:cs="Arial"/>
          <w:bCs/>
          <w:sz w:val="24"/>
          <w:szCs w:val="24"/>
        </w:rPr>
      </w:pPr>
    </w:p>
    <w:p w:rsidR="007925DD" w:rsidRPr="00FF7D36" w:rsidRDefault="007925DD" w:rsidP="007925DD">
      <w:pPr>
        <w:spacing w:after="0" w:line="276" w:lineRule="auto"/>
        <w:jc w:val="both"/>
        <w:rPr>
          <w:rFonts w:ascii="Century Gothic" w:hAnsi="Century Gothic" w:cs="Arial"/>
          <w:bCs/>
          <w:sz w:val="24"/>
          <w:szCs w:val="24"/>
        </w:rPr>
      </w:pPr>
      <w:r w:rsidRPr="00FF7D36">
        <w:rPr>
          <w:rFonts w:ascii="Century Gothic" w:hAnsi="Century Gothic" w:cs="Arial"/>
          <w:sz w:val="24"/>
          <w:szCs w:val="24"/>
        </w:rPr>
        <w:fldChar w:fldCharType="begin"/>
      </w:r>
      <w:r w:rsidRPr="00FF7D36">
        <w:rPr>
          <w:rFonts w:ascii="Century Gothic" w:hAnsi="Century Gothic" w:cs="Arial"/>
          <w:sz w:val="24"/>
          <w:szCs w:val="24"/>
        </w:rPr>
        <w:instrText xml:space="preserve"> MERGEFIELD ASUNTO_DE_QUE_TRATA_EL_PROCESO </w:instrText>
      </w:r>
      <w:r w:rsidRPr="00FF7D36">
        <w:rPr>
          <w:rFonts w:ascii="Century Gothic" w:hAnsi="Century Gothic" w:cs="Arial"/>
          <w:sz w:val="24"/>
          <w:szCs w:val="24"/>
        </w:rPr>
        <w:fldChar w:fldCharType="separate"/>
      </w:r>
      <w:r w:rsidRPr="00FF7D36">
        <w:rPr>
          <w:rFonts w:ascii="Century Gothic" w:hAnsi="Century Gothic" w:cs="Arial"/>
          <w:bCs/>
          <w:sz w:val="24"/>
          <w:szCs w:val="24"/>
          <w:lang w:val="es-ES_tradnl"/>
        </w:rPr>
        <w:fldChar w:fldCharType="begin"/>
      </w:r>
      <w:r w:rsidRPr="00FF7D36">
        <w:rPr>
          <w:rFonts w:ascii="Century Gothic" w:hAnsi="Century Gothic" w:cs="Arial"/>
          <w:bCs/>
          <w:sz w:val="24"/>
          <w:szCs w:val="24"/>
          <w:lang w:val="es-ES_tradnl"/>
        </w:rPr>
        <w:instrText xml:space="preserve"> MERGEFIELD ANTECEDENTES </w:instrText>
      </w:r>
      <w:r w:rsidRPr="00FF7D36">
        <w:rPr>
          <w:rFonts w:ascii="Century Gothic" w:hAnsi="Century Gothic" w:cs="Arial"/>
          <w:bCs/>
          <w:sz w:val="24"/>
          <w:szCs w:val="24"/>
          <w:lang w:val="es-ES_tradnl"/>
        </w:rPr>
        <w:fldChar w:fldCharType="separate"/>
      </w:r>
      <w:r w:rsidRPr="00FF7D36">
        <w:rPr>
          <w:rFonts w:ascii="Century Gothic" w:hAnsi="Century Gothic" w:cs="Arial"/>
          <w:bCs/>
          <w:sz w:val="24"/>
          <w:szCs w:val="24"/>
        </w:rPr>
        <w:t xml:space="preserve">La presente demanda pretende que se declare administrativamente responsable a la </w:t>
      </w:r>
      <w:r w:rsidRPr="00FF7D36">
        <w:rPr>
          <w:rFonts w:ascii="Century Gothic" w:hAnsi="Century Gothic" w:cs="Arial"/>
          <w:b/>
          <w:bCs/>
          <w:sz w:val="24"/>
          <w:szCs w:val="24"/>
        </w:rPr>
        <w:t>BOGOTÁ</w:t>
      </w:r>
      <w:r>
        <w:rPr>
          <w:rFonts w:ascii="Century Gothic" w:hAnsi="Century Gothic" w:cs="Arial"/>
          <w:b/>
          <w:bCs/>
          <w:sz w:val="24"/>
          <w:szCs w:val="24"/>
        </w:rPr>
        <w:t xml:space="preserve"> D.C.</w:t>
      </w:r>
      <w:r w:rsidRPr="00FF7D36">
        <w:rPr>
          <w:rFonts w:ascii="Century Gothic" w:hAnsi="Century Gothic" w:cs="Arial"/>
          <w:b/>
          <w:bCs/>
          <w:sz w:val="24"/>
          <w:szCs w:val="24"/>
        </w:rPr>
        <w:t xml:space="preserve"> - ALCALDIA LOCAL DE</w:t>
      </w:r>
      <w:r>
        <w:rPr>
          <w:rFonts w:ascii="Century Gothic" w:hAnsi="Century Gothic" w:cs="Arial"/>
          <w:b/>
          <w:bCs/>
          <w:sz w:val="24"/>
          <w:szCs w:val="24"/>
        </w:rPr>
        <w:t xml:space="preserve"> LA</w:t>
      </w:r>
      <w:r w:rsidRPr="00FF7D36">
        <w:rPr>
          <w:rFonts w:ascii="Century Gothic" w:hAnsi="Century Gothic" w:cs="Arial"/>
          <w:b/>
          <w:bCs/>
          <w:sz w:val="24"/>
          <w:szCs w:val="24"/>
        </w:rPr>
        <w:t xml:space="preserve"> CA</w:t>
      </w:r>
      <w:r>
        <w:rPr>
          <w:rFonts w:ascii="Century Gothic" w:hAnsi="Century Gothic" w:cs="Arial"/>
          <w:b/>
          <w:bCs/>
          <w:sz w:val="24"/>
          <w:szCs w:val="24"/>
        </w:rPr>
        <w:t>N</w:t>
      </w:r>
      <w:r w:rsidRPr="00FF7D36">
        <w:rPr>
          <w:rFonts w:ascii="Century Gothic" w:hAnsi="Century Gothic" w:cs="Arial"/>
          <w:b/>
          <w:bCs/>
          <w:sz w:val="24"/>
          <w:szCs w:val="24"/>
        </w:rPr>
        <w:t>DELARIA – SECRETARIA DE MOVILIDAD DE BOGOTÁ - INTERAMBIENTE INGENIERIA S.A.S - COMPAÑÍA DE TRABAJO URBANO S.A – FONDO DE DESARROLLO URBANO LOCAL DE LA CANDELARIA</w:t>
      </w:r>
      <w:r w:rsidRPr="00FF7D36">
        <w:rPr>
          <w:rFonts w:ascii="Century Gothic" w:hAnsi="Century Gothic" w:cs="Arial"/>
          <w:bCs/>
          <w:sz w:val="24"/>
          <w:szCs w:val="24"/>
        </w:rPr>
        <w:t xml:space="preserve"> por los perjuicios causados a los demandantes con ocasión del colapso del inmueble ubicado en la calle 9 bis No 4 – 01 del barrio Egipto.  </w:t>
      </w:r>
    </w:p>
    <w:p w:rsidR="007925DD" w:rsidRPr="00FF7D36" w:rsidRDefault="007925DD" w:rsidP="007925DD">
      <w:pPr>
        <w:spacing w:line="276" w:lineRule="auto"/>
        <w:jc w:val="both"/>
        <w:rPr>
          <w:rFonts w:ascii="Century Gothic" w:hAnsi="Century Gothic" w:cs="Arial"/>
          <w:sz w:val="24"/>
          <w:szCs w:val="24"/>
        </w:rPr>
      </w:pPr>
      <w:r w:rsidRPr="00FF7D36">
        <w:rPr>
          <w:rFonts w:ascii="Century Gothic" w:hAnsi="Century Gothic" w:cs="Arial"/>
          <w:bCs/>
          <w:sz w:val="24"/>
          <w:szCs w:val="24"/>
          <w:lang w:val="es-ES_tradnl"/>
        </w:rPr>
        <w:fldChar w:fldCharType="end"/>
      </w:r>
      <w:r w:rsidRPr="00FF7D36">
        <w:rPr>
          <w:rFonts w:ascii="Century Gothic" w:hAnsi="Century Gothic" w:cs="Arial"/>
          <w:sz w:val="24"/>
          <w:szCs w:val="24"/>
        </w:rPr>
        <w:fldChar w:fldCharType="end"/>
      </w:r>
    </w:p>
    <w:p w:rsidR="007925DD" w:rsidRPr="00FF7D36" w:rsidRDefault="007925DD" w:rsidP="007925DD">
      <w:pPr>
        <w:spacing w:line="276" w:lineRule="auto"/>
        <w:jc w:val="both"/>
        <w:rPr>
          <w:rFonts w:ascii="Century Gothic" w:hAnsi="Century Gothic" w:cs="Arial"/>
          <w:sz w:val="24"/>
          <w:szCs w:val="24"/>
        </w:rPr>
      </w:pPr>
      <w:r w:rsidRPr="00FF7D36">
        <w:rPr>
          <w:rFonts w:ascii="Century Gothic" w:eastAsia="Calibri" w:hAnsi="Century Gothic" w:cs="Arial"/>
          <w:sz w:val="24"/>
          <w:szCs w:val="24"/>
        </w:rPr>
        <w:fldChar w:fldCharType="begin"/>
      </w:r>
      <w:r w:rsidRPr="00FF7D36">
        <w:rPr>
          <w:rFonts w:ascii="Century Gothic" w:eastAsia="Calibri" w:hAnsi="Century Gothic" w:cs="Arial"/>
          <w:sz w:val="24"/>
          <w:szCs w:val="24"/>
        </w:rPr>
        <w:instrText xml:space="preserve"> MERGEFIELD ANTECEDENTES </w:instrText>
      </w:r>
      <w:r w:rsidRPr="00FF7D36">
        <w:rPr>
          <w:rFonts w:ascii="Century Gothic" w:eastAsia="Calibri" w:hAnsi="Century Gothic" w:cs="Arial"/>
          <w:sz w:val="24"/>
          <w:szCs w:val="24"/>
        </w:rPr>
        <w:fldChar w:fldCharType="separate"/>
      </w:r>
      <w:r w:rsidRPr="00FF7D36">
        <w:rPr>
          <w:rFonts w:ascii="Century Gothic" w:eastAsia="Calibri" w:hAnsi="Century Gothic" w:cs="Arial"/>
          <w:sz w:val="24"/>
          <w:szCs w:val="24"/>
        </w:rPr>
        <w:t xml:space="preserve">El 6 de diciembre de 2019 se profirió </w:t>
      </w:r>
      <w:r>
        <w:rPr>
          <w:rFonts w:ascii="Century Gothic" w:eastAsia="Calibri" w:hAnsi="Century Gothic" w:cs="Arial"/>
          <w:sz w:val="24"/>
          <w:szCs w:val="24"/>
        </w:rPr>
        <w:t>auto rechazando</w:t>
      </w:r>
      <w:r w:rsidRPr="00FF7D36">
        <w:rPr>
          <w:rFonts w:ascii="Century Gothic" w:eastAsia="Calibri" w:hAnsi="Century Gothic" w:cs="Arial"/>
          <w:sz w:val="24"/>
          <w:szCs w:val="24"/>
        </w:rPr>
        <w:t xml:space="preserve"> la demanda</w:t>
      </w:r>
      <w:r>
        <w:rPr>
          <w:rFonts w:ascii="Century Gothic" w:eastAsia="Calibri" w:hAnsi="Century Gothic" w:cs="Arial"/>
          <w:sz w:val="24"/>
          <w:szCs w:val="24"/>
        </w:rPr>
        <w:t xml:space="preserve"> por caducidad</w:t>
      </w:r>
      <w:r w:rsidRPr="00FF7D36">
        <w:rPr>
          <w:rFonts w:ascii="Century Gothic" w:eastAsia="Calibri" w:hAnsi="Century Gothic" w:cs="Arial"/>
          <w:sz w:val="24"/>
          <w:szCs w:val="24"/>
        </w:rPr>
        <w:t>.</w:t>
      </w:r>
    </w:p>
    <w:p w:rsidR="007925DD" w:rsidRPr="00FF7D36" w:rsidRDefault="007925DD" w:rsidP="007925DD">
      <w:pPr>
        <w:tabs>
          <w:tab w:val="left" w:pos="1040"/>
        </w:tabs>
        <w:spacing w:after="0" w:line="276" w:lineRule="auto"/>
        <w:jc w:val="both"/>
        <w:rPr>
          <w:rFonts w:ascii="Century Gothic" w:eastAsia="Calibri" w:hAnsi="Century Gothic" w:cs="Arial"/>
          <w:sz w:val="24"/>
          <w:szCs w:val="24"/>
        </w:rPr>
      </w:pPr>
    </w:p>
    <w:p w:rsidR="007925DD" w:rsidRPr="00FF7D36" w:rsidRDefault="007925DD" w:rsidP="007925DD">
      <w:pPr>
        <w:tabs>
          <w:tab w:val="left" w:pos="1040"/>
        </w:tabs>
        <w:spacing w:after="0" w:line="276" w:lineRule="auto"/>
        <w:jc w:val="both"/>
        <w:rPr>
          <w:rFonts w:ascii="Century Gothic" w:eastAsia="Calibri" w:hAnsi="Century Gothic" w:cs="Arial"/>
          <w:sz w:val="24"/>
          <w:szCs w:val="24"/>
        </w:rPr>
      </w:pPr>
      <w:r w:rsidRPr="00FF7D36">
        <w:rPr>
          <w:rFonts w:ascii="Century Gothic" w:eastAsia="Calibri" w:hAnsi="Century Gothic" w:cs="Arial"/>
          <w:sz w:val="24"/>
          <w:szCs w:val="24"/>
        </w:rPr>
        <w:t xml:space="preserve">El 13 de diciembre de 2019 el apoderado de la parte actora interpuso recurso de apelación contra el auto que rechazó la demanda del 6 de diciembre de 2019.  </w:t>
      </w:r>
    </w:p>
    <w:p w:rsidR="007925DD" w:rsidRPr="00FF7D36" w:rsidRDefault="007925DD" w:rsidP="007925DD">
      <w:pPr>
        <w:spacing w:after="0" w:line="276" w:lineRule="auto"/>
        <w:jc w:val="both"/>
        <w:rPr>
          <w:rFonts w:ascii="Century Gothic" w:hAnsi="Century Gothic" w:cs="Arial"/>
          <w:sz w:val="24"/>
          <w:szCs w:val="24"/>
        </w:rPr>
      </w:pPr>
      <w:r w:rsidRPr="00FF7D36">
        <w:rPr>
          <w:rFonts w:ascii="Century Gothic" w:eastAsia="Calibri" w:hAnsi="Century Gothic" w:cs="Arial"/>
          <w:sz w:val="24"/>
          <w:szCs w:val="24"/>
        </w:rPr>
        <w:t xml:space="preserve"> </w:t>
      </w:r>
      <w:r w:rsidRPr="00FF7D36">
        <w:rPr>
          <w:rFonts w:ascii="Century Gothic" w:eastAsia="Calibri" w:hAnsi="Century Gothic" w:cs="Arial"/>
          <w:sz w:val="24"/>
          <w:szCs w:val="24"/>
        </w:rPr>
        <w:fldChar w:fldCharType="end"/>
      </w:r>
    </w:p>
    <w:p w:rsidR="007925DD" w:rsidRPr="00FF7D36" w:rsidRDefault="007925DD" w:rsidP="007925DD">
      <w:pPr>
        <w:shd w:val="clear" w:color="auto" w:fill="FFFFFF"/>
        <w:spacing w:after="0" w:line="276" w:lineRule="auto"/>
        <w:jc w:val="both"/>
        <w:rPr>
          <w:rFonts w:ascii="Century Gothic" w:eastAsia="Calibri" w:hAnsi="Century Gothic" w:cs="Arial"/>
          <w:i/>
          <w:color w:val="000000"/>
          <w:sz w:val="24"/>
          <w:szCs w:val="24"/>
          <w:highlight w:val="green"/>
          <w:lang w:eastAsia="es-ES"/>
        </w:rPr>
      </w:pPr>
      <w:r w:rsidRPr="00FF7D36">
        <w:rPr>
          <w:rFonts w:ascii="Century Gothic" w:eastAsia="Calibri" w:hAnsi="Century Gothic" w:cs="Arial"/>
          <w:color w:val="000000"/>
          <w:sz w:val="24"/>
          <w:szCs w:val="24"/>
          <w:lang w:eastAsia="es-ES"/>
        </w:rPr>
        <w:t xml:space="preserve">En informe secretarial del 31 de enero de 2020 se anotó: </w:t>
      </w:r>
      <w:r w:rsidRPr="00FF7D36">
        <w:rPr>
          <w:rFonts w:ascii="Century Gothic" w:eastAsia="Calibri" w:hAnsi="Century Gothic" w:cs="Arial"/>
          <w:i/>
          <w:color w:val="000000"/>
          <w:sz w:val="24"/>
          <w:szCs w:val="24"/>
          <w:lang w:eastAsia="es-ES"/>
        </w:rPr>
        <w:t>“RECURSO DE REPOSICIÓN Y EN SUBSIDIO APELACIÓN CONTRA AUTO QUE RECHAZÓ DEMANDA INTERPUESTO EXTEMPORÁNEAMENTE POR ACTOR (DICIEMBRE 13 DE 2019). SÍRVASE PROVEER.”</w:t>
      </w:r>
    </w:p>
    <w:p w:rsidR="007925DD" w:rsidRPr="00FF7D36" w:rsidRDefault="007925DD" w:rsidP="007925DD">
      <w:pPr>
        <w:shd w:val="clear" w:color="auto" w:fill="FFFFFF"/>
        <w:spacing w:after="0" w:line="276" w:lineRule="auto"/>
        <w:jc w:val="both"/>
        <w:rPr>
          <w:rFonts w:ascii="Century Gothic" w:eastAsia="Calibri" w:hAnsi="Century Gothic" w:cs="Arial"/>
          <w:color w:val="000000"/>
          <w:sz w:val="24"/>
          <w:szCs w:val="24"/>
          <w:highlight w:val="green"/>
          <w:lang w:eastAsia="es-ES"/>
        </w:rPr>
      </w:pPr>
    </w:p>
    <w:p w:rsidR="007925DD" w:rsidRPr="00FF7D36" w:rsidRDefault="007925DD" w:rsidP="007925DD">
      <w:pPr>
        <w:shd w:val="clear" w:color="auto" w:fill="FFFFFF"/>
        <w:spacing w:after="0" w:line="276" w:lineRule="auto"/>
        <w:jc w:val="both"/>
        <w:rPr>
          <w:rFonts w:ascii="Century Gothic" w:eastAsia="Calibri" w:hAnsi="Century Gothic" w:cs="Arial"/>
          <w:sz w:val="24"/>
          <w:szCs w:val="24"/>
          <w:lang w:eastAsia="es-ES"/>
        </w:rPr>
      </w:pPr>
      <w:r w:rsidRPr="00FF7D36">
        <w:rPr>
          <w:rFonts w:ascii="Century Gothic" w:eastAsia="Calibri" w:hAnsi="Century Gothic" w:cs="Arial"/>
          <w:color w:val="000000"/>
          <w:sz w:val="24"/>
          <w:szCs w:val="24"/>
          <w:lang w:eastAsia="es-ES"/>
        </w:rPr>
        <w:t>Así las cosas el Despacho</w:t>
      </w:r>
      <w:r>
        <w:rPr>
          <w:rFonts w:ascii="Century Gothic" w:eastAsia="Calibri" w:hAnsi="Century Gothic" w:cs="Arial"/>
          <w:color w:val="000000"/>
          <w:sz w:val="24"/>
          <w:szCs w:val="24"/>
          <w:lang w:eastAsia="es-ES"/>
        </w:rPr>
        <w:t xml:space="preserve"> </w:t>
      </w:r>
      <w:proofErr w:type="gramStart"/>
      <w:r>
        <w:rPr>
          <w:rFonts w:ascii="Century Gothic" w:eastAsia="Calibri" w:hAnsi="Century Gothic" w:cs="Arial"/>
          <w:color w:val="000000"/>
          <w:sz w:val="24"/>
          <w:szCs w:val="24"/>
          <w:lang w:eastAsia="es-ES"/>
        </w:rPr>
        <w:t>procede</w:t>
      </w:r>
      <w:proofErr w:type="gramEnd"/>
      <w:r>
        <w:rPr>
          <w:rFonts w:ascii="Century Gothic" w:eastAsia="Calibri" w:hAnsi="Century Gothic" w:cs="Arial"/>
          <w:color w:val="000000"/>
          <w:sz w:val="24"/>
          <w:szCs w:val="24"/>
          <w:lang w:eastAsia="es-ES"/>
        </w:rPr>
        <w:t xml:space="preserve"> a</w:t>
      </w:r>
      <w:r w:rsidRPr="00FF7D36">
        <w:rPr>
          <w:rFonts w:ascii="Century Gothic" w:eastAsia="Calibri" w:hAnsi="Century Gothic" w:cs="Arial"/>
          <w:color w:val="000000"/>
          <w:sz w:val="24"/>
          <w:szCs w:val="24"/>
          <w:lang w:eastAsia="es-ES"/>
        </w:rPr>
        <w:t xml:space="preserve"> pronunciarse en los siguientes términos:</w:t>
      </w:r>
    </w:p>
    <w:p w:rsidR="007925DD" w:rsidRPr="00FF7D36" w:rsidRDefault="007925DD" w:rsidP="007925DD">
      <w:pPr>
        <w:spacing w:after="0" w:line="276" w:lineRule="auto"/>
        <w:jc w:val="center"/>
        <w:rPr>
          <w:rFonts w:ascii="Century Gothic" w:eastAsia="Calibri" w:hAnsi="Century Gothic" w:cs="Arial"/>
          <w:b/>
          <w:sz w:val="24"/>
          <w:szCs w:val="24"/>
          <w:lang w:eastAsia="es-ES"/>
        </w:rPr>
      </w:pPr>
    </w:p>
    <w:p w:rsidR="007925DD" w:rsidRPr="00FF7D36" w:rsidRDefault="007925DD" w:rsidP="007925DD">
      <w:pPr>
        <w:spacing w:after="0" w:line="276" w:lineRule="auto"/>
        <w:jc w:val="center"/>
        <w:rPr>
          <w:rFonts w:ascii="Century Gothic" w:eastAsia="Calibri" w:hAnsi="Century Gothic" w:cs="Arial"/>
          <w:b/>
          <w:bCs/>
          <w:sz w:val="24"/>
          <w:szCs w:val="24"/>
          <w:lang w:eastAsia="es-ES"/>
        </w:rPr>
      </w:pPr>
      <w:r w:rsidRPr="00FF7D36">
        <w:rPr>
          <w:rFonts w:ascii="Century Gothic" w:eastAsia="Calibri" w:hAnsi="Century Gothic" w:cs="Arial"/>
          <w:b/>
          <w:bCs/>
          <w:sz w:val="24"/>
          <w:szCs w:val="24"/>
          <w:lang w:eastAsia="es-ES"/>
        </w:rPr>
        <w:t>CONSIDERACIONES</w:t>
      </w:r>
    </w:p>
    <w:p w:rsidR="007925DD" w:rsidRPr="00F354C3" w:rsidRDefault="007925DD" w:rsidP="007925DD">
      <w:pPr>
        <w:shd w:val="clear" w:color="auto" w:fill="FFFFFF"/>
        <w:spacing w:before="70" w:after="0" w:line="276" w:lineRule="auto"/>
        <w:jc w:val="both"/>
        <w:rPr>
          <w:rFonts w:ascii="Century Gothic" w:eastAsia="Calibri" w:hAnsi="Century Gothic" w:cs="Arial"/>
          <w:b/>
          <w:sz w:val="24"/>
          <w:szCs w:val="24"/>
          <w:lang w:eastAsia="es-ES"/>
        </w:rPr>
      </w:pPr>
      <w:r w:rsidRPr="00F354C3">
        <w:rPr>
          <w:rFonts w:ascii="Century Gothic" w:eastAsia="Calibri" w:hAnsi="Century Gothic" w:cs="Arial"/>
          <w:b/>
          <w:sz w:val="24"/>
          <w:szCs w:val="24"/>
          <w:lang w:eastAsia="es-ES"/>
        </w:rPr>
        <w:t>1.1 De la procedencia del recurso</w:t>
      </w:r>
    </w:p>
    <w:p w:rsidR="007925DD" w:rsidRPr="00D93F2F" w:rsidRDefault="007925DD" w:rsidP="007925DD">
      <w:pPr>
        <w:pStyle w:val="Style12"/>
        <w:widowControl/>
        <w:spacing w:before="194" w:line="276" w:lineRule="auto"/>
        <w:rPr>
          <w:rStyle w:val="FontStyle18"/>
          <w:rFonts w:ascii="Century Gothic" w:hAnsi="Century Gothic" w:cs="Arial"/>
          <w:sz w:val="24"/>
          <w:szCs w:val="24"/>
          <w:lang w:eastAsia="es-ES_tradnl"/>
        </w:rPr>
      </w:pPr>
      <w:r>
        <w:rPr>
          <w:rStyle w:val="FontStyle18"/>
          <w:rFonts w:ascii="Century Gothic" w:hAnsi="Century Gothic" w:cs="Arial"/>
          <w:sz w:val="24"/>
          <w:szCs w:val="24"/>
          <w:lang w:eastAsia="es-ES_tradnl"/>
        </w:rPr>
        <w:t xml:space="preserve">Conforme al artículo 242 de Código de Procedimiento Administrativo y de lo </w:t>
      </w:r>
      <w:r w:rsidRPr="00D93F2F">
        <w:rPr>
          <w:rStyle w:val="FontStyle18"/>
          <w:rFonts w:ascii="Century Gothic" w:hAnsi="Century Gothic" w:cs="Arial"/>
          <w:sz w:val="24"/>
          <w:szCs w:val="24"/>
          <w:lang w:eastAsia="es-ES_tradnl"/>
        </w:rPr>
        <w:t xml:space="preserve"> </w:t>
      </w:r>
      <w:r>
        <w:rPr>
          <w:rStyle w:val="FontStyle18"/>
          <w:rFonts w:ascii="Century Gothic" w:hAnsi="Century Gothic" w:cs="Arial"/>
          <w:sz w:val="24"/>
          <w:szCs w:val="24"/>
          <w:lang w:eastAsia="es-ES_tradnl"/>
        </w:rPr>
        <w:t xml:space="preserve">Contencioso Administrativo, </w:t>
      </w:r>
      <w:r w:rsidRPr="00D93F2F">
        <w:rPr>
          <w:rStyle w:val="FontStyle18"/>
          <w:rFonts w:ascii="Century Gothic" w:hAnsi="Century Gothic" w:cs="Arial"/>
          <w:i/>
          <w:sz w:val="24"/>
          <w:szCs w:val="24"/>
          <w:lang w:eastAsia="es-ES_tradnl"/>
        </w:rPr>
        <w:t>“Salvo norma legal en contrario, el recurso de reposición procede contra los autos que no sean susceptibles de apelación o de súplica”.</w:t>
      </w:r>
    </w:p>
    <w:p w:rsidR="007925DD" w:rsidRDefault="007925DD" w:rsidP="007925DD">
      <w:pPr>
        <w:pStyle w:val="Style12"/>
        <w:widowControl/>
        <w:spacing w:before="194" w:line="276" w:lineRule="auto"/>
        <w:rPr>
          <w:rStyle w:val="FontStyle21"/>
          <w:rFonts w:ascii="Century Gothic" w:hAnsi="Century Gothic" w:cs="Arial"/>
          <w:sz w:val="24"/>
          <w:szCs w:val="24"/>
          <w:lang w:val="es-ES_tradnl" w:eastAsia="es-ES_tradnl"/>
        </w:rPr>
      </w:pPr>
      <w:r>
        <w:rPr>
          <w:rStyle w:val="FontStyle18"/>
          <w:rFonts w:ascii="Century Gothic" w:hAnsi="Century Gothic" w:cs="Arial"/>
          <w:sz w:val="24"/>
          <w:szCs w:val="24"/>
          <w:lang w:val="es-ES_tradnl" w:eastAsia="es-ES_tradnl"/>
        </w:rPr>
        <w:t>Así pues, e</w:t>
      </w:r>
      <w:r w:rsidRPr="00FF7D36">
        <w:rPr>
          <w:rStyle w:val="FontStyle18"/>
          <w:rFonts w:ascii="Century Gothic" w:hAnsi="Century Gothic" w:cs="Arial"/>
          <w:sz w:val="24"/>
          <w:szCs w:val="24"/>
          <w:lang w:val="es-ES_tradnl" w:eastAsia="es-ES_tradnl"/>
        </w:rPr>
        <w:t>l artículo 243</w:t>
      </w:r>
      <w:r>
        <w:rPr>
          <w:rStyle w:val="FontStyle18"/>
          <w:rFonts w:ascii="Century Gothic" w:hAnsi="Century Gothic" w:cs="Arial"/>
          <w:sz w:val="24"/>
          <w:szCs w:val="24"/>
          <w:lang w:val="es-ES_tradnl" w:eastAsia="es-ES_tradnl"/>
        </w:rPr>
        <w:t xml:space="preserve"> ibídem, señala qué</w:t>
      </w:r>
      <w:r w:rsidRPr="00FF7D36">
        <w:rPr>
          <w:rStyle w:val="FontStyle18"/>
          <w:rFonts w:ascii="Century Gothic" w:hAnsi="Century Gothic" w:cs="Arial"/>
          <w:sz w:val="24"/>
          <w:szCs w:val="24"/>
          <w:lang w:val="es-ES_tradnl" w:eastAsia="es-ES_tradnl"/>
        </w:rPr>
        <w:t xml:space="preserve"> </w:t>
      </w:r>
      <w:r w:rsidRPr="00FF7D36">
        <w:rPr>
          <w:rStyle w:val="FontStyle21"/>
          <w:rFonts w:ascii="Century Gothic" w:hAnsi="Century Gothic" w:cs="Arial"/>
          <w:sz w:val="24"/>
          <w:szCs w:val="24"/>
          <w:lang w:val="es-ES_tradnl" w:eastAsia="es-ES_tradnl"/>
        </w:rPr>
        <w:t xml:space="preserve">autos </w:t>
      </w:r>
      <w:r>
        <w:rPr>
          <w:rStyle w:val="FontStyle21"/>
          <w:rFonts w:ascii="Century Gothic" w:hAnsi="Century Gothic" w:cs="Arial"/>
          <w:sz w:val="24"/>
          <w:szCs w:val="24"/>
          <w:lang w:val="es-ES_tradnl" w:eastAsia="es-ES_tradnl"/>
        </w:rPr>
        <w:t xml:space="preserve">son susceptibles de apelación, siendo estos los siguientes: </w:t>
      </w:r>
    </w:p>
    <w:p w:rsidR="007925DD" w:rsidRPr="00FF7D36" w:rsidRDefault="007925DD" w:rsidP="007925DD">
      <w:pPr>
        <w:pStyle w:val="Style12"/>
        <w:widowControl/>
        <w:spacing w:before="194" w:line="276" w:lineRule="auto"/>
        <w:rPr>
          <w:rStyle w:val="FontStyle21"/>
          <w:rFonts w:ascii="Century Gothic" w:hAnsi="Century Gothic" w:cs="Arial"/>
          <w:sz w:val="24"/>
          <w:szCs w:val="24"/>
          <w:lang w:val="es-ES_tradnl" w:eastAsia="es-ES_tradnl"/>
        </w:rPr>
      </w:pPr>
    </w:p>
    <w:p w:rsidR="007925DD" w:rsidRPr="00FF7D36" w:rsidRDefault="007925DD" w:rsidP="007925DD">
      <w:pPr>
        <w:pStyle w:val="Style5"/>
        <w:widowControl/>
        <w:spacing w:before="192" w:line="276" w:lineRule="auto"/>
        <w:ind w:left="709" w:right="900"/>
        <w:jc w:val="both"/>
        <w:rPr>
          <w:rStyle w:val="FontStyle19"/>
          <w:rFonts w:ascii="Century Gothic" w:hAnsi="Century Gothic" w:cs="Arial"/>
          <w:b/>
          <w:u w:val="single"/>
        </w:rPr>
      </w:pPr>
      <w:r w:rsidRPr="00FF7D36">
        <w:rPr>
          <w:rStyle w:val="FontStyle16"/>
          <w:rFonts w:ascii="Century Gothic" w:hAnsi="Century Gothic" w:cs="Arial"/>
          <w:b/>
          <w:i/>
          <w:u w:val="single"/>
          <w:lang w:val="es-ES_tradnl" w:eastAsia="es-ES_tradnl"/>
        </w:rPr>
        <w:lastRenderedPageBreak/>
        <w:t>“1.</w:t>
      </w:r>
      <w:r w:rsidRPr="00FF7D36">
        <w:rPr>
          <w:rStyle w:val="FontStyle16"/>
          <w:rFonts w:ascii="Century Gothic" w:hAnsi="Century Gothic" w:cs="Arial"/>
          <w:b/>
          <w:u w:val="single"/>
          <w:lang w:val="es-ES_tradnl" w:eastAsia="es-ES_tradnl"/>
        </w:rPr>
        <w:t xml:space="preserve">  </w:t>
      </w:r>
      <w:r w:rsidRPr="00FF7D36">
        <w:rPr>
          <w:rStyle w:val="FontStyle19"/>
          <w:rFonts w:ascii="Century Gothic" w:hAnsi="Century Gothic" w:cs="Arial"/>
          <w:b/>
          <w:u w:val="single"/>
          <w:lang w:val="es-ES_tradnl" w:eastAsia="es-ES_tradnl"/>
        </w:rPr>
        <w:t>El que rechace la demanda.</w:t>
      </w:r>
    </w:p>
    <w:p w:rsidR="007925DD" w:rsidRPr="00FF7D36" w:rsidRDefault="007925DD" w:rsidP="007925DD">
      <w:pPr>
        <w:pStyle w:val="Style4"/>
        <w:widowControl/>
        <w:numPr>
          <w:ilvl w:val="0"/>
          <w:numId w:val="1"/>
        </w:numPr>
        <w:tabs>
          <w:tab w:val="left" w:pos="190"/>
        </w:tabs>
        <w:spacing w:before="5" w:line="276" w:lineRule="auto"/>
        <w:ind w:left="709" w:right="900"/>
        <w:jc w:val="both"/>
        <w:rPr>
          <w:rStyle w:val="FontStyle19"/>
          <w:rFonts w:ascii="Century Gothic" w:hAnsi="Century Gothic" w:cs="Arial"/>
          <w:lang w:val="es-ES_tradnl" w:eastAsia="es-ES_tradnl"/>
        </w:rPr>
      </w:pPr>
      <w:r w:rsidRPr="00FF7D36">
        <w:rPr>
          <w:rStyle w:val="FontStyle19"/>
          <w:rFonts w:ascii="Century Gothic" w:hAnsi="Century Gothic" w:cs="Arial"/>
          <w:lang w:val="es-ES_tradnl" w:eastAsia="es-ES_tradnl"/>
        </w:rPr>
        <w:t>El que decrete una medida cautelar y el que resuelva los incidentes de responsabilidad y desacato en ese mismo trámite.</w:t>
      </w:r>
    </w:p>
    <w:p w:rsidR="007925DD" w:rsidRPr="00FF7D36" w:rsidRDefault="007925DD" w:rsidP="007925DD">
      <w:pPr>
        <w:pStyle w:val="Style4"/>
        <w:widowControl/>
        <w:numPr>
          <w:ilvl w:val="0"/>
          <w:numId w:val="1"/>
        </w:numPr>
        <w:tabs>
          <w:tab w:val="left" w:pos="190"/>
        </w:tabs>
        <w:spacing w:line="276" w:lineRule="auto"/>
        <w:ind w:left="709" w:right="900"/>
        <w:jc w:val="both"/>
        <w:rPr>
          <w:rStyle w:val="FontStyle19"/>
          <w:rFonts w:ascii="Century Gothic" w:hAnsi="Century Gothic" w:cs="Arial"/>
          <w:lang w:val="es-ES_tradnl" w:eastAsia="es-ES_tradnl"/>
        </w:rPr>
      </w:pPr>
      <w:r w:rsidRPr="00FF7D36">
        <w:rPr>
          <w:rStyle w:val="FontStyle19"/>
          <w:rFonts w:ascii="Century Gothic" w:hAnsi="Century Gothic" w:cs="Arial"/>
          <w:lang w:val="es-ES_tradnl" w:eastAsia="es-ES_tradnl"/>
        </w:rPr>
        <w:t>El que ponga fin al proceso.</w:t>
      </w:r>
    </w:p>
    <w:p w:rsidR="007925DD" w:rsidRPr="00FF7D36" w:rsidRDefault="007925DD" w:rsidP="007925DD">
      <w:pPr>
        <w:pStyle w:val="Style4"/>
        <w:widowControl/>
        <w:numPr>
          <w:ilvl w:val="0"/>
          <w:numId w:val="1"/>
        </w:numPr>
        <w:tabs>
          <w:tab w:val="left" w:pos="190"/>
        </w:tabs>
        <w:spacing w:before="5" w:line="276" w:lineRule="auto"/>
        <w:ind w:left="709" w:right="900"/>
        <w:jc w:val="both"/>
        <w:rPr>
          <w:rStyle w:val="FontStyle19"/>
          <w:rFonts w:ascii="Century Gothic" w:hAnsi="Century Gothic" w:cs="Arial"/>
          <w:lang w:val="es-ES_tradnl" w:eastAsia="es-ES_tradnl"/>
        </w:rPr>
      </w:pPr>
      <w:r w:rsidRPr="00FF7D36">
        <w:rPr>
          <w:rStyle w:val="FontStyle19"/>
          <w:rFonts w:ascii="Century Gothic" w:hAnsi="Century Gothic" w:cs="Arial"/>
          <w:lang w:val="es-ES_tradnl" w:eastAsia="es-ES_tradnl"/>
        </w:rPr>
        <w:t>El que apruebe conciliaciones extrajudiciales o judiciales, recurso que solo podrá ser interpuesto por el Ministerio Público.</w:t>
      </w:r>
    </w:p>
    <w:p w:rsidR="007925DD" w:rsidRPr="00FF7D36" w:rsidRDefault="007925DD" w:rsidP="007925DD">
      <w:pPr>
        <w:pStyle w:val="Style4"/>
        <w:widowControl/>
        <w:numPr>
          <w:ilvl w:val="0"/>
          <w:numId w:val="1"/>
        </w:numPr>
        <w:tabs>
          <w:tab w:val="left" w:pos="190"/>
        </w:tabs>
        <w:spacing w:line="276" w:lineRule="auto"/>
        <w:ind w:left="709" w:right="900"/>
        <w:jc w:val="both"/>
        <w:rPr>
          <w:rStyle w:val="FontStyle19"/>
          <w:rFonts w:ascii="Century Gothic" w:hAnsi="Century Gothic" w:cs="Arial"/>
          <w:lang w:val="es-ES_tradnl" w:eastAsia="es-ES_tradnl"/>
        </w:rPr>
      </w:pPr>
      <w:r w:rsidRPr="00FF7D36">
        <w:rPr>
          <w:rStyle w:val="FontStyle19"/>
          <w:rFonts w:ascii="Century Gothic" w:hAnsi="Century Gothic" w:cs="Arial"/>
          <w:lang w:val="es-ES_tradnl" w:eastAsia="es-ES_tradnl"/>
        </w:rPr>
        <w:t>El que resuelva la liquidación de la condena o de los perjuicios.</w:t>
      </w:r>
    </w:p>
    <w:p w:rsidR="007925DD" w:rsidRPr="00FF7D36" w:rsidRDefault="007925DD" w:rsidP="007925DD">
      <w:pPr>
        <w:pStyle w:val="Style4"/>
        <w:widowControl/>
        <w:numPr>
          <w:ilvl w:val="0"/>
          <w:numId w:val="1"/>
        </w:numPr>
        <w:tabs>
          <w:tab w:val="left" w:pos="190"/>
        </w:tabs>
        <w:spacing w:line="276" w:lineRule="auto"/>
        <w:ind w:left="709" w:right="900"/>
        <w:jc w:val="both"/>
        <w:rPr>
          <w:rStyle w:val="FontStyle19"/>
          <w:rFonts w:ascii="Century Gothic" w:hAnsi="Century Gothic" w:cs="Arial"/>
          <w:lang w:val="es-ES_tradnl" w:eastAsia="es-ES_tradnl"/>
        </w:rPr>
      </w:pPr>
      <w:r w:rsidRPr="00FF7D36">
        <w:rPr>
          <w:rStyle w:val="FontStyle19"/>
          <w:rFonts w:ascii="Century Gothic" w:hAnsi="Century Gothic" w:cs="Arial"/>
          <w:lang w:val="es-ES_tradnl" w:eastAsia="es-ES_tradnl"/>
        </w:rPr>
        <w:t>El que decreta las nulidades procesales.</w:t>
      </w:r>
    </w:p>
    <w:p w:rsidR="007925DD" w:rsidRPr="00FF7D36" w:rsidRDefault="007925DD" w:rsidP="007925DD">
      <w:pPr>
        <w:pStyle w:val="Style10"/>
        <w:widowControl/>
        <w:numPr>
          <w:ilvl w:val="0"/>
          <w:numId w:val="1"/>
        </w:numPr>
        <w:tabs>
          <w:tab w:val="left" w:pos="190"/>
        </w:tabs>
        <w:spacing w:before="2" w:line="276" w:lineRule="auto"/>
        <w:ind w:left="709" w:right="900"/>
        <w:jc w:val="both"/>
        <w:rPr>
          <w:rStyle w:val="FontStyle20"/>
          <w:rFonts w:ascii="Century Gothic" w:hAnsi="Century Gothic" w:cs="Arial"/>
          <w:b w:val="0"/>
        </w:rPr>
      </w:pPr>
      <w:r w:rsidRPr="00FF7D36">
        <w:rPr>
          <w:rStyle w:val="FontStyle20"/>
          <w:rFonts w:ascii="Century Gothic" w:hAnsi="Century Gothic" w:cs="Arial"/>
          <w:lang w:val="es-ES_tradnl" w:eastAsia="es-ES_tradnl"/>
        </w:rPr>
        <w:t>El que niega la intervención de terceros.</w:t>
      </w:r>
    </w:p>
    <w:p w:rsidR="007925DD" w:rsidRPr="00FF7D36" w:rsidRDefault="007925DD" w:rsidP="007925DD">
      <w:pPr>
        <w:pStyle w:val="Style4"/>
        <w:widowControl/>
        <w:numPr>
          <w:ilvl w:val="0"/>
          <w:numId w:val="1"/>
        </w:numPr>
        <w:tabs>
          <w:tab w:val="left" w:pos="190"/>
        </w:tabs>
        <w:spacing w:before="5" w:line="276" w:lineRule="auto"/>
        <w:ind w:left="709" w:right="900"/>
        <w:jc w:val="both"/>
        <w:rPr>
          <w:rStyle w:val="FontStyle19"/>
          <w:rFonts w:ascii="Century Gothic" w:hAnsi="Century Gothic" w:cs="Arial"/>
        </w:rPr>
      </w:pPr>
      <w:r w:rsidRPr="00FF7D36">
        <w:rPr>
          <w:rStyle w:val="FontStyle19"/>
          <w:rFonts w:ascii="Century Gothic" w:hAnsi="Century Gothic" w:cs="Arial"/>
          <w:lang w:val="es-ES_tradnl" w:eastAsia="es-ES_tradnl"/>
        </w:rPr>
        <w:t>El que prescinda de la audiencia de pruebas.</w:t>
      </w:r>
    </w:p>
    <w:p w:rsidR="007925DD" w:rsidRPr="00FF7D36" w:rsidRDefault="007925DD" w:rsidP="007925DD">
      <w:pPr>
        <w:pStyle w:val="Style4"/>
        <w:widowControl/>
        <w:numPr>
          <w:ilvl w:val="0"/>
          <w:numId w:val="1"/>
        </w:numPr>
        <w:tabs>
          <w:tab w:val="left" w:pos="190"/>
        </w:tabs>
        <w:spacing w:before="2" w:line="276" w:lineRule="auto"/>
        <w:ind w:left="709" w:right="900"/>
        <w:jc w:val="both"/>
        <w:rPr>
          <w:rStyle w:val="FontStyle19"/>
          <w:rFonts w:ascii="Century Gothic" w:hAnsi="Century Gothic" w:cs="Arial"/>
          <w:lang w:val="es-ES_tradnl" w:eastAsia="es-ES_tradnl"/>
        </w:rPr>
      </w:pPr>
      <w:r w:rsidRPr="00FF7D36">
        <w:rPr>
          <w:rStyle w:val="FontStyle19"/>
          <w:rFonts w:ascii="Century Gothic" w:hAnsi="Century Gothic" w:cs="Arial"/>
          <w:lang w:val="es-ES_tradnl" w:eastAsia="es-ES_tradnl"/>
        </w:rPr>
        <w:t>El que deniegue el decreto o práctica de alguna prueba pedida oportunamente"'</w:t>
      </w:r>
    </w:p>
    <w:p w:rsidR="007925DD" w:rsidRDefault="007925DD" w:rsidP="007925DD">
      <w:pPr>
        <w:pStyle w:val="Style9"/>
        <w:widowControl/>
        <w:spacing w:before="202" w:line="276" w:lineRule="auto"/>
        <w:jc w:val="both"/>
        <w:rPr>
          <w:rStyle w:val="FontStyle18"/>
          <w:rFonts w:ascii="Century Gothic" w:hAnsi="Century Gothic" w:cs="Arial"/>
          <w:sz w:val="24"/>
          <w:szCs w:val="24"/>
        </w:rPr>
      </w:pPr>
      <w:r>
        <w:rPr>
          <w:rStyle w:val="FontStyle18"/>
          <w:rFonts w:ascii="Century Gothic" w:hAnsi="Century Gothic" w:cs="Arial"/>
          <w:sz w:val="24"/>
          <w:szCs w:val="24"/>
        </w:rPr>
        <w:t>Teniendo en consideración lo anterior</w:t>
      </w:r>
      <w:r w:rsidRPr="00FF7D36">
        <w:rPr>
          <w:rStyle w:val="FontStyle18"/>
          <w:rFonts w:ascii="Century Gothic" w:hAnsi="Century Gothic" w:cs="Arial"/>
          <w:sz w:val="24"/>
          <w:szCs w:val="24"/>
        </w:rPr>
        <w:t xml:space="preserve">, </w:t>
      </w:r>
      <w:r>
        <w:rPr>
          <w:rStyle w:val="FontStyle18"/>
          <w:rFonts w:ascii="Century Gothic" w:hAnsi="Century Gothic" w:cs="Arial"/>
          <w:sz w:val="24"/>
          <w:szCs w:val="24"/>
        </w:rPr>
        <w:t>para este Despacho resulta claro que e</w:t>
      </w:r>
      <w:r w:rsidRPr="00FF7D36">
        <w:rPr>
          <w:rStyle w:val="FontStyle18"/>
          <w:rFonts w:ascii="Century Gothic" w:hAnsi="Century Gothic" w:cs="Arial"/>
          <w:sz w:val="24"/>
          <w:szCs w:val="24"/>
        </w:rPr>
        <w:t>l  recurso de reposición</w:t>
      </w:r>
      <w:r>
        <w:rPr>
          <w:rStyle w:val="FontStyle18"/>
          <w:rFonts w:ascii="Century Gothic" w:hAnsi="Century Gothic" w:cs="Arial"/>
          <w:sz w:val="24"/>
          <w:szCs w:val="24"/>
        </w:rPr>
        <w:t xml:space="preserve"> resulta improcedente</w:t>
      </w:r>
      <w:r w:rsidRPr="00FF7D36">
        <w:rPr>
          <w:rStyle w:val="FontStyle18"/>
          <w:rFonts w:ascii="Century Gothic" w:hAnsi="Century Gothic" w:cs="Arial"/>
          <w:sz w:val="24"/>
          <w:szCs w:val="24"/>
        </w:rPr>
        <w:t>,</w:t>
      </w:r>
      <w:r>
        <w:rPr>
          <w:rStyle w:val="FontStyle18"/>
          <w:rFonts w:ascii="Century Gothic" w:hAnsi="Century Gothic" w:cs="Arial"/>
          <w:sz w:val="24"/>
          <w:szCs w:val="24"/>
        </w:rPr>
        <w:t xml:space="preserve"> por lo que</w:t>
      </w:r>
      <w:r w:rsidRPr="00FF7D36">
        <w:rPr>
          <w:rStyle w:val="FontStyle18"/>
          <w:rFonts w:ascii="Century Gothic" w:hAnsi="Century Gothic" w:cs="Arial"/>
          <w:sz w:val="24"/>
          <w:szCs w:val="24"/>
        </w:rPr>
        <w:t xml:space="preserve"> se rechazará </w:t>
      </w:r>
      <w:r>
        <w:rPr>
          <w:rStyle w:val="FontStyle18"/>
          <w:rFonts w:ascii="Century Gothic" w:hAnsi="Century Gothic" w:cs="Arial"/>
          <w:sz w:val="24"/>
          <w:szCs w:val="24"/>
        </w:rPr>
        <w:t>entendiéndose que el</w:t>
      </w:r>
      <w:r w:rsidRPr="00FF7D36">
        <w:rPr>
          <w:rStyle w:val="FontStyle18"/>
          <w:rFonts w:ascii="Century Gothic" w:hAnsi="Century Gothic" w:cs="Arial"/>
          <w:sz w:val="24"/>
          <w:szCs w:val="24"/>
        </w:rPr>
        <w:t xml:space="preserve"> auto impugnado es directamente apelable.</w:t>
      </w:r>
    </w:p>
    <w:p w:rsidR="007925DD" w:rsidRPr="00D93F2F" w:rsidRDefault="007925DD" w:rsidP="007925DD">
      <w:pPr>
        <w:pStyle w:val="Style9"/>
        <w:widowControl/>
        <w:spacing w:before="202" w:line="276" w:lineRule="auto"/>
        <w:jc w:val="both"/>
        <w:rPr>
          <w:rStyle w:val="FontStyle18"/>
          <w:rFonts w:ascii="Century Gothic" w:hAnsi="Century Gothic" w:cs="Arial"/>
          <w:b/>
          <w:sz w:val="24"/>
          <w:szCs w:val="24"/>
        </w:rPr>
      </w:pPr>
      <w:r w:rsidRPr="00D93F2F">
        <w:rPr>
          <w:rStyle w:val="FontStyle18"/>
          <w:rFonts w:ascii="Century Gothic" w:hAnsi="Century Gothic" w:cs="Arial"/>
          <w:b/>
          <w:sz w:val="24"/>
          <w:szCs w:val="24"/>
        </w:rPr>
        <w:t>1.2 Oportunidad</w:t>
      </w:r>
    </w:p>
    <w:p w:rsidR="007925DD" w:rsidRDefault="007925DD" w:rsidP="007925DD">
      <w:pPr>
        <w:pStyle w:val="Style9"/>
        <w:widowControl/>
        <w:spacing w:before="202" w:line="276" w:lineRule="auto"/>
        <w:jc w:val="both"/>
        <w:rPr>
          <w:rStyle w:val="FontStyle18"/>
          <w:rFonts w:ascii="Century Gothic" w:hAnsi="Century Gothic" w:cs="Arial"/>
          <w:sz w:val="24"/>
          <w:szCs w:val="24"/>
          <w:lang w:val="es-ES_tradnl" w:eastAsia="es-ES_tradnl"/>
        </w:rPr>
      </w:pPr>
      <w:r w:rsidRPr="00FF7D36">
        <w:rPr>
          <w:rStyle w:val="FontStyle18"/>
          <w:rFonts w:ascii="Century Gothic" w:hAnsi="Century Gothic" w:cs="Arial"/>
          <w:sz w:val="24"/>
          <w:szCs w:val="24"/>
          <w:lang w:val="es-ES_tradnl" w:eastAsia="es-ES_tradnl"/>
        </w:rPr>
        <w:t xml:space="preserve">En cuanto al recurso de apelación interpuesto, </w:t>
      </w:r>
      <w:r>
        <w:rPr>
          <w:rStyle w:val="FontStyle18"/>
          <w:rFonts w:ascii="Century Gothic" w:hAnsi="Century Gothic" w:cs="Arial"/>
          <w:sz w:val="24"/>
          <w:szCs w:val="24"/>
          <w:lang w:val="es-ES_tradnl" w:eastAsia="es-ES_tradnl"/>
        </w:rPr>
        <w:t xml:space="preserve">aunque este sea procedente contra el auto impugnado, debe tenerse en cuenta el artículo 244 del CPACA que </w:t>
      </w:r>
      <w:r w:rsidRPr="00FF7D36">
        <w:rPr>
          <w:rStyle w:val="FontStyle18"/>
          <w:rFonts w:ascii="Century Gothic" w:hAnsi="Century Gothic" w:cs="Arial"/>
          <w:sz w:val="24"/>
          <w:szCs w:val="24"/>
          <w:lang w:val="es-ES_tradnl" w:eastAsia="es-ES_tradnl"/>
        </w:rPr>
        <w:t xml:space="preserve">prevé el trámite del recurso, disponiendo que </w:t>
      </w:r>
      <w:r w:rsidRPr="00FF7D36">
        <w:rPr>
          <w:rStyle w:val="FontStyle16"/>
          <w:rFonts w:ascii="Century Gothic" w:hAnsi="Century Gothic" w:cs="Arial"/>
          <w:lang w:val="es-ES_tradnl" w:eastAsia="es-ES_tradnl"/>
        </w:rPr>
        <w:t xml:space="preserve">"si </w:t>
      </w:r>
      <w:r w:rsidRPr="00FF7D36">
        <w:rPr>
          <w:rStyle w:val="FontStyle20"/>
          <w:rFonts w:ascii="Century Gothic" w:hAnsi="Century Gothic" w:cs="Arial"/>
          <w:lang w:val="es-ES_tradnl" w:eastAsia="es-ES_tradnl"/>
        </w:rPr>
        <w:t xml:space="preserve">el auto se notifica por estado, el recurso deberá interponerse y sustentarse por escrito dentro de los tres (3) días siguientes ante el juez que lo profirió" (..). </w:t>
      </w:r>
      <w:r w:rsidRPr="00FF7D36">
        <w:rPr>
          <w:rStyle w:val="FontStyle18"/>
          <w:rFonts w:ascii="Century Gothic" w:hAnsi="Century Gothic" w:cs="Arial"/>
          <w:sz w:val="24"/>
          <w:szCs w:val="24"/>
          <w:lang w:val="es-ES_tradnl" w:eastAsia="es-ES_tradnl"/>
        </w:rPr>
        <w:t>(Subrayado y negrilla fuera de texto).</w:t>
      </w:r>
    </w:p>
    <w:p w:rsidR="007925DD" w:rsidRPr="00FF7D36" w:rsidRDefault="007925DD" w:rsidP="007925DD">
      <w:pPr>
        <w:pStyle w:val="Style9"/>
        <w:widowControl/>
        <w:spacing w:before="202" w:line="276" w:lineRule="auto"/>
        <w:jc w:val="both"/>
        <w:rPr>
          <w:rStyle w:val="FontStyle18"/>
          <w:rFonts w:ascii="Century Gothic" w:hAnsi="Century Gothic" w:cs="Arial"/>
          <w:sz w:val="24"/>
          <w:szCs w:val="24"/>
          <w:lang w:val="es-ES_tradnl" w:eastAsia="es-ES_tradnl"/>
        </w:rPr>
      </w:pPr>
      <w:r>
        <w:rPr>
          <w:rStyle w:val="FontStyle18"/>
          <w:rFonts w:ascii="Century Gothic" w:hAnsi="Century Gothic" w:cs="Arial"/>
          <w:sz w:val="24"/>
          <w:szCs w:val="24"/>
          <w:lang w:val="es-ES_tradnl" w:eastAsia="es-ES_tradnl"/>
        </w:rPr>
        <w:t>Para el caso en concreto,</w:t>
      </w:r>
      <w:r w:rsidRPr="00FF7D36">
        <w:rPr>
          <w:rStyle w:val="FontStyle18"/>
          <w:rFonts w:ascii="Century Gothic" w:hAnsi="Century Gothic" w:cs="Arial"/>
          <w:sz w:val="24"/>
          <w:szCs w:val="24"/>
          <w:lang w:val="es-ES_tradnl" w:eastAsia="es-ES_tradnl"/>
        </w:rPr>
        <w:t xml:space="preserve"> el auto impugnado fue notificado por estado el 09 de diciembre de 2019, por lo que el actor tenía hasta el 12 de diciembre de 2019 para presentar el recurso de apelación, y como quiera que fue interpuesto el 13 de diciembre del mismo año, encuentra el Despacho que fue presentado extemporáneamente.</w:t>
      </w:r>
    </w:p>
    <w:p w:rsidR="007925DD" w:rsidRPr="00FF7D36" w:rsidRDefault="007925DD" w:rsidP="007925DD">
      <w:pPr>
        <w:pStyle w:val="Style12"/>
        <w:widowControl/>
        <w:spacing w:before="204" w:line="276" w:lineRule="auto"/>
        <w:jc w:val="left"/>
        <w:rPr>
          <w:rStyle w:val="FontStyle21"/>
          <w:rFonts w:ascii="Century Gothic" w:hAnsi="Century Gothic" w:cs="Arial"/>
          <w:sz w:val="24"/>
          <w:szCs w:val="24"/>
        </w:rPr>
      </w:pPr>
      <w:r w:rsidRPr="00FF7D36">
        <w:rPr>
          <w:rStyle w:val="FontStyle18"/>
          <w:rFonts w:ascii="Century Gothic" w:hAnsi="Century Gothic" w:cs="Arial"/>
          <w:sz w:val="24"/>
          <w:szCs w:val="24"/>
          <w:lang w:val="es-ES_tradnl" w:eastAsia="es-ES_tradnl"/>
        </w:rPr>
        <w:t xml:space="preserve">Por lo brevemente expuesto, se </w:t>
      </w:r>
      <w:r w:rsidRPr="00FF7D36">
        <w:rPr>
          <w:rStyle w:val="FontStyle21"/>
          <w:rFonts w:ascii="Century Gothic" w:hAnsi="Century Gothic" w:cs="Arial"/>
          <w:sz w:val="24"/>
          <w:szCs w:val="24"/>
          <w:lang w:val="es-ES_tradnl" w:eastAsia="es-ES_tradnl"/>
        </w:rPr>
        <w:t>RESUELVE:</w:t>
      </w:r>
    </w:p>
    <w:p w:rsidR="007925DD" w:rsidRDefault="007925DD" w:rsidP="007925DD">
      <w:pPr>
        <w:pStyle w:val="Style12"/>
        <w:widowControl/>
        <w:spacing w:before="206" w:line="276" w:lineRule="auto"/>
        <w:ind w:right="58"/>
        <w:rPr>
          <w:rStyle w:val="FontStyle21"/>
          <w:rFonts w:ascii="Century Gothic" w:hAnsi="Century Gothic" w:cs="Arial"/>
          <w:sz w:val="24"/>
          <w:szCs w:val="24"/>
          <w:lang w:val="es-ES_tradnl" w:eastAsia="es-ES_tradnl"/>
        </w:rPr>
      </w:pPr>
      <w:r>
        <w:rPr>
          <w:rStyle w:val="FontStyle21"/>
          <w:rFonts w:ascii="Century Gothic" w:hAnsi="Century Gothic" w:cs="Arial"/>
          <w:sz w:val="24"/>
          <w:szCs w:val="24"/>
          <w:lang w:val="es-ES_tradnl" w:eastAsia="es-ES_tradnl"/>
        </w:rPr>
        <w:t xml:space="preserve">PRIMERO: TENER </w:t>
      </w:r>
      <w:r w:rsidRPr="003A1748">
        <w:rPr>
          <w:rStyle w:val="FontStyle21"/>
          <w:rFonts w:ascii="Century Gothic" w:hAnsi="Century Gothic" w:cs="Arial"/>
          <w:b w:val="0"/>
          <w:sz w:val="24"/>
          <w:szCs w:val="24"/>
          <w:lang w:val="es-ES_tradnl" w:eastAsia="es-ES_tradnl"/>
        </w:rPr>
        <w:t>por improcedente el recurso de reposición interpuesto contra el auto del 6 de diciembre de 2019.</w:t>
      </w:r>
      <w:r>
        <w:rPr>
          <w:rStyle w:val="FontStyle21"/>
          <w:rFonts w:ascii="Century Gothic" w:hAnsi="Century Gothic" w:cs="Arial"/>
          <w:sz w:val="24"/>
          <w:szCs w:val="24"/>
          <w:lang w:val="es-ES_tradnl" w:eastAsia="es-ES_tradnl"/>
        </w:rPr>
        <w:t xml:space="preserve"> </w:t>
      </w:r>
    </w:p>
    <w:p w:rsidR="007925DD" w:rsidRPr="00FF7D36" w:rsidRDefault="007925DD" w:rsidP="007925DD">
      <w:pPr>
        <w:pStyle w:val="Style12"/>
        <w:widowControl/>
        <w:spacing w:before="206" w:line="276" w:lineRule="auto"/>
        <w:ind w:right="58"/>
        <w:rPr>
          <w:rStyle w:val="FontStyle18"/>
          <w:rFonts w:ascii="Century Gothic" w:hAnsi="Century Gothic" w:cs="Arial"/>
          <w:sz w:val="24"/>
          <w:szCs w:val="24"/>
        </w:rPr>
      </w:pPr>
      <w:r>
        <w:rPr>
          <w:rStyle w:val="FontStyle21"/>
          <w:rFonts w:ascii="Century Gothic" w:hAnsi="Century Gothic" w:cs="Arial"/>
          <w:sz w:val="24"/>
          <w:szCs w:val="24"/>
          <w:lang w:val="es-ES_tradnl" w:eastAsia="es-ES_tradnl"/>
        </w:rPr>
        <w:t>SEGUNDO: RECHAZAR</w:t>
      </w:r>
      <w:r w:rsidRPr="00FF7D36">
        <w:rPr>
          <w:rStyle w:val="FontStyle21"/>
          <w:rFonts w:ascii="Century Gothic" w:hAnsi="Century Gothic" w:cs="Arial"/>
          <w:sz w:val="24"/>
          <w:szCs w:val="24"/>
          <w:lang w:val="es-ES_tradnl" w:eastAsia="es-ES_tradnl"/>
        </w:rPr>
        <w:t xml:space="preserve"> </w:t>
      </w:r>
      <w:r w:rsidRPr="00FF7D36">
        <w:rPr>
          <w:rStyle w:val="FontStyle18"/>
          <w:rFonts w:ascii="Century Gothic" w:hAnsi="Century Gothic" w:cs="Arial"/>
          <w:sz w:val="24"/>
          <w:szCs w:val="24"/>
          <w:lang w:val="es-ES_tradnl" w:eastAsia="es-ES_tradnl"/>
        </w:rPr>
        <w:t>por extemporáneo el recurso de apelación interpuesto contra la providencia de</w:t>
      </w:r>
      <w:r>
        <w:rPr>
          <w:rStyle w:val="FontStyle18"/>
          <w:rFonts w:ascii="Century Gothic" w:hAnsi="Century Gothic" w:cs="Arial"/>
          <w:sz w:val="24"/>
          <w:szCs w:val="24"/>
          <w:lang w:val="es-ES_tradnl" w:eastAsia="es-ES_tradnl"/>
        </w:rPr>
        <w:t>l 6 de diciembre</w:t>
      </w:r>
      <w:r w:rsidRPr="00FF7D36">
        <w:rPr>
          <w:rStyle w:val="FontStyle18"/>
          <w:rFonts w:ascii="Century Gothic" w:hAnsi="Century Gothic" w:cs="Arial"/>
          <w:sz w:val="24"/>
          <w:szCs w:val="24"/>
          <w:lang w:val="es-ES_tradnl" w:eastAsia="es-ES_tradnl"/>
        </w:rPr>
        <w:t xml:space="preserve"> de 2019, de conformidad con lo anotado en la parte motiva de la presente providencia.</w:t>
      </w:r>
    </w:p>
    <w:p w:rsidR="007925DD" w:rsidRPr="00FF7D36" w:rsidRDefault="007925DD" w:rsidP="007925DD">
      <w:pPr>
        <w:pStyle w:val="Style7"/>
        <w:widowControl/>
        <w:spacing w:before="175"/>
        <w:rPr>
          <w:rStyle w:val="FontStyle21"/>
          <w:rFonts w:ascii="Century Gothic" w:hAnsi="Century Gothic" w:cs="Arial"/>
          <w:sz w:val="24"/>
          <w:szCs w:val="24"/>
        </w:rPr>
      </w:pPr>
      <w:r w:rsidRPr="00FF7D36">
        <w:rPr>
          <w:rStyle w:val="FontStyle21"/>
          <w:rFonts w:ascii="Century Gothic" w:hAnsi="Century Gothic" w:cs="Arial"/>
          <w:sz w:val="24"/>
          <w:szCs w:val="24"/>
          <w:lang w:val="es-ES_tradnl" w:eastAsia="es-ES_tradnl"/>
        </w:rPr>
        <w:t>NOTIFÍQUESE Y CÚMPLASE,</w:t>
      </w:r>
    </w:p>
    <w:p w:rsidR="007925DD" w:rsidRPr="00FF7D36" w:rsidRDefault="007925DD" w:rsidP="007925DD">
      <w:pPr>
        <w:widowControl w:val="0"/>
        <w:spacing w:after="0" w:line="276" w:lineRule="auto"/>
        <w:jc w:val="both"/>
        <w:rPr>
          <w:rFonts w:ascii="Century Gothic" w:eastAsia="Calibri" w:hAnsi="Century Gothic" w:cs="Arial"/>
          <w:b/>
          <w:sz w:val="24"/>
          <w:szCs w:val="24"/>
          <w:lang w:eastAsia="es-ES"/>
        </w:rPr>
      </w:pPr>
    </w:p>
    <w:p w:rsidR="007925DD" w:rsidRPr="00FF7D36" w:rsidRDefault="007925DD" w:rsidP="007925DD">
      <w:pPr>
        <w:widowControl w:val="0"/>
        <w:shd w:val="clear" w:color="auto" w:fill="FFFFFF"/>
        <w:autoSpaceDE w:val="0"/>
        <w:autoSpaceDN w:val="0"/>
        <w:adjustRightInd w:val="0"/>
        <w:spacing w:after="0" w:line="276" w:lineRule="auto"/>
        <w:rPr>
          <w:rFonts w:ascii="Century Gothic" w:eastAsia="Times New Roman" w:hAnsi="Century Gothic" w:cs="Arial"/>
          <w:sz w:val="24"/>
          <w:szCs w:val="24"/>
          <w:lang w:val="es-ES" w:eastAsia="es-ES"/>
        </w:rPr>
      </w:pPr>
      <w:r>
        <w:rPr>
          <w:rFonts w:ascii="Century Gothic" w:eastAsia="Times New Roman" w:hAnsi="Century Gothic" w:cs="Arial"/>
          <w:b/>
          <w:bCs/>
          <w:color w:val="000000"/>
          <w:spacing w:val="1"/>
          <w:sz w:val="24"/>
          <w:szCs w:val="24"/>
          <w:lang w:val="es-ES_tradnl" w:eastAsia="es-ES"/>
        </w:rPr>
        <w:t xml:space="preserve">                                  </w:t>
      </w:r>
      <w:r w:rsidRPr="00FF7D36">
        <w:rPr>
          <w:rFonts w:ascii="Century Gothic" w:eastAsia="Times New Roman" w:hAnsi="Century Gothic" w:cs="Arial"/>
          <w:b/>
          <w:bCs/>
          <w:color w:val="000000"/>
          <w:spacing w:val="1"/>
          <w:sz w:val="24"/>
          <w:szCs w:val="24"/>
          <w:lang w:val="es-ES_tradnl" w:eastAsia="es-ES"/>
        </w:rPr>
        <w:t>LUIS GABRIEL AHUMADA PERDOMO</w:t>
      </w:r>
    </w:p>
    <w:p w:rsidR="007925DD" w:rsidRPr="00FF7D36" w:rsidRDefault="007925DD" w:rsidP="007925DD">
      <w:pPr>
        <w:spacing w:after="0" w:line="276" w:lineRule="auto"/>
        <w:jc w:val="center"/>
        <w:rPr>
          <w:rFonts w:ascii="Century Gothic" w:eastAsia="Calibri" w:hAnsi="Century Gothic" w:cs="Arial"/>
          <w:sz w:val="24"/>
          <w:szCs w:val="24"/>
          <w:lang w:eastAsia="es-ES"/>
        </w:rPr>
      </w:pPr>
      <w:r w:rsidRPr="00FF7D36">
        <w:rPr>
          <w:rFonts w:ascii="Century Gothic" w:eastAsia="Calibri" w:hAnsi="Century Gothic" w:cs="Arial"/>
          <w:sz w:val="24"/>
          <w:szCs w:val="24"/>
          <w:lang w:eastAsia="es-ES"/>
        </w:rPr>
        <w:t>Juez</w:t>
      </w:r>
    </w:p>
    <w:p w:rsidR="007925DD" w:rsidRPr="00FF7D36" w:rsidRDefault="007925DD" w:rsidP="007925DD">
      <w:pPr>
        <w:spacing w:after="0" w:line="276" w:lineRule="auto"/>
        <w:rPr>
          <w:rFonts w:ascii="Century Gothic" w:eastAsia="Calibri" w:hAnsi="Century Gothic" w:cs="Arial"/>
          <w:sz w:val="14"/>
          <w:szCs w:val="14"/>
          <w:lang w:eastAsia="es-ES"/>
        </w:rPr>
      </w:pPr>
      <w:r w:rsidRPr="00FF7D36">
        <w:rPr>
          <w:rFonts w:ascii="Century Gothic" w:eastAsia="Calibri" w:hAnsi="Century Gothic" w:cs="Arial"/>
          <w:sz w:val="14"/>
          <w:szCs w:val="14"/>
          <w:lang w:eastAsia="es-ES"/>
        </w:rPr>
        <w:t>AMRA</w:t>
      </w:r>
    </w:p>
    <w:p w:rsidR="007925DD" w:rsidRDefault="007925DD" w:rsidP="007925DD">
      <w:pPr>
        <w:spacing w:after="0" w:line="276" w:lineRule="auto"/>
        <w:jc w:val="both"/>
        <w:rPr>
          <w:rFonts w:ascii="Century Gothic" w:eastAsia="Times New Roman" w:hAnsi="Century Gothic" w:cs="Arial"/>
          <w:b/>
          <w:sz w:val="24"/>
          <w:szCs w:val="24"/>
          <w:lang w:eastAsia="es-ES"/>
        </w:rPr>
      </w:pPr>
    </w:p>
    <w:p w:rsidR="007925DD" w:rsidRDefault="007925DD" w:rsidP="007925DD">
      <w:pPr>
        <w:spacing w:after="0" w:line="276" w:lineRule="auto"/>
        <w:jc w:val="both"/>
        <w:rPr>
          <w:rFonts w:ascii="Century Gothic" w:eastAsia="Times New Roman" w:hAnsi="Century Gothic" w:cs="Arial"/>
          <w:b/>
          <w:sz w:val="24"/>
          <w:szCs w:val="24"/>
          <w:lang w:eastAsia="es-ES"/>
        </w:rPr>
      </w:pPr>
    </w:p>
    <w:p w:rsidR="007925DD" w:rsidRPr="00FF7D36" w:rsidRDefault="007925DD" w:rsidP="007925DD">
      <w:pPr>
        <w:spacing w:after="0" w:line="276" w:lineRule="auto"/>
        <w:jc w:val="both"/>
        <w:rPr>
          <w:rFonts w:ascii="Century Gothic" w:eastAsia="Times New Roman" w:hAnsi="Century Gothic" w:cs="Arial"/>
          <w:b/>
          <w:sz w:val="24"/>
          <w:szCs w:val="24"/>
          <w:lang w:eastAsia="es-ES"/>
        </w:rPr>
      </w:pPr>
    </w:p>
    <w:tbl>
      <w:tblPr>
        <w:tblStyle w:val="Tablaconcuadrcula"/>
        <w:tblW w:w="0" w:type="auto"/>
        <w:tblInd w:w="1384" w:type="dxa"/>
        <w:tblBorders>
          <w:insideH w:val="none" w:sz="0" w:space="0" w:color="auto"/>
          <w:insideV w:val="none" w:sz="0" w:space="0" w:color="auto"/>
        </w:tblBorders>
        <w:tblLook w:val="04A0" w:firstRow="1" w:lastRow="0" w:firstColumn="1" w:lastColumn="0" w:noHBand="0" w:noVBand="1"/>
      </w:tblPr>
      <w:tblGrid>
        <w:gridCol w:w="6238"/>
      </w:tblGrid>
      <w:tr w:rsidR="007925DD" w:rsidRPr="00FF7D36" w:rsidTr="00D606EC">
        <w:trPr>
          <w:trHeight w:val="2543"/>
        </w:trPr>
        <w:tc>
          <w:tcPr>
            <w:tcW w:w="6238" w:type="dxa"/>
          </w:tcPr>
          <w:p w:rsidR="007925DD" w:rsidRPr="00FF7D36" w:rsidRDefault="007925DD" w:rsidP="00D606EC">
            <w:pPr>
              <w:jc w:val="center"/>
              <w:rPr>
                <w:rFonts w:ascii="Century Gothic" w:hAnsi="Century Gothic" w:cs="Arial"/>
                <w:b/>
                <w:sz w:val="24"/>
                <w:szCs w:val="24"/>
              </w:rPr>
            </w:pPr>
          </w:p>
          <w:p w:rsidR="007925DD" w:rsidRPr="00FF7D36" w:rsidRDefault="007925DD" w:rsidP="00D606EC">
            <w:pPr>
              <w:jc w:val="center"/>
              <w:rPr>
                <w:rFonts w:ascii="Century Gothic" w:hAnsi="Century Gothic" w:cs="Arial"/>
                <w:sz w:val="24"/>
                <w:szCs w:val="24"/>
              </w:rPr>
            </w:pPr>
            <w:r w:rsidRPr="00FF7D36">
              <w:rPr>
                <w:rFonts w:ascii="Century Gothic" w:hAnsi="Century Gothic" w:cs="Arial"/>
                <w:sz w:val="24"/>
                <w:szCs w:val="24"/>
              </w:rPr>
              <w:t>JUZGADO TREINTA Y CUATRO ADMINISTRATIVO CIRCUITO DE BOGOTA -  SECCIÓN TERCERA</w:t>
            </w:r>
          </w:p>
          <w:p w:rsidR="007925DD" w:rsidRPr="00FF7D36" w:rsidRDefault="007925DD" w:rsidP="00D606EC">
            <w:pPr>
              <w:jc w:val="center"/>
              <w:rPr>
                <w:rFonts w:ascii="Century Gothic" w:hAnsi="Century Gothic" w:cs="Arial"/>
                <w:sz w:val="24"/>
                <w:szCs w:val="24"/>
              </w:rPr>
            </w:pPr>
          </w:p>
          <w:p w:rsidR="007925DD" w:rsidRPr="00FF7D36" w:rsidRDefault="007925DD" w:rsidP="00D606EC">
            <w:pPr>
              <w:jc w:val="both"/>
              <w:rPr>
                <w:rFonts w:ascii="Century Gothic" w:hAnsi="Century Gothic" w:cs="Arial"/>
                <w:sz w:val="24"/>
                <w:szCs w:val="24"/>
              </w:rPr>
            </w:pPr>
            <w:r w:rsidRPr="00FF7D36">
              <w:rPr>
                <w:rFonts w:ascii="Century Gothic" w:hAnsi="Century Gothic" w:cs="Arial"/>
                <w:sz w:val="24"/>
                <w:szCs w:val="24"/>
              </w:rPr>
              <w:t xml:space="preserve">Por anotación en ESTADO notifico a las partes la providencia anterior, hoy </w:t>
            </w:r>
            <w:r w:rsidRPr="00FF7D36">
              <w:rPr>
                <w:rFonts w:ascii="Century Gothic" w:hAnsi="Century Gothic" w:cs="Arial"/>
                <w:b/>
                <w:sz w:val="24"/>
                <w:szCs w:val="24"/>
              </w:rPr>
              <w:t>____________________________</w:t>
            </w:r>
            <w:r w:rsidRPr="00FF7D36">
              <w:rPr>
                <w:rFonts w:ascii="Century Gothic" w:hAnsi="Century Gothic" w:cs="Arial"/>
                <w:sz w:val="24"/>
                <w:szCs w:val="24"/>
              </w:rPr>
              <w:t>a las 8:00 a.m.</w:t>
            </w:r>
          </w:p>
          <w:p w:rsidR="007925DD" w:rsidRPr="00FF7D36" w:rsidRDefault="007925DD" w:rsidP="00D606EC">
            <w:pPr>
              <w:rPr>
                <w:rFonts w:ascii="Century Gothic" w:hAnsi="Century Gothic" w:cs="Arial"/>
                <w:sz w:val="24"/>
                <w:szCs w:val="24"/>
              </w:rPr>
            </w:pPr>
          </w:p>
          <w:p w:rsidR="007925DD" w:rsidRPr="00FF7D36" w:rsidRDefault="007925DD" w:rsidP="00D606EC">
            <w:pPr>
              <w:jc w:val="center"/>
              <w:rPr>
                <w:rFonts w:ascii="Century Gothic" w:hAnsi="Century Gothic" w:cs="Arial"/>
                <w:sz w:val="24"/>
                <w:szCs w:val="24"/>
              </w:rPr>
            </w:pPr>
            <w:r w:rsidRPr="00FF7D36">
              <w:rPr>
                <w:rFonts w:ascii="Century Gothic" w:hAnsi="Century Gothic" w:cs="Arial"/>
                <w:noProof/>
                <w:sz w:val="24"/>
                <w:szCs w:val="24"/>
                <w:lang w:eastAsia="es-CO"/>
              </w:rPr>
              <w:drawing>
                <wp:inline distT="0" distB="0" distL="0" distR="0" wp14:anchorId="4B53CEAF" wp14:editId="692CDD33">
                  <wp:extent cx="695325" cy="61854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4382" cy="644389"/>
                          </a:xfrm>
                          <a:prstGeom prst="rect">
                            <a:avLst/>
                          </a:prstGeom>
                          <a:noFill/>
                          <a:ln>
                            <a:noFill/>
                          </a:ln>
                        </pic:spPr>
                      </pic:pic>
                    </a:graphicData>
                  </a:graphic>
                </wp:inline>
              </w:drawing>
            </w:r>
          </w:p>
        </w:tc>
      </w:tr>
    </w:tbl>
    <w:p w:rsidR="007925DD" w:rsidRPr="00FF7D36" w:rsidRDefault="007925DD" w:rsidP="007925DD">
      <w:pPr>
        <w:rPr>
          <w:rFonts w:ascii="Century Gothic" w:hAnsi="Century Gothic"/>
          <w:sz w:val="24"/>
          <w:szCs w:val="24"/>
        </w:rPr>
      </w:pPr>
    </w:p>
    <w:p w:rsidR="007925DD" w:rsidRPr="00FF7D36" w:rsidRDefault="007925DD" w:rsidP="007925DD">
      <w:pPr>
        <w:rPr>
          <w:rFonts w:ascii="Century Gothic" w:hAnsi="Century Gothic"/>
          <w:sz w:val="24"/>
          <w:szCs w:val="24"/>
        </w:rPr>
      </w:pPr>
    </w:p>
    <w:p w:rsidR="00A50FF4" w:rsidRDefault="00A50FF4"/>
    <w:sectPr w:rsidR="00A50FF4" w:rsidSect="00F22976">
      <w:headerReference w:type="default" r:id="rId6"/>
      <w:headerReference w:type="first" r:id="rId7"/>
      <w:pgSz w:w="12240" w:h="18720" w:code="14"/>
      <w:pgMar w:top="1418" w:right="1701" w:bottom="1418"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135" w:rsidRPr="00FF7D36" w:rsidRDefault="007925DD" w:rsidP="00D63176">
    <w:pPr>
      <w:pStyle w:val="Encabezado"/>
      <w:jc w:val="right"/>
      <w:rPr>
        <w:rFonts w:ascii="Century Gothic" w:hAnsi="Century Gothic" w:cs="Tahoma"/>
        <w:sz w:val="16"/>
        <w:szCs w:val="16"/>
      </w:rPr>
    </w:pPr>
    <w:r w:rsidRPr="00FF7D36">
      <w:rPr>
        <w:rFonts w:ascii="Century Gothic" w:hAnsi="Century Gothic" w:cs="Tahoma"/>
        <w:sz w:val="16"/>
        <w:szCs w:val="16"/>
      </w:rPr>
      <w:t>EXPEDIENTE No 201</w:t>
    </w:r>
    <w:r w:rsidRPr="00FF7D36">
      <w:rPr>
        <w:rFonts w:ascii="Century Gothic" w:hAnsi="Century Gothic" w:cs="Tahoma"/>
        <w:sz w:val="16"/>
        <w:szCs w:val="16"/>
      </w:rPr>
      <w:t>9-0</w:t>
    </w:r>
    <w:r>
      <w:rPr>
        <w:rFonts w:ascii="Century Gothic" w:hAnsi="Century Gothic" w:cs="Tahoma"/>
        <w:sz w:val="16"/>
        <w:szCs w:val="16"/>
      </w:rPr>
      <w:t>0</w:t>
    </w:r>
    <w:r w:rsidRPr="00FF7D36">
      <w:rPr>
        <w:rFonts w:ascii="Century Gothic" w:hAnsi="Century Gothic" w:cs="Tahoma"/>
        <w:sz w:val="16"/>
        <w:szCs w:val="16"/>
      </w:rPr>
      <w:t>267</w:t>
    </w:r>
  </w:p>
  <w:p w:rsidR="0017007A" w:rsidRPr="00FF7D36" w:rsidRDefault="007925DD" w:rsidP="00D63176">
    <w:pPr>
      <w:pStyle w:val="Encabezado"/>
      <w:jc w:val="right"/>
      <w:rPr>
        <w:rFonts w:ascii="Century Gothic" w:hAnsi="Century Gothic" w:cs="Tahoma"/>
        <w:sz w:val="16"/>
        <w:szCs w:val="16"/>
      </w:rPr>
    </w:pPr>
    <w:r w:rsidRPr="00FF7D36">
      <w:rPr>
        <w:rFonts w:ascii="Century Gothic" w:hAnsi="Century Gothic" w:cs="Tahoma"/>
        <w:sz w:val="16"/>
        <w:szCs w:val="16"/>
      </w:rPr>
      <w:t xml:space="preserve">RECHAZA </w:t>
    </w:r>
    <w:r w:rsidRPr="00FF7D36">
      <w:rPr>
        <w:rFonts w:ascii="Century Gothic" w:hAnsi="Century Gothic" w:cs="Tahoma"/>
        <w:sz w:val="16"/>
        <w:szCs w:val="16"/>
      </w:rPr>
      <w:t xml:space="preserve">RECURSO DE REPOSICIÓN Y EN SUBSIDIO </w:t>
    </w:r>
    <w:r w:rsidRPr="00FF7D36">
      <w:rPr>
        <w:rFonts w:ascii="Century Gothic" w:hAnsi="Century Gothic" w:cs="Tahoma"/>
        <w:sz w:val="16"/>
        <w:szCs w:val="16"/>
      </w:rPr>
      <w:t>APELACIÓN POR EXTEMPORÁNEO</w:t>
    </w:r>
  </w:p>
  <w:p w:rsidR="006C1135" w:rsidRPr="00FF7D36" w:rsidRDefault="007925DD" w:rsidP="00D63176">
    <w:pPr>
      <w:pStyle w:val="Encabezado"/>
      <w:jc w:val="right"/>
      <w:rPr>
        <w:rFonts w:ascii="Century Gothic" w:hAnsi="Century Gothic" w:cs="Tahoma"/>
        <w:sz w:val="16"/>
        <w:szCs w:val="16"/>
      </w:rPr>
    </w:pPr>
    <w:r w:rsidRPr="00FF7D36">
      <w:rPr>
        <w:rFonts w:ascii="Century Gothic" w:hAnsi="Century Gothic" w:cs="Tahoma"/>
        <w:sz w:val="16"/>
        <w:szCs w:val="16"/>
      </w:rPr>
      <w:t>Página 2 de 2</w:t>
    </w:r>
  </w:p>
  <w:p w:rsidR="006C1135" w:rsidRDefault="007925D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135" w:rsidRPr="007E733E" w:rsidRDefault="007925DD" w:rsidP="00605E48">
    <w:pPr>
      <w:pStyle w:val="Encabezado"/>
      <w:jc w:val="center"/>
      <w:rPr>
        <w:rFonts w:ascii="Tahoma" w:hAnsi="Tahoma" w:cs="Tahoma"/>
        <w:b/>
        <w:i/>
        <w:sz w:val="16"/>
        <w:szCs w:val="16"/>
      </w:rPr>
    </w:pPr>
    <w:r w:rsidRPr="007E733E">
      <w:rPr>
        <w:rFonts w:ascii="Tahoma" w:hAnsi="Tahoma" w:cs="Tahoma"/>
        <w:b/>
        <w:i/>
        <w:noProof/>
        <w:sz w:val="16"/>
        <w:szCs w:val="16"/>
        <w:lang w:eastAsia="es-CO"/>
      </w:rPr>
      <w:drawing>
        <wp:inline distT="0" distB="0" distL="0" distR="0" wp14:anchorId="4DB9AC66" wp14:editId="6717A09D">
          <wp:extent cx="662940" cy="62484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24840"/>
                  </a:xfrm>
                  <a:prstGeom prst="rect">
                    <a:avLst/>
                  </a:prstGeom>
                  <a:noFill/>
                  <a:ln>
                    <a:noFill/>
                  </a:ln>
                </pic:spPr>
              </pic:pic>
            </a:graphicData>
          </a:graphic>
        </wp:inline>
      </w:drawing>
    </w:r>
  </w:p>
  <w:p w:rsidR="006C1135" w:rsidRPr="00FF7D36" w:rsidRDefault="007925DD" w:rsidP="00605E48">
    <w:pPr>
      <w:pStyle w:val="Encabezado"/>
      <w:jc w:val="center"/>
      <w:rPr>
        <w:rFonts w:ascii="Century Gothic" w:hAnsi="Century Gothic" w:cs="Tahoma"/>
        <w:b/>
        <w:sz w:val="16"/>
        <w:szCs w:val="16"/>
        <w:lang w:val="es-MX"/>
      </w:rPr>
    </w:pPr>
    <w:r w:rsidRPr="00FF7D36">
      <w:rPr>
        <w:rFonts w:ascii="Century Gothic" w:hAnsi="Century Gothic" w:cs="Tahoma"/>
        <w:b/>
        <w:sz w:val="16"/>
        <w:szCs w:val="16"/>
        <w:lang w:val="es-MX"/>
      </w:rPr>
      <w:t>JUZGADO TREINTA Y CUATRO ADMINISTRATIVO</w:t>
    </w:r>
  </w:p>
  <w:p w:rsidR="006C1135" w:rsidRPr="00FF7D36" w:rsidRDefault="007925DD" w:rsidP="00605E48">
    <w:pPr>
      <w:pStyle w:val="Encabezado"/>
      <w:jc w:val="center"/>
      <w:rPr>
        <w:rFonts w:ascii="Century Gothic" w:hAnsi="Century Gothic" w:cs="Tahoma"/>
        <w:b/>
        <w:sz w:val="16"/>
        <w:szCs w:val="16"/>
        <w:lang w:val="es-MX"/>
      </w:rPr>
    </w:pPr>
    <w:r w:rsidRPr="00FF7D36">
      <w:rPr>
        <w:rFonts w:ascii="Century Gothic" w:hAnsi="Century Gothic" w:cs="Tahoma"/>
        <w:b/>
        <w:sz w:val="16"/>
        <w:szCs w:val="16"/>
        <w:lang w:val="es-MX"/>
      </w:rPr>
      <w:t xml:space="preserve"> ORAL DE BOGOTÁ</w:t>
    </w:r>
  </w:p>
  <w:p w:rsidR="006C1135" w:rsidRPr="00FF7D36" w:rsidRDefault="007925DD" w:rsidP="00605E48">
    <w:pPr>
      <w:pStyle w:val="Encabezado"/>
      <w:jc w:val="center"/>
      <w:rPr>
        <w:rFonts w:ascii="Century Gothic" w:hAnsi="Century Gothic" w:cs="Tahoma"/>
        <w:b/>
        <w:sz w:val="16"/>
        <w:szCs w:val="16"/>
        <w:lang w:val="es-MX"/>
      </w:rPr>
    </w:pPr>
    <w:r w:rsidRPr="00FF7D36">
      <w:rPr>
        <w:rFonts w:ascii="Century Gothic" w:hAnsi="Century Gothic" w:cs="Tahoma"/>
        <w:b/>
        <w:sz w:val="16"/>
        <w:szCs w:val="16"/>
        <w:lang w:val="es-MX"/>
      </w:rPr>
      <w:t>Sección Tercera</w:t>
    </w:r>
  </w:p>
  <w:p w:rsidR="006C1135" w:rsidRPr="007E733E" w:rsidRDefault="007925DD">
    <w:pPr>
      <w:pStyle w:val="Encabezado"/>
      <w:rPr>
        <w:rFonts w:ascii="Tahoma" w:hAnsi="Tahoma" w:cs="Tahom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C70849"/>
    <w:multiLevelType w:val="singleLevel"/>
    <w:tmpl w:val="91E8D4B2"/>
    <w:lvl w:ilvl="0">
      <w:start w:val="2"/>
      <w:numFmt w:val="decimal"/>
      <w:lvlText w:val="%1."/>
      <w:legacy w:legacy="1" w:legacySpace="0" w:legacyIndent="190"/>
      <w:lvlJc w:val="left"/>
      <w:pPr>
        <w:ind w:left="0" w:firstLine="0"/>
      </w:pPr>
      <w:rPr>
        <w:rFonts w:ascii="Tahoma" w:hAnsi="Tahoma" w:cs="Tahoma" w:hint="default"/>
      </w:r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5DD"/>
    <w:rsid w:val="00040636"/>
    <w:rsid w:val="001F3F86"/>
    <w:rsid w:val="007925DD"/>
    <w:rsid w:val="00941CB2"/>
    <w:rsid w:val="00A46BB8"/>
    <w:rsid w:val="00A50FF4"/>
    <w:rsid w:val="00B07975"/>
    <w:rsid w:val="00B1661A"/>
    <w:rsid w:val="00CC207E"/>
    <w:rsid w:val="00DD7E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4B928-C77C-4204-8138-62F1B56B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5DD"/>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925DD"/>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7925DD"/>
    <w:rPr>
      <w:rFonts w:ascii="Times New Roman" w:eastAsia="Times New Roman" w:hAnsi="Times New Roman" w:cs="Times New Roman"/>
      <w:sz w:val="24"/>
      <w:szCs w:val="24"/>
      <w:lang w:eastAsia="es-ES"/>
    </w:rPr>
  </w:style>
  <w:style w:type="table" w:styleId="Tablaconcuadrcula">
    <w:name w:val="Table Grid"/>
    <w:basedOn w:val="Tablanormal"/>
    <w:uiPriority w:val="39"/>
    <w:rsid w:val="007925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2">
    <w:name w:val="Style12"/>
    <w:basedOn w:val="Normal"/>
    <w:uiPriority w:val="99"/>
    <w:rsid w:val="007925DD"/>
    <w:pPr>
      <w:widowControl w:val="0"/>
      <w:autoSpaceDE w:val="0"/>
      <w:autoSpaceDN w:val="0"/>
      <w:adjustRightInd w:val="0"/>
      <w:spacing w:after="0" w:line="198" w:lineRule="exact"/>
      <w:jc w:val="both"/>
    </w:pPr>
    <w:rPr>
      <w:rFonts w:ascii="Tahoma" w:eastAsiaTheme="minorEastAsia" w:hAnsi="Tahoma" w:cs="Tahoma"/>
      <w:sz w:val="24"/>
      <w:szCs w:val="24"/>
      <w:lang w:eastAsia="es-CO"/>
    </w:rPr>
  </w:style>
  <w:style w:type="character" w:customStyle="1" w:styleId="FontStyle18">
    <w:name w:val="Font Style18"/>
    <w:basedOn w:val="Fuentedeprrafopredeter"/>
    <w:uiPriority w:val="99"/>
    <w:rsid w:val="007925DD"/>
    <w:rPr>
      <w:rFonts w:ascii="Tahoma" w:hAnsi="Tahoma" w:cs="Tahoma" w:hint="default"/>
      <w:sz w:val="14"/>
      <w:szCs w:val="14"/>
    </w:rPr>
  </w:style>
  <w:style w:type="character" w:customStyle="1" w:styleId="FontStyle21">
    <w:name w:val="Font Style21"/>
    <w:basedOn w:val="Fuentedeprrafopredeter"/>
    <w:uiPriority w:val="99"/>
    <w:rsid w:val="007925DD"/>
    <w:rPr>
      <w:rFonts w:ascii="Tahoma" w:hAnsi="Tahoma" w:cs="Tahoma" w:hint="default"/>
      <w:b/>
      <w:bCs/>
      <w:sz w:val="14"/>
      <w:szCs w:val="14"/>
    </w:rPr>
  </w:style>
  <w:style w:type="paragraph" w:customStyle="1" w:styleId="Style4">
    <w:name w:val="Style4"/>
    <w:basedOn w:val="Normal"/>
    <w:uiPriority w:val="99"/>
    <w:rsid w:val="007925DD"/>
    <w:pPr>
      <w:widowControl w:val="0"/>
      <w:autoSpaceDE w:val="0"/>
      <w:autoSpaceDN w:val="0"/>
      <w:adjustRightInd w:val="0"/>
      <w:spacing w:after="0" w:line="240" w:lineRule="auto"/>
    </w:pPr>
    <w:rPr>
      <w:rFonts w:ascii="Tahoma" w:eastAsiaTheme="minorEastAsia" w:hAnsi="Tahoma" w:cs="Tahoma"/>
      <w:sz w:val="24"/>
      <w:szCs w:val="24"/>
      <w:lang w:eastAsia="es-CO"/>
    </w:rPr>
  </w:style>
  <w:style w:type="paragraph" w:customStyle="1" w:styleId="Style5">
    <w:name w:val="Style5"/>
    <w:basedOn w:val="Normal"/>
    <w:uiPriority w:val="99"/>
    <w:rsid w:val="007925DD"/>
    <w:pPr>
      <w:widowControl w:val="0"/>
      <w:autoSpaceDE w:val="0"/>
      <w:autoSpaceDN w:val="0"/>
      <w:adjustRightInd w:val="0"/>
      <w:spacing w:after="0" w:line="192" w:lineRule="exact"/>
    </w:pPr>
    <w:rPr>
      <w:rFonts w:ascii="Tahoma" w:eastAsiaTheme="minorEastAsia" w:hAnsi="Tahoma" w:cs="Tahoma"/>
      <w:sz w:val="24"/>
      <w:szCs w:val="24"/>
      <w:lang w:eastAsia="es-CO"/>
    </w:rPr>
  </w:style>
  <w:style w:type="paragraph" w:customStyle="1" w:styleId="Style7">
    <w:name w:val="Style7"/>
    <w:basedOn w:val="Normal"/>
    <w:uiPriority w:val="99"/>
    <w:rsid w:val="007925DD"/>
    <w:pPr>
      <w:widowControl w:val="0"/>
      <w:autoSpaceDE w:val="0"/>
      <w:autoSpaceDN w:val="0"/>
      <w:adjustRightInd w:val="0"/>
      <w:spacing w:after="0" w:line="240" w:lineRule="auto"/>
    </w:pPr>
    <w:rPr>
      <w:rFonts w:ascii="Tahoma" w:eastAsiaTheme="minorEastAsia" w:hAnsi="Tahoma" w:cs="Tahoma"/>
      <w:sz w:val="24"/>
      <w:szCs w:val="24"/>
      <w:lang w:eastAsia="es-CO"/>
    </w:rPr>
  </w:style>
  <w:style w:type="paragraph" w:customStyle="1" w:styleId="Style9">
    <w:name w:val="Style9"/>
    <w:basedOn w:val="Normal"/>
    <w:uiPriority w:val="99"/>
    <w:rsid w:val="007925DD"/>
    <w:pPr>
      <w:widowControl w:val="0"/>
      <w:autoSpaceDE w:val="0"/>
      <w:autoSpaceDN w:val="0"/>
      <w:adjustRightInd w:val="0"/>
      <w:spacing w:after="0" w:line="192" w:lineRule="exact"/>
    </w:pPr>
    <w:rPr>
      <w:rFonts w:ascii="Tahoma" w:eastAsiaTheme="minorEastAsia" w:hAnsi="Tahoma" w:cs="Tahoma"/>
      <w:sz w:val="24"/>
      <w:szCs w:val="24"/>
      <w:lang w:eastAsia="es-CO"/>
    </w:rPr>
  </w:style>
  <w:style w:type="paragraph" w:customStyle="1" w:styleId="Style10">
    <w:name w:val="Style10"/>
    <w:basedOn w:val="Normal"/>
    <w:uiPriority w:val="99"/>
    <w:rsid w:val="007925DD"/>
    <w:pPr>
      <w:widowControl w:val="0"/>
      <w:autoSpaceDE w:val="0"/>
      <w:autoSpaceDN w:val="0"/>
      <w:adjustRightInd w:val="0"/>
      <w:spacing w:after="0" w:line="240" w:lineRule="auto"/>
    </w:pPr>
    <w:rPr>
      <w:rFonts w:ascii="Tahoma" w:eastAsiaTheme="minorEastAsia" w:hAnsi="Tahoma" w:cs="Tahoma"/>
      <w:sz w:val="24"/>
      <w:szCs w:val="24"/>
      <w:lang w:eastAsia="es-CO"/>
    </w:rPr>
  </w:style>
  <w:style w:type="character" w:customStyle="1" w:styleId="FontStyle16">
    <w:name w:val="Font Style16"/>
    <w:basedOn w:val="Fuentedeprrafopredeter"/>
    <w:uiPriority w:val="99"/>
    <w:rsid w:val="007925DD"/>
    <w:rPr>
      <w:rFonts w:ascii="Tahoma" w:hAnsi="Tahoma" w:cs="Tahoma" w:hint="default"/>
      <w:sz w:val="14"/>
      <w:szCs w:val="14"/>
    </w:rPr>
  </w:style>
  <w:style w:type="character" w:customStyle="1" w:styleId="FontStyle19">
    <w:name w:val="Font Style19"/>
    <w:basedOn w:val="Fuentedeprrafopredeter"/>
    <w:uiPriority w:val="99"/>
    <w:rsid w:val="007925DD"/>
    <w:rPr>
      <w:rFonts w:ascii="Tahoma" w:hAnsi="Tahoma" w:cs="Tahoma" w:hint="default"/>
      <w:i/>
      <w:iCs/>
      <w:sz w:val="14"/>
      <w:szCs w:val="14"/>
    </w:rPr>
  </w:style>
  <w:style w:type="character" w:customStyle="1" w:styleId="FontStyle20">
    <w:name w:val="Font Style20"/>
    <w:basedOn w:val="Fuentedeprrafopredeter"/>
    <w:uiPriority w:val="99"/>
    <w:rsid w:val="007925DD"/>
    <w:rPr>
      <w:rFonts w:ascii="Tahoma" w:hAnsi="Tahoma" w:cs="Tahoma" w:hint="default"/>
      <w:b/>
      <w:bCs/>
      <w:i/>
      <w:i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629</Words>
  <Characters>3462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Judicante Juzgado 34 Administrativo</cp:lastModifiedBy>
  <cp:revision>1</cp:revision>
  <dcterms:created xsi:type="dcterms:W3CDTF">2020-03-11T21:56:00Z</dcterms:created>
  <dcterms:modified xsi:type="dcterms:W3CDTF">2020-03-11T21:57:00Z</dcterms:modified>
</cp:coreProperties>
</file>