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959"/>
      </w:tblGrid>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bookmarkStart w:id="0" w:name="_GoBack"/>
            <w:bookmarkEnd w:id="0"/>
            <w:r w:rsidRPr="002A21FB">
              <w:rPr>
                <w:rFonts w:ascii="Century Gothic" w:eastAsia="Calibri" w:hAnsi="Century Gothic" w:cs="Arial"/>
                <w:color w:val="000000"/>
                <w:sz w:val="24"/>
                <w:szCs w:val="24"/>
                <w:lang w:eastAsia="es-ES"/>
              </w:rPr>
              <w:t>Ciudad Y Fecha</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A60733" w:rsidP="00093896">
            <w:pPr>
              <w:overflowPunct w:val="0"/>
              <w:autoSpaceDE w:val="0"/>
              <w:autoSpaceDN w:val="0"/>
              <w:adjustRightInd w:val="0"/>
              <w:spacing w:after="0" w:line="360" w:lineRule="auto"/>
              <w:jc w:val="both"/>
              <w:textAlignment w:val="baseline"/>
              <w:rPr>
                <w:rFonts w:ascii="Century Gothic" w:eastAsia="Calibri" w:hAnsi="Century Gothic" w:cs="Arial"/>
                <w:b/>
                <w:color w:val="000000"/>
                <w:sz w:val="24"/>
                <w:szCs w:val="24"/>
                <w:lang w:eastAsia="es-ES"/>
              </w:rPr>
            </w:pPr>
            <w:r w:rsidRPr="002A21FB">
              <w:rPr>
                <w:rFonts w:ascii="Century Gothic" w:eastAsia="Calibri" w:hAnsi="Century Gothic" w:cs="Arial"/>
                <w:b/>
                <w:color w:val="000000"/>
                <w:sz w:val="24"/>
                <w:szCs w:val="24"/>
                <w:lang w:eastAsia="es-ES"/>
              </w:rPr>
              <w:t>Bogotá D</w:t>
            </w:r>
            <w:r w:rsidR="00D052E2" w:rsidRPr="002A21FB">
              <w:rPr>
                <w:rFonts w:ascii="Century Gothic" w:eastAsia="Calibri" w:hAnsi="Century Gothic" w:cs="Arial"/>
                <w:b/>
                <w:color w:val="000000"/>
                <w:sz w:val="24"/>
                <w:szCs w:val="24"/>
                <w:lang w:eastAsia="es-ES"/>
              </w:rPr>
              <w:t xml:space="preserve">. </w:t>
            </w:r>
            <w:r w:rsidRPr="002A21FB">
              <w:rPr>
                <w:rFonts w:ascii="Century Gothic" w:eastAsia="Calibri" w:hAnsi="Century Gothic" w:cs="Arial"/>
                <w:b/>
                <w:color w:val="000000"/>
                <w:sz w:val="24"/>
                <w:szCs w:val="24"/>
                <w:lang w:eastAsia="es-ES"/>
              </w:rPr>
              <w:t>C</w:t>
            </w:r>
            <w:r w:rsidR="00D052E2" w:rsidRPr="002A21FB">
              <w:rPr>
                <w:rFonts w:ascii="Century Gothic" w:eastAsia="Calibri" w:hAnsi="Century Gothic" w:cs="Arial"/>
                <w:b/>
                <w:color w:val="000000"/>
                <w:sz w:val="24"/>
                <w:szCs w:val="24"/>
                <w:lang w:eastAsia="es-ES"/>
              </w:rPr>
              <w:t xml:space="preserve">., </w:t>
            </w:r>
            <w:r w:rsidR="00093896">
              <w:rPr>
                <w:rFonts w:ascii="Century Gothic" w:eastAsia="Calibri" w:hAnsi="Century Gothic" w:cs="Arial"/>
                <w:b/>
                <w:color w:val="000000"/>
                <w:sz w:val="24"/>
                <w:szCs w:val="24"/>
                <w:lang w:eastAsia="es-ES"/>
              </w:rPr>
              <w:t>diecisiete (17) de junio de dos mil veinte (2020)</w:t>
            </w:r>
          </w:p>
        </w:tc>
      </w:tr>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sidRPr="002A21FB">
              <w:rPr>
                <w:rFonts w:ascii="Century Gothic" w:eastAsia="Calibri" w:hAnsi="Century Gothic" w:cs="Arial"/>
                <w:color w:val="000000"/>
                <w:sz w:val="24"/>
                <w:szCs w:val="24"/>
                <w:lang w:eastAsia="es-ES"/>
              </w:rPr>
              <w:t>Referencia</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spacing w:after="0" w:line="360" w:lineRule="auto"/>
              <w:jc w:val="both"/>
              <w:rPr>
                <w:rFonts w:ascii="Century Gothic" w:hAnsi="Century Gothic" w:cs="Arial"/>
                <w:b/>
                <w:sz w:val="24"/>
                <w:szCs w:val="24"/>
              </w:rPr>
            </w:pPr>
            <w:r w:rsidRPr="002A21FB">
              <w:rPr>
                <w:rFonts w:ascii="Century Gothic" w:hAnsi="Century Gothic" w:cs="Arial"/>
                <w:b/>
                <w:sz w:val="24"/>
                <w:szCs w:val="24"/>
              </w:rPr>
              <w:t>Expediente No. 11001333603420190035600</w:t>
            </w:r>
          </w:p>
        </w:tc>
      </w:tr>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sidRPr="002A21FB">
              <w:rPr>
                <w:rFonts w:ascii="Century Gothic" w:eastAsia="Calibri" w:hAnsi="Century Gothic" w:cs="Arial"/>
                <w:color w:val="000000"/>
                <w:sz w:val="24"/>
                <w:szCs w:val="24"/>
                <w:lang w:eastAsia="es-ES"/>
              </w:rPr>
              <w:t>Demandante</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spacing w:after="0" w:line="360" w:lineRule="auto"/>
              <w:jc w:val="both"/>
              <w:rPr>
                <w:rFonts w:ascii="Century Gothic" w:hAnsi="Century Gothic" w:cs="Arial"/>
                <w:b/>
                <w:sz w:val="24"/>
                <w:szCs w:val="24"/>
              </w:rPr>
            </w:pPr>
            <w:r w:rsidRPr="002A21FB">
              <w:rPr>
                <w:rFonts w:ascii="Century Gothic" w:hAnsi="Century Gothic" w:cs="Arial"/>
                <w:b/>
                <w:sz w:val="24"/>
                <w:szCs w:val="24"/>
              </w:rPr>
              <w:t xml:space="preserve">Unión Temporal Mario Gaitán </w:t>
            </w:r>
          </w:p>
        </w:tc>
      </w:tr>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sidRPr="002A21FB">
              <w:rPr>
                <w:rFonts w:ascii="Century Gothic" w:eastAsia="Calibri" w:hAnsi="Century Gothic" w:cs="Arial"/>
                <w:color w:val="000000"/>
                <w:sz w:val="24"/>
                <w:szCs w:val="24"/>
                <w:lang w:eastAsia="es-ES"/>
              </w:rPr>
              <w:t>Demandado</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spacing w:after="0" w:line="360" w:lineRule="auto"/>
              <w:jc w:val="both"/>
              <w:rPr>
                <w:rFonts w:ascii="Century Gothic" w:hAnsi="Century Gothic" w:cs="Arial"/>
                <w:b/>
                <w:sz w:val="24"/>
                <w:szCs w:val="24"/>
              </w:rPr>
            </w:pPr>
            <w:r w:rsidRPr="002A21FB">
              <w:rPr>
                <w:rFonts w:ascii="Century Gothic" w:hAnsi="Century Gothic" w:cs="Arial"/>
                <w:b/>
                <w:sz w:val="24"/>
                <w:szCs w:val="24"/>
              </w:rPr>
              <w:t>Hospital Mario Gaitán Yanguas De Soacha E.S.E</w:t>
            </w:r>
          </w:p>
        </w:tc>
      </w:tr>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Medio de c</w:t>
            </w:r>
            <w:r w:rsidRPr="002A21FB">
              <w:rPr>
                <w:rFonts w:ascii="Century Gothic" w:eastAsia="Calibri" w:hAnsi="Century Gothic" w:cs="Arial"/>
                <w:color w:val="000000"/>
                <w:sz w:val="24"/>
                <w:szCs w:val="24"/>
                <w:lang w:eastAsia="es-ES"/>
              </w:rPr>
              <w:t>ontrol</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D052E2" w:rsidP="00D052E2">
            <w:pPr>
              <w:overflowPunct w:val="0"/>
              <w:autoSpaceDE w:val="0"/>
              <w:autoSpaceDN w:val="0"/>
              <w:adjustRightInd w:val="0"/>
              <w:spacing w:after="0" w:line="360" w:lineRule="auto"/>
              <w:jc w:val="both"/>
              <w:textAlignment w:val="baseline"/>
              <w:rPr>
                <w:rFonts w:ascii="Century Gothic" w:eastAsia="Calibri" w:hAnsi="Century Gothic" w:cs="Arial"/>
                <w:b/>
                <w:color w:val="000000"/>
                <w:sz w:val="24"/>
                <w:szCs w:val="24"/>
                <w:lang w:eastAsia="es-ES"/>
              </w:rPr>
            </w:pPr>
            <w:r w:rsidRPr="002A21FB">
              <w:rPr>
                <w:rFonts w:ascii="Century Gothic" w:eastAsia="Calibri" w:hAnsi="Century Gothic" w:cs="Arial"/>
                <w:b/>
                <w:color w:val="000000"/>
                <w:sz w:val="24"/>
                <w:szCs w:val="24"/>
                <w:lang w:eastAsia="es-ES"/>
              </w:rPr>
              <w:t xml:space="preserve">Conciliación </w:t>
            </w:r>
            <w:r>
              <w:rPr>
                <w:rFonts w:ascii="Century Gothic" w:eastAsia="Calibri" w:hAnsi="Century Gothic" w:cs="Arial"/>
                <w:b/>
                <w:color w:val="000000"/>
                <w:sz w:val="24"/>
                <w:szCs w:val="24"/>
                <w:lang w:eastAsia="es-ES"/>
              </w:rPr>
              <w:t>extrajudicial</w:t>
            </w:r>
          </w:p>
        </w:tc>
      </w:tr>
      <w:tr w:rsidR="00A60733" w:rsidRPr="002A21FB" w:rsidTr="002A21FB">
        <w:tc>
          <w:tcPr>
            <w:tcW w:w="2722" w:type="dxa"/>
            <w:tcBorders>
              <w:top w:val="single" w:sz="4" w:space="0" w:color="auto"/>
              <w:left w:val="single" w:sz="4" w:space="0" w:color="auto"/>
              <w:bottom w:val="single" w:sz="4" w:space="0" w:color="auto"/>
              <w:right w:val="single" w:sz="4" w:space="0" w:color="auto"/>
            </w:tcBorders>
          </w:tcPr>
          <w:p w:rsidR="00A60733" w:rsidRPr="002A21FB" w:rsidRDefault="00D052E2"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sidRPr="002A21FB">
              <w:rPr>
                <w:rFonts w:ascii="Century Gothic" w:eastAsia="Calibri" w:hAnsi="Century Gothic" w:cs="Arial"/>
                <w:color w:val="000000"/>
                <w:sz w:val="24"/>
                <w:szCs w:val="24"/>
                <w:lang w:eastAsia="es-ES"/>
              </w:rPr>
              <w:t>Asunto</w:t>
            </w:r>
          </w:p>
        </w:tc>
        <w:tc>
          <w:tcPr>
            <w:tcW w:w="5959" w:type="dxa"/>
            <w:tcBorders>
              <w:top w:val="single" w:sz="4" w:space="0" w:color="auto"/>
              <w:left w:val="single" w:sz="4" w:space="0" w:color="auto"/>
              <w:bottom w:val="single" w:sz="4" w:space="0" w:color="auto"/>
              <w:right w:val="single" w:sz="4" w:space="0" w:color="auto"/>
            </w:tcBorders>
          </w:tcPr>
          <w:p w:rsidR="00A60733" w:rsidRPr="002A21FB" w:rsidRDefault="00D052E2" w:rsidP="00D052E2">
            <w:pPr>
              <w:overflowPunct w:val="0"/>
              <w:autoSpaceDE w:val="0"/>
              <w:autoSpaceDN w:val="0"/>
              <w:adjustRightInd w:val="0"/>
              <w:spacing w:after="0" w:line="360" w:lineRule="auto"/>
              <w:jc w:val="both"/>
              <w:textAlignment w:val="baseline"/>
              <w:rPr>
                <w:rFonts w:ascii="Century Gothic" w:eastAsia="Calibri" w:hAnsi="Century Gothic" w:cs="Arial"/>
                <w:b/>
                <w:color w:val="000000"/>
                <w:sz w:val="24"/>
                <w:szCs w:val="24"/>
                <w:lang w:eastAsia="es-ES"/>
              </w:rPr>
            </w:pPr>
            <w:r w:rsidRPr="002A21FB">
              <w:rPr>
                <w:rFonts w:ascii="Century Gothic" w:eastAsia="Calibri" w:hAnsi="Century Gothic" w:cs="Arial"/>
                <w:b/>
                <w:color w:val="000000"/>
                <w:sz w:val="24"/>
                <w:szCs w:val="24"/>
                <w:lang w:eastAsia="es-ES"/>
              </w:rPr>
              <w:t xml:space="preserve">Aprueba </w:t>
            </w:r>
            <w:r>
              <w:rPr>
                <w:rFonts w:ascii="Century Gothic" w:eastAsia="Calibri" w:hAnsi="Century Gothic" w:cs="Arial"/>
                <w:b/>
                <w:color w:val="000000"/>
                <w:sz w:val="24"/>
                <w:szCs w:val="24"/>
                <w:lang w:eastAsia="es-ES"/>
              </w:rPr>
              <w:t>c</w:t>
            </w:r>
            <w:r w:rsidRPr="002A21FB">
              <w:rPr>
                <w:rFonts w:ascii="Century Gothic" w:eastAsia="Calibri" w:hAnsi="Century Gothic" w:cs="Arial"/>
                <w:b/>
                <w:color w:val="000000"/>
                <w:sz w:val="24"/>
                <w:szCs w:val="24"/>
                <w:lang w:eastAsia="es-ES"/>
              </w:rPr>
              <w:t xml:space="preserve">onciliación </w:t>
            </w:r>
            <w:r>
              <w:rPr>
                <w:rFonts w:ascii="Century Gothic" w:eastAsia="Calibri" w:hAnsi="Century Gothic" w:cs="Arial"/>
                <w:b/>
                <w:color w:val="000000"/>
                <w:sz w:val="24"/>
                <w:szCs w:val="24"/>
                <w:lang w:eastAsia="es-ES"/>
              </w:rPr>
              <w:t xml:space="preserve">extrajudicial </w:t>
            </w:r>
          </w:p>
        </w:tc>
      </w:tr>
    </w:tbl>
    <w:p w:rsidR="00A60733" w:rsidRPr="002A21FB" w:rsidRDefault="00A60733" w:rsidP="00912E34">
      <w:pPr>
        <w:tabs>
          <w:tab w:val="right" w:pos="8820"/>
        </w:tabs>
        <w:overflowPunct w:val="0"/>
        <w:autoSpaceDE w:val="0"/>
        <w:autoSpaceDN w:val="0"/>
        <w:adjustRightInd w:val="0"/>
        <w:spacing w:after="0" w:line="360" w:lineRule="auto"/>
        <w:ind w:right="18"/>
        <w:jc w:val="both"/>
        <w:textAlignment w:val="baseline"/>
        <w:rPr>
          <w:rFonts w:ascii="Century Gothic" w:eastAsia="Calibri" w:hAnsi="Century Gothic" w:cs="Arial"/>
          <w:color w:val="000000"/>
          <w:sz w:val="24"/>
          <w:szCs w:val="24"/>
          <w:lang w:eastAsia="es-ES"/>
        </w:rPr>
      </w:pPr>
    </w:p>
    <w:p w:rsidR="00A60733" w:rsidRPr="00F6495C" w:rsidRDefault="00F6495C" w:rsidP="00F6495C">
      <w:pPr>
        <w:spacing w:after="0" w:line="360" w:lineRule="auto"/>
        <w:jc w:val="both"/>
        <w:rPr>
          <w:rFonts w:ascii="Century Gothic" w:hAnsi="Century Gothic" w:cs="Arial"/>
          <w:sz w:val="24"/>
          <w:szCs w:val="24"/>
        </w:rPr>
      </w:pPr>
      <w:r>
        <w:rPr>
          <w:rFonts w:ascii="Century Gothic" w:hAnsi="Century Gothic" w:cs="Arial"/>
          <w:sz w:val="24"/>
          <w:szCs w:val="24"/>
        </w:rPr>
        <w:t xml:space="preserve">El despacho procederá a realizar el control de legalidad de la conciliación extrajudicial celebrada </w:t>
      </w:r>
      <w:r w:rsidR="00057A87">
        <w:rPr>
          <w:rFonts w:ascii="Century Gothic" w:hAnsi="Century Gothic" w:cs="Arial"/>
          <w:sz w:val="24"/>
          <w:szCs w:val="24"/>
        </w:rPr>
        <w:t>e</w:t>
      </w:r>
      <w:r w:rsidR="00057A87" w:rsidRPr="002A21FB">
        <w:rPr>
          <w:rFonts w:ascii="Century Gothic" w:hAnsi="Century Gothic" w:cs="Arial"/>
          <w:sz w:val="24"/>
          <w:szCs w:val="24"/>
        </w:rPr>
        <w:t>nt</w:t>
      </w:r>
      <w:r w:rsidR="00057A87">
        <w:rPr>
          <w:rFonts w:ascii="Century Gothic" w:hAnsi="Century Gothic" w:cs="Arial"/>
          <w:sz w:val="24"/>
          <w:szCs w:val="24"/>
        </w:rPr>
        <w:t xml:space="preserve">re Unión Temporal Mario Gaitán y el </w:t>
      </w:r>
      <w:r w:rsidR="00057A87" w:rsidRPr="002A21FB">
        <w:rPr>
          <w:rFonts w:ascii="Century Gothic" w:hAnsi="Century Gothic" w:cs="Arial"/>
          <w:sz w:val="24"/>
          <w:szCs w:val="24"/>
        </w:rPr>
        <w:t xml:space="preserve"> Hospital Mario Gaitán Yanguas De Soacha E.S.E</w:t>
      </w:r>
      <w:r w:rsidR="00057A87">
        <w:rPr>
          <w:rFonts w:ascii="Century Gothic" w:hAnsi="Century Gothic" w:cs="Arial"/>
          <w:sz w:val="24"/>
          <w:szCs w:val="24"/>
        </w:rPr>
        <w:t>,</w:t>
      </w:r>
      <w:r w:rsidR="00871AA4" w:rsidRPr="002A21FB">
        <w:rPr>
          <w:rFonts w:ascii="Century Gothic" w:hAnsi="Century Gothic" w:cs="Arial"/>
          <w:sz w:val="24"/>
          <w:szCs w:val="24"/>
        </w:rPr>
        <w:t xml:space="preserve"> ante la Procuraduría 79 </w:t>
      </w:r>
      <w:r w:rsidR="00A60733" w:rsidRPr="002A21FB">
        <w:rPr>
          <w:rFonts w:ascii="Century Gothic" w:hAnsi="Century Gothic" w:cs="Arial"/>
          <w:sz w:val="24"/>
          <w:szCs w:val="24"/>
        </w:rPr>
        <w:t>Judicial I</w:t>
      </w:r>
      <w:r w:rsidR="00871AA4" w:rsidRPr="002A21FB">
        <w:rPr>
          <w:rFonts w:ascii="Century Gothic" w:hAnsi="Century Gothic" w:cs="Arial"/>
          <w:sz w:val="24"/>
          <w:szCs w:val="24"/>
        </w:rPr>
        <w:t xml:space="preserve"> </w:t>
      </w:r>
      <w:r>
        <w:rPr>
          <w:rFonts w:ascii="Century Gothic" w:hAnsi="Century Gothic" w:cs="Arial"/>
          <w:sz w:val="24"/>
          <w:szCs w:val="24"/>
        </w:rPr>
        <w:t xml:space="preserve">para asuntos administrativos, por medio del cual el </w:t>
      </w:r>
      <w:r w:rsidR="00057A87">
        <w:rPr>
          <w:rFonts w:ascii="Century Gothic" w:hAnsi="Century Gothic" w:cs="Arial"/>
          <w:sz w:val="24"/>
          <w:szCs w:val="24"/>
        </w:rPr>
        <w:t>Hospital Mario Gaitán Yanguas d</w:t>
      </w:r>
      <w:r w:rsidR="00057A87" w:rsidRPr="00F6495C">
        <w:rPr>
          <w:rFonts w:ascii="Century Gothic" w:hAnsi="Century Gothic" w:cs="Arial"/>
          <w:sz w:val="24"/>
          <w:szCs w:val="24"/>
        </w:rPr>
        <w:t>e Soacha E.S.E</w:t>
      </w:r>
      <w:r w:rsidR="00057A87">
        <w:rPr>
          <w:rFonts w:ascii="Century Gothic" w:hAnsi="Century Gothic" w:cs="Arial"/>
          <w:sz w:val="24"/>
          <w:szCs w:val="24"/>
        </w:rPr>
        <w:t xml:space="preserve"> </w:t>
      </w:r>
      <w:r>
        <w:rPr>
          <w:rFonts w:ascii="Century Gothic" w:hAnsi="Century Gothic" w:cs="Arial"/>
          <w:sz w:val="24"/>
          <w:szCs w:val="24"/>
        </w:rPr>
        <w:t xml:space="preserve">se compromete a cancelar </w:t>
      </w:r>
      <w:r w:rsidR="00057A87">
        <w:rPr>
          <w:rFonts w:ascii="Century Gothic" w:hAnsi="Century Gothic" w:cs="Arial"/>
          <w:sz w:val="24"/>
          <w:szCs w:val="24"/>
        </w:rPr>
        <w:t>,</w:t>
      </w:r>
      <w:r>
        <w:rPr>
          <w:rFonts w:ascii="Century Gothic" w:hAnsi="Century Gothic" w:cs="Arial"/>
          <w:sz w:val="24"/>
          <w:szCs w:val="24"/>
        </w:rPr>
        <w:t xml:space="preserve">dentro de los 30 días siguiente a la aprobación de la presente conciliación, la suma de </w:t>
      </w:r>
      <w:r w:rsidRPr="00F6495C">
        <w:rPr>
          <w:rFonts w:ascii="Century Gothic" w:hAnsi="Century Gothic" w:cs="Arial"/>
          <w:sz w:val="24"/>
          <w:szCs w:val="24"/>
        </w:rPr>
        <w:t>DOSCIENTOS CUARENTA Y NUEVE MILLONES NOVECIENTOS NOVENTA Y OCHO MIL TRESCIENTOS TREINTA Y TRES PESOS ($ 249.998.333)</w:t>
      </w:r>
      <w:r w:rsidR="00604F0F">
        <w:rPr>
          <w:rFonts w:ascii="Century Gothic" w:hAnsi="Century Gothic" w:cs="Arial"/>
          <w:sz w:val="24"/>
          <w:szCs w:val="24"/>
        </w:rPr>
        <w:t xml:space="preserve"> a la </w:t>
      </w:r>
      <w:r w:rsidR="00057A87" w:rsidRPr="00604F0F">
        <w:rPr>
          <w:rFonts w:ascii="Century Gothic" w:hAnsi="Century Gothic" w:cs="Arial"/>
          <w:sz w:val="24"/>
          <w:szCs w:val="24"/>
        </w:rPr>
        <w:t>Unión Temporal Mario Gaitán</w:t>
      </w:r>
      <w:r w:rsidR="00604F0F">
        <w:rPr>
          <w:rFonts w:ascii="Century Gothic" w:hAnsi="Century Gothic" w:cs="Arial"/>
          <w:sz w:val="24"/>
          <w:szCs w:val="24"/>
        </w:rPr>
        <w:t>,</w:t>
      </w:r>
      <w:r w:rsidR="00057A87">
        <w:rPr>
          <w:rFonts w:ascii="Century Gothic" w:hAnsi="Century Gothic" w:cs="Arial"/>
          <w:sz w:val="24"/>
          <w:szCs w:val="24"/>
        </w:rPr>
        <w:t xml:space="preserve"> </w:t>
      </w:r>
      <w:r w:rsidR="005843CC">
        <w:rPr>
          <w:rFonts w:ascii="Century Gothic" w:hAnsi="Century Gothic" w:cs="Arial"/>
          <w:sz w:val="24"/>
          <w:szCs w:val="24"/>
        </w:rPr>
        <w:t>derivados de</w:t>
      </w:r>
      <w:r>
        <w:rPr>
          <w:rFonts w:ascii="Century Gothic" w:hAnsi="Century Gothic" w:cs="Arial"/>
          <w:sz w:val="24"/>
          <w:szCs w:val="24"/>
        </w:rPr>
        <w:t xml:space="preserve"> los servicios</w:t>
      </w:r>
      <w:r w:rsidR="005843CC">
        <w:rPr>
          <w:rFonts w:ascii="Century Gothic" w:hAnsi="Century Gothic" w:cs="Arial"/>
          <w:sz w:val="24"/>
          <w:szCs w:val="24"/>
        </w:rPr>
        <w:t xml:space="preserve"> médicos </w:t>
      </w:r>
      <w:r>
        <w:rPr>
          <w:rFonts w:ascii="Century Gothic" w:hAnsi="Century Gothic" w:cs="Arial"/>
          <w:sz w:val="24"/>
          <w:szCs w:val="24"/>
        </w:rPr>
        <w:t xml:space="preserve">prestados  </w:t>
      </w:r>
      <w:r w:rsidR="005843CC">
        <w:rPr>
          <w:rFonts w:ascii="Century Gothic" w:hAnsi="Century Gothic" w:cs="Arial"/>
          <w:sz w:val="24"/>
          <w:szCs w:val="24"/>
        </w:rPr>
        <w:t xml:space="preserve">durante el 1 </w:t>
      </w:r>
      <w:r w:rsidR="00604F0F">
        <w:rPr>
          <w:rFonts w:ascii="Century Gothic" w:hAnsi="Century Gothic" w:cs="Arial"/>
          <w:sz w:val="24"/>
          <w:szCs w:val="24"/>
        </w:rPr>
        <w:t xml:space="preserve">de junio al 5 de julio de 2018, sin respaldo contractual. </w:t>
      </w:r>
    </w:p>
    <w:p w:rsidR="00871AA4" w:rsidRPr="002A21FB" w:rsidRDefault="00871AA4"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highlight w:val="yellow"/>
          <w:lang w:eastAsia="es-ES"/>
        </w:rPr>
      </w:pP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Procede el Despacho a pronunciarse sobre la aprobación o improbación de la presente conciliación.</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A60733" w:rsidRPr="002A21FB" w:rsidRDefault="00A60733" w:rsidP="00912E34">
      <w:pPr>
        <w:pStyle w:val="Prrafodelista"/>
        <w:numPr>
          <w:ilvl w:val="0"/>
          <w:numId w:val="3"/>
        </w:numPr>
        <w:tabs>
          <w:tab w:val="num" w:pos="426"/>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b/>
          <w:sz w:val="24"/>
          <w:szCs w:val="24"/>
          <w:lang w:eastAsia="es-ES"/>
        </w:rPr>
        <w:t>PRETENSIONES</w:t>
      </w:r>
    </w:p>
    <w:p w:rsidR="00443C42" w:rsidRPr="002A21FB" w:rsidRDefault="00A60733" w:rsidP="00912E34">
      <w:pPr>
        <w:pStyle w:val="Style6"/>
        <w:widowControl/>
        <w:tabs>
          <w:tab w:val="left" w:pos="182"/>
        </w:tabs>
        <w:spacing w:before="197" w:line="360" w:lineRule="auto"/>
        <w:ind w:right="26"/>
        <w:rPr>
          <w:rFonts w:ascii="Century Gothic" w:hAnsi="Century Gothic"/>
          <w:bCs/>
          <w:i/>
          <w:color w:val="000000"/>
          <w:spacing w:val="-4"/>
          <w:sz w:val="22"/>
        </w:rPr>
      </w:pPr>
      <w:r w:rsidRPr="002A21FB">
        <w:rPr>
          <w:rFonts w:ascii="Century Gothic" w:hAnsi="Century Gothic"/>
          <w:bCs/>
          <w:i/>
          <w:color w:val="000000"/>
          <w:spacing w:val="-4"/>
          <w:sz w:val="22"/>
        </w:rPr>
        <w:t>“</w:t>
      </w:r>
      <w:r w:rsidR="00443C42" w:rsidRPr="002A21FB">
        <w:rPr>
          <w:rFonts w:ascii="Century Gothic" w:hAnsi="Century Gothic"/>
          <w:bCs/>
          <w:i/>
          <w:color w:val="000000"/>
          <w:spacing w:val="-4"/>
          <w:sz w:val="22"/>
        </w:rPr>
        <w:t xml:space="preserve">De manera atenta solcito al señor Procurador Judicial </w:t>
      </w:r>
      <w:r w:rsidR="00870175" w:rsidRPr="002A21FB">
        <w:rPr>
          <w:rFonts w:ascii="Century Gothic" w:hAnsi="Century Gothic"/>
          <w:bCs/>
          <w:i/>
          <w:color w:val="000000"/>
          <w:spacing w:val="-4"/>
          <w:sz w:val="22"/>
        </w:rPr>
        <w:t>fijar</w:t>
      </w:r>
      <w:r w:rsidR="00443C42" w:rsidRPr="002A21FB">
        <w:rPr>
          <w:rFonts w:ascii="Century Gothic" w:hAnsi="Century Gothic"/>
          <w:bCs/>
          <w:i/>
          <w:color w:val="000000"/>
          <w:spacing w:val="-4"/>
          <w:sz w:val="22"/>
        </w:rPr>
        <w:t xml:space="preserve"> fecha y hora con el fin de adelantar AUDIENCIA DE </w:t>
      </w:r>
      <w:r w:rsidR="00870175" w:rsidRPr="002A21FB">
        <w:rPr>
          <w:rFonts w:ascii="Century Gothic" w:hAnsi="Century Gothic"/>
          <w:bCs/>
          <w:i/>
          <w:color w:val="000000"/>
          <w:spacing w:val="-4"/>
          <w:sz w:val="22"/>
        </w:rPr>
        <w:t>CONCILIACIÓN</w:t>
      </w:r>
      <w:r w:rsidR="00443C42" w:rsidRPr="002A21FB">
        <w:rPr>
          <w:rFonts w:ascii="Century Gothic" w:hAnsi="Century Gothic"/>
          <w:bCs/>
          <w:i/>
          <w:color w:val="000000"/>
          <w:spacing w:val="-4"/>
          <w:sz w:val="22"/>
        </w:rPr>
        <w:t xml:space="preserve"> PREJUDICIAL entre </w:t>
      </w:r>
      <w:r w:rsidR="00870175" w:rsidRPr="002A21FB">
        <w:rPr>
          <w:rFonts w:ascii="Century Gothic" w:hAnsi="Century Gothic"/>
          <w:bCs/>
          <w:i/>
          <w:color w:val="000000"/>
          <w:spacing w:val="-4"/>
          <w:sz w:val="22"/>
        </w:rPr>
        <w:t>UNIÓN</w:t>
      </w:r>
      <w:r w:rsidR="00443C42" w:rsidRPr="002A21FB">
        <w:rPr>
          <w:rFonts w:ascii="Century Gothic" w:hAnsi="Century Gothic"/>
          <w:bCs/>
          <w:i/>
          <w:color w:val="000000"/>
          <w:spacing w:val="-4"/>
          <w:sz w:val="22"/>
        </w:rPr>
        <w:t xml:space="preserve"> </w:t>
      </w:r>
      <w:r w:rsidR="00870175" w:rsidRPr="002A21FB">
        <w:rPr>
          <w:rFonts w:ascii="Century Gothic" w:hAnsi="Century Gothic"/>
          <w:bCs/>
          <w:i/>
          <w:color w:val="000000"/>
          <w:spacing w:val="-4"/>
          <w:sz w:val="22"/>
        </w:rPr>
        <w:t>TEMPORAL</w:t>
      </w:r>
      <w:r w:rsidR="00443C42" w:rsidRPr="002A21FB">
        <w:rPr>
          <w:rFonts w:ascii="Century Gothic" w:hAnsi="Century Gothic"/>
          <w:bCs/>
          <w:i/>
          <w:color w:val="000000"/>
          <w:spacing w:val="-4"/>
          <w:sz w:val="22"/>
        </w:rPr>
        <w:t xml:space="preserve"> MARIO </w:t>
      </w:r>
      <w:r w:rsidR="00870175" w:rsidRPr="002A21FB">
        <w:rPr>
          <w:rFonts w:ascii="Century Gothic" w:hAnsi="Century Gothic"/>
          <w:bCs/>
          <w:i/>
          <w:color w:val="000000"/>
          <w:spacing w:val="-4"/>
          <w:sz w:val="22"/>
        </w:rPr>
        <w:t>GAITÁN</w:t>
      </w:r>
      <w:r w:rsidR="00443C42" w:rsidRPr="002A21FB">
        <w:rPr>
          <w:rFonts w:ascii="Century Gothic" w:hAnsi="Century Gothic"/>
          <w:bCs/>
          <w:i/>
          <w:color w:val="000000"/>
          <w:spacing w:val="-4"/>
          <w:sz w:val="22"/>
        </w:rPr>
        <w:t xml:space="preserve"> y LA E.S.E HOSPITAL MARIO </w:t>
      </w:r>
      <w:r w:rsidR="00870175" w:rsidRPr="002A21FB">
        <w:rPr>
          <w:rFonts w:ascii="Century Gothic" w:hAnsi="Century Gothic"/>
          <w:bCs/>
          <w:i/>
          <w:color w:val="000000"/>
          <w:spacing w:val="-4"/>
          <w:sz w:val="22"/>
        </w:rPr>
        <w:t>GAITÁN</w:t>
      </w:r>
      <w:r w:rsidR="00443C42" w:rsidRPr="002A21FB">
        <w:rPr>
          <w:rFonts w:ascii="Century Gothic" w:hAnsi="Century Gothic"/>
          <w:bCs/>
          <w:i/>
          <w:color w:val="000000"/>
          <w:spacing w:val="-4"/>
          <w:sz w:val="22"/>
        </w:rPr>
        <w:t xml:space="preserve"> YANGUAS de SOACHA, </w:t>
      </w:r>
      <w:r w:rsidR="00870175" w:rsidRPr="002A21FB">
        <w:rPr>
          <w:rFonts w:ascii="Century Gothic" w:hAnsi="Century Gothic"/>
          <w:bCs/>
          <w:i/>
          <w:color w:val="000000"/>
          <w:spacing w:val="-4"/>
          <w:sz w:val="22"/>
        </w:rPr>
        <w:t>con</w:t>
      </w:r>
      <w:r w:rsidR="00443C42" w:rsidRPr="002A21FB">
        <w:rPr>
          <w:rFonts w:ascii="Century Gothic" w:hAnsi="Century Gothic"/>
          <w:bCs/>
          <w:i/>
          <w:color w:val="000000"/>
          <w:spacing w:val="-4"/>
          <w:sz w:val="22"/>
        </w:rPr>
        <w:t xml:space="preserve"> el objeto de llegar a un acuerdo conciliatorio por </w:t>
      </w:r>
      <w:r w:rsidR="00870175" w:rsidRPr="002A21FB">
        <w:rPr>
          <w:rFonts w:ascii="Century Gothic" w:hAnsi="Century Gothic"/>
          <w:bCs/>
          <w:i/>
          <w:color w:val="000000"/>
          <w:spacing w:val="-4"/>
          <w:sz w:val="22"/>
        </w:rPr>
        <w:t>los</w:t>
      </w:r>
      <w:r w:rsidR="00443C42" w:rsidRPr="002A21FB">
        <w:rPr>
          <w:rFonts w:ascii="Century Gothic" w:hAnsi="Century Gothic"/>
          <w:bCs/>
          <w:i/>
          <w:color w:val="000000"/>
          <w:spacing w:val="-4"/>
          <w:sz w:val="22"/>
        </w:rPr>
        <w:t xml:space="preserve"> siguientes conceptos:</w:t>
      </w:r>
    </w:p>
    <w:p w:rsidR="00443C42" w:rsidRPr="002A21FB" w:rsidRDefault="00443C42" w:rsidP="00912E34">
      <w:pPr>
        <w:pStyle w:val="Style6"/>
        <w:widowControl/>
        <w:numPr>
          <w:ilvl w:val="0"/>
          <w:numId w:val="5"/>
        </w:numPr>
        <w:tabs>
          <w:tab w:val="left" w:pos="182"/>
        </w:tabs>
        <w:spacing w:before="197" w:line="360" w:lineRule="auto"/>
        <w:ind w:right="26"/>
        <w:rPr>
          <w:rFonts w:ascii="Century Gothic" w:hAnsi="Century Gothic"/>
          <w:bCs/>
          <w:i/>
          <w:color w:val="000000"/>
          <w:spacing w:val="-4"/>
          <w:sz w:val="22"/>
        </w:rPr>
      </w:pPr>
      <w:r w:rsidRPr="002A21FB">
        <w:rPr>
          <w:rFonts w:ascii="Century Gothic" w:hAnsi="Century Gothic"/>
          <w:bCs/>
          <w:i/>
          <w:color w:val="000000"/>
          <w:spacing w:val="-4"/>
          <w:sz w:val="22"/>
        </w:rPr>
        <w:t xml:space="preserve">La suma de DOSCIENTOS VEINTIOCHO MILLONES SEISCIENTOS OCHENTA Y </w:t>
      </w:r>
      <w:r w:rsidR="00870175" w:rsidRPr="002A21FB">
        <w:rPr>
          <w:rFonts w:ascii="Century Gothic" w:hAnsi="Century Gothic"/>
          <w:bCs/>
          <w:i/>
          <w:color w:val="000000"/>
          <w:spacing w:val="-4"/>
          <w:sz w:val="22"/>
        </w:rPr>
        <w:t>TRES</w:t>
      </w:r>
      <w:r w:rsidRPr="002A21FB">
        <w:rPr>
          <w:rFonts w:ascii="Century Gothic" w:hAnsi="Century Gothic"/>
          <w:bCs/>
          <w:i/>
          <w:color w:val="000000"/>
          <w:spacing w:val="-4"/>
          <w:sz w:val="22"/>
        </w:rPr>
        <w:t xml:space="preserve"> MIL SEISCIENTOS SESENTA PESOS M/CTE. (ç$ 228.683.660.oo)</w:t>
      </w:r>
    </w:p>
    <w:p w:rsidR="00443C42" w:rsidRPr="002A21FB" w:rsidRDefault="00443C42" w:rsidP="00912E34">
      <w:pPr>
        <w:pStyle w:val="Style6"/>
        <w:widowControl/>
        <w:numPr>
          <w:ilvl w:val="0"/>
          <w:numId w:val="5"/>
        </w:numPr>
        <w:tabs>
          <w:tab w:val="left" w:pos="182"/>
        </w:tabs>
        <w:spacing w:before="197" w:line="360" w:lineRule="auto"/>
        <w:ind w:right="26"/>
        <w:rPr>
          <w:rFonts w:ascii="Century Gothic" w:hAnsi="Century Gothic"/>
          <w:bCs/>
          <w:i/>
          <w:color w:val="000000"/>
          <w:spacing w:val="-4"/>
          <w:sz w:val="22"/>
        </w:rPr>
      </w:pPr>
      <w:r w:rsidRPr="002A21FB">
        <w:rPr>
          <w:rFonts w:ascii="Century Gothic" w:hAnsi="Century Gothic"/>
          <w:bCs/>
          <w:i/>
          <w:color w:val="000000"/>
          <w:spacing w:val="-4"/>
          <w:sz w:val="22"/>
        </w:rPr>
        <w:t xml:space="preserve">La suma de VEINTIUNO MILLONES TRESCIENTOS CATORCE MIL SEISCIENTOS SETENTA Y </w:t>
      </w:r>
      <w:r w:rsidR="00870175" w:rsidRPr="002A21FB">
        <w:rPr>
          <w:rFonts w:ascii="Century Gothic" w:hAnsi="Century Gothic"/>
          <w:bCs/>
          <w:i/>
          <w:color w:val="000000"/>
          <w:spacing w:val="-4"/>
          <w:sz w:val="22"/>
        </w:rPr>
        <w:t>TRES</w:t>
      </w:r>
      <w:r w:rsidRPr="002A21FB">
        <w:rPr>
          <w:rFonts w:ascii="Century Gothic" w:hAnsi="Century Gothic"/>
          <w:bCs/>
          <w:i/>
          <w:color w:val="000000"/>
          <w:spacing w:val="-4"/>
          <w:sz w:val="22"/>
        </w:rPr>
        <w:t xml:space="preserve"> PESOS M/CTE ($21.314.673.oo) contenidos en la factura 011-2018. </w:t>
      </w:r>
    </w:p>
    <w:p w:rsidR="00870175" w:rsidRPr="002A21FB" w:rsidRDefault="00870175" w:rsidP="00912E34">
      <w:pPr>
        <w:pStyle w:val="Style6"/>
        <w:widowControl/>
        <w:tabs>
          <w:tab w:val="left" w:pos="182"/>
        </w:tabs>
        <w:spacing w:before="197" w:line="360" w:lineRule="auto"/>
        <w:ind w:right="26"/>
        <w:rPr>
          <w:rFonts w:ascii="Century Gothic" w:hAnsi="Century Gothic"/>
          <w:bCs/>
          <w:i/>
          <w:color w:val="000000"/>
          <w:spacing w:val="-4"/>
          <w:sz w:val="22"/>
        </w:rPr>
      </w:pPr>
      <w:r w:rsidRPr="002A21FB">
        <w:rPr>
          <w:rFonts w:ascii="Century Gothic" w:hAnsi="Century Gothic"/>
          <w:bCs/>
          <w:i/>
          <w:color w:val="000000"/>
          <w:spacing w:val="-4"/>
          <w:sz w:val="22"/>
        </w:rPr>
        <w:lastRenderedPageBreak/>
        <w:t>Así las cosas se tiene que el valor total de la presente solicitud de conciliación corresponde a la suma de DOSCIENTOS CUARENTA Y NUEVE MILLONES NOVECIENTOS NOVENTA Y OCHO MIL TRESCIENTOS TREINTA Y TRES PESOS M/CTE (249.998.333.oo), por servicios efectivamente prestados y reconocidos por la ESE.</w:t>
      </w:r>
    </w:p>
    <w:p w:rsidR="00870175" w:rsidRPr="002A21FB" w:rsidRDefault="00870175" w:rsidP="00912E34">
      <w:pPr>
        <w:pStyle w:val="Style6"/>
        <w:widowControl/>
        <w:tabs>
          <w:tab w:val="left" w:pos="182"/>
        </w:tabs>
        <w:spacing w:before="197" w:line="360" w:lineRule="auto"/>
        <w:ind w:right="26"/>
        <w:rPr>
          <w:rFonts w:ascii="Century Gothic" w:hAnsi="Century Gothic"/>
          <w:bCs/>
          <w:i/>
          <w:color w:val="000000"/>
          <w:spacing w:val="-4"/>
          <w:sz w:val="22"/>
        </w:rPr>
      </w:pPr>
    </w:p>
    <w:p w:rsidR="00A60733" w:rsidRPr="002A21FB" w:rsidRDefault="00A60733" w:rsidP="00912E34">
      <w:pPr>
        <w:pStyle w:val="Prrafodelista"/>
        <w:numPr>
          <w:ilvl w:val="0"/>
          <w:numId w:val="3"/>
        </w:numPr>
        <w:tabs>
          <w:tab w:val="num" w:pos="426"/>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b/>
          <w:sz w:val="24"/>
          <w:szCs w:val="24"/>
          <w:lang w:eastAsia="es-ES"/>
        </w:rPr>
        <w:t>HECHOS</w:t>
      </w:r>
    </w:p>
    <w:p w:rsidR="00A60733" w:rsidRPr="002A21FB" w:rsidRDefault="00A60733" w:rsidP="00912E34">
      <w:pPr>
        <w:tabs>
          <w:tab w:val="left" w:pos="180"/>
        </w:tabs>
        <w:overflowPunct w:val="0"/>
        <w:autoSpaceDE w:val="0"/>
        <w:autoSpaceDN w:val="0"/>
        <w:adjustRightInd w:val="0"/>
        <w:spacing w:after="0" w:line="360" w:lineRule="auto"/>
        <w:ind w:left="142"/>
        <w:contextualSpacing/>
        <w:jc w:val="both"/>
        <w:textAlignment w:val="baseline"/>
        <w:rPr>
          <w:rFonts w:ascii="Century Gothic" w:eastAsia="Times New Roman" w:hAnsi="Century Gothic" w:cs="Arial"/>
          <w:b/>
          <w:sz w:val="24"/>
          <w:szCs w:val="24"/>
          <w:lang w:eastAsia="es-ES"/>
        </w:rPr>
      </w:pPr>
    </w:p>
    <w:p w:rsidR="00A60733" w:rsidRPr="002A21FB" w:rsidRDefault="00A60733" w:rsidP="00912E34">
      <w:pPr>
        <w:tabs>
          <w:tab w:val="left" w:pos="180"/>
        </w:tabs>
        <w:spacing w:after="0" w:line="360" w:lineRule="auto"/>
        <w:jc w:val="both"/>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 xml:space="preserve">Se argumentan en síntesis los siguientes: </w:t>
      </w:r>
    </w:p>
    <w:p w:rsidR="00A60733" w:rsidRPr="002A21FB" w:rsidRDefault="00A60733" w:rsidP="00912E34">
      <w:pPr>
        <w:overflowPunct w:val="0"/>
        <w:autoSpaceDE w:val="0"/>
        <w:autoSpaceDN w:val="0"/>
        <w:adjustRightInd w:val="0"/>
        <w:spacing w:after="0" w:line="360" w:lineRule="auto"/>
        <w:ind w:left="360"/>
        <w:jc w:val="both"/>
        <w:textAlignment w:val="baseline"/>
        <w:rPr>
          <w:rFonts w:ascii="Century Gothic" w:eastAsia="Times New Roman" w:hAnsi="Century Gothic" w:cs="Arial"/>
          <w:sz w:val="24"/>
          <w:szCs w:val="24"/>
          <w:lang w:eastAsia="es-ES"/>
        </w:rPr>
      </w:pPr>
    </w:p>
    <w:p w:rsidR="00A60733" w:rsidRPr="002A21FB" w:rsidRDefault="00A60733"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i/>
          <w:szCs w:val="24"/>
          <w:lang w:eastAsia="es-ES_tradnl"/>
        </w:rPr>
      </w:pPr>
      <w:r w:rsidRPr="002A21FB">
        <w:rPr>
          <w:rFonts w:ascii="Century Gothic" w:eastAsiaTheme="minorEastAsia" w:hAnsi="Century Gothic" w:cs="Arial"/>
          <w:b/>
          <w:sz w:val="24"/>
          <w:szCs w:val="24"/>
          <w:lang w:eastAsia="es-ES_tradnl"/>
        </w:rPr>
        <w:t>2.1</w:t>
      </w:r>
      <w:r w:rsidRPr="002A21FB">
        <w:rPr>
          <w:rFonts w:ascii="Century Gothic" w:eastAsiaTheme="minorEastAsia" w:hAnsi="Century Gothic" w:cs="Arial"/>
          <w:sz w:val="24"/>
          <w:szCs w:val="24"/>
          <w:lang w:eastAsia="es-ES_tradnl"/>
        </w:rPr>
        <w:t xml:space="preserve">.  </w:t>
      </w:r>
      <w:r w:rsidR="00871AA4" w:rsidRPr="002A21FB">
        <w:rPr>
          <w:rFonts w:ascii="Century Gothic" w:eastAsiaTheme="minorEastAsia" w:hAnsi="Century Gothic" w:cs="Arial"/>
          <w:sz w:val="24"/>
          <w:szCs w:val="24"/>
          <w:lang w:eastAsia="es-ES_tradnl"/>
        </w:rPr>
        <w:t xml:space="preserve">El Hospital Mario Gaitán Yanguas de Soacha suscribió contrato Nº 003 de 2018 con la UNIÓN TEMPORAL MARIO GAITÁN cuyo objeto es: </w:t>
      </w:r>
      <w:r w:rsidR="00871AA4" w:rsidRPr="002A21FB">
        <w:rPr>
          <w:rFonts w:ascii="Century Gothic" w:eastAsiaTheme="minorEastAsia" w:hAnsi="Century Gothic" w:cs="Arial"/>
          <w:szCs w:val="24"/>
          <w:lang w:eastAsia="es-ES_tradnl"/>
        </w:rPr>
        <w:t xml:space="preserve">“Prestación Integral de Servicios de apoyo diagnostico tales como: laboratorio clínico con </w:t>
      </w:r>
      <w:r w:rsidR="00871AA4" w:rsidRPr="002A21FB">
        <w:rPr>
          <w:rFonts w:ascii="Century Gothic" w:eastAsiaTheme="minorEastAsia" w:hAnsi="Century Gothic" w:cs="Arial"/>
          <w:i/>
          <w:szCs w:val="24"/>
          <w:lang w:eastAsia="es-ES_tradnl"/>
        </w:rPr>
        <w:t xml:space="preserve">pruebas especializadas de baja y mediana complejidad, toma de muestras de laboratorio clínico, servicio de </w:t>
      </w:r>
      <w:r w:rsidR="0096600D" w:rsidRPr="002A21FB">
        <w:rPr>
          <w:rFonts w:ascii="Century Gothic" w:eastAsiaTheme="minorEastAsia" w:hAnsi="Century Gothic" w:cs="Arial"/>
          <w:i/>
          <w:szCs w:val="24"/>
          <w:lang w:eastAsia="es-ES_tradnl"/>
        </w:rPr>
        <w:t>transfusión</w:t>
      </w:r>
      <w:r w:rsidR="00871AA4" w:rsidRPr="002A21FB">
        <w:rPr>
          <w:rFonts w:ascii="Century Gothic" w:eastAsiaTheme="minorEastAsia" w:hAnsi="Century Gothic" w:cs="Arial"/>
          <w:i/>
          <w:szCs w:val="24"/>
          <w:lang w:eastAsia="es-ES_tradnl"/>
        </w:rPr>
        <w:t xml:space="preserve"> sanguínea, laboratorio de citología </w:t>
      </w:r>
      <w:proofErr w:type="spellStart"/>
      <w:r w:rsidR="00871AA4" w:rsidRPr="002A21FB">
        <w:rPr>
          <w:rFonts w:ascii="Century Gothic" w:eastAsiaTheme="minorEastAsia" w:hAnsi="Century Gothic" w:cs="Arial"/>
          <w:i/>
          <w:szCs w:val="24"/>
          <w:lang w:eastAsia="es-ES_tradnl"/>
        </w:rPr>
        <w:t>cervico</w:t>
      </w:r>
      <w:proofErr w:type="spellEnd"/>
      <w:r w:rsidR="00871AA4" w:rsidRPr="002A21FB">
        <w:rPr>
          <w:rFonts w:ascii="Century Gothic" w:eastAsiaTheme="minorEastAsia" w:hAnsi="Century Gothic" w:cs="Arial"/>
          <w:i/>
          <w:szCs w:val="24"/>
          <w:lang w:eastAsia="es-ES_tradnl"/>
        </w:rPr>
        <w:t>-</w:t>
      </w:r>
      <w:r w:rsidR="0096600D" w:rsidRPr="002A21FB">
        <w:rPr>
          <w:rFonts w:ascii="Century Gothic" w:eastAsiaTheme="minorEastAsia" w:hAnsi="Century Gothic" w:cs="Arial"/>
          <w:i/>
          <w:szCs w:val="24"/>
          <w:lang w:eastAsia="es-ES_tradnl"/>
        </w:rPr>
        <w:t xml:space="preserve">uterina, laboratorio de </w:t>
      </w:r>
      <w:proofErr w:type="spellStart"/>
      <w:r w:rsidR="0096600D" w:rsidRPr="002A21FB">
        <w:rPr>
          <w:rFonts w:ascii="Century Gothic" w:eastAsiaTheme="minorEastAsia" w:hAnsi="Century Gothic" w:cs="Arial"/>
          <w:i/>
          <w:szCs w:val="24"/>
          <w:lang w:eastAsia="es-ES_tradnl"/>
        </w:rPr>
        <w:t>histotecnologí</w:t>
      </w:r>
      <w:r w:rsidR="00871AA4" w:rsidRPr="002A21FB">
        <w:rPr>
          <w:rFonts w:ascii="Century Gothic" w:eastAsiaTheme="minorEastAsia" w:hAnsi="Century Gothic" w:cs="Arial"/>
          <w:i/>
          <w:szCs w:val="24"/>
          <w:lang w:eastAsia="es-ES_tradnl"/>
        </w:rPr>
        <w:t>a</w:t>
      </w:r>
      <w:proofErr w:type="spellEnd"/>
      <w:r w:rsidR="00871AA4" w:rsidRPr="002A21FB">
        <w:rPr>
          <w:rFonts w:ascii="Century Gothic" w:eastAsiaTheme="minorEastAsia" w:hAnsi="Century Gothic" w:cs="Arial"/>
          <w:i/>
          <w:szCs w:val="24"/>
          <w:lang w:eastAsia="es-ES_tradnl"/>
        </w:rPr>
        <w:t xml:space="preserve">  y laboratorio de patología por </w:t>
      </w:r>
      <w:r w:rsidR="0096600D" w:rsidRPr="002A21FB">
        <w:rPr>
          <w:rFonts w:ascii="Century Gothic" w:eastAsiaTheme="minorEastAsia" w:hAnsi="Century Gothic" w:cs="Arial"/>
          <w:i/>
          <w:szCs w:val="24"/>
          <w:lang w:eastAsia="es-ES_tradnl"/>
        </w:rPr>
        <w:t>parte</w:t>
      </w:r>
      <w:r w:rsidR="00871AA4" w:rsidRPr="002A21FB">
        <w:rPr>
          <w:rFonts w:ascii="Century Gothic" w:eastAsiaTheme="minorEastAsia" w:hAnsi="Century Gothic" w:cs="Arial"/>
          <w:i/>
          <w:szCs w:val="24"/>
          <w:lang w:eastAsia="es-ES_tradnl"/>
        </w:rPr>
        <w:t xml:space="preserve"> del contratista, en forma independiente</w:t>
      </w:r>
      <w:r w:rsidR="0096600D" w:rsidRPr="002A21FB">
        <w:rPr>
          <w:rFonts w:ascii="Century Gothic" w:eastAsiaTheme="minorEastAsia" w:hAnsi="Century Gothic" w:cs="Arial"/>
          <w:i/>
          <w:szCs w:val="24"/>
          <w:lang w:eastAsia="es-ES_tradnl"/>
        </w:rPr>
        <w:t>, bajo su cuenta y riesgo, con personal propio operacional y administrativo, garantizando la prestación del servicio a pacientes o usuarios del Hospital del régimen subsidiado contributivo afiliado, población pobre no asegurado u otros”</w:t>
      </w:r>
    </w:p>
    <w:p w:rsidR="00A60733" w:rsidRPr="002A21FB" w:rsidRDefault="00A60733"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p>
    <w:p w:rsidR="00A60733" w:rsidRPr="002A21FB" w:rsidRDefault="00A60733"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r w:rsidRPr="002A21FB">
        <w:rPr>
          <w:rFonts w:ascii="Century Gothic" w:eastAsiaTheme="minorEastAsia" w:hAnsi="Century Gothic" w:cs="Arial"/>
          <w:b/>
          <w:sz w:val="24"/>
          <w:szCs w:val="24"/>
          <w:lang w:eastAsia="es-ES_tradnl"/>
        </w:rPr>
        <w:t>2.2</w:t>
      </w:r>
      <w:r w:rsidR="0096600D" w:rsidRPr="002A21FB">
        <w:rPr>
          <w:rFonts w:ascii="Century Gothic" w:eastAsiaTheme="minorEastAsia" w:hAnsi="Century Gothic" w:cs="Arial"/>
          <w:b/>
          <w:sz w:val="24"/>
          <w:szCs w:val="24"/>
          <w:lang w:eastAsia="es-ES_tradnl"/>
        </w:rPr>
        <w:t xml:space="preserve">. </w:t>
      </w:r>
      <w:r w:rsidR="0096600D" w:rsidRPr="002A21FB">
        <w:rPr>
          <w:rFonts w:ascii="Century Gothic" w:eastAsiaTheme="minorEastAsia" w:hAnsi="Century Gothic" w:cs="Arial"/>
          <w:sz w:val="24"/>
          <w:szCs w:val="24"/>
          <w:lang w:eastAsia="es-ES_tradnl"/>
        </w:rPr>
        <w:t xml:space="preserve">El valor del contrato fue de mil millones ciento cuarenta y cuatro mil trescientos setenta y siete pesos ($1.144.377.000) y el termino de duración fue de nueve meses contados a partir del acta de inicio, el cual fue suscrita el 5 de enero de 2018. </w:t>
      </w:r>
    </w:p>
    <w:p w:rsidR="0096600D" w:rsidRPr="002A21FB" w:rsidRDefault="0096600D"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highlight w:val="yellow"/>
          <w:lang w:eastAsia="es-ES_tradnl"/>
        </w:rPr>
      </w:pPr>
    </w:p>
    <w:p w:rsidR="0096600D" w:rsidRPr="002A21FB" w:rsidRDefault="0096600D"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r w:rsidRPr="002A21FB">
        <w:rPr>
          <w:rFonts w:ascii="Century Gothic" w:eastAsiaTheme="minorEastAsia" w:hAnsi="Century Gothic" w:cs="Arial"/>
          <w:b/>
          <w:sz w:val="24"/>
          <w:szCs w:val="24"/>
          <w:lang w:eastAsia="es-ES_tradnl"/>
        </w:rPr>
        <w:t xml:space="preserve">2.3. </w:t>
      </w:r>
      <w:r w:rsidRPr="002A21FB">
        <w:rPr>
          <w:rFonts w:ascii="Century Gothic" w:eastAsiaTheme="minorEastAsia" w:hAnsi="Century Gothic" w:cs="Arial"/>
          <w:sz w:val="24"/>
          <w:szCs w:val="24"/>
          <w:lang w:eastAsia="es-ES_tradnl"/>
        </w:rPr>
        <w:t>El 7 de mayo de 2018 la supervisora del Contrato sol</w:t>
      </w:r>
      <w:r w:rsidR="00E104BC" w:rsidRPr="002A21FB">
        <w:rPr>
          <w:rFonts w:ascii="Century Gothic" w:eastAsiaTheme="minorEastAsia" w:hAnsi="Century Gothic" w:cs="Arial"/>
          <w:sz w:val="24"/>
          <w:szCs w:val="24"/>
          <w:lang w:eastAsia="es-ES_tradnl"/>
        </w:rPr>
        <w:t>icitó</w:t>
      </w:r>
      <w:r w:rsidRPr="002A21FB">
        <w:rPr>
          <w:rFonts w:ascii="Century Gothic" w:eastAsiaTheme="minorEastAsia" w:hAnsi="Century Gothic" w:cs="Arial"/>
          <w:sz w:val="24"/>
          <w:szCs w:val="24"/>
          <w:lang w:eastAsia="es-ES_tradnl"/>
        </w:rPr>
        <w:t xml:space="preserve"> adición del mismo por el valor de (</w:t>
      </w:r>
      <w:r w:rsidR="000B30E2" w:rsidRPr="002A21FB">
        <w:rPr>
          <w:rFonts w:ascii="Century Gothic" w:eastAsiaTheme="minorEastAsia" w:hAnsi="Century Gothic" w:cs="Arial"/>
          <w:sz w:val="24"/>
          <w:szCs w:val="24"/>
          <w:lang w:eastAsia="es-ES_tradnl"/>
        </w:rPr>
        <w:t>$</w:t>
      </w:r>
      <w:r w:rsidRPr="002A21FB">
        <w:rPr>
          <w:rFonts w:ascii="Century Gothic" w:eastAsiaTheme="minorEastAsia" w:hAnsi="Century Gothic" w:cs="Arial"/>
          <w:sz w:val="24"/>
          <w:szCs w:val="24"/>
          <w:lang w:eastAsia="es-ES_tradnl"/>
        </w:rPr>
        <w:t>550.000.000)</w:t>
      </w:r>
      <w:r w:rsidR="00E104BC" w:rsidRPr="002A21FB">
        <w:rPr>
          <w:rFonts w:ascii="Century Gothic" w:eastAsiaTheme="minorEastAsia" w:hAnsi="Century Gothic" w:cs="Arial"/>
          <w:sz w:val="24"/>
          <w:szCs w:val="24"/>
          <w:lang w:eastAsia="es-ES_tradnl"/>
        </w:rPr>
        <w:t>,</w:t>
      </w:r>
      <w:r w:rsidRPr="002A21FB">
        <w:rPr>
          <w:rFonts w:ascii="Century Gothic" w:eastAsiaTheme="minorEastAsia" w:hAnsi="Century Gothic" w:cs="Arial"/>
          <w:sz w:val="24"/>
          <w:szCs w:val="24"/>
          <w:lang w:eastAsia="es-ES_tradnl"/>
        </w:rPr>
        <w:t xml:space="preserve"> para cubrir el pago de 2 meses y 15 días y continuar con la prestación del servicio.</w:t>
      </w:r>
      <w:r w:rsidR="000B30E2" w:rsidRPr="002A21FB">
        <w:rPr>
          <w:rFonts w:ascii="Century Gothic" w:eastAsiaTheme="minorEastAsia" w:hAnsi="Century Gothic" w:cs="Arial"/>
          <w:sz w:val="24"/>
          <w:szCs w:val="24"/>
          <w:lang w:eastAsia="es-ES_tradnl"/>
        </w:rPr>
        <w:t xml:space="preserve"> Sin embargo, se expidió disponibilidad presupuestal</w:t>
      </w:r>
      <w:r w:rsidR="00E104BC" w:rsidRPr="002A21FB">
        <w:rPr>
          <w:rFonts w:ascii="Century Gothic" w:eastAsiaTheme="minorEastAsia" w:hAnsi="Century Gothic" w:cs="Arial"/>
          <w:sz w:val="24"/>
          <w:szCs w:val="24"/>
          <w:lang w:eastAsia="es-ES_tradnl"/>
        </w:rPr>
        <w:t xml:space="preserve"> Nº 1763 por el valor de $355.000.000. </w:t>
      </w:r>
    </w:p>
    <w:p w:rsidR="00E104BC" w:rsidRPr="002A21FB" w:rsidRDefault="00E104BC"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p>
    <w:p w:rsidR="00E104BC" w:rsidRPr="002A21FB" w:rsidRDefault="00E104BC"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r w:rsidRPr="002A21FB">
        <w:rPr>
          <w:rFonts w:ascii="Century Gothic" w:eastAsiaTheme="minorEastAsia" w:hAnsi="Century Gothic" w:cs="Arial"/>
          <w:b/>
          <w:sz w:val="24"/>
          <w:szCs w:val="24"/>
          <w:lang w:eastAsia="es-ES_tradnl"/>
        </w:rPr>
        <w:t>2.4</w:t>
      </w:r>
      <w:r w:rsidRPr="002A21FB">
        <w:rPr>
          <w:rFonts w:ascii="Century Gothic" w:eastAsiaTheme="minorEastAsia" w:hAnsi="Century Gothic" w:cs="Arial"/>
          <w:sz w:val="24"/>
          <w:szCs w:val="24"/>
          <w:lang w:eastAsia="es-ES_tradnl"/>
        </w:rPr>
        <w:t>. E</w:t>
      </w:r>
      <w:r w:rsidR="00443C42" w:rsidRPr="002A21FB">
        <w:rPr>
          <w:rFonts w:ascii="Century Gothic" w:eastAsiaTheme="minorEastAsia" w:hAnsi="Century Gothic" w:cs="Arial"/>
          <w:sz w:val="24"/>
          <w:szCs w:val="24"/>
          <w:lang w:eastAsia="es-ES_tradnl"/>
        </w:rPr>
        <w:t>l</w:t>
      </w:r>
      <w:r w:rsidRPr="002A21FB">
        <w:rPr>
          <w:rFonts w:ascii="Century Gothic" w:eastAsiaTheme="minorEastAsia" w:hAnsi="Century Gothic" w:cs="Arial"/>
          <w:sz w:val="24"/>
          <w:szCs w:val="24"/>
          <w:lang w:eastAsia="es-ES_tradnl"/>
        </w:rPr>
        <w:t xml:space="preserve"> 6 de junio de 2018 se adicionó el contrato Nº 003 de 2018 por el valor de $355.000.000 con disponibilidad presupuestal Nº 1763 de 2018 y registro presupuestal Nº 1764 de 2018. A pesar que l</w:t>
      </w:r>
      <w:r w:rsidR="00443C42" w:rsidRPr="002A21FB">
        <w:rPr>
          <w:rFonts w:ascii="Century Gothic" w:eastAsiaTheme="minorEastAsia" w:hAnsi="Century Gothic" w:cs="Arial"/>
          <w:sz w:val="24"/>
          <w:szCs w:val="24"/>
          <w:lang w:eastAsia="es-ES_tradnl"/>
        </w:rPr>
        <w:t>a</w:t>
      </w:r>
      <w:r w:rsidRPr="002A21FB">
        <w:rPr>
          <w:rFonts w:ascii="Century Gothic" w:eastAsiaTheme="minorEastAsia" w:hAnsi="Century Gothic" w:cs="Arial"/>
          <w:sz w:val="24"/>
          <w:szCs w:val="24"/>
          <w:lang w:eastAsia="es-ES_tradnl"/>
        </w:rPr>
        <w:t xml:space="preserve"> adici</w:t>
      </w:r>
      <w:r w:rsidR="00443C42" w:rsidRPr="002A21FB">
        <w:rPr>
          <w:rFonts w:ascii="Century Gothic" w:eastAsiaTheme="minorEastAsia" w:hAnsi="Century Gothic" w:cs="Arial"/>
          <w:sz w:val="24"/>
          <w:szCs w:val="24"/>
          <w:lang w:eastAsia="es-ES_tradnl"/>
        </w:rPr>
        <w:t xml:space="preserve">ón fue </w:t>
      </w:r>
      <w:r w:rsidRPr="002A21FB">
        <w:rPr>
          <w:rFonts w:ascii="Century Gothic" w:eastAsiaTheme="minorEastAsia" w:hAnsi="Century Gothic" w:cs="Arial"/>
          <w:sz w:val="24"/>
          <w:szCs w:val="24"/>
          <w:lang w:eastAsia="es-ES_tradnl"/>
        </w:rPr>
        <w:t>por un menor valor solicitado se suscribió así en razón a la necesidad de no suspender la prestación del servicio</w:t>
      </w:r>
      <w:r w:rsidR="00443C42" w:rsidRPr="002A21FB">
        <w:rPr>
          <w:rFonts w:ascii="Century Gothic" w:eastAsiaTheme="minorEastAsia" w:hAnsi="Century Gothic" w:cs="Arial"/>
          <w:sz w:val="24"/>
          <w:szCs w:val="24"/>
          <w:lang w:eastAsia="es-ES_tradnl"/>
        </w:rPr>
        <w:t>.</w:t>
      </w:r>
      <w:r w:rsidR="00443C42" w:rsidRPr="002A21FB">
        <w:rPr>
          <w:rFonts w:ascii="Century Gothic" w:hAnsi="Century Gothic"/>
          <w:sz w:val="24"/>
          <w:szCs w:val="24"/>
        </w:rPr>
        <w:t xml:space="preserve"> </w:t>
      </w:r>
      <w:r w:rsidR="00443C42" w:rsidRPr="002A21FB">
        <w:rPr>
          <w:rFonts w:ascii="Century Gothic" w:eastAsiaTheme="minorEastAsia" w:hAnsi="Century Gothic" w:cs="Arial"/>
          <w:sz w:val="24"/>
          <w:szCs w:val="24"/>
          <w:lang w:eastAsia="es-ES_tradnl"/>
        </w:rPr>
        <w:t>Para el 21 de junio de 2018 se incrementó el presupuesto.</w:t>
      </w:r>
    </w:p>
    <w:p w:rsidR="00443C42" w:rsidRPr="002A21FB" w:rsidRDefault="00443C42"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p>
    <w:p w:rsidR="00443C42" w:rsidRPr="002A21FB" w:rsidRDefault="00443C42" w:rsidP="00912E34">
      <w:pPr>
        <w:tabs>
          <w:tab w:val="num" w:pos="426"/>
        </w:tabs>
        <w:overflowPunct w:val="0"/>
        <w:autoSpaceDE w:val="0"/>
        <w:autoSpaceDN w:val="0"/>
        <w:adjustRightInd w:val="0"/>
        <w:spacing w:after="0" w:line="360" w:lineRule="auto"/>
        <w:jc w:val="both"/>
        <w:textAlignment w:val="baseline"/>
        <w:rPr>
          <w:rFonts w:ascii="Century Gothic" w:eastAsiaTheme="minorEastAsia" w:hAnsi="Century Gothic" w:cs="Arial"/>
          <w:sz w:val="24"/>
          <w:szCs w:val="24"/>
          <w:lang w:eastAsia="es-ES_tradnl"/>
        </w:rPr>
      </w:pPr>
      <w:r w:rsidRPr="002A21FB">
        <w:rPr>
          <w:rFonts w:ascii="Century Gothic" w:eastAsiaTheme="minorEastAsia" w:hAnsi="Century Gothic" w:cs="Arial"/>
          <w:b/>
          <w:sz w:val="24"/>
          <w:szCs w:val="24"/>
          <w:lang w:eastAsia="es-ES_tradnl"/>
        </w:rPr>
        <w:t xml:space="preserve">2.5. </w:t>
      </w:r>
      <w:r w:rsidRPr="002A21FB">
        <w:rPr>
          <w:rFonts w:ascii="Century Gothic" w:eastAsiaTheme="minorEastAsia" w:hAnsi="Century Gothic" w:cs="Arial"/>
          <w:sz w:val="24"/>
          <w:szCs w:val="24"/>
          <w:lang w:eastAsia="es-ES_tradnl"/>
        </w:rPr>
        <w:t xml:space="preserve">La Unión Temporal Mario Gaitán manutuvo la efectiva prestación de los servicios, a pesar que no se contaba con el soporte presupuestal para el mes de junio y los 5 primero días del julio de 2018, adeudando el Hospital la suma de $ 249.998.333 por ese tiempo, el cual se encuentra soportado en las facturas de venta Nº </w:t>
      </w:r>
      <w:r w:rsidR="002A21FB" w:rsidRPr="002A21FB">
        <w:rPr>
          <w:rFonts w:ascii="Century Gothic" w:eastAsiaTheme="minorEastAsia" w:hAnsi="Century Gothic" w:cs="Arial"/>
          <w:sz w:val="24"/>
          <w:szCs w:val="24"/>
          <w:lang w:eastAsia="es-ES_tradnl"/>
        </w:rPr>
        <w:t>009 por</w:t>
      </w:r>
      <w:r w:rsidRPr="002A21FB">
        <w:rPr>
          <w:rFonts w:ascii="Century Gothic" w:eastAsiaTheme="minorEastAsia" w:hAnsi="Century Gothic" w:cs="Arial"/>
          <w:sz w:val="24"/>
          <w:szCs w:val="24"/>
          <w:lang w:eastAsia="es-ES_tradnl"/>
        </w:rPr>
        <w:t xml:space="preserve"> valor de $228.683.</w:t>
      </w:r>
      <w:r w:rsidR="002A21FB" w:rsidRPr="002A21FB">
        <w:rPr>
          <w:rFonts w:ascii="Century Gothic" w:eastAsiaTheme="minorEastAsia" w:hAnsi="Century Gothic" w:cs="Arial"/>
          <w:sz w:val="24"/>
          <w:szCs w:val="24"/>
          <w:lang w:eastAsia="es-ES_tradnl"/>
        </w:rPr>
        <w:t>660 y</w:t>
      </w:r>
      <w:r w:rsidRPr="002A21FB">
        <w:rPr>
          <w:rFonts w:ascii="Century Gothic" w:eastAsiaTheme="minorEastAsia" w:hAnsi="Century Gothic" w:cs="Arial"/>
          <w:sz w:val="24"/>
          <w:szCs w:val="24"/>
          <w:lang w:eastAsia="es-ES_tradnl"/>
        </w:rPr>
        <w:t xml:space="preserve"> Nº 011 por $21.314.673. </w:t>
      </w:r>
    </w:p>
    <w:p w:rsidR="00A60733" w:rsidRPr="002A21FB" w:rsidRDefault="00A60733" w:rsidP="00912E34">
      <w:pPr>
        <w:tabs>
          <w:tab w:val="num" w:pos="426"/>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A60733" w:rsidRPr="002A21FB" w:rsidRDefault="00A60733" w:rsidP="00912E34">
      <w:pPr>
        <w:pStyle w:val="Prrafodelista"/>
        <w:numPr>
          <w:ilvl w:val="0"/>
          <w:numId w:val="3"/>
        </w:numPr>
        <w:tabs>
          <w:tab w:val="num" w:pos="426"/>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bCs/>
          <w:sz w:val="24"/>
          <w:szCs w:val="24"/>
          <w:lang w:eastAsia="es-ES"/>
        </w:rPr>
      </w:pPr>
      <w:r w:rsidRPr="002A21FB">
        <w:rPr>
          <w:rFonts w:ascii="Century Gothic" w:eastAsia="Times New Roman" w:hAnsi="Century Gothic" w:cs="Arial"/>
          <w:b/>
          <w:bCs/>
          <w:sz w:val="24"/>
          <w:szCs w:val="24"/>
          <w:lang w:eastAsia="es-ES"/>
        </w:rPr>
        <w:t>PRUEBAS</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
          <w:bCs/>
          <w:sz w:val="24"/>
          <w:szCs w:val="24"/>
          <w:lang w:eastAsia="es-ES"/>
        </w:rPr>
        <w:t>3.1</w:t>
      </w:r>
      <w:r w:rsidRPr="002A21FB">
        <w:rPr>
          <w:rFonts w:ascii="Century Gothic" w:eastAsia="Times New Roman" w:hAnsi="Century Gothic" w:cs="Arial"/>
          <w:bCs/>
          <w:sz w:val="24"/>
          <w:szCs w:val="24"/>
          <w:lang w:eastAsia="es-ES"/>
        </w:rPr>
        <w:t xml:space="preserve"> </w:t>
      </w:r>
      <w:r w:rsidR="00E941D2" w:rsidRPr="002A21FB">
        <w:rPr>
          <w:rFonts w:ascii="Century Gothic" w:eastAsia="Times New Roman" w:hAnsi="Century Gothic" w:cs="Arial"/>
          <w:bCs/>
          <w:sz w:val="24"/>
          <w:szCs w:val="24"/>
          <w:lang w:eastAsia="es-ES"/>
        </w:rPr>
        <w:t>Copia de la Factura de Venta Nº 009/2018. (</w:t>
      </w:r>
      <w:proofErr w:type="spellStart"/>
      <w:r w:rsidR="00E941D2" w:rsidRPr="002A21FB">
        <w:rPr>
          <w:rFonts w:ascii="Century Gothic" w:eastAsia="Times New Roman" w:hAnsi="Century Gothic" w:cs="Arial"/>
          <w:bCs/>
          <w:sz w:val="24"/>
          <w:szCs w:val="24"/>
          <w:lang w:eastAsia="es-ES"/>
        </w:rPr>
        <w:t>fl</w:t>
      </w:r>
      <w:proofErr w:type="spellEnd"/>
      <w:r w:rsidR="00E941D2" w:rsidRPr="002A21FB">
        <w:rPr>
          <w:rFonts w:ascii="Century Gothic" w:eastAsia="Times New Roman" w:hAnsi="Century Gothic" w:cs="Arial"/>
          <w:bCs/>
          <w:sz w:val="24"/>
          <w:szCs w:val="24"/>
          <w:lang w:eastAsia="es-ES"/>
        </w:rPr>
        <w:t xml:space="preserve"> 10 </w:t>
      </w:r>
      <w:proofErr w:type="spellStart"/>
      <w:r w:rsidR="00E941D2" w:rsidRPr="002A21FB">
        <w:rPr>
          <w:rFonts w:ascii="Century Gothic" w:eastAsia="Times New Roman" w:hAnsi="Century Gothic" w:cs="Arial"/>
          <w:bCs/>
          <w:sz w:val="24"/>
          <w:szCs w:val="24"/>
          <w:lang w:eastAsia="es-ES"/>
        </w:rPr>
        <w:t>cp</w:t>
      </w:r>
      <w:proofErr w:type="spellEnd"/>
      <w:r w:rsidR="00E941D2"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
          <w:bCs/>
          <w:sz w:val="24"/>
          <w:szCs w:val="24"/>
          <w:lang w:eastAsia="es-ES"/>
        </w:rPr>
        <w:t>3.2.</w:t>
      </w:r>
      <w:r w:rsidRPr="002A21FB">
        <w:rPr>
          <w:rFonts w:ascii="Century Gothic" w:eastAsia="Times New Roman" w:hAnsi="Century Gothic" w:cs="Arial"/>
          <w:bCs/>
          <w:sz w:val="24"/>
          <w:szCs w:val="24"/>
          <w:lang w:eastAsia="es-ES"/>
        </w:rPr>
        <w:t xml:space="preserve"> Copia de certificación de auditoría de cuentas medicas ACM-009-18.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11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
          <w:bCs/>
          <w:sz w:val="24"/>
          <w:szCs w:val="24"/>
          <w:lang w:eastAsia="es-ES"/>
        </w:rPr>
        <w:t>3.3</w:t>
      </w:r>
      <w:r w:rsidRPr="002A21FB">
        <w:rPr>
          <w:rFonts w:ascii="Century Gothic" w:eastAsia="Times New Roman" w:hAnsi="Century Gothic" w:cs="Arial"/>
          <w:bCs/>
          <w:sz w:val="24"/>
          <w:szCs w:val="24"/>
          <w:lang w:eastAsia="es-ES"/>
        </w:rPr>
        <w:t>. Copia de factura Nº 011/2018.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12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
          <w:bCs/>
          <w:sz w:val="24"/>
          <w:szCs w:val="24"/>
          <w:lang w:eastAsia="es-ES"/>
        </w:rPr>
        <w:t>3.4.</w:t>
      </w:r>
      <w:r w:rsidRPr="002A21FB">
        <w:rPr>
          <w:rFonts w:ascii="Century Gothic" w:eastAsia="Times New Roman" w:hAnsi="Century Gothic" w:cs="Arial"/>
          <w:bCs/>
          <w:sz w:val="24"/>
          <w:szCs w:val="24"/>
          <w:lang w:eastAsia="es-ES"/>
        </w:rPr>
        <w:t xml:space="preserve"> Copia de certificación de auditoría de cuentas medicas ACM 011-18.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13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Cs/>
          <w:sz w:val="24"/>
          <w:szCs w:val="24"/>
          <w:lang w:eastAsia="es-ES"/>
        </w:rPr>
        <w:t>3.5. Copia de acta de confirmación de Unión Temporal.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14 a 17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Cs/>
          <w:sz w:val="24"/>
          <w:szCs w:val="24"/>
          <w:lang w:eastAsia="es-ES"/>
        </w:rPr>
        <w:t>3.6. Certificación de Existencia y Representación de Andrea Rothstein S.A.S.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18 a 21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Cs/>
          <w:sz w:val="24"/>
          <w:szCs w:val="24"/>
          <w:lang w:eastAsia="es-ES"/>
        </w:rPr>
        <w:t>3.7. Certificado de Existencia y Representación de Análisis Técnico LTDA.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22 a 25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Cs/>
          <w:sz w:val="24"/>
          <w:szCs w:val="24"/>
          <w:lang w:eastAsia="es-ES"/>
        </w:rPr>
        <w:t>3.8. Copia del Contrato Nº 003 de 2018.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26 a 29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E941D2" w:rsidRPr="002A21FB" w:rsidRDefault="00E941D2"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2A21FB">
        <w:rPr>
          <w:rFonts w:ascii="Century Gothic" w:eastAsia="Times New Roman" w:hAnsi="Century Gothic" w:cs="Arial"/>
          <w:bCs/>
          <w:sz w:val="24"/>
          <w:szCs w:val="24"/>
          <w:lang w:eastAsia="es-ES"/>
        </w:rPr>
        <w:t>3.9. Copia de acta de inicio del contrato Nº 003 de 2018. (</w:t>
      </w:r>
      <w:proofErr w:type="spellStart"/>
      <w:r w:rsidRPr="002A21FB">
        <w:rPr>
          <w:rFonts w:ascii="Century Gothic" w:eastAsia="Times New Roman" w:hAnsi="Century Gothic" w:cs="Arial"/>
          <w:bCs/>
          <w:sz w:val="24"/>
          <w:szCs w:val="24"/>
          <w:lang w:eastAsia="es-ES"/>
        </w:rPr>
        <w:t>fl</w:t>
      </w:r>
      <w:proofErr w:type="spellEnd"/>
      <w:r w:rsidRPr="002A21FB">
        <w:rPr>
          <w:rFonts w:ascii="Century Gothic" w:eastAsia="Times New Roman" w:hAnsi="Century Gothic" w:cs="Arial"/>
          <w:bCs/>
          <w:sz w:val="24"/>
          <w:szCs w:val="24"/>
          <w:lang w:eastAsia="es-ES"/>
        </w:rPr>
        <w:t xml:space="preserve"> 30 </w:t>
      </w:r>
      <w:proofErr w:type="spellStart"/>
      <w:r w:rsidRPr="002A21FB">
        <w:rPr>
          <w:rFonts w:ascii="Century Gothic" w:eastAsia="Times New Roman" w:hAnsi="Century Gothic" w:cs="Arial"/>
          <w:bCs/>
          <w:sz w:val="24"/>
          <w:szCs w:val="24"/>
          <w:lang w:eastAsia="es-ES"/>
        </w:rPr>
        <w:t>cp</w:t>
      </w:r>
      <w:proofErr w:type="spellEnd"/>
      <w:r w:rsidRPr="002A21FB">
        <w:rPr>
          <w:rFonts w:ascii="Century Gothic" w:eastAsia="Times New Roman" w:hAnsi="Century Gothic" w:cs="Arial"/>
          <w:bCs/>
          <w:sz w:val="24"/>
          <w:szCs w:val="24"/>
          <w:lang w:eastAsia="es-ES"/>
        </w:rPr>
        <w:t>)</w:t>
      </w:r>
    </w:p>
    <w:p w:rsidR="002A21FB" w:rsidRPr="002A21FB" w:rsidRDefault="002A21FB" w:rsidP="00912E34">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p>
    <w:p w:rsidR="00A60733" w:rsidRPr="002A21FB" w:rsidRDefault="00A60733" w:rsidP="00912E34">
      <w:pPr>
        <w:pStyle w:val="Prrafodelista"/>
        <w:numPr>
          <w:ilvl w:val="0"/>
          <w:numId w:val="3"/>
        </w:numPr>
        <w:tabs>
          <w:tab w:val="num" w:pos="426"/>
        </w:tabs>
        <w:overflowPunct w:val="0"/>
        <w:autoSpaceDE w:val="0"/>
        <w:autoSpaceDN w:val="0"/>
        <w:adjustRightInd w:val="0"/>
        <w:spacing w:after="0" w:line="360" w:lineRule="auto"/>
        <w:jc w:val="center"/>
        <w:textAlignment w:val="baseline"/>
        <w:rPr>
          <w:rFonts w:ascii="Century Gothic" w:eastAsia="Times New Roman" w:hAnsi="Century Gothic" w:cs="Arial"/>
          <w:b/>
          <w:bCs/>
          <w:sz w:val="24"/>
          <w:szCs w:val="24"/>
          <w:lang w:eastAsia="es-ES"/>
        </w:rPr>
      </w:pPr>
      <w:r w:rsidRPr="002A21FB">
        <w:rPr>
          <w:rFonts w:ascii="Century Gothic" w:eastAsia="Times New Roman" w:hAnsi="Century Gothic" w:cs="Arial"/>
          <w:b/>
          <w:bCs/>
          <w:sz w:val="24"/>
          <w:szCs w:val="24"/>
          <w:lang w:eastAsia="es-ES"/>
        </w:rPr>
        <w:t>CONSIDERACIONES</w:t>
      </w:r>
    </w:p>
    <w:p w:rsidR="00A60733" w:rsidRPr="002A21FB" w:rsidRDefault="00A60733" w:rsidP="00912E34">
      <w:pPr>
        <w:overflowPunct w:val="0"/>
        <w:autoSpaceDE w:val="0"/>
        <w:autoSpaceDN w:val="0"/>
        <w:adjustRightInd w:val="0"/>
        <w:spacing w:after="0" w:line="360" w:lineRule="auto"/>
        <w:jc w:val="center"/>
        <w:textAlignment w:val="baseline"/>
        <w:rPr>
          <w:rFonts w:ascii="Century Gothic" w:eastAsia="Times New Roman" w:hAnsi="Century Gothic" w:cs="Arial"/>
          <w:b/>
          <w:bCs/>
          <w:sz w:val="24"/>
          <w:szCs w:val="24"/>
          <w:lang w:eastAsia="es-ES"/>
        </w:rPr>
      </w:pPr>
    </w:p>
    <w:p w:rsidR="00A60733" w:rsidRPr="002A21FB" w:rsidRDefault="00A60733" w:rsidP="00912E34">
      <w:pPr>
        <w:tabs>
          <w:tab w:val="left" w:pos="567"/>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Con fundamento en la ley, el Consejo de Estado</w:t>
      </w:r>
      <w:r w:rsidRPr="002A21FB">
        <w:rPr>
          <w:rFonts w:ascii="Century Gothic" w:eastAsia="Times New Roman" w:hAnsi="Century Gothic" w:cs="Arial"/>
          <w:sz w:val="24"/>
          <w:szCs w:val="24"/>
          <w:vertAlign w:val="superscript"/>
          <w:lang w:eastAsia="es-ES"/>
        </w:rPr>
        <w:footnoteReference w:id="1"/>
      </w:r>
      <w:r w:rsidRPr="002A21FB">
        <w:rPr>
          <w:rFonts w:ascii="Century Gothic" w:eastAsia="Times New Roman" w:hAnsi="Century Gothic" w:cs="Arial"/>
          <w:sz w:val="24"/>
          <w:szCs w:val="24"/>
          <w:lang w:eastAsia="es-ES"/>
        </w:rPr>
        <w:t xml:space="preserve"> en reiterada jurisprudencia ha definido los siguientes supuestos, para la aprobación de la conciliación contenciosa administrativa: </w:t>
      </w:r>
    </w:p>
    <w:p w:rsidR="00A60733" w:rsidRPr="002A21FB" w:rsidRDefault="00A60733" w:rsidP="00912E34">
      <w:pPr>
        <w:tabs>
          <w:tab w:val="left" w:pos="142"/>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Que verse sobre derechos económicos disponibles por las partes.</w:t>
      </w: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 xml:space="preserve">Que las entidades estén debidamente representadas. </w:t>
      </w: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Que los representantes o conciliadores tengan capacidad o facultad para conciliar y disponer de la materia objeto de convenio.</w:t>
      </w: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lastRenderedPageBreak/>
        <w:t>Que no haya operado la caducidad de la acción.</w:t>
      </w: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Que no resulte abiertamente inconveniente o lesivo para el patrimonio de la administración.</w:t>
      </w:r>
    </w:p>
    <w:p w:rsidR="00A60733" w:rsidRPr="002A21FB" w:rsidRDefault="00A60733" w:rsidP="00912E34">
      <w:pPr>
        <w:numPr>
          <w:ilvl w:val="0"/>
          <w:numId w:val="1"/>
        </w:numPr>
        <w:tabs>
          <w:tab w:val="clear" w:pos="360"/>
          <w:tab w:val="num" w:pos="0"/>
          <w:tab w:val="left"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Que los derechos reconocidos estén debidamente respaldados por las probanzas que se hubieren arrimado a la actuación.</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b/>
          <w:sz w:val="24"/>
          <w:szCs w:val="24"/>
          <w:lang w:eastAsia="es-ES"/>
        </w:rPr>
        <w:t>Entraremos a estudiar si en el caso en estudio se cumplen los mencionados supuestos:</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rsidR="00A60733" w:rsidRPr="002A21FB" w:rsidRDefault="00A60733" w:rsidP="00912E34">
      <w:pPr>
        <w:numPr>
          <w:ilvl w:val="0"/>
          <w:numId w:val="2"/>
        </w:numPr>
        <w:tabs>
          <w:tab w:val="clear" w:pos="207"/>
          <w:tab w:val="num"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b/>
          <w:sz w:val="24"/>
          <w:szCs w:val="24"/>
          <w:lang w:eastAsia="es-ES"/>
        </w:rPr>
        <w:t>Representación y facultades de las partes</w:t>
      </w:r>
    </w:p>
    <w:p w:rsidR="00A60733" w:rsidRPr="002A21FB" w:rsidRDefault="00A60733" w:rsidP="00912E34">
      <w:pPr>
        <w:shd w:val="clear" w:color="auto" w:fill="FFFFFF"/>
        <w:autoSpaceDE w:val="0"/>
        <w:autoSpaceDN w:val="0"/>
        <w:adjustRightInd w:val="0"/>
        <w:spacing w:after="0" w:line="360" w:lineRule="auto"/>
        <w:jc w:val="both"/>
        <w:rPr>
          <w:rFonts w:ascii="Century Gothic" w:eastAsia="Times New Roman" w:hAnsi="Century Gothic" w:cs="Arial"/>
          <w:b/>
          <w:sz w:val="24"/>
          <w:szCs w:val="24"/>
          <w:lang w:eastAsia="es-ES"/>
        </w:rPr>
      </w:pPr>
    </w:p>
    <w:p w:rsidR="00A60733" w:rsidRPr="002A21FB" w:rsidRDefault="00A60733" w:rsidP="00912E34">
      <w:pPr>
        <w:shd w:val="clear" w:color="auto" w:fill="FFFFFF"/>
        <w:autoSpaceDE w:val="0"/>
        <w:autoSpaceDN w:val="0"/>
        <w:adjustRightInd w:val="0"/>
        <w:spacing w:after="0" w:line="360" w:lineRule="auto"/>
        <w:jc w:val="both"/>
        <w:rPr>
          <w:rFonts w:ascii="Century Gothic" w:eastAsia="Times New Roman" w:hAnsi="Century Gothic" w:cs="Arial"/>
          <w:sz w:val="24"/>
          <w:szCs w:val="24"/>
          <w:lang w:eastAsia="es-ES"/>
        </w:rPr>
      </w:pPr>
      <w:r w:rsidRPr="002A21FB">
        <w:rPr>
          <w:rFonts w:ascii="Century Gothic" w:eastAsia="Times New Roman" w:hAnsi="Century Gothic" w:cs="Arial"/>
          <w:sz w:val="24"/>
          <w:szCs w:val="24"/>
          <w:lang w:eastAsia="es-ES"/>
        </w:rPr>
        <w:t xml:space="preserve">La </w:t>
      </w:r>
      <w:r w:rsidR="00F56F9C" w:rsidRPr="002A21FB">
        <w:rPr>
          <w:rFonts w:ascii="Century Gothic" w:eastAsia="Times New Roman" w:hAnsi="Century Gothic" w:cs="Arial"/>
          <w:b/>
          <w:sz w:val="24"/>
          <w:szCs w:val="24"/>
          <w:lang w:eastAsia="es-ES"/>
        </w:rPr>
        <w:t>Unión Temporal Mario Gaitán</w:t>
      </w:r>
      <w:r w:rsidR="00EF1C93" w:rsidRPr="002A21FB">
        <w:rPr>
          <w:rFonts w:ascii="Century Gothic" w:eastAsia="Times New Roman" w:hAnsi="Century Gothic" w:cs="Arial"/>
          <w:sz w:val="24"/>
          <w:szCs w:val="24"/>
          <w:lang w:eastAsia="es-ES"/>
        </w:rPr>
        <w:t xml:space="preserve"> </w:t>
      </w:r>
      <w:r w:rsidRPr="002A21FB">
        <w:rPr>
          <w:rFonts w:ascii="Century Gothic" w:eastAsia="Times New Roman" w:hAnsi="Century Gothic" w:cs="Arial"/>
          <w:sz w:val="24"/>
          <w:szCs w:val="24"/>
          <w:lang w:eastAsia="es-ES"/>
        </w:rPr>
        <w:t>se encuentra debidamente representada por la Dra</w:t>
      </w:r>
      <w:r w:rsidR="00F56F9C" w:rsidRPr="002A21FB">
        <w:rPr>
          <w:rFonts w:ascii="Century Gothic" w:eastAsia="Times New Roman" w:hAnsi="Century Gothic" w:cs="Arial"/>
          <w:sz w:val="24"/>
          <w:szCs w:val="24"/>
          <w:lang w:eastAsia="es-ES"/>
        </w:rPr>
        <w:t xml:space="preserve">. Olga Patricia Correa Velásquez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identificado</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con la c</w:t>
      </w:r>
      <w:r w:rsidR="003F74C8" w:rsidRPr="002A21FB">
        <w:rPr>
          <w:rFonts w:ascii="Century Gothic" w:eastAsia="Times New Roman" w:hAnsi="Century Gothic" w:cs="Century Gothic"/>
          <w:sz w:val="24"/>
          <w:szCs w:val="24"/>
          <w:lang w:eastAsia="es-ES"/>
        </w:rPr>
        <w:t>é</w:t>
      </w:r>
      <w:r w:rsidR="003F74C8" w:rsidRPr="002A21FB">
        <w:rPr>
          <w:rFonts w:ascii="Century Gothic" w:eastAsia="Times New Roman" w:hAnsi="Century Gothic" w:cs="Arial"/>
          <w:sz w:val="24"/>
          <w:szCs w:val="24"/>
          <w:lang w:eastAsia="es-ES"/>
        </w:rPr>
        <w:t>dula de ciudadan</w:t>
      </w:r>
      <w:r w:rsidR="003F74C8" w:rsidRPr="002A21FB">
        <w:rPr>
          <w:rFonts w:ascii="Century Gothic" w:eastAsia="Times New Roman" w:hAnsi="Century Gothic" w:cs="Century Gothic"/>
          <w:sz w:val="24"/>
          <w:szCs w:val="24"/>
          <w:lang w:eastAsia="es-ES"/>
        </w:rPr>
        <w:t>í</w:t>
      </w:r>
      <w:r w:rsidR="003F74C8" w:rsidRPr="002A21FB">
        <w:rPr>
          <w:rFonts w:ascii="Century Gothic" w:eastAsia="Times New Roman" w:hAnsi="Century Gothic" w:cs="Arial"/>
          <w:sz w:val="24"/>
          <w:szCs w:val="24"/>
          <w:lang w:eastAsia="es-ES"/>
        </w:rPr>
        <w:t xml:space="preserve">a </w:t>
      </w:r>
      <w:r w:rsidR="003F74C8" w:rsidRPr="002A21FB">
        <w:rPr>
          <w:rFonts w:ascii="Arial" w:eastAsia="Times New Roman" w:hAnsi="Arial" w:cs="Arial"/>
          <w:sz w:val="24"/>
          <w:szCs w:val="24"/>
          <w:lang w:eastAsia="es-ES"/>
        </w:rPr>
        <w:t>‎</w:t>
      </w:r>
      <w:r w:rsidR="004C0C7F" w:rsidRPr="002A21FB">
        <w:rPr>
          <w:rFonts w:ascii="Century Gothic" w:eastAsia="Times New Roman" w:hAnsi="Century Gothic" w:cs="Arial"/>
          <w:sz w:val="24"/>
          <w:szCs w:val="24"/>
          <w:lang w:eastAsia="es-ES"/>
        </w:rPr>
        <w:t>No</w:t>
      </w:r>
      <w:r w:rsidR="004C0C7F" w:rsidRPr="002A21FB">
        <w:rPr>
          <w:rFonts w:ascii="Arial" w:eastAsia="Times New Roman" w:hAnsi="Arial" w:cs="Arial"/>
          <w:sz w:val="24"/>
          <w:szCs w:val="24"/>
          <w:lang w:eastAsia="es-ES"/>
        </w:rPr>
        <w:t>‎</w:t>
      </w:r>
      <w:r w:rsidR="004C0C7F" w:rsidRPr="002A21FB">
        <w:rPr>
          <w:rFonts w:ascii="Century Gothic" w:eastAsia="Times New Roman" w:hAnsi="Century Gothic" w:cs="Arial"/>
          <w:sz w:val="24"/>
          <w:szCs w:val="24"/>
          <w:lang w:eastAsia="es-ES"/>
        </w:rPr>
        <w:t>.</w:t>
      </w:r>
      <w:r w:rsidR="004C0C7F" w:rsidRPr="002A21FB">
        <w:rPr>
          <w:rFonts w:ascii="Arial" w:eastAsia="Times New Roman" w:hAnsi="Arial" w:cs="Arial"/>
          <w:sz w:val="24"/>
          <w:szCs w:val="24"/>
          <w:lang w:eastAsia="es-ES"/>
        </w:rPr>
        <w:t xml:space="preserve"> ‎</w:t>
      </w:r>
      <w:r w:rsidR="003F74C8" w:rsidRPr="002A21FB">
        <w:rPr>
          <w:rFonts w:ascii="Century Gothic" w:eastAsia="Times New Roman" w:hAnsi="Century Gothic" w:cs="Arial"/>
          <w:sz w:val="24"/>
          <w:szCs w:val="24"/>
          <w:lang w:eastAsia="es-ES"/>
        </w:rPr>
        <w:t>39</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809</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855</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y la tarjeta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profesional</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No</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131</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457</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expedida por el C. S. de la J.</w:t>
      </w:r>
      <w:r w:rsidRPr="002A21FB">
        <w:rPr>
          <w:rFonts w:ascii="Century Gothic" w:eastAsia="Times New Roman" w:hAnsi="Century Gothic" w:cs="Arial"/>
          <w:sz w:val="24"/>
          <w:szCs w:val="24"/>
          <w:lang w:eastAsia="es-ES"/>
        </w:rPr>
        <w:t xml:space="preserve">, apoderada que cuenta con </w:t>
      </w:r>
      <w:r w:rsidR="004C0C7F" w:rsidRPr="002A21FB">
        <w:rPr>
          <w:rFonts w:ascii="Century Gothic" w:eastAsia="Times New Roman" w:hAnsi="Century Gothic" w:cs="Arial"/>
          <w:sz w:val="24"/>
          <w:szCs w:val="24"/>
          <w:lang w:eastAsia="es-ES"/>
        </w:rPr>
        <w:t>facultad expresa para conciliar</w:t>
      </w:r>
      <w:r w:rsidRPr="002A21FB">
        <w:rPr>
          <w:rFonts w:ascii="Century Gothic" w:eastAsia="Times New Roman" w:hAnsi="Century Gothic" w:cs="Arial"/>
          <w:sz w:val="24"/>
          <w:szCs w:val="24"/>
          <w:lang w:eastAsia="es-ES"/>
        </w:rPr>
        <w:t xml:space="preserve">, tal como se puede observar en el poder otorgado visible a folio </w:t>
      </w:r>
      <w:r w:rsidR="003F74C8" w:rsidRPr="002A21FB">
        <w:rPr>
          <w:rFonts w:ascii="Century Gothic" w:eastAsia="Times New Roman" w:hAnsi="Century Gothic" w:cs="Arial"/>
          <w:sz w:val="24"/>
          <w:szCs w:val="24"/>
          <w:lang w:eastAsia="es-ES"/>
        </w:rPr>
        <w:t>9</w:t>
      </w:r>
      <w:r w:rsidRPr="002A21FB">
        <w:rPr>
          <w:rFonts w:ascii="Century Gothic" w:eastAsia="Times New Roman" w:hAnsi="Century Gothic" w:cs="Arial"/>
          <w:sz w:val="24"/>
          <w:szCs w:val="24"/>
          <w:lang w:eastAsia="es-ES"/>
        </w:rPr>
        <w:t xml:space="preserve"> del cuaderno principal. </w:t>
      </w:r>
    </w:p>
    <w:p w:rsidR="00A60733" w:rsidRPr="002A21FB" w:rsidRDefault="00A60733" w:rsidP="00912E34">
      <w:pPr>
        <w:shd w:val="clear" w:color="auto" w:fill="FFFFFF"/>
        <w:autoSpaceDE w:val="0"/>
        <w:autoSpaceDN w:val="0"/>
        <w:adjustRightInd w:val="0"/>
        <w:spacing w:after="0" w:line="360" w:lineRule="auto"/>
        <w:jc w:val="both"/>
        <w:rPr>
          <w:rFonts w:ascii="Century Gothic" w:eastAsia="Times New Roman" w:hAnsi="Century Gothic" w:cs="Arial"/>
          <w:sz w:val="24"/>
          <w:szCs w:val="24"/>
          <w:lang w:eastAsia="es-ES"/>
        </w:rPr>
      </w:pPr>
    </w:p>
    <w:p w:rsidR="00A60733" w:rsidRPr="002A21FB" w:rsidRDefault="00A60733" w:rsidP="00912E34">
      <w:pPr>
        <w:shd w:val="clear" w:color="auto" w:fill="FFFFFF"/>
        <w:autoSpaceDE w:val="0"/>
        <w:autoSpaceDN w:val="0"/>
        <w:adjustRightInd w:val="0"/>
        <w:spacing w:after="0" w:line="360" w:lineRule="auto"/>
        <w:jc w:val="both"/>
        <w:rPr>
          <w:rFonts w:ascii="Century Gothic" w:eastAsia="Times New Roman" w:hAnsi="Century Gothic" w:cs="Arial"/>
          <w:b/>
          <w:sz w:val="24"/>
          <w:szCs w:val="24"/>
          <w:lang w:eastAsia="es-ES"/>
        </w:rPr>
      </w:pPr>
      <w:r w:rsidRPr="002A21FB">
        <w:rPr>
          <w:rFonts w:ascii="Century Gothic" w:eastAsia="Times New Roman" w:hAnsi="Century Gothic" w:cs="Arial"/>
          <w:sz w:val="24"/>
          <w:szCs w:val="24"/>
          <w:lang w:eastAsia="es-ES"/>
        </w:rPr>
        <w:t xml:space="preserve">Asimismo, </w:t>
      </w:r>
      <w:r w:rsidRPr="002A21FB">
        <w:rPr>
          <w:rFonts w:ascii="Century Gothic" w:eastAsia="Times New Roman" w:hAnsi="Century Gothic" w:cs="Arial"/>
          <w:b/>
          <w:sz w:val="24"/>
          <w:szCs w:val="24"/>
          <w:lang w:eastAsia="es-ES"/>
        </w:rPr>
        <w:t>el Hospital</w:t>
      </w:r>
      <w:r w:rsidRPr="002A21FB">
        <w:rPr>
          <w:rFonts w:ascii="Century Gothic" w:eastAsia="Times New Roman" w:hAnsi="Century Gothic" w:cs="Arial"/>
          <w:sz w:val="24"/>
          <w:szCs w:val="24"/>
          <w:lang w:eastAsia="es-ES"/>
        </w:rPr>
        <w:t xml:space="preserve"> </w:t>
      </w:r>
      <w:r w:rsidR="001357DE" w:rsidRPr="002A21FB">
        <w:rPr>
          <w:rFonts w:ascii="Century Gothic" w:eastAsia="Times New Roman" w:hAnsi="Century Gothic" w:cs="Arial"/>
          <w:b/>
          <w:sz w:val="24"/>
          <w:szCs w:val="24"/>
          <w:lang w:eastAsia="es-ES"/>
        </w:rPr>
        <w:t>Mario Gaitán Yanguas De Soacha E.S.E</w:t>
      </w:r>
      <w:r w:rsidR="001357DE" w:rsidRPr="002A21FB">
        <w:rPr>
          <w:rFonts w:ascii="Century Gothic" w:eastAsia="Times New Roman" w:hAnsi="Century Gothic" w:cs="Arial"/>
          <w:sz w:val="24"/>
          <w:szCs w:val="24"/>
          <w:lang w:eastAsia="es-ES"/>
        </w:rPr>
        <w:t xml:space="preserve"> </w:t>
      </w:r>
      <w:r w:rsidRPr="002A21FB">
        <w:rPr>
          <w:rFonts w:ascii="Century Gothic" w:eastAsia="Times New Roman" w:hAnsi="Century Gothic" w:cs="Arial"/>
          <w:sz w:val="24"/>
          <w:szCs w:val="24"/>
          <w:lang w:eastAsia="es-ES"/>
        </w:rPr>
        <w:t xml:space="preserve">se encuentra debidamente representado por </w:t>
      </w:r>
      <w:r w:rsidR="003F74C8" w:rsidRPr="002A21FB">
        <w:rPr>
          <w:rFonts w:ascii="Century Gothic" w:eastAsia="Times New Roman" w:hAnsi="Century Gothic" w:cs="Arial"/>
          <w:sz w:val="24"/>
          <w:szCs w:val="24"/>
          <w:lang w:eastAsia="es-ES"/>
        </w:rPr>
        <w:t xml:space="preserve">Uldarico Soto Rojas identificado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con la c</w:t>
      </w:r>
      <w:r w:rsidR="003F74C8" w:rsidRPr="002A21FB">
        <w:rPr>
          <w:rFonts w:ascii="Century Gothic" w:eastAsia="Times New Roman" w:hAnsi="Century Gothic" w:cs="Century Gothic"/>
          <w:sz w:val="24"/>
          <w:szCs w:val="24"/>
          <w:lang w:eastAsia="es-ES"/>
        </w:rPr>
        <w:t>é</w:t>
      </w:r>
      <w:r w:rsidR="003F74C8" w:rsidRPr="002A21FB">
        <w:rPr>
          <w:rFonts w:ascii="Century Gothic" w:eastAsia="Times New Roman" w:hAnsi="Century Gothic" w:cs="Arial"/>
          <w:sz w:val="24"/>
          <w:szCs w:val="24"/>
          <w:lang w:eastAsia="es-ES"/>
        </w:rPr>
        <w:t>dula de ciudadan</w:t>
      </w:r>
      <w:r w:rsidR="003F74C8" w:rsidRPr="002A21FB">
        <w:rPr>
          <w:rFonts w:ascii="Century Gothic" w:eastAsia="Times New Roman" w:hAnsi="Century Gothic" w:cs="Century Gothic"/>
          <w:sz w:val="24"/>
          <w:szCs w:val="24"/>
          <w:lang w:eastAsia="es-ES"/>
        </w:rPr>
        <w:t>í</w:t>
      </w:r>
      <w:r w:rsidR="003F74C8" w:rsidRPr="002A21FB">
        <w:rPr>
          <w:rFonts w:ascii="Century Gothic" w:eastAsia="Times New Roman" w:hAnsi="Century Gothic" w:cs="Arial"/>
          <w:sz w:val="24"/>
          <w:szCs w:val="24"/>
          <w:lang w:eastAsia="es-ES"/>
        </w:rPr>
        <w:t xml:space="preserve">a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No</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7</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687</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621</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 xml:space="preserve">y la tarjeta de abogado </w:t>
      </w:r>
      <w:r w:rsidR="003F74C8" w:rsidRPr="002A21FB">
        <w:rPr>
          <w:rFonts w:ascii="Arial" w:eastAsia="Times New Roman" w:hAnsi="Arial" w:cs="Arial"/>
          <w:sz w:val="24"/>
          <w:szCs w:val="24"/>
          <w:lang w:eastAsia="es-ES"/>
        </w:rPr>
        <w:t>‎</w:t>
      </w:r>
      <w:r w:rsidR="003F74C8" w:rsidRPr="002A21FB">
        <w:rPr>
          <w:rFonts w:ascii="Century Gothic" w:eastAsia="Times New Roman" w:hAnsi="Century Gothic" w:cs="Arial"/>
          <w:sz w:val="24"/>
          <w:szCs w:val="24"/>
          <w:lang w:eastAsia="es-ES"/>
        </w:rPr>
        <w:t>No 90</w:t>
      </w:r>
      <w:r w:rsidR="004C0C7F">
        <w:rPr>
          <w:rFonts w:ascii="Century Gothic" w:eastAsia="Times New Roman" w:hAnsi="Century Gothic" w:cs="Arial"/>
          <w:sz w:val="24"/>
          <w:szCs w:val="24"/>
          <w:lang w:eastAsia="es-ES"/>
        </w:rPr>
        <w:t>.</w:t>
      </w:r>
      <w:r w:rsidR="003F74C8" w:rsidRPr="002A21FB">
        <w:rPr>
          <w:rFonts w:ascii="Century Gothic" w:eastAsia="Times New Roman" w:hAnsi="Century Gothic" w:cs="Arial"/>
          <w:sz w:val="24"/>
          <w:szCs w:val="24"/>
          <w:lang w:eastAsia="es-ES"/>
        </w:rPr>
        <w:t>689</w:t>
      </w:r>
      <w:r w:rsidR="003F74C8" w:rsidRPr="002A21FB">
        <w:rPr>
          <w:rFonts w:ascii="Arial" w:eastAsia="Times New Roman" w:hAnsi="Arial" w:cs="Arial"/>
          <w:sz w:val="24"/>
          <w:szCs w:val="24"/>
          <w:lang w:eastAsia="es-ES"/>
        </w:rPr>
        <w:t>‎</w:t>
      </w:r>
      <w:r w:rsidRPr="002A21FB">
        <w:rPr>
          <w:rFonts w:ascii="Century Gothic" w:eastAsia="Times New Roman" w:hAnsi="Century Gothic" w:cs="Arial"/>
          <w:sz w:val="24"/>
          <w:szCs w:val="24"/>
          <w:lang w:eastAsia="es-ES"/>
        </w:rPr>
        <w:t xml:space="preserve"> </w:t>
      </w:r>
      <w:r w:rsidR="003F74C8" w:rsidRPr="002A21FB">
        <w:rPr>
          <w:rFonts w:ascii="Century Gothic" w:eastAsia="Times New Roman" w:hAnsi="Century Gothic" w:cs="Arial"/>
          <w:sz w:val="24"/>
          <w:szCs w:val="24"/>
          <w:lang w:eastAsia="es-ES"/>
        </w:rPr>
        <w:t>expedida por el C. S. de la J., apoderado</w:t>
      </w:r>
      <w:r w:rsidRPr="002A21FB">
        <w:rPr>
          <w:rFonts w:ascii="Century Gothic" w:eastAsia="Times New Roman" w:hAnsi="Century Gothic" w:cs="Arial"/>
          <w:sz w:val="24"/>
          <w:szCs w:val="24"/>
          <w:lang w:eastAsia="es-ES"/>
        </w:rPr>
        <w:t xml:space="preserve"> quien también cuenta con </w:t>
      </w:r>
      <w:r w:rsidR="001357DE" w:rsidRPr="002A21FB">
        <w:rPr>
          <w:rFonts w:ascii="Century Gothic" w:eastAsia="Times New Roman" w:hAnsi="Century Gothic" w:cs="Arial"/>
          <w:sz w:val="24"/>
          <w:szCs w:val="24"/>
          <w:lang w:eastAsia="es-ES"/>
        </w:rPr>
        <w:t>facultad expresa para conciliar</w:t>
      </w:r>
      <w:r w:rsidRPr="002A21FB">
        <w:rPr>
          <w:rFonts w:ascii="Century Gothic" w:eastAsia="Times New Roman" w:hAnsi="Century Gothic" w:cs="Arial"/>
          <w:sz w:val="24"/>
          <w:szCs w:val="24"/>
          <w:lang w:eastAsia="es-ES"/>
        </w:rPr>
        <w:t xml:space="preserve">, como se puede observar en el poder visible a folio </w:t>
      </w:r>
      <w:r w:rsidR="003F74C8" w:rsidRPr="002A21FB">
        <w:rPr>
          <w:rFonts w:ascii="Century Gothic" w:eastAsia="Times New Roman" w:hAnsi="Century Gothic" w:cs="Arial"/>
          <w:sz w:val="24"/>
          <w:szCs w:val="24"/>
          <w:lang w:eastAsia="es-ES"/>
        </w:rPr>
        <w:t>61</w:t>
      </w:r>
      <w:r w:rsidRPr="002A21FB">
        <w:rPr>
          <w:rFonts w:ascii="Century Gothic" w:eastAsia="Times New Roman" w:hAnsi="Century Gothic" w:cs="Arial"/>
          <w:sz w:val="24"/>
          <w:szCs w:val="24"/>
          <w:lang w:eastAsia="es-ES"/>
        </w:rPr>
        <w:t xml:space="preserve"> del cuaderno principal.</w:t>
      </w:r>
    </w:p>
    <w:p w:rsidR="00A60733" w:rsidRPr="002A21FB" w:rsidRDefault="00A60733" w:rsidP="00912E34">
      <w:pPr>
        <w:shd w:val="clear" w:color="auto" w:fill="FFFFFF"/>
        <w:autoSpaceDE w:val="0"/>
        <w:autoSpaceDN w:val="0"/>
        <w:adjustRightInd w:val="0"/>
        <w:spacing w:after="0" w:line="360" w:lineRule="auto"/>
        <w:jc w:val="both"/>
        <w:rPr>
          <w:rFonts w:ascii="Century Gothic" w:eastAsia="Times New Roman" w:hAnsi="Century Gothic" w:cs="Arial"/>
          <w:b/>
          <w:sz w:val="24"/>
          <w:szCs w:val="24"/>
          <w:lang w:eastAsia="es-ES"/>
        </w:rPr>
      </w:pPr>
    </w:p>
    <w:p w:rsidR="00A60733" w:rsidRPr="002A21FB" w:rsidRDefault="00A60733" w:rsidP="00912E34">
      <w:pPr>
        <w:numPr>
          <w:ilvl w:val="0"/>
          <w:numId w:val="2"/>
        </w:numPr>
        <w:tabs>
          <w:tab w:val="clear" w:pos="207"/>
          <w:tab w:val="num"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b/>
          <w:sz w:val="24"/>
          <w:szCs w:val="24"/>
          <w:lang w:eastAsia="es-ES"/>
        </w:rPr>
        <w:t>Caducidad de la acción</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highlight w:val="yellow"/>
          <w:lang w:eastAsia="es-ES"/>
        </w:rPr>
      </w:pPr>
    </w:p>
    <w:p w:rsidR="00BE3363" w:rsidRDefault="00BE3363"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En el presente caso, se debe aplicar el término de caducidad dispuesto para el medio de control de reparación directa, artículo 164 </w:t>
      </w:r>
      <w:r w:rsidR="00AD2EBE">
        <w:rPr>
          <w:rFonts w:ascii="Century Gothic" w:eastAsia="Times New Roman" w:hAnsi="Century Gothic" w:cs="Arial"/>
          <w:sz w:val="24"/>
          <w:szCs w:val="24"/>
          <w:lang w:eastAsia="es-ES"/>
        </w:rPr>
        <w:t>litera(i)</w:t>
      </w:r>
      <w:r>
        <w:rPr>
          <w:rFonts w:ascii="Century Gothic" w:eastAsia="Times New Roman" w:hAnsi="Century Gothic" w:cs="Arial"/>
          <w:sz w:val="24"/>
          <w:szCs w:val="24"/>
          <w:lang w:eastAsia="es-ES"/>
        </w:rPr>
        <w:t>, comoquiera que</w:t>
      </w:r>
      <w:r w:rsidR="00373EDC">
        <w:rPr>
          <w:rFonts w:ascii="Century Gothic" w:eastAsia="Times New Roman" w:hAnsi="Century Gothic" w:cs="Arial"/>
          <w:sz w:val="24"/>
          <w:szCs w:val="24"/>
          <w:lang w:eastAsia="es-ES"/>
        </w:rPr>
        <w:t xml:space="preserve"> es el té</w:t>
      </w:r>
      <w:r>
        <w:rPr>
          <w:rFonts w:ascii="Century Gothic" w:eastAsia="Times New Roman" w:hAnsi="Century Gothic" w:cs="Arial"/>
          <w:sz w:val="24"/>
          <w:szCs w:val="24"/>
          <w:lang w:eastAsia="es-ES"/>
        </w:rPr>
        <w:t xml:space="preserve">rmino aplicable para controversias de enriquecimiento sin justa causa. </w:t>
      </w:r>
    </w:p>
    <w:p w:rsidR="00BE3363" w:rsidRDefault="00AD2EBE"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Pr>
          <w:rFonts w:ascii="Open Sans" w:hAnsi="Open Sans" w:cs="Open Sans"/>
          <w:color w:val="4B4949"/>
          <w:sz w:val="18"/>
          <w:szCs w:val="18"/>
        </w:rPr>
        <w:t> </w:t>
      </w:r>
    </w:p>
    <w:p w:rsidR="00AD2EBE" w:rsidRPr="00912E34" w:rsidRDefault="00AD2EBE" w:rsidP="00912E34">
      <w:pPr>
        <w:overflowPunct w:val="0"/>
        <w:autoSpaceDE w:val="0"/>
        <w:autoSpaceDN w:val="0"/>
        <w:adjustRightInd w:val="0"/>
        <w:spacing w:after="0" w:line="360" w:lineRule="auto"/>
        <w:jc w:val="both"/>
        <w:textAlignment w:val="baseline"/>
        <w:rPr>
          <w:rFonts w:ascii="Century Gothic" w:eastAsia="Calibri" w:hAnsi="Century Gothic" w:cs="Arial"/>
          <w:noProof/>
          <w:color w:val="000000"/>
          <w:sz w:val="24"/>
          <w:szCs w:val="24"/>
          <w:lang w:eastAsia="es-ES"/>
        </w:rPr>
      </w:pPr>
      <w:r w:rsidRPr="00912E34">
        <w:rPr>
          <w:rFonts w:ascii="Century Gothic" w:eastAsia="Times New Roman" w:hAnsi="Century Gothic" w:cs="Arial"/>
          <w:sz w:val="24"/>
          <w:szCs w:val="24"/>
          <w:lang w:eastAsia="es-ES"/>
        </w:rPr>
        <w:t>Así, l</w:t>
      </w:r>
      <w:r w:rsidRPr="00912E34">
        <w:rPr>
          <w:rFonts w:ascii="Century Gothic" w:eastAsia="Calibri" w:hAnsi="Century Gothic" w:cs="Arial"/>
          <w:noProof/>
          <w:color w:val="000000"/>
          <w:sz w:val="24"/>
          <w:szCs w:val="24"/>
          <w:lang w:eastAsia="es-ES"/>
        </w:rPr>
        <w:t>a caducidad para el presente medio de control se contará a partir del día siguiente</w:t>
      </w:r>
      <w:r w:rsidR="00373EDC" w:rsidRPr="00912E34">
        <w:rPr>
          <w:rFonts w:ascii="Century Gothic" w:eastAsia="Calibri" w:hAnsi="Century Gothic" w:cs="Arial"/>
          <w:noProof/>
          <w:color w:val="000000"/>
          <w:sz w:val="24"/>
          <w:szCs w:val="24"/>
          <w:lang w:eastAsia="es-ES"/>
        </w:rPr>
        <w:t xml:space="preserve"> a </w:t>
      </w:r>
      <w:r w:rsidRPr="00912E34">
        <w:rPr>
          <w:rFonts w:ascii="Century Gothic" w:eastAsia="Calibri" w:hAnsi="Century Gothic" w:cs="Arial"/>
          <w:noProof/>
          <w:color w:val="000000"/>
          <w:sz w:val="24"/>
          <w:szCs w:val="24"/>
          <w:lang w:eastAsia="es-ES"/>
        </w:rPr>
        <w:t>la ocurrencia del hecho,</w:t>
      </w:r>
      <w:r w:rsidR="00912E34">
        <w:rPr>
          <w:rFonts w:ascii="Century Gothic" w:eastAsia="Calibri" w:hAnsi="Century Gothic" w:cs="Arial"/>
          <w:noProof/>
          <w:color w:val="000000"/>
          <w:sz w:val="24"/>
          <w:szCs w:val="24"/>
          <w:lang w:eastAsia="es-ES"/>
        </w:rPr>
        <w:t xml:space="preserve"> es decir, desde el día que e</w:t>
      </w:r>
      <w:r w:rsidR="00373EDC" w:rsidRPr="00912E34">
        <w:rPr>
          <w:rFonts w:ascii="Century Gothic" w:eastAsia="Calibri" w:hAnsi="Century Gothic" w:cs="Arial"/>
          <w:noProof/>
          <w:color w:val="000000"/>
          <w:sz w:val="24"/>
          <w:szCs w:val="24"/>
          <w:lang w:eastAsia="es-ES"/>
        </w:rPr>
        <w:t xml:space="preserve">l convocante </w:t>
      </w:r>
      <w:r w:rsidRPr="00912E34">
        <w:rPr>
          <w:rFonts w:ascii="Century Gothic" w:eastAsia="Calibri" w:hAnsi="Century Gothic" w:cs="Arial"/>
          <w:noProof/>
          <w:color w:val="000000"/>
          <w:sz w:val="24"/>
          <w:szCs w:val="24"/>
          <w:lang w:eastAsia="es-ES"/>
        </w:rPr>
        <w:t>pres</w:t>
      </w:r>
      <w:r w:rsidR="00373EDC" w:rsidRPr="00912E34">
        <w:rPr>
          <w:rFonts w:ascii="Century Gothic" w:eastAsia="Calibri" w:hAnsi="Century Gothic" w:cs="Arial"/>
          <w:noProof/>
          <w:color w:val="000000"/>
          <w:sz w:val="24"/>
          <w:szCs w:val="24"/>
          <w:lang w:eastAsia="es-ES"/>
        </w:rPr>
        <w:t xml:space="preserve">tó el ultimo servicio que prentende sea cancelado, esto es, </w:t>
      </w:r>
      <w:r w:rsidR="00373EDC" w:rsidRPr="00912E34">
        <w:rPr>
          <w:rFonts w:ascii="Century Gothic" w:eastAsia="Calibri" w:hAnsi="Century Gothic" w:cs="Arial"/>
          <w:noProof/>
          <w:color w:val="000000"/>
          <w:sz w:val="24"/>
          <w:szCs w:val="24"/>
          <w:lang w:eastAsia="es-ES"/>
        </w:rPr>
        <w:lastRenderedPageBreak/>
        <w:t>desde el 6 de julio de 2018</w:t>
      </w:r>
      <w:r w:rsidR="00373EDC" w:rsidRPr="00912E34">
        <w:rPr>
          <w:rStyle w:val="Refdenotaalpie"/>
          <w:rFonts w:ascii="Century Gothic" w:eastAsia="Calibri" w:hAnsi="Century Gothic"/>
          <w:noProof/>
          <w:color w:val="000000"/>
          <w:sz w:val="24"/>
          <w:szCs w:val="24"/>
          <w:lang w:eastAsia="es-ES"/>
        </w:rPr>
        <w:footnoteReference w:id="2"/>
      </w:r>
      <w:r w:rsidR="00970133" w:rsidRPr="00912E34">
        <w:rPr>
          <w:rFonts w:ascii="Century Gothic" w:eastAsia="Calibri" w:hAnsi="Century Gothic" w:cs="Arial"/>
          <w:noProof/>
          <w:color w:val="000000"/>
          <w:sz w:val="24"/>
          <w:szCs w:val="24"/>
          <w:lang w:eastAsia="es-ES"/>
        </w:rPr>
        <w:t>, p</w:t>
      </w:r>
      <w:r w:rsidR="00373EDC" w:rsidRPr="00912E34">
        <w:rPr>
          <w:rFonts w:ascii="Century Gothic" w:eastAsia="Calibri" w:hAnsi="Century Gothic" w:cs="Arial"/>
          <w:noProof/>
          <w:color w:val="000000"/>
          <w:sz w:val="24"/>
          <w:szCs w:val="24"/>
          <w:lang w:eastAsia="es-ES"/>
        </w:rPr>
        <w:t>or tanto, las partes</w:t>
      </w:r>
      <w:r w:rsidR="00970133" w:rsidRPr="00912E34">
        <w:rPr>
          <w:rFonts w:ascii="Century Gothic" w:eastAsia="Calibri" w:hAnsi="Century Gothic" w:cs="Arial"/>
          <w:noProof/>
          <w:color w:val="000000"/>
          <w:sz w:val="24"/>
          <w:szCs w:val="24"/>
          <w:lang w:eastAsia="es-ES"/>
        </w:rPr>
        <w:t xml:space="preserve"> tenian </w:t>
      </w:r>
      <w:r w:rsidR="00373EDC" w:rsidRPr="00912E34">
        <w:rPr>
          <w:rFonts w:ascii="Century Gothic" w:eastAsia="Calibri" w:hAnsi="Century Gothic" w:cs="Arial"/>
          <w:noProof/>
          <w:color w:val="000000"/>
          <w:sz w:val="24"/>
          <w:szCs w:val="24"/>
          <w:lang w:eastAsia="es-ES"/>
        </w:rPr>
        <w:t xml:space="preserve">para presentar el medio de control de repacion directa o radicar solicitud de conciliación </w:t>
      </w:r>
      <w:r w:rsidR="00970133" w:rsidRPr="00912E34">
        <w:rPr>
          <w:rFonts w:ascii="Century Gothic" w:eastAsia="Calibri" w:hAnsi="Century Gothic" w:cs="Arial"/>
          <w:noProof/>
          <w:color w:val="000000"/>
          <w:sz w:val="24"/>
          <w:szCs w:val="24"/>
          <w:lang w:eastAsia="es-ES"/>
        </w:rPr>
        <w:t xml:space="preserve">hasta el 6 de julio de 2020 y como presnetaron conciliacion extrajudicial el 20 de septiembre de 2019 esta en tiempo. </w:t>
      </w:r>
    </w:p>
    <w:p w:rsidR="00AD2EBE" w:rsidRDefault="00AD2EBE" w:rsidP="00912E34">
      <w:pPr>
        <w:overflowPunct w:val="0"/>
        <w:autoSpaceDE w:val="0"/>
        <w:autoSpaceDN w:val="0"/>
        <w:adjustRightInd w:val="0"/>
        <w:spacing w:after="0" w:line="360" w:lineRule="auto"/>
        <w:jc w:val="both"/>
        <w:textAlignment w:val="baseline"/>
        <w:rPr>
          <w:rFonts w:ascii="Arial" w:eastAsia="Calibri" w:hAnsi="Arial" w:cs="Arial"/>
          <w:noProof/>
          <w:color w:val="000000"/>
          <w:lang w:eastAsia="es-ES"/>
        </w:rPr>
      </w:pPr>
    </w:p>
    <w:p w:rsidR="00727734" w:rsidRPr="00727734" w:rsidRDefault="00727734" w:rsidP="00912E34">
      <w:pPr>
        <w:numPr>
          <w:ilvl w:val="0"/>
          <w:numId w:val="2"/>
        </w:numPr>
        <w:tabs>
          <w:tab w:val="clear" w:pos="207"/>
          <w:tab w:val="num" w:pos="284"/>
        </w:tabs>
        <w:overflowPunct w:val="0"/>
        <w:autoSpaceDE w:val="0"/>
        <w:autoSpaceDN w:val="0"/>
        <w:adjustRightInd w:val="0"/>
        <w:spacing w:after="0" w:line="360" w:lineRule="auto"/>
        <w:ind w:left="0" w:firstLine="0"/>
        <w:jc w:val="both"/>
        <w:textAlignment w:val="baseline"/>
        <w:rPr>
          <w:rFonts w:ascii="Century Gothic" w:eastAsia="Times New Roman" w:hAnsi="Century Gothic" w:cs="Arial"/>
          <w:b/>
          <w:sz w:val="24"/>
          <w:szCs w:val="24"/>
          <w:lang w:eastAsia="es-ES"/>
        </w:rPr>
      </w:pPr>
      <w:r w:rsidRPr="00727734">
        <w:rPr>
          <w:rFonts w:ascii="Century Gothic" w:eastAsia="Times New Roman" w:hAnsi="Century Gothic" w:cs="Arial"/>
          <w:b/>
          <w:sz w:val="24"/>
          <w:szCs w:val="24"/>
          <w:lang w:eastAsia="es-ES"/>
        </w:rPr>
        <w:t>Derechos económicos disponibles por las partes y el acuerdo frente al patrimonio de la administración</w:t>
      </w:r>
    </w:p>
    <w:p w:rsidR="00727734" w:rsidRDefault="00727734"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rsidR="00727734"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color w:val="000000"/>
          <w:sz w:val="24"/>
          <w:szCs w:val="24"/>
          <w:lang w:eastAsia="es-ES"/>
        </w:rPr>
      </w:pPr>
      <w:r w:rsidRPr="002A21FB">
        <w:rPr>
          <w:rFonts w:ascii="Century Gothic" w:eastAsia="Times New Roman" w:hAnsi="Century Gothic" w:cs="Arial"/>
          <w:color w:val="000000"/>
          <w:sz w:val="24"/>
          <w:szCs w:val="24"/>
          <w:lang w:eastAsia="es-ES"/>
        </w:rPr>
        <w:t xml:space="preserve">Observa el despacho que </w:t>
      </w:r>
      <w:r w:rsidR="00727734">
        <w:rPr>
          <w:rFonts w:ascii="Century Gothic" w:eastAsia="Times New Roman" w:hAnsi="Century Gothic" w:cs="Arial"/>
          <w:color w:val="000000"/>
          <w:sz w:val="24"/>
          <w:szCs w:val="24"/>
          <w:lang w:eastAsia="es-ES"/>
        </w:rPr>
        <w:t>el objeto de la presente conciliación</w:t>
      </w:r>
      <w:r w:rsidR="0067791E">
        <w:rPr>
          <w:rFonts w:ascii="Century Gothic" w:eastAsia="Times New Roman" w:hAnsi="Century Gothic" w:cs="Arial"/>
          <w:color w:val="000000"/>
          <w:sz w:val="24"/>
          <w:szCs w:val="24"/>
          <w:lang w:eastAsia="es-ES"/>
        </w:rPr>
        <w:t xml:space="preserve"> consiste en que el </w:t>
      </w:r>
      <w:r w:rsidR="0067791E" w:rsidRPr="0067791E">
        <w:rPr>
          <w:rFonts w:ascii="Century Gothic" w:eastAsia="Times New Roman" w:hAnsi="Century Gothic" w:cs="Arial"/>
          <w:color w:val="000000"/>
          <w:sz w:val="24"/>
          <w:szCs w:val="24"/>
          <w:lang w:eastAsia="es-ES"/>
        </w:rPr>
        <w:t xml:space="preserve">Hospital MARIO GAITÁN YANGUAS DE SOACHA E.S.E </w:t>
      </w:r>
      <w:r w:rsidR="0067791E">
        <w:rPr>
          <w:rFonts w:ascii="Century Gothic" w:eastAsia="Times New Roman" w:hAnsi="Century Gothic" w:cs="Arial"/>
          <w:color w:val="000000"/>
          <w:sz w:val="24"/>
          <w:szCs w:val="24"/>
          <w:lang w:eastAsia="es-ES"/>
        </w:rPr>
        <w:t xml:space="preserve">cancele a la </w:t>
      </w:r>
      <w:r w:rsidR="0067791E" w:rsidRPr="0067791E">
        <w:rPr>
          <w:rFonts w:ascii="Century Gothic" w:eastAsia="Times New Roman" w:hAnsi="Century Gothic" w:cs="Arial"/>
          <w:color w:val="000000"/>
          <w:sz w:val="24"/>
          <w:szCs w:val="24"/>
          <w:lang w:eastAsia="es-ES"/>
        </w:rPr>
        <w:t>UNIÓN TEMPORAL MARIO GAITÁN</w:t>
      </w:r>
      <w:r w:rsidR="0067791E">
        <w:rPr>
          <w:rFonts w:ascii="Century Gothic" w:eastAsia="Times New Roman" w:hAnsi="Century Gothic" w:cs="Arial"/>
          <w:color w:val="000000"/>
          <w:sz w:val="24"/>
          <w:szCs w:val="24"/>
          <w:lang w:eastAsia="es-ES"/>
        </w:rPr>
        <w:t xml:space="preserve"> la suma de </w:t>
      </w:r>
      <w:r w:rsidR="0067791E" w:rsidRPr="002A21FB">
        <w:rPr>
          <w:rFonts w:ascii="Century Gothic" w:eastAsia="Times New Roman" w:hAnsi="Century Gothic" w:cs="Arial"/>
          <w:sz w:val="24"/>
          <w:szCs w:val="24"/>
          <w:lang w:eastAsia="es-ES"/>
        </w:rPr>
        <w:t>DOSCIENTOS CUARENTA Y NUEVE MILLONES NOVECIENTOS NOVENTA Y OCHO MIL TRESCIENTOS TREINTA Y TRES</w:t>
      </w:r>
      <w:r w:rsidR="0067791E">
        <w:rPr>
          <w:rFonts w:ascii="Century Gothic" w:eastAsia="Times New Roman" w:hAnsi="Century Gothic" w:cs="Arial"/>
          <w:color w:val="000000"/>
          <w:sz w:val="24"/>
          <w:szCs w:val="24"/>
          <w:lang w:eastAsia="es-ES"/>
        </w:rPr>
        <w:t xml:space="preserve"> ($ 249.998.333), por la prestación de servicio de apoyo de diagnóstico médico. Es decir, que es un asunto de naturaleza económica disponible por las partes, que pude ser sometido a la jurisdicción contenciosa administrativa a través de los medios de control. </w:t>
      </w:r>
    </w:p>
    <w:p w:rsidR="00996916" w:rsidRDefault="00996916" w:rsidP="00912E34">
      <w:pPr>
        <w:overflowPunct w:val="0"/>
        <w:autoSpaceDE w:val="0"/>
        <w:autoSpaceDN w:val="0"/>
        <w:adjustRightInd w:val="0"/>
        <w:spacing w:after="0" w:line="360" w:lineRule="auto"/>
        <w:jc w:val="both"/>
        <w:textAlignment w:val="baseline"/>
        <w:rPr>
          <w:rFonts w:ascii="Century Gothic" w:eastAsia="Times New Roman" w:hAnsi="Century Gothic" w:cs="Arial"/>
          <w:color w:val="000000"/>
          <w:sz w:val="24"/>
          <w:szCs w:val="24"/>
          <w:lang w:eastAsia="es-ES"/>
        </w:rPr>
      </w:pPr>
    </w:p>
    <w:p w:rsidR="00996916" w:rsidRPr="00145190" w:rsidRDefault="00996916" w:rsidP="00996916">
      <w:pPr>
        <w:spacing w:after="0" w:line="360" w:lineRule="auto"/>
        <w:jc w:val="both"/>
        <w:rPr>
          <w:rFonts w:ascii="Century Gothic" w:hAnsi="Century Gothic" w:cs="Arial"/>
          <w:i/>
          <w:szCs w:val="24"/>
        </w:rPr>
      </w:pPr>
      <w:r w:rsidRPr="00996916">
        <w:rPr>
          <w:rFonts w:ascii="Century Gothic" w:hAnsi="Century Gothic" w:cs="Arial"/>
          <w:sz w:val="24"/>
          <w:szCs w:val="24"/>
        </w:rPr>
        <w:t>Asimismo, con el acta</w:t>
      </w:r>
      <w:r w:rsidRPr="00996916">
        <w:rPr>
          <w:rFonts w:ascii="Century Gothic" w:hAnsi="Century Gothic" w:cs="Arial"/>
          <w:bCs/>
          <w:sz w:val="24"/>
          <w:szCs w:val="24"/>
          <w:lang w:val="es-ES_tradnl"/>
        </w:rPr>
        <w:t xml:space="preserve"> No. 018 de 2019</w:t>
      </w:r>
      <w:r w:rsidRPr="00996916">
        <w:rPr>
          <w:rFonts w:ascii="Century Gothic" w:hAnsi="Century Gothic" w:cs="Arial"/>
          <w:sz w:val="24"/>
          <w:szCs w:val="24"/>
        </w:rPr>
        <w:t xml:space="preserve"> </w:t>
      </w:r>
      <w:r w:rsidRPr="00996916">
        <w:rPr>
          <w:rFonts w:ascii="Century Gothic" w:hAnsi="Century Gothic" w:cs="Arial"/>
          <w:bCs/>
          <w:sz w:val="24"/>
          <w:szCs w:val="24"/>
          <w:lang w:val="es-ES_tradnl"/>
        </w:rPr>
        <w:t>de fecha 30 de septiembre de 2019</w:t>
      </w:r>
      <w:r w:rsidRPr="00996916">
        <w:rPr>
          <w:rStyle w:val="Refdenotaalpie"/>
          <w:rFonts w:ascii="Century Gothic" w:hAnsi="Century Gothic" w:cs="Arial"/>
          <w:bCs/>
          <w:sz w:val="24"/>
          <w:szCs w:val="24"/>
          <w:lang w:val="es-ES_tradnl"/>
        </w:rPr>
        <w:footnoteReference w:id="3"/>
      </w:r>
      <w:r w:rsidRPr="00996916">
        <w:rPr>
          <w:rFonts w:ascii="Century Gothic" w:hAnsi="Century Gothic" w:cs="Arial"/>
          <w:bCs/>
          <w:sz w:val="24"/>
          <w:szCs w:val="24"/>
          <w:lang w:val="es-ES_tradnl"/>
        </w:rPr>
        <w:t xml:space="preserve"> </w:t>
      </w:r>
      <w:r w:rsidRPr="00996916">
        <w:rPr>
          <w:rFonts w:ascii="Century Gothic" w:hAnsi="Century Gothic" w:cs="Arial"/>
          <w:sz w:val="24"/>
          <w:szCs w:val="24"/>
        </w:rPr>
        <w:t xml:space="preserve">se cumple con el presupuesto de la conciliación en materia administrativa que exige una decisión favorable del respectivo Comité de Conciliación, cuando a ello hubiere lugar,  tal como lo dispone el artículo 75 de la ley 446 de 1998:  </w:t>
      </w:r>
      <w:r w:rsidRPr="00145190">
        <w:rPr>
          <w:rFonts w:ascii="Century Gothic" w:hAnsi="Century Gothic" w:cs="Arial"/>
          <w:szCs w:val="24"/>
        </w:rPr>
        <w:t xml:space="preserve">“(…) </w:t>
      </w:r>
      <w:r w:rsidRPr="00145190">
        <w:rPr>
          <w:rFonts w:ascii="Century Gothic" w:hAnsi="Century Gothic" w:cs="Arial"/>
          <w:i/>
          <w:szCs w:val="24"/>
        </w:rPr>
        <w:t xml:space="preserve">Las entidades y organismos de Derecho Público del orden nacional, departamental, distrital y de los municipios capital de departamento y los Entes Descentralizados de estos mismos niveles, </w:t>
      </w:r>
      <w:r w:rsidRPr="00145190">
        <w:rPr>
          <w:rFonts w:ascii="Century Gothic" w:hAnsi="Century Gothic" w:cs="Arial"/>
          <w:b/>
          <w:i/>
          <w:szCs w:val="24"/>
        </w:rPr>
        <w:t xml:space="preserve">deberán </w:t>
      </w:r>
      <w:r w:rsidRPr="00145190">
        <w:rPr>
          <w:rFonts w:ascii="Century Gothic" w:hAnsi="Century Gothic" w:cs="Arial"/>
          <w:i/>
          <w:szCs w:val="24"/>
        </w:rPr>
        <w:t>integrar un comité de conciliación, conformado por los funcionarios del nivel directivo que se designen y cumplirá las funciones que se le señalen.  Las entidades de derecho público de los demás órdenes tendrán la misma facultad (…)”.</w:t>
      </w:r>
    </w:p>
    <w:p w:rsidR="00996916" w:rsidRPr="00996916" w:rsidRDefault="00996916" w:rsidP="0099691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330E15" w:rsidRPr="00330E15" w:rsidRDefault="00330E15" w:rsidP="00912E34">
      <w:pPr>
        <w:pStyle w:val="Prrafodelista"/>
        <w:numPr>
          <w:ilvl w:val="0"/>
          <w:numId w:val="6"/>
        </w:numPr>
        <w:overflowPunct w:val="0"/>
        <w:autoSpaceDE w:val="0"/>
        <w:autoSpaceDN w:val="0"/>
        <w:adjustRightInd w:val="0"/>
        <w:spacing w:after="0" w:line="360" w:lineRule="auto"/>
        <w:jc w:val="both"/>
        <w:textAlignment w:val="baseline"/>
        <w:rPr>
          <w:rFonts w:ascii="Century Gothic" w:eastAsia="Times New Roman" w:hAnsi="Century Gothic" w:cs="Arial"/>
          <w:color w:val="000000"/>
          <w:sz w:val="24"/>
          <w:szCs w:val="24"/>
          <w:lang w:eastAsia="es-ES"/>
        </w:rPr>
      </w:pPr>
      <w:r w:rsidRPr="00330E15">
        <w:rPr>
          <w:rFonts w:ascii="Century Gothic" w:eastAsia="Times New Roman" w:hAnsi="Century Gothic" w:cs="Arial"/>
          <w:b/>
          <w:sz w:val="24"/>
          <w:szCs w:val="24"/>
          <w:lang w:eastAsia="es-ES"/>
        </w:rPr>
        <w:t>Los derechos reconocidos están debidamente respaldados por las pruebas que se allegaron a la actuación</w:t>
      </w:r>
    </w:p>
    <w:p w:rsidR="00727734" w:rsidRDefault="00727734" w:rsidP="00912E34">
      <w:pPr>
        <w:overflowPunct w:val="0"/>
        <w:autoSpaceDE w:val="0"/>
        <w:autoSpaceDN w:val="0"/>
        <w:adjustRightInd w:val="0"/>
        <w:spacing w:after="0" w:line="360" w:lineRule="auto"/>
        <w:jc w:val="both"/>
        <w:textAlignment w:val="baseline"/>
        <w:rPr>
          <w:rFonts w:ascii="Century Gothic" w:eastAsia="Times New Roman" w:hAnsi="Century Gothic" w:cs="Arial"/>
          <w:color w:val="000000"/>
          <w:sz w:val="24"/>
          <w:szCs w:val="24"/>
          <w:lang w:eastAsia="es-ES"/>
        </w:rPr>
      </w:pPr>
    </w:p>
    <w:p w:rsidR="00742A24" w:rsidRDefault="00330E15"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 xml:space="preserve">En el presente caso, la </w:t>
      </w:r>
      <w:r w:rsidR="001E50A0" w:rsidRPr="00330E15">
        <w:rPr>
          <w:rFonts w:ascii="Century Gothic" w:eastAsia="Calibri" w:hAnsi="Century Gothic" w:cs="Arial"/>
          <w:color w:val="000000"/>
          <w:sz w:val="24"/>
          <w:szCs w:val="24"/>
          <w:lang w:eastAsia="es-ES"/>
        </w:rPr>
        <w:t>Unión Temporal Mario Gaitán</w:t>
      </w:r>
      <w:r w:rsidR="001E50A0">
        <w:rPr>
          <w:rFonts w:ascii="Century Gothic" w:eastAsia="Calibri" w:hAnsi="Century Gothic" w:cs="Arial"/>
          <w:color w:val="000000"/>
          <w:sz w:val="24"/>
          <w:szCs w:val="24"/>
          <w:lang w:eastAsia="es-ES"/>
        </w:rPr>
        <w:t xml:space="preserve"> </w:t>
      </w:r>
      <w:r>
        <w:rPr>
          <w:rFonts w:ascii="Century Gothic" w:eastAsia="Calibri" w:hAnsi="Century Gothic" w:cs="Arial"/>
          <w:color w:val="000000"/>
          <w:sz w:val="24"/>
          <w:szCs w:val="24"/>
          <w:lang w:eastAsia="es-ES"/>
        </w:rPr>
        <w:t xml:space="preserve">con base en el principio general de enriquecimiento sin justa causa, pretende que el </w:t>
      </w:r>
      <w:r w:rsidR="001E50A0" w:rsidRPr="00330E15">
        <w:rPr>
          <w:rFonts w:ascii="Century Gothic" w:eastAsia="Calibri" w:hAnsi="Century Gothic" w:cs="Arial"/>
          <w:color w:val="000000"/>
          <w:sz w:val="24"/>
          <w:szCs w:val="24"/>
          <w:lang w:eastAsia="es-ES"/>
        </w:rPr>
        <w:t xml:space="preserve">Hospital Mario </w:t>
      </w:r>
      <w:r w:rsidR="001E50A0" w:rsidRPr="00330E15">
        <w:rPr>
          <w:rFonts w:ascii="Century Gothic" w:eastAsia="Calibri" w:hAnsi="Century Gothic" w:cs="Arial"/>
          <w:color w:val="000000"/>
          <w:sz w:val="24"/>
          <w:szCs w:val="24"/>
          <w:lang w:eastAsia="es-ES"/>
        </w:rPr>
        <w:lastRenderedPageBreak/>
        <w:t>Gaitán</w:t>
      </w:r>
      <w:r w:rsidR="001E50A0">
        <w:rPr>
          <w:rFonts w:ascii="Century Gothic" w:eastAsia="Calibri" w:hAnsi="Century Gothic" w:cs="Arial"/>
          <w:color w:val="000000"/>
          <w:sz w:val="24"/>
          <w:szCs w:val="24"/>
          <w:lang w:eastAsia="es-ES"/>
        </w:rPr>
        <w:t xml:space="preserve"> Yanguas De Soacha E.S.E </w:t>
      </w:r>
      <w:r>
        <w:rPr>
          <w:rFonts w:ascii="Century Gothic" w:eastAsia="Calibri" w:hAnsi="Century Gothic" w:cs="Arial"/>
          <w:color w:val="000000"/>
          <w:sz w:val="24"/>
          <w:szCs w:val="24"/>
          <w:lang w:eastAsia="es-ES"/>
        </w:rPr>
        <w:t xml:space="preserve">pague la suma de </w:t>
      </w:r>
      <w:r w:rsidRPr="00330E15">
        <w:rPr>
          <w:rFonts w:ascii="Century Gothic" w:eastAsia="Calibri" w:hAnsi="Century Gothic" w:cs="Arial"/>
          <w:color w:val="000000"/>
          <w:sz w:val="24"/>
          <w:szCs w:val="24"/>
          <w:lang w:eastAsia="es-ES"/>
        </w:rPr>
        <w:t>($ 249.998.333), por la prestación de servicio de apoyo de diagnóstico médico</w:t>
      </w:r>
      <w:r>
        <w:rPr>
          <w:rFonts w:ascii="Century Gothic" w:eastAsia="Calibri" w:hAnsi="Century Gothic" w:cs="Arial"/>
          <w:color w:val="000000"/>
          <w:sz w:val="24"/>
          <w:szCs w:val="24"/>
          <w:lang w:eastAsia="es-ES"/>
        </w:rPr>
        <w:t xml:space="preserve">, que se ejecutaron sin respaldo contractual ante la falta de disponibilidad presupuestal de la entidad prestadora de salud. </w:t>
      </w:r>
    </w:p>
    <w:p w:rsidR="00330E15" w:rsidRDefault="00330E15"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330E15" w:rsidRDefault="00330E15"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 xml:space="preserve">Como prueba de los servicios prestados aporta: </w:t>
      </w:r>
    </w:p>
    <w:p w:rsidR="00330E15" w:rsidRDefault="00330E15"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1E50A0" w:rsidRPr="001E50A0" w:rsidRDefault="001E50A0" w:rsidP="001E50A0">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 xml:space="preserve">Copia del contrato 003 de 2018 suscrito entre </w:t>
      </w:r>
      <w:r w:rsidRPr="001E50A0">
        <w:rPr>
          <w:rFonts w:ascii="Century Gothic" w:eastAsia="Calibri" w:hAnsi="Century Gothic" w:cs="Arial"/>
          <w:color w:val="000000"/>
          <w:sz w:val="24"/>
          <w:szCs w:val="24"/>
          <w:lang w:eastAsia="es-ES"/>
        </w:rPr>
        <w:t>Unión Temporal Mario Gaitán</w:t>
      </w:r>
      <w:r>
        <w:rPr>
          <w:rFonts w:ascii="Century Gothic" w:eastAsia="Calibri" w:hAnsi="Century Gothic" w:cs="Arial"/>
          <w:color w:val="000000"/>
          <w:sz w:val="24"/>
          <w:szCs w:val="24"/>
          <w:lang w:eastAsia="es-ES"/>
        </w:rPr>
        <w:t xml:space="preserve"> y el </w:t>
      </w:r>
      <w:r w:rsidRPr="001E50A0">
        <w:rPr>
          <w:rFonts w:ascii="Century Gothic" w:eastAsia="Calibri" w:hAnsi="Century Gothic" w:cs="Arial"/>
          <w:color w:val="000000"/>
          <w:sz w:val="24"/>
          <w:szCs w:val="24"/>
          <w:lang w:eastAsia="es-ES"/>
        </w:rPr>
        <w:t>Hospital Mario Gaitán Yanguas De Soacha E.S.E</w:t>
      </w:r>
      <w:r>
        <w:rPr>
          <w:rFonts w:ascii="Century Gothic" w:eastAsia="Calibri" w:hAnsi="Century Gothic" w:cs="Arial"/>
          <w:color w:val="000000"/>
          <w:sz w:val="24"/>
          <w:szCs w:val="24"/>
          <w:lang w:eastAsia="es-ES"/>
        </w:rPr>
        <w:t xml:space="preserve">, cuyo objeto era la prestación integral de los servicios de apoyo diagnostico tales como: laboratorio clínico con pruebas especializadas de baja y mediana complejidad. Toma de muestras de laboratorio clínico, servicio de transfusión sanguínea, laboratorio de citología </w:t>
      </w:r>
      <w:proofErr w:type="spellStart"/>
      <w:r>
        <w:rPr>
          <w:rFonts w:ascii="Century Gothic" w:eastAsia="Calibri" w:hAnsi="Century Gothic" w:cs="Arial"/>
          <w:color w:val="000000"/>
          <w:sz w:val="24"/>
          <w:szCs w:val="24"/>
          <w:lang w:eastAsia="es-ES"/>
        </w:rPr>
        <w:t>cervico</w:t>
      </w:r>
      <w:proofErr w:type="spellEnd"/>
      <w:r>
        <w:rPr>
          <w:rFonts w:ascii="Century Gothic" w:eastAsia="Calibri" w:hAnsi="Century Gothic" w:cs="Arial"/>
          <w:color w:val="000000"/>
          <w:sz w:val="24"/>
          <w:szCs w:val="24"/>
          <w:lang w:eastAsia="es-ES"/>
        </w:rPr>
        <w:t xml:space="preserve">-uterina, laboratorio de </w:t>
      </w:r>
      <w:proofErr w:type="spellStart"/>
      <w:r>
        <w:rPr>
          <w:rFonts w:ascii="Century Gothic" w:eastAsia="Calibri" w:hAnsi="Century Gothic" w:cs="Arial"/>
          <w:color w:val="000000"/>
          <w:sz w:val="24"/>
          <w:szCs w:val="24"/>
          <w:lang w:eastAsia="es-ES"/>
        </w:rPr>
        <w:t>histotecnoligía</w:t>
      </w:r>
      <w:proofErr w:type="spellEnd"/>
      <w:r>
        <w:rPr>
          <w:rFonts w:ascii="Century Gothic" w:eastAsia="Calibri" w:hAnsi="Century Gothic" w:cs="Arial"/>
          <w:color w:val="000000"/>
          <w:sz w:val="24"/>
          <w:szCs w:val="24"/>
          <w:lang w:eastAsia="es-ES"/>
        </w:rPr>
        <w:t xml:space="preserve"> y laboratorio de patología por parte del contratista, en forma independiente, bajo su cuenta y riesgo, con personal propio operacional y administrativo, garantizando la prestación del servicio a pacientes y usuarios del hospital del régimen subsidiado, contributivo afiliado, población pobre no asegurada u otros. El valor del presente contrato se estableció en la </w:t>
      </w:r>
      <w:r w:rsidR="00B51E03">
        <w:rPr>
          <w:rFonts w:ascii="Century Gothic" w:eastAsia="Calibri" w:hAnsi="Century Gothic" w:cs="Arial"/>
          <w:color w:val="000000"/>
          <w:sz w:val="24"/>
          <w:szCs w:val="24"/>
          <w:lang w:eastAsia="es-ES"/>
        </w:rPr>
        <w:t>cláusula</w:t>
      </w:r>
      <w:r>
        <w:rPr>
          <w:rFonts w:ascii="Century Gothic" w:eastAsia="Calibri" w:hAnsi="Century Gothic" w:cs="Arial"/>
          <w:color w:val="000000"/>
          <w:sz w:val="24"/>
          <w:szCs w:val="24"/>
          <w:lang w:eastAsia="es-ES"/>
        </w:rPr>
        <w:t xml:space="preserve"> quinta, por la suma de $1.144.377.000</w:t>
      </w:r>
      <w:r w:rsidR="00B51E03">
        <w:rPr>
          <w:rFonts w:ascii="Century Gothic" w:eastAsia="Calibri" w:hAnsi="Century Gothic" w:cs="Arial"/>
          <w:color w:val="000000"/>
          <w:sz w:val="24"/>
          <w:szCs w:val="24"/>
          <w:lang w:eastAsia="es-ES"/>
        </w:rPr>
        <w:t xml:space="preserve">. La duración del contrato era de 9 meses contados desde la firma del acta de inicio. </w:t>
      </w:r>
    </w:p>
    <w:p w:rsidR="00330E15" w:rsidRDefault="00330E15" w:rsidP="00912E34">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Copia de factura 009 de 2018 radicada el 31 de agosto de 2018, por los servicios</w:t>
      </w:r>
      <w:r w:rsidR="00912E34">
        <w:rPr>
          <w:rFonts w:ascii="Century Gothic" w:eastAsia="Calibri" w:hAnsi="Century Gothic" w:cs="Arial"/>
          <w:color w:val="000000"/>
          <w:sz w:val="24"/>
          <w:szCs w:val="24"/>
          <w:lang w:eastAsia="es-ES"/>
        </w:rPr>
        <w:t xml:space="preserve"> prestados del 1 al 30 de junio de 2018, por el valor de $228.683,660. (folio 38 c1)</w:t>
      </w:r>
    </w:p>
    <w:p w:rsidR="00330E15" w:rsidRDefault="00912E34" w:rsidP="00912E34">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Copia de auditoría de cuentas ACM-009-18 donde se certifica el valor de $ 228.683.660. (folio 41 c1)</w:t>
      </w:r>
    </w:p>
    <w:p w:rsidR="00912E34" w:rsidRDefault="00912E34" w:rsidP="00912E34">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Copia de factura 011 de 2018 radicada el 4 de septiembre de 2018, por lo servicios prestados de 1 al 5 de julio de 2018. (folio 34 c1)</w:t>
      </w:r>
    </w:p>
    <w:p w:rsidR="00912E34" w:rsidRDefault="00912E34" w:rsidP="00912E34">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Copia de auditoría de cuentas ACM-010-18 donde se certifica el valor de $ 21.314.673 (folio 40 c1)</w:t>
      </w:r>
    </w:p>
    <w:p w:rsidR="00CB62CC" w:rsidRDefault="00CB62CC" w:rsidP="00912E34">
      <w:pPr>
        <w:pStyle w:val="Prrafodelista"/>
        <w:numPr>
          <w:ilvl w:val="0"/>
          <w:numId w:val="7"/>
        </w:num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 xml:space="preserve">Copia de informe final del contrato 003 de 2018, suscrito por el auditor del contrato Bertha Milena Cantor Conde, en el cual se indica que, si bien el 7 de mayo de 2018 se solicitó adición del contrato por el 50% del su valor, no fue posible la adición por ese monto, sino por uno menor. </w:t>
      </w:r>
    </w:p>
    <w:p w:rsidR="00CB62CC" w:rsidRDefault="00CB62CC" w:rsidP="00CB62CC">
      <w:pPr>
        <w:pStyle w:val="Prrafodelista"/>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lastRenderedPageBreak/>
        <w:t>Sin embargo, según se anotó por la supervisora del contrato, en dicho informe, de manera verbal se manifestó que se continuara con la prestación del servicio de salud de laboratorio clínico, ya que era de vital importancia para atender a los pacientes que ingresan de urgencias generales o ginecológicas, servicios quirúrgicos y hospitalización.</w:t>
      </w:r>
      <w:r w:rsidR="00CF05A6">
        <w:rPr>
          <w:rFonts w:ascii="Century Gothic" w:eastAsia="Calibri" w:hAnsi="Century Gothic" w:cs="Arial"/>
          <w:color w:val="000000"/>
          <w:sz w:val="24"/>
          <w:szCs w:val="24"/>
          <w:lang w:eastAsia="es-ES"/>
        </w:rPr>
        <w:t xml:space="preserve"> </w:t>
      </w:r>
      <w:r>
        <w:rPr>
          <w:rFonts w:ascii="Century Gothic" w:eastAsia="Calibri" w:hAnsi="Century Gothic" w:cs="Arial"/>
          <w:color w:val="000000"/>
          <w:sz w:val="24"/>
          <w:szCs w:val="24"/>
          <w:lang w:eastAsia="es-ES"/>
        </w:rPr>
        <w:t xml:space="preserve">También en ese informe se agregó que la entidad no contaba con el rubro suficiente para </w:t>
      </w:r>
      <w:r w:rsidR="00CF05A6">
        <w:rPr>
          <w:rFonts w:ascii="Century Gothic" w:eastAsia="Calibri" w:hAnsi="Century Gothic" w:cs="Arial"/>
          <w:color w:val="000000"/>
          <w:sz w:val="24"/>
          <w:szCs w:val="24"/>
          <w:lang w:eastAsia="es-ES"/>
        </w:rPr>
        <w:t>iniciar</w:t>
      </w:r>
      <w:r>
        <w:rPr>
          <w:rFonts w:ascii="Century Gothic" w:eastAsia="Calibri" w:hAnsi="Century Gothic" w:cs="Arial"/>
          <w:color w:val="000000"/>
          <w:sz w:val="24"/>
          <w:szCs w:val="24"/>
          <w:lang w:eastAsia="es-ES"/>
        </w:rPr>
        <w:t xml:space="preserve"> tramite de convocatoria, sin </w:t>
      </w:r>
      <w:r w:rsidR="00CF05A6">
        <w:rPr>
          <w:rFonts w:ascii="Century Gothic" w:eastAsia="Calibri" w:hAnsi="Century Gothic" w:cs="Arial"/>
          <w:color w:val="000000"/>
          <w:sz w:val="24"/>
          <w:szCs w:val="24"/>
          <w:lang w:eastAsia="es-ES"/>
        </w:rPr>
        <w:t>embargo</w:t>
      </w:r>
      <w:r>
        <w:rPr>
          <w:rFonts w:ascii="Century Gothic" w:eastAsia="Calibri" w:hAnsi="Century Gothic" w:cs="Arial"/>
          <w:color w:val="000000"/>
          <w:sz w:val="24"/>
          <w:szCs w:val="24"/>
          <w:lang w:eastAsia="es-ES"/>
        </w:rPr>
        <w:t>, no era posi</w:t>
      </w:r>
      <w:r w:rsidR="00CF05A6">
        <w:rPr>
          <w:rFonts w:ascii="Century Gothic" w:eastAsia="Calibri" w:hAnsi="Century Gothic" w:cs="Arial"/>
          <w:color w:val="000000"/>
          <w:sz w:val="24"/>
          <w:szCs w:val="24"/>
          <w:lang w:eastAsia="es-ES"/>
        </w:rPr>
        <w:t>ble</w:t>
      </w:r>
      <w:r>
        <w:rPr>
          <w:rFonts w:ascii="Century Gothic" w:eastAsia="Calibri" w:hAnsi="Century Gothic" w:cs="Arial"/>
          <w:color w:val="000000"/>
          <w:sz w:val="24"/>
          <w:szCs w:val="24"/>
          <w:lang w:eastAsia="es-ES"/>
        </w:rPr>
        <w:t xml:space="preserve"> suspender la prestación de servicios. </w:t>
      </w:r>
    </w:p>
    <w:p w:rsidR="00912E34" w:rsidRDefault="00912E34"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CF05A6" w:rsidRDefault="00CF05A6"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Al respecto, el Consejo de Estado mediante providencia del 19 de noviembre de 2012 unific</w:t>
      </w:r>
      <w:r w:rsidR="00B51E03">
        <w:rPr>
          <w:rFonts w:ascii="Century Gothic" w:eastAsia="Calibri" w:hAnsi="Century Gothic" w:cs="Arial"/>
          <w:color w:val="000000"/>
          <w:sz w:val="24"/>
          <w:szCs w:val="24"/>
          <w:lang w:eastAsia="es-ES"/>
        </w:rPr>
        <w:t>ó</w:t>
      </w:r>
      <w:r>
        <w:rPr>
          <w:rFonts w:ascii="Century Gothic" w:eastAsia="Calibri" w:hAnsi="Century Gothic" w:cs="Arial"/>
          <w:color w:val="000000"/>
          <w:sz w:val="24"/>
          <w:szCs w:val="24"/>
          <w:lang w:eastAsia="es-ES"/>
        </w:rPr>
        <w:t xml:space="preserve"> la jurisprudencia en relación con la </w:t>
      </w:r>
      <w:proofErr w:type="spellStart"/>
      <w:r w:rsidRPr="00CF05A6">
        <w:rPr>
          <w:rFonts w:ascii="Century Gothic" w:eastAsia="Calibri" w:hAnsi="Century Gothic" w:cs="Arial"/>
          <w:i/>
          <w:color w:val="000000"/>
          <w:sz w:val="24"/>
          <w:szCs w:val="24"/>
          <w:lang w:eastAsia="es-ES"/>
        </w:rPr>
        <w:t>actio</w:t>
      </w:r>
      <w:proofErr w:type="spellEnd"/>
      <w:r w:rsidRPr="00CF05A6">
        <w:rPr>
          <w:rFonts w:ascii="Century Gothic" w:eastAsia="Calibri" w:hAnsi="Century Gothic" w:cs="Arial"/>
          <w:i/>
          <w:color w:val="000000"/>
          <w:sz w:val="24"/>
          <w:szCs w:val="24"/>
          <w:lang w:eastAsia="es-ES"/>
        </w:rPr>
        <w:t xml:space="preserve"> de in rem verso</w:t>
      </w:r>
      <w:r w:rsidRPr="00CF05A6">
        <w:rPr>
          <w:rFonts w:ascii="Century Gothic" w:eastAsia="Calibri" w:hAnsi="Century Gothic" w:cs="Arial"/>
          <w:color w:val="000000"/>
          <w:sz w:val="24"/>
          <w:szCs w:val="24"/>
          <w:lang w:eastAsia="es-ES"/>
        </w:rPr>
        <w:t xml:space="preserve"> </w:t>
      </w:r>
      <w:r>
        <w:rPr>
          <w:rFonts w:ascii="Century Gothic" w:eastAsia="Calibri" w:hAnsi="Century Gothic" w:cs="Arial"/>
          <w:color w:val="000000"/>
          <w:sz w:val="24"/>
          <w:szCs w:val="24"/>
          <w:lang w:eastAsia="es-ES"/>
        </w:rPr>
        <w:t>por enriquecimientos sin justa causa, en los siguientes términos</w:t>
      </w:r>
      <w:r w:rsidR="001A603F">
        <w:rPr>
          <w:rFonts w:ascii="Century Gothic" w:eastAsia="Calibri" w:hAnsi="Century Gothic" w:cs="Arial"/>
          <w:color w:val="000000"/>
          <w:sz w:val="24"/>
          <w:szCs w:val="24"/>
          <w:lang w:eastAsia="es-ES"/>
        </w:rPr>
        <w:t>:</w:t>
      </w:r>
    </w:p>
    <w:p w:rsidR="001A603F" w:rsidRPr="001A603F" w:rsidRDefault="001A603F"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Cs w:val="24"/>
          <w:lang w:eastAsia="es-ES"/>
        </w:rPr>
      </w:pPr>
    </w:p>
    <w:p w:rsidR="001A603F" w:rsidRPr="001A603F" w:rsidRDefault="001A603F" w:rsidP="001A603F">
      <w:pPr>
        <w:overflowPunct w:val="0"/>
        <w:autoSpaceDE w:val="0"/>
        <w:autoSpaceDN w:val="0"/>
        <w:adjustRightInd w:val="0"/>
        <w:spacing w:after="0" w:line="360" w:lineRule="auto"/>
        <w:ind w:left="708"/>
        <w:jc w:val="both"/>
        <w:textAlignment w:val="baseline"/>
        <w:rPr>
          <w:rFonts w:ascii="Century Gothic" w:eastAsia="Calibri" w:hAnsi="Century Gothic" w:cs="Arial"/>
          <w:b/>
          <w:i/>
          <w:color w:val="000000"/>
          <w:szCs w:val="24"/>
          <w:lang w:eastAsia="es-ES"/>
        </w:rPr>
      </w:pPr>
      <w:r w:rsidRPr="001A603F">
        <w:rPr>
          <w:rFonts w:ascii="Century Gothic" w:eastAsia="Calibri" w:hAnsi="Century Gothic" w:cs="Arial"/>
          <w:i/>
          <w:color w:val="000000"/>
          <w:szCs w:val="24"/>
          <w:lang w:eastAsia="es-ES"/>
        </w:rPr>
        <w:t xml:space="preserve">12.1 Para este efecto la Sala empieza por precisar que, </w:t>
      </w:r>
      <w:r w:rsidRPr="001A603F">
        <w:rPr>
          <w:rFonts w:ascii="Century Gothic" w:eastAsia="Calibri" w:hAnsi="Century Gothic" w:cs="Arial"/>
          <w:b/>
          <w:i/>
          <w:color w:val="000000"/>
          <w:szCs w:val="24"/>
          <w:lang w:eastAsia="es-ES"/>
        </w:rPr>
        <w:t>por regla</w:t>
      </w:r>
      <w:r w:rsidRPr="001A603F">
        <w:rPr>
          <w:rFonts w:ascii="Century Gothic" w:eastAsia="Calibri" w:hAnsi="Century Gothic" w:cs="Arial"/>
          <w:i/>
          <w:color w:val="000000"/>
          <w:szCs w:val="24"/>
          <w:lang w:eastAsia="es-ES"/>
        </w:rPr>
        <w:t xml:space="preserve"> general, el enriquecimiento sin causa,  y en consecuencia la </w:t>
      </w:r>
      <w:proofErr w:type="spellStart"/>
      <w:r w:rsidRPr="001A603F">
        <w:rPr>
          <w:rFonts w:ascii="Century Gothic" w:eastAsia="Calibri" w:hAnsi="Century Gothic" w:cs="Arial"/>
          <w:i/>
          <w:color w:val="000000"/>
          <w:szCs w:val="24"/>
          <w:lang w:eastAsia="es-ES"/>
        </w:rPr>
        <w:t>actio</w:t>
      </w:r>
      <w:proofErr w:type="spellEnd"/>
      <w:r w:rsidRPr="001A603F">
        <w:rPr>
          <w:rFonts w:ascii="Century Gothic" w:eastAsia="Calibri" w:hAnsi="Century Gothic" w:cs="Arial"/>
          <w:i/>
          <w:color w:val="000000"/>
          <w:szCs w:val="24"/>
          <w:lang w:eastAsia="es-ES"/>
        </w:rPr>
        <w:t xml:space="preserve"> de in rem verso, que en nuestro derecho es un principio general, tal como lo dedujo la Corte Suprema de Justicia[76] a partir del artículo 8º de la ley 153 de 1887, y ahora consagrado de manera expresa en el artículo 831[77] del Código de Comercio, </w:t>
      </w:r>
      <w:r w:rsidRPr="001A603F">
        <w:rPr>
          <w:rFonts w:ascii="Century Gothic" w:eastAsia="Calibri" w:hAnsi="Century Gothic" w:cs="Arial"/>
          <w:b/>
          <w:i/>
          <w:color w:val="000000"/>
          <w:szCs w:val="24"/>
          <w:lang w:eastAsia="es-ES"/>
        </w:rPr>
        <w:t xml:space="preserve">no pueden ser invocados para reclamar el pago de obras, entrega de bienes o servicios ejecutados sin la previa celebración de un contrato estatal que los justifique por la elemental pero suficiente  razón consistente en que la </w:t>
      </w:r>
      <w:proofErr w:type="spellStart"/>
      <w:r w:rsidRPr="001A603F">
        <w:rPr>
          <w:rFonts w:ascii="Century Gothic" w:eastAsia="Calibri" w:hAnsi="Century Gothic" w:cs="Arial"/>
          <w:b/>
          <w:i/>
          <w:color w:val="000000"/>
          <w:szCs w:val="24"/>
          <w:lang w:eastAsia="es-ES"/>
        </w:rPr>
        <w:t>actio</w:t>
      </w:r>
      <w:proofErr w:type="spellEnd"/>
      <w:r w:rsidRPr="001A603F">
        <w:rPr>
          <w:rFonts w:ascii="Century Gothic" w:eastAsia="Calibri" w:hAnsi="Century Gothic" w:cs="Arial"/>
          <w:b/>
          <w:i/>
          <w:color w:val="000000"/>
          <w:szCs w:val="24"/>
          <w:lang w:eastAsia="es-ES"/>
        </w:rPr>
        <w:t xml:space="preserve"> de in rem verso requiere para su procedencia, entre otros requisitos, que con ella no se pretenda desconocer o contrariar una norma imperativa o </w:t>
      </w:r>
      <w:proofErr w:type="spellStart"/>
      <w:r w:rsidRPr="001A603F">
        <w:rPr>
          <w:rFonts w:ascii="Century Gothic" w:eastAsia="Calibri" w:hAnsi="Century Gothic" w:cs="Arial"/>
          <w:b/>
          <w:i/>
          <w:color w:val="000000"/>
          <w:szCs w:val="24"/>
          <w:lang w:eastAsia="es-ES"/>
        </w:rPr>
        <w:t>cogente</w:t>
      </w:r>
      <w:proofErr w:type="spellEnd"/>
    </w:p>
    <w:p w:rsidR="00CF05A6" w:rsidRDefault="00CF05A6"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CF05A6" w:rsidRDefault="001A603F"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No obstante, la re</w:t>
      </w:r>
      <w:r w:rsidR="00B51E03">
        <w:rPr>
          <w:rFonts w:ascii="Century Gothic" w:eastAsia="Calibri" w:hAnsi="Century Gothic" w:cs="Arial"/>
          <w:color w:val="000000"/>
          <w:sz w:val="24"/>
          <w:szCs w:val="24"/>
          <w:lang w:eastAsia="es-ES"/>
        </w:rPr>
        <w:t xml:space="preserve">gla general, </w:t>
      </w:r>
      <w:r>
        <w:rPr>
          <w:rFonts w:ascii="Century Gothic" w:eastAsia="Calibri" w:hAnsi="Century Gothic" w:cs="Arial"/>
          <w:color w:val="000000"/>
          <w:sz w:val="24"/>
          <w:szCs w:val="24"/>
          <w:lang w:eastAsia="es-ES"/>
        </w:rPr>
        <w:t>en esa misma providencia estableció las excepciones en la cuales podría ser procedente el principio del enriquecimiento sin justa causa:</w:t>
      </w:r>
    </w:p>
    <w:p w:rsidR="001A603F" w:rsidRDefault="001A603F"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1A603F" w:rsidRPr="001A603F" w:rsidRDefault="00554FE5" w:rsidP="001A603F">
      <w:pPr>
        <w:pStyle w:val="Prrafodelista"/>
        <w:overflowPunct w:val="0"/>
        <w:autoSpaceDE w:val="0"/>
        <w:autoSpaceDN w:val="0"/>
        <w:adjustRightInd w:val="0"/>
        <w:spacing w:after="0" w:line="360" w:lineRule="auto"/>
        <w:jc w:val="both"/>
        <w:textAlignment w:val="baseline"/>
        <w:rPr>
          <w:rFonts w:ascii="Century Gothic" w:eastAsia="Calibri" w:hAnsi="Century Gothic" w:cs="Arial"/>
          <w:i/>
          <w:color w:val="000000"/>
          <w:szCs w:val="24"/>
          <w:lang w:eastAsia="es-ES"/>
        </w:rPr>
      </w:pPr>
      <w:r>
        <w:rPr>
          <w:rFonts w:ascii="Century Gothic" w:eastAsia="Calibri" w:hAnsi="Century Gothic" w:cs="Arial"/>
          <w:i/>
          <w:color w:val="000000"/>
          <w:szCs w:val="24"/>
          <w:lang w:eastAsia="es-ES"/>
        </w:rPr>
        <w:t xml:space="preserve">a) </w:t>
      </w:r>
      <w:r w:rsidR="001A603F" w:rsidRPr="001A603F">
        <w:rPr>
          <w:rFonts w:ascii="Century Gothic" w:eastAsia="Calibri" w:hAnsi="Century Gothic" w:cs="Arial"/>
          <w:i/>
          <w:color w:val="000000"/>
          <w:szCs w:val="24"/>
          <w:lang w:eastAsia="es-ES"/>
        </w:rPr>
        <w:t xml:space="preserve"> Cuando se acredite de manera fehaciente y evidente en el proceso, que fue exclusivamente la entidad pública, sin participación y sin culpa del particular afectado, la que en virtud de su supremacía, de su autoridad o de su </w:t>
      </w:r>
      <w:proofErr w:type="spellStart"/>
      <w:r w:rsidR="001A603F" w:rsidRPr="001A603F">
        <w:rPr>
          <w:rFonts w:ascii="Century Gothic" w:eastAsia="Calibri" w:hAnsi="Century Gothic" w:cs="Arial"/>
          <w:i/>
          <w:color w:val="000000"/>
          <w:szCs w:val="24"/>
          <w:lang w:eastAsia="es-ES"/>
        </w:rPr>
        <w:t>imperium</w:t>
      </w:r>
      <w:proofErr w:type="spellEnd"/>
      <w:r w:rsidR="001A603F" w:rsidRPr="001A603F">
        <w:rPr>
          <w:rFonts w:ascii="Century Gothic" w:eastAsia="Calibri" w:hAnsi="Century Gothic" w:cs="Arial"/>
          <w:i/>
          <w:color w:val="000000"/>
          <w:szCs w:val="24"/>
          <w:lang w:eastAsia="es-ES"/>
        </w:rPr>
        <w:t xml:space="preserve"> constriñó o impuso al respectivo particular la ejecución de prestaciones o el suministro de bienes o servicios en su beneficio, por fuera del marco de un contrato estatal o con prescindencia del mismo.</w:t>
      </w:r>
    </w:p>
    <w:p w:rsidR="001A603F" w:rsidRPr="001A603F" w:rsidRDefault="001A603F" w:rsidP="001A603F">
      <w:pPr>
        <w:pStyle w:val="Prrafodelista"/>
        <w:overflowPunct w:val="0"/>
        <w:autoSpaceDE w:val="0"/>
        <w:autoSpaceDN w:val="0"/>
        <w:adjustRightInd w:val="0"/>
        <w:spacing w:after="0" w:line="360" w:lineRule="auto"/>
        <w:jc w:val="both"/>
        <w:textAlignment w:val="baseline"/>
        <w:rPr>
          <w:rFonts w:ascii="Century Gothic" w:eastAsia="Calibri" w:hAnsi="Century Gothic" w:cs="Arial"/>
          <w:i/>
          <w:color w:val="000000"/>
          <w:szCs w:val="24"/>
          <w:lang w:eastAsia="es-ES"/>
        </w:rPr>
      </w:pPr>
    </w:p>
    <w:p w:rsidR="001A603F" w:rsidRPr="001A603F" w:rsidRDefault="001A603F" w:rsidP="001A603F">
      <w:pPr>
        <w:pStyle w:val="Prrafodelista"/>
        <w:overflowPunct w:val="0"/>
        <w:autoSpaceDE w:val="0"/>
        <w:autoSpaceDN w:val="0"/>
        <w:adjustRightInd w:val="0"/>
        <w:spacing w:after="0" w:line="360" w:lineRule="auto"/>
        <w:jc w:val="both"/>
        <w:textAlignment w:val="baseline"/>
        <w:rPr>
          <w:rFonts w:ascii="Century Gothic" w:eastAsia="Calibri" w:hAnsi="Century Gothic" w:cs="Arial"/>
          <w:i/>
          <w:color w:val="000000"/>
          <w:szCs w:val="24"/>
          <w:lang w:eastAsia="es-ES"/>
        </w:rPr>
      </w:pPr>
      <w:r>
        <w:rPr>
          <w:rFonts w:ascii="Century Gothic" w:eastAsia="Calibri" w:hAnsi="Century Gothic" w:cs="Arial"/>
          <w:i/>
          <w:color w:val="000000"/>
          <w:szCs w:val="24"/>
          <w:lang w:eastAsia="es-ES"/>
        </w:rPr>
        <w:lastRenderedPageBreak/>
        <w:t>b)</w:t>
      </w:r>
      <w:r w:rsidRPr="00B51E03">
        <w:rPr>
          <w:rFonts w:ascii="Century Gothic" w:eastAsia="Calibri" w:hAnsi="Century Gothic" w:cs="Arial"/>
          <w:i/>
          <w:color w:val="000000"/>
          <w:szCs w:val="24"/>
          <w:u w:val="single"/>
          <w:lang w:eastAsia="es-ES"/>
        </w:rPr>
        <w:t xml:space="preserve">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w:t>
      </w:r>
      <w:r w:rsidRPr="001A603F">
        <w:rPr>
          <w:rFonts w:ascii="Century Gothic" w:eastAsia="Calibri" w:hAnsi="Century Gothic" w:cs="Arial"/>
          <w:i/>
          <w:color w:val="000000"/>
          <w:szCs w:val="24"/>
          <w:lang w:eastAsia="es-ES"/>
        </w:rPr>
        <w:t xml:space="preserve">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1A603F" w:rsidRPr="001A603F" w:rsidRDefault="001A603F" w:rsidP="001A603F">
      <w:pPr>
        <w:pStyle w:val="Prrafodelista"/>
        <w:rPr>
          <w:rFonts w:ascii="Century Gothic" w:eastAsia="Calibri" w:hAnsi="Century Gothic" w:cs="Arial"/>
          <w:i/>
          <w:color w:val="000000"/>
          <w:szCs w:val="24"/>
          <w:lang w:eastAsia="es-ES"/>
        </w:rPr>
      </w:pPr>
    </w:p>
    <w:p w:rsidR="001A603F" w:rsidRPr="001A603F" w:rsidRDefault="00554FE5" w:rsidP="001A603F">
      <w:pPr>
        <w:pStyle w:val="Prrafodelista"/>
        <w:overflowPunct w:val="0"/>
        <w:autoSpaceDE w:val="0"/>
        <w:autoSpaceDN w:val="0"/>
        <w:adjustRightInd w:val="0"/>
        <w:spacing w:after="0" w:line="360" w:lineRule="auto"/>
        <w:jc w:val="both"/>
        <w:textAlignment w:val="baseline"/>
        <w:rPr>
          <w:rFonts w:ascii="Century Gothic" w:eastAsia="Calibri" w:hAnsi="Century Gothic" w:cs="Arial"/>
          <w:i/>
          <w:color w:val="000000"/>
          <w:szCs w:val="24"/>
          <w:lang w:eastAsia="es-ES"/>
        </w:rPr>
      </w:pPr>
      <w:r>
        <w:rPr>
          <w:rFonts w:ascii="Century Gothic" w:eastAsia="Calibri" w:hAnsi="Century Gothic" w:cs="Arial"/>
          <w:i/>
          <w:color w:val="000000"/>
          <w:szCs w:val="24"/>
          <w:lang w:eastAsia="es-ES"/>
        </w:rPr>
        <w:t xml:space="preserve">c) </w:t>
      </w:r>
      <w:r w:rsidR="001A603F" w:rsidRPr="001A603F">
        <w:rPr>
          <w:rFonts w:ascii="Century Gothic" w:eastAsia="Calibri" w:hAnsi="Century Gothic" w:cs="Arial"/>
          <w:i/>
          <w:color w:val="000000"/>
          <w:szCs w:val="24"/>
          <w:lang w:eastAsia="es-ES"/>
        </w:rPr>
        <w:t xml:space="preserve">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1A603F" w:rsidRDefault="001A603F" w:rsidP="00CF05A6">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CF05A6" w:rsidRDefault="00CF05A6" w:rsidP="001A603F">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 xml:space="preserve">Con base en lo anterior, se puede determinar que en el presente asunto </w:t>
      </w:r>
      <w:r w:rsidR="001A603F">
        <w:rPr>
          <w:rFonts w:ascii="Century Gothic" w:eastAsia="Calibri" w:hAnsi="Century Gothic" w:cs="Arial"/>
          <w:color w:val="000000"/>
          <w:sz w:val="24"/>
          <w:szCs w:val="24"/>
          <w:lang w:eastAsia="es-ES"/>
        </w:rPr>
        <w:t xml:space="preserve">como lo indicó el Ministerio Publico en el acta de audiencia de conciliación extrajudicial, </w:t>
      </w:r>
      <w:r>
        <w:rPr>
          <w:rFonts w:ascii="Century Gothic" w:eastAsia="Calibri" w:hAnsi="Century Gothic" w:cs="Arial"/>
          <w:color w:val="000000"/>
          <w:sz w:val="24"/>
          <w:szCs w:val="24"/>
          <w:lang w:eastAsia="es-ES"/>
        </w:rPr>
        <w:t xml:space="preserve">estamos ante </w:t>
      </w:r>
      <w:r w:rsidR="001A603F">
        <w:rPr>
          <w:rFonts w:ascii="Century Gothic" w:eastAsia="Calibri" w:hAnsi="Century Gothic" w:cs="Arial"/>
          <w:color w:val="000000"/>
          <w:sz w:val="24"/>
          <w:szCs w:val="24"/>
          <w:lang w:eastAsia="es-ES"/>
        </w:rPr>
        <w:t>en segundo supuesto establecido por el</w:t>
      </w:r>
      <w:r>
        <w:rPr>
          <w:rFonts w:ascii="Century Gothic" w:eastAsia="Calibri" w:hAnsi="Century Gothic" w:cs="Arial"/>
          <w:color w:val="000000"/>
          <w:sz w:val="24"/>
          <w:szCs w:val="24"/>
          <w:lang w:eastAsia="es-ES"/>
        </w:rPr>
        <w:t xml:space="preserve"> Consejo de Estado en la Sentencia de Unificación</w:t>
      </w:r>
      <w:r w:rsidR="001A603F">
        <w:rPr>
          <w:rFonts w:ascii="Century Gothic" w:eastAsia="Calibri" w:hAnsi="Century Gothic" w:cs="Arial"/>
          <w:color w:val="000000"/>
          <w:sz w:val="24"/>
          <w:szCs w:val="24"/>
          <w:lang w:eastAsia="es-ES"/>
        </w:rPr>
        <w:t xml:space="preserve">, toda vez que, los servicios que fueron prestados sin el respaldo contractual iban dirigidos a evitar amenazas o lesiones en los servicios de salud que presta el </w:t>
      </w:r>
      <w:r w:rsidR="001A603F" w:rsidRPr="001A603F">
        <w:rPr>
          <w:rFonts w:ascii="Century Gothic" w:eastAsia="Calibri" w:hAnsi="Century Gothic" w:cs="Arial"/>
          <w:color w:val="000000"/>
          <w:sz w:val="24"/>
          <w:szCs w:val="24"/>
          <w:lang w:eastAsia="es-ES"/>
        </w:rPr>
        <w:t>Hospital Mario Gaitán Yanguas De Soacha E.S.E</w:t>
      </w:r>
      <w:r w:rsidR="001A603F">
        <w:rPr>
          <w:rFonts w:ascii="Century Gothic" w:eastAsia="Calibri" w:hAnsi="Century Gothic" w:cs="Arial"/>
          <w:color w:val="000000"/>
          <w:sz w:val="24"/>
          <w:szCs w:val="24"/>
          <w:lang w:eastAsia="es-ES"/>
        </w:rPr>
        <w:t xml:space="preserve">, en relación a la prestación de servicios de apoyo de diagnóstico médico en </w:t>
      </w:r>
      <w:r w:rsidR="001A603F" w:rsidRPr="001A603F">
        <w:rPr>
          <w:rFonts w:ascii="Century Gothic" w:eastAsia="Calibri" w:hAnsi="Century Gothic" w:cs="Arial"/>
          <w:color w:val="000000"/>
          <w:sz w:val="24"/>
          <w:szCs w:val="24"/>
          <w:lang w:eastAsia="es-ES"/>
        </w:rPr>
        <w:t>los pacientes que ingresan de urgencias generales o ginecológicas, servicios quirúrgicos y hospitalización</w:t>
      </w:r>
      <w:r w:rsidR="001E50A0">
        <w:rPr>
          <w:rFonts w:ascii="Century Gothic" w:eastAsia="Calibri" w:hAnsi="Century Gothic" w:cs="Arial"/>
          <w:color w:val="000000"/>
          <w:sz w:val="24"/>
          <w:szCs w:val="24"/>
          <w:lang w:eastAsia="es-ES"/>
        </w:rPr>
        <w:t xml:space="preserve">, lo cual </w:t>
      </w:r>
      <w:r w:rsidR="00554FE5">
        <w:rPr>
          <w:rFonts w:ascii="Century Gothic" w:eastAsia="Calibri" w:hAnsi="Century Gothic" w:cs="Arial"/>
          <w:color w:val="000000"/>
          <w:sz w:val="24"/>
          <w:szCs w:val="24"/>
          <w:lang w:eastAsia="es-ES"/>
        </w:rPr>
        <w:t>está</w:t>
      </w:r>
      <w:r w:rsidR="001E50A0">
        <w:rPr>
          <w:rFonts w:ascii="Century Gothic" w:eastAsia="Calibri" w:hAnsi="Century Gothic" w:cs="Arial"/>
          <w:color w:val="000000"/>
          <w:sz w:val="24"/>
          <w:szCs w:val="24"/>
          <w:lang w:eastAsia="es-ES"/>
        </w:rPr>
        <w:t xml:space="preserve"> relacionado con el derecho a salud, vida e integridad de la persona. </w:t>
      </w:r>
    </w:p>
    <w:p w:rsidR="00330E15" w:rsidRDefault="00330E15"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p>
    <w:p w:rsidR="004F452F" w:rsidRDefault="002A6BA6" w:rsidP="00912E34">
      <w:pPr>
        <w:overflowPunct w:val="0"/>
        <w:autoSpaceDE w:val="0"/>
        <w:autoSpaceDN w:val="0"/>
        <w:adjustRightInd w:val="0"/>
        <w:spacing w:after="0" w:line="360" w:lineRule="auto"/>
        <w:jc w:val="both"/>
        <w:textAlignment w:val="baseline"/>
        <w:rPr>
          <w:rFonts w:ascii="Century Gothic" w:eastAsia="Calibri" w:hAnsi="Century Gothic" w:cs="Arial"/>
          <w:color w:val="000000"/>
          <w:sz w:val="24"/>
          <w:szCs w:val="24"/>
          <w:lang w:eastAsia="es-ES"/>
        </w:rPr>
      </w:pPr>
      <w:r>
        <w:rPr>
          <w:rFonts w:ascii="Century Gothic" w:eastAsia="Calibri" w:hAnsi="Century Gothic" w:cs="Arial"/>
          <w:color w:val="000000"/>
          <w:sz w:val="24"/>
          <w:szCs w:val="24"/>
          <w:lang w:eastAsia="es-ES"/>
        </w:rPr>
        <w:t>Adicionalmente, se cumple con los elementos generales del enriquecimiento sin justa causa,</w:t>
      </w:r>
      <w:r w:rsidR="00C045E4">
        <w:rPr>
          <w:rFonts w:ascii="Century Gothic" w:eastAsia="Calibri" w:hAnsi="Century Gothic" w:cs="Arial"/>
          <w:color w:val="000000"/>
          <w:sz w:val="24"/>
          <w:szCs w:val="24"/>
          <w:lang w:eastAsia="es-ES"/>
        </w:rPr>
        <w:t xml:space="preserve"> como fuente de las obligaciones,</w:t>
      </w:r>
      <w:r>
        <w:rPr>
          <w:rFonts w:ascii="Century Gothic" w:eastAsia="Calibri" w:hAnsi="Century Gothic" w:cs="Arial"/>
          <w:color w:val="000000"/>
          <w:sz w:val="24"/>
          <w:szCs w:val="24"/>
          <w:lang w:eastAsia="es-ES"/>
        </w:rPr>
        <w:t xml:space="preserve"> esto es, 1) </w:t>
      </w:r>
      <w:r w:rsidR="00C045E4" w:rsidRPr="00C045E4">
        <w:rPr>
          <w:rFonts w:ascii="Century Gothic" w:eastAsia="Calibri" w:hAnsi="Century Gothic" w:cs="Arial"/>
          <w:color w:val="000000"/>
          <w:sz w:val="24"/>
          <w:szCs w:val="24"/>
          <w:lang w:eastAsia="es-ES"/>
        </w:rPr>
        <w:t xml:space="preserve">la existencia de un enriquecimiento, es decir, que el obligado haya obtenido una ventaja o beneficio patrimonial ─ventaja positiva─ o, que su patrimonio </w:t>
      </w:r>
      <w:r w:rsidR="00C045E4" w:rsidRPr="00C045E4">
        <w:rPr>
          <w:rFonts w:ascii="Century Gothic" w:eastAsia="Calibri" w:hAnsi="Century Gothic" w:cs="Arial"/>
          <w:color w:val="000000"/>
          <w:sz w:val="24"/>
          <w:szCs w:val="24"/>
          <w:lang w:eastAsia="es-ES"/>
        </w:rPr>
        <w:lastRenderedPageBreak/>
        <w:t>no haya sufrido detrimento alguno ─ventaja negativa</w:t>
      </w:r>
      <w:r w:rsidR="00C045E4">
        <w:rPr>
          <w:rFonts w:ascii="Century Gothic" w:eastAsia="Calibri" w:hAnsi="Century Gothic" w:cs="Arial"/>
          <w:color w:val="000000"/>
          <w:sz w:val="24"/>
          <w:szCs w:val="24"/>
          <w:lang w:eastAsia="es-ES"/>
        </w:rPr>
        <w:t xml:space="preserve">, en caso, el Hospital obtuvo </w:t>
      </w:r>
      <w:r w:rsidR="004F452F">
        <w:rPr>
          <w:rFonts w:ascii="Century Gothic" w:eastAsia="Calibri" w:hAnsi="Century Gothic" w:cs="Arial"/>
          <w:color w:val="000000"/>
          <w:sz w:val="24"/>
          <w:szCs w:val="24"/>
          <w:lang w:eastAsia="es-ES"/>
        </w:rPr>
        <w:t>la</w:t>
      </w:r>
      <w:r w:rsidR="00C045E4">
        <w:rPr>
          <w:rFonts w:ascii="Century Gothic" w:eastAsia="Calibri" w:hAnsi="Century Gothic" w:cs="Arial"/>
          <w:color w:val="000000"/>
          <w:sz w:val="24"/>
          <w:szCs w:val="24"/>
          <w:lang w:eastAsia="es-ES"/>
        </w:rPr>
        <w:t xml:space="preserve"> prestación de </w:t>
      </w:r>
      <w:r w:rsidR="004F452F">
        <w:rPr>
          <w:rFonts w:ascii="Century Gothic" w:eastAsia="Calibri" w:hAnsi="Century Gothic" w:cs="Arial"/>
          <w:color w:val="000000"/>
          <w:sz w:val="24"/>
          <w:szCs w:val="24"/>
          <w:lang w:eastAsia="es-ES"/>
        </w:rPr>
        <w:t>los</w:t>
      </w:r>
      <w:r w:rsidR="00C045E4">
        <w:rPr>
          <w:rFonts w:ascii="Century Gothic" w:eastAsia="Calibri" w:hAnsi="Century Gothic" w:cs="Arial"/>
          <w:color w:val="000000"/>
          <w:sz w:val="24"/>
          <w:szCs w:val="24"/>
          <w:lang w:eastAsia="es-ES"/>
        </w:rPr>
        <w:t xml:space="preserve"> servicios </w:t>
      </w:r>
      <w:r w:rsidR="004F452F">
        <w:rPr>
          <w:rFonts w:ascii="Century Gothic" w:eastAsia="Calibri" w:hAnsi="Century Gothic" w:cs="Arial"/>
          <w:color w:val="000000"/>
          <w:sz w:val="24"/>
          <w:szCs w:val="24"/>
          <w:lang w:eastAsia="es-ES"/>
        </w:rPr>
        <w:t xml:space="preserve">médicos </w:t>
      </w:r>
      <w:r w:rsidR="00C045E4">
        <w:rPr>
          <w:rFonts w:ascii="Century Gothic" w:eastAsia="Calibri" w:hAnsi="Century Gothic" w:cs="Arial"/>
          <w:color w:val="000000"/>
          <w:sz w:val="24"/>
          <w:szCs w:val="24"/>
          <w:lang w:eastAsia="es-ES"/>
        </w:rPr>
        <w:t xml:space="preserve">y pudo atender a los pacientes, 2) </w:t>
      </w:r>
      <w:r w:rsidR="00C045E4" w:rsidRPr="00C045E4">
        <w:rPr>
          <w:rFonts w:ascii="Century Gothic" w:eastAsia="Calibri" w:hAnsi="Century Gothic" w:cs="Arial"/>
          <w:color w:val="000000"/>
          <w:sz w:val="24"/>
          <w:szCs w:val="24"/>
          <w:lang w:eastAsia="es-ES"/>
        </w:rPr>
        <w:t>la ventaja obtenida por el enriquecido se</w:t>
      </w:r>
      <w:r w:rsidR="00C045E4">
        <w:rPr>
          <w:rFonts w:ascii="Century Gothic" w:eastAsia="Calibri" w:hAnsi="Century Gothic" w:cs="Arial"/>
          <w:color w:val="000000"/>
          <w:sz w:val="24"/>
          <w:szCs w:val="24"/>
          <w:lang w:eastAsia="es-ES"/>
        </w:rPr>
        <w:t>a</w:t>
      </w:r>
      <w:r w:rsidR="00C045E4" w:rsidRPr="00C045E4">
        <w:rPr>
          <w:rFonts w:ascii="Century Gothic" w:eastAsia="Calibri" w:hAnsi="Century Gothic" w:cs="Arial"/>
          <w:color w:val="000000"/>
          <w:sz w:val="24"/>
          <w:szCs w:val="24"/>
          <w:lang w:eastAsia="es-ES"/>
        </w:rPr>
        <w:t xml:space="preserve"> una detrimento patrimonial para el empobrecido</w:t>
      </w:r>
      <w:r w:rsidR="00C045E4">
        <w:rPr>
          <w:rFonts w:ascii="Century Gothic" w:eastAsia="Calibri" w:hAnsi="Century Gothic" w:cs="Arial"/>
          <w:color w:val="000000"/>
          <w:sz w:val="24"/>
          <w:szCs w:val="24"/>
          <w:lang w:eastAsia="es-ES"/>
        </w:rPr>
        <w:t>, el contratista prestó los servicio, según consta en la</w:t>
      </w:r>
      <w:r w:rsidR="004F452F">
        <w:rPr>
          <w:rFonts w:ascii="Century Gothic" w:eastAsia="Calibri" w:hAnsi="Century Gothic" w:cs="Arial"/>
          <w:color w:val="000000"/>
          <w:sz w:val="24"/>
          <w:szCs w:val="24"/>
          <w:lang w:eastAsia="es-ES"/>
        </w:rPr>
        <w:t>s</w:t>
      </w:r>
      <w:r w:rsidR="00C045E4">
        <w:rPr>
          <w:rFonts w:ascii="Century Gothic" w:eastAsia="Calibri" w:hAnsi="Century Gothic" w:cs="Arial"/>
          <w:color w:val="000000"/>
          <w:sz w:val="24"/>
          <w:szCs w:val="24"/>
          <w:lang w:eastAsia="es-ES"/>
        </w:rPr>
        <w:t xml:space="preserve"> facturas y en el informe que rindió el Hospital</w:t>
      </w:r>
      <w:r w:rsidR="004F452F">
        <w:rPr>
          <w:rFonts w:ascii="Century Gothic" w:eastAsia="Calibri" w:hAnsi="Century Gothic" w:cs="Arial"/>
          <w:color w:val="000000"/>
          <w:sz w:val="24"/>
          <w:szCs w:val="24"/>
          <w:lang w:eastAsia="es-ES"/>
        </w:rPr>
        <w:t>, sin que a la fecha se le haya pagado, dada la falta de presupuesto de la entidad</w:t>
      </w:r>
      <w:r w:rsidR="00C045E4">
        <w:rPr>
          <w:rFonts w:ascii="Century Gothic" w:eastAsia="Calibri" w:hAnsi="Century Gothic" w:cs="Arial"/>
          <w:color w:val="000000"/>
          <w:sz w:val="24"/>
          <w:szCs w:val="24"/>
          <w:lang w:eastAsia="es-ES"/>
        </w:rPr>
        <w:t xml:space="preserve">, y 3) </w:t>
      </w:r>
      <w:r w:rsidR="00C045E4" w:rsidRPr="00C045E4">
        <w:rPr>
          <w:rFonts w:ascii="Century Gothic" w:eastAsia="Calibri" w:hAnsi="Century Gothic" w:cs="Arial"/>
          <w:color w:val="000000"/>
          <w:sz w:val="24"/>
          <w:szCs w:val="24"/>
          <w:lang w:eastAsia="es-ES"/>
        </w:rPr>
        <w:t>la ausencia de causa jurídica, que justifique el empobrecimiento sufrido por el afectado como consecuencia del enriquecimiento del beneficiado, es decir, que sea injusto</w:t>
      </w:r>
      <w:r w:rsidR="004F452F">
        <w:rPr>
          <w:rFonts w:ascii="Century Gothic" w:eastAsia="Calibri" w:hAnsi="Century Gothic" w:cs="Arial"/>
          <w:color w:val="000000"/>
          <w:sz w:val="24"/>
          <w:szCs w:val="24"/>
          <w:lang w:eastAsia="es-ES"/>
        </w:rPr>
        <w:t>. E</w:t>
      </w:r>
      <w:r w:rsidR="00C045E4">
        <w:rPr>
          <w:rFonts w:ascii="Century Gothic" w:eastAsia="Calibri" w:hAnsi="Century Gothic" w:cs="Arial"/>
          <w:color w:val="000000"/>
          <w:sz w:val="24"/>
          <w:szCs w:val="24"/>
          <w:lang w:eastAsia="es-ES"/>
        </w:rPr>
        <w:t>n el presente caso, no hay</w:t>
      </w:r>
      <w:r w:rsidR="004F452F">
        <w:rPr>
          <w:rFonts w:ascii="Century Gothic" w:eastAsia="Calibri" w:hAnsi="Century Gothic" w:cs="Arial"/>
          <w:color w:val="000000"/>
          <w:sz w:val="24"/>
          <w:szCs w:val="24"/>
          <w:lang w:eastAsia="es-ES"/>
        </w:rPr>
        <w:t xml:space="preserve"> causa jurídica, pues no existe </w:t>
      </w:r>
      <w:r w:rsidR="00C045E4">
        <w:rPr>
          <w:rFonts w:ascii="Century Gothic" w:eastAsia="Calibri" w:hAnsi="Century Gothic" w:cs="Arial"/>
          <w:color w:val="000000"/>
          <w:sz w:val="24"/>
          <w:szCs w:val="24"/>
          <w:lang w:eastAsia="es-ES"/>
        </w:rPr>
        <w:t xml:space="preserve">respaldo contractual, por los valores </w:t>
      </w:r>
      <w:r w:rsidR="004F452F">
        <w:rPr>
          <w:rFonts w:ascii="Century Gothic" w:eastAsia="Calibri" w:hAnsi="Century Gothic" w:cs="Arial"/>
          <w:color w:val="000000"/>
          <w:sz w:val="24"/>
          <w:szCs w:val="24"/>
          <w:lang w:eastAsia="es-ES"/>
        </w:rPr>
        <w:t>adeudados; si bien celebró un contrato entre las partes, el mismo se quedó sin presupuesto</w:t>
      </w:r>
      <w:r w:rsidR="00554FE5">
        <w:rPr>
          <w:rFonts w:ascii="Century Gothic" w:eastAsia="Calibri" w:hAnsi="Century Gothic" w:cs="Arial"/>
          <w:color w:val="000000"/>
          <w:sz w:val="24"/>
          <w:szCs w:val="24"/>
          <w:lang w:eastAsia="es-ES"/>
        </w:rPr>
        <w:t>,</w:t>
      </w:r>
      <w:r w:rsidR="004F452F">
        <w:rPr>
          <w:rFonts w:ascii="Century Gothic" w:eastAsia="Calibri" w:hAnsi="Century Gothic" w:cs="Arial"/>
          <w:color w:val="000000"/>
          <w:sz w:val="24"/>
          <w:szCs w:val="24"/>
          <w:lang w:eastAsia="es-ES"/>
        </w:rPr>
        <w:t xml:space="preserve"> a pesar de su </w:t>
      </w:r>
      <w:proofErr w:type="spellStart"/>
      <w:r w:rsidR="00554FE5">
        <w:rPr>
          <w:rFonts w:ascii="Century Gothic" w:eastAsia="Calibri" w:hAnsi="Century Gothic" w:cs="Arial"/>
          <w:color w:val="000000"/>
          <w:sz w:val="24"/>
          <w:szCs w:val="24"/>
          <w:lang w:eastAsia="es-ES"/>
        </w:rPr>
        <w:t>adición</w:t>
      </w:r>
      <w:proofErr w:type="spellEnd"/>
      <w:r w:rsidR="004F452F">
        <w:rPr>
          <w:rFonts w:ascii="Century Gothic" w:eastAsia="Calibri" w:hAnsi="Century Gothic" w:cs="Arial"/>
          <w:color w:val="000000"/>
          <w:sz w:val="24"/>
          <w:szCs w:val="24"/>
          <w:lang w:eastAsia="es-ES"/>
        </w:rPr>
        <w:t xml:space="preserve">, por lo que, el valor adeudado empobrece al convocante de manera injusta. </w:t>
      </w:r>
    </w:p>
    <w:p w:rsidR="00996916" w:rsidRPr="00554FE5" w:rsidRDefault="00996916" w:rsidP="004F452F">
      <w:pPr>
        <w:tabs>
          <w:tab w:val="left" w:pos="284"/>
        </w:tabs>
        <w:overflowPunct w:val="0"/>
        <w:autoSpaceDE w:val="0"/>
        <w:autoSpaceDN w:val="0"/>
        <w:adjustRightInd w:val="0"/>
        <w:spacing w:after="0" w:line="360" w:lineRule="auto"/>
        <w:jc w:val="both"/>
        <w:textAlignment w:val="baseline"/>
        <w:rPr>
          <w:rFonts w:ascii="Century Gothic" w:eastAsia="Times New Roman" w:hAnsi="Century Gothic" w:cs="Arial"/>
          <w:b/>
          <w:color w:val="000000"/>
          <w:sz w:val="8"/>
          <w:szCs w:val="24"/>
          <w:lang w:eastAsia="es-ES"/>
        </w:rPr>
      </w:pPr>
    </w:p>
    <w:p w:rsidR="00996916" w:rsidRDefault="00996916" w:rsidP="004F452F">
      <w:pPr>
        <w:tabs>
          <w:tab w:val="left" w:pos="284"/>
        </w:tabs>
        <w:overflowPunct w:val="0"/>
        <w:autoSpaceDE w:val="0"/>
        <w:autoSpaceDN w:val="0"/>
        <w:adjustRightInd w:val="0"/>
        <w:spacing w:after="0" w:line="360" w:lineRule="auto"/>
        <w:jc w:val="both"/>
        <w:textAlignment w:val="baseline"/>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 xml:space="preserve">En conclusión, </w:t>
      </w:r>
      <w:r w:rsidRPr="00996916">
        <w:rPr>
          <w:rFonts w:ascii="Century Gothic" w:eastAsia="Times New Roman" w:hAnsi="Century Gothic" w:cs="Arial"/>
          <w:color w:val="000000"/>
          <w:sz w:val="24"/>
          <w:szCs w:val="24"/>
          <w:lang w:eastAsia="es-ES"/>
        </w:rPr>
        <w:t xml:space="preserve">en el presente caso se cumple con los requisitos para aprobar la presente conciliación, ya que Hospital Mario Gaitán Yanguas De Soacha E.S.E se compromete a cancelar la suma DOSCIENTOS CUARENTA Y NUEVE MILLONES NOVECIENTOS NOVENTA Y OCHO MIL TRESCIENTOS TREINTA Y TRES </w:t>
      </w:r>
      <w:r w:rsidR="004F452F">
        <w:rPr>
          <w:rFonts w:ascii="Century Gothic" w:eastAsia="Times New Roman" w:hAnsi="Century Gothic" w:cs="Arial"/>
          <w:color w:val="000000"/>
          <w:sz w:val="24"/>
          <w:szCs w:val="24"/>
          <w:lang w:eastAsia="es-ES"/>
        </w:rPr>
        <w:t xml:space="preserve">PESOS </w:t>
      </w:r>
      <w:r w:rsidRPr="00996916">
        <w:rPr>
          <w:rFonts w:ascii="Century Gothic" w:eastAsia="Times New Roman" w:hAnsi="Century Gothic" w:cs="Arial"/>
          <w:color w:val="000000"/>
          <w:sz w:val="24"/>
          <w:szCs w:val="24"/>
          <w:lang w:eastAsia="es-ES"/>
        </w:rPr>
        <w:t>($ 249.998.333), que serán cancelados dentro de los 30 días hábiles siguientes a la radicación ante el Hospital del acta que aprueba la conciliación con la correspondiente providencia que realiza el control  de legalidad y aprueba la presente conciliación.</w:t>
      </w:r>
      <w:r>
        <w:rPr>
          <w:rFonts w:ascii="Century Gothic" w:eastAsia="Times New Roman" w:hAnsi="Century Gothic" w:cs="Arial"/>
          <w:b/>
          <w:color w:val="000000"/>
          <w:sz w:val="24"/>
          <w:szCs w:val="24"/>
          <w:lang w:eastAsia="es-ES"/>
        </w:rPr>
        <w:t xml:space="preserve"> </w:t>
      </w:r>
    </w:p>
    <w:p w:rsidR="00A60733" w:rsidRPr="00F3395A"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F3395A" w:rsidRDefault="003F4771"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3395A">
        <w:rPr>
          <w:rFonts w:ascii="Century Gothic" w:eastAsia="Times New Roman" w:hAnsi="Century Gothic" w:cs="Arial"/>
          <w:sz w:val="24"/>
          <w:szCs w:val="24"/>
          <w:lang w:eastAsia="es-ES"/>
        </w:rPr>
        <w:t>No obstante lo anterior,</w:t>
      </w:r>
      <w:r w:rsidR="00F3395A">
        <w:rPr>
          <w:rFonts w:ascii="Century Gothic" w:eastAsia="Times New Roman" w:hAnsi="Century Gothic" w:cs="Arial"/>
          <w:sz w:val="24"/>
          <w:szCs w:val="24"/>
          <w:lang w:eastAsia="es-ES"/>
        </w:rPr>
        <w:t xml:space="preserve"> </w:t>
      </w:r>
      <w:r w:rsidR="00374C7E">
        <w:rPr>
          <w:rFonts w:ascii="Century Gothic" w:eastAsia="Times New Roman" w:hAnsi="Century Gothic" w:cs="Arial"/>
          <w:sz w:val="24"/>
          <w:szCs w:val="24"/>
          <w:lang w:eastAsia="es-ES"/>
        </w:rPr>
        <w:t xml:space="preserve">el despacho </w:t>
      </w:r>
      <w:r w:rsidR="00F3395A">
        <w:rPr>
          <w:rFonts w:ascii="Century Gothic" w:eastAsia="Times New Roman" w:hAnsi="Century Gothic" w:cs="Arial"/>
          <w:sz w:val="24"/>
          <w:szCs w:val="24"/>
          <w:lang w:eastAsia="es-ES"/>
        </w:rPr>
        <w:t xml:space="preserve">considera  necesario compulsar copias a los entes de control, con el fin de que se analice y determine si la entidad incurrió en alguna falta disciplinaria o fiscal, </w:t>
      </w:r>
      <w:r w:rsidR="00374C7E">
        <w:rPr>
          <w:rFonts w:ascii="Century Gothic" w:eastAsia="Times New Roman" w:hAnsi="Century Gothic" w:cs="Arial"/>
          <w:sz w:val="24"/>
          <w:szCs w:val="24"/>
          <w:lang w:eastAsia="es-ES"/>
        </w:rPr>
        <w:t>al no proveer el monto real del contrato</w:t>
      </w:r>
      <w:r w:rsidR="00673AC9">
        <w:rPr>
          <w:rFonts w:ascii="Century Gothic" w:eastAsia="Times New Roman" w:hAnsi="Century Gothic" w:cs="Arial"/>
          <w:sz w:val="24"/>
          <w:szCs w:val="24"/>
          <w:lang w:eastAsia="es-ES"/>
        </w:rPr>
        <w:t xml:space="preserve"> antes de su celebración</w:t>
      </w:r>
      <w:r w:rsidR="00374C7E">
        <w:rPr>
          <w:rFonts w:ascii="Century Gothic" w:eastAsia="Times New Roman" w:hAnsi="Century Gothic" w:cs="Arial"/>
          <w:sz w:val="24"/>
          <w:szCs w:val="24"/>
          <w:lang w:eastAsia="es-ES"/>
        </w:rPr>
        <w:t>, es decir, no dar una debida aplicación al principio de planeación contractual.</w:t>
      </w:r>
    </w:p>
    <w:p w:rsidR="00F3395A" w:rsidRDefault="00F3395A" w:rsidP="00912E34">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2A21FB">
        <w:rPr>
          <w:rFonts w:ascii="Century Gothic" w:eastAsia="Times New Roman" w:hAnsi="Century Gothic" w:cs="Arial"/>
          <w:sz w:val="24"/>
          <w:szCs w:val="24"/>
          <w:lang w:eastAsia="es-ES"/>
        </w:rPr>
        <w:t xml:space="preserve">En mérito de lo expuesto, se </w:t>
      </w:r>
      <w:r w:rsidRPr="002A21FB">
        <w:rPr>
          <w:rFonts w:ascii="Century Gothic" w:eastAsia="Times New Roman" w:hAnsi="Century Gothic" w:cs="Arial"/>
          <w:b/>
          <w:sz w:val="24"/>
          <w:szCs w:val="24"/>
          <w:lang w:eastAsia="es-ES"/>
        </w:rPr>
        <w:t>RESUELVE:</w:t>
      </w:r>
    </w:p>
    <w:p w:rsidR="00A60733" w:rsidRPr="002A21FB" w:rsidRDefault="00A60733" w:rsidP="00912E34">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highlight w:val="yellow"/>
          <w:lang w:eastAsia="es-ES"/>
        </w:rPr>
      </w:pPr>
    </w:p>
    <w:p w:rsidR="00A60733" w:rsidRPr="002A21FB" w:rsidRDefault="00A60733" w:rsidP="00912E34">
      <w:pPr>
        <w:overflowPunct w:val="0"/>
        <w:autoSpaceDE w:val="0"/>
        <w:autoSpaceDN w:val="0"/>
        <w:adjustRightInd w:val="0"/>
        <w:spacing w:after="0" w:line="360" w:lineRule="auto"/>
        <w:jc w:val="both"/>
        <w:textAlignment w:val="baseline"/>
        <w:rPr>
          <w:rFonts w:ascii="Century Gothic" w:hAnsi="Century Gothic" w:cs="Arial"/>
          <w:sz w:val="24"/>
          <w:szCs w:val="24"/>
        </w:rPr>
      </w:pPr>
      <w:r w:rsidRPr="002A21FB">
        <w:rPr>
          <w:rFonts w:ascii="Century Gothic" w:eastAsia="Times New Roman" w:hAnsi="Century Gothic" w:cs="Arial"/>
          <w:b/>
          <w:sz w:val="24"/>
          <w:szCs w:val="24"/>
          <w:lang w:eastAsia="es-ES"/>
        </w:rPr>
        <w:t>Primero:</w:t>
      </w:r>
      <w:r w:rsidR="00C33D70" w:rsidRPr="002A21FB">
        <w:rPr>
          <w:rFonts w:ascii="Century Gothic" w:eastAsia="Times New Roman" w:hAnsi="Century Gothic" w:cs="Arial"/>
          <w:b/>
          <w:sz w:val="24"/>
          <w:szCs w:val="24"/>
          <w:lang w:eastAsia="es-ES"/>
        </w:rPr>
        <w:t xml:space="preserve"> APROBAR la</w:t>
      </w:r>
      <w:r w:rsidRPr="002A21FB">
        <w:rPr>
          <w:rFonts w:ascii="Century Gothic" w:eastAsia="Times New Roman" w:hAnsi="Century Gothic" w:cs="Arial"/>
          <w:sz w:val="24"/>
          <w:szCs w:val="24"/>
          <w:lang w:eastAsia="es-ES"/>
        </w:rPr>
        <w:t xml:space="preserve"> concilia</w:t>
      </w:r>
      <w:r w:rsidR="00C33D70" w:rsidRPr="002A21FB">
        <w:rPr>
          <w:rFonts w:ascii="Century Gothic" w:eastAsia="Times New Roman" w:hAnsi="Century Gothic" w:cs="Arial"/>
          <w:sz w:val="24"/>
          <w:szCs w:val="24"/>
          <w:lang w:eastAsia="es-ES"/>
        </w:rPr>
        <w:t>ción prejudicial efectuada el 18 de noviembre de 2019</w:t>
      </w:r>
      <w:r w:rsidRPr="002A21FB">
        <w:rPr>
          <w:rFonts w:ascii="Century Gothic" w:eastAsia="Times New Roman" w:hAnsi="Century Gothic" w:cs="Arial"/>
          <w:sz w:val="24"/>
          <w:szCs w:val="24"/>
          <w:lang w:eastAsia="es-ES"/>
        </w:rPr>
        <w:t xml:space="preserve"> entre </w:t>
      </w:r>
      <w:r w:rsidR="00C33D70" w:rsidRPr="002A21FB">
        <w:rPr>
          <w:rFonts w:ascii="Century Gothic" w:eastAsia="Calibri" w:hAnsi="Century Gothic" w:cs="Arial"/>
          <w:b/>
          <w:color w:val="000000"/>
          <w:sz w:val="24"/>
          <w:szCs w:val="24"/>
          <w:lang w:eastAsia="es-ES"/>
        </w:rPr>
        <w:t>UNIÓN TEMPORAL MARIO GAITÁN</w:t>
      </w:r>
      <w:r w:rsidR="00C33D70" w:rsidRPr="002A21FB">
        <w:rPr>
          <w:rFonts w:ascii="Century Gothic" w:eastAsia="Calibri" w:hAnsi="Century Gothic" w:cs="Arial"/>
          <w:color w:val="000000"/>
          <w:sz w:val="24"/>
          <w:szCs w:val="24"/>
          <w:lang w:eastAsia="es-ES"/>
        </w:rPr>
        <w:t xml:space="preserve"> </w:t>
      </w:r>
      <w:r w:rsidRPr="002A21FB">
        <w:rPr>
          <w:rFonts w:ascii="Century Gothic" w:eastAsia="Calibri" w:hAnsi="Century Gothic" w:cs="Arial"/>
          <w:color w:val="000000"/>
          <w:sz w:val="24"/>
          <w:szCs w:val="24"/>
          <w:lang w:eastAsia="es-ES"/>
        </w:rPr>
        <w:t xml:space="preserve">con el </w:t>
      </w:r>
      <w:r w:rsidR="00C33D70" w:rsidRPr="002A21FB">
        <w:rPr>
          <w:rFonts w:ascii="Century Gothic" w:eastAsia="Calibri" w:hAnsi="Century Gothic" w:cs="Arial"/>
          <w:b/>
          <w:color w:val="000000"/>
          <w:sz w:val="24"/>
          <w:szCs w:val="24"/>
          <w:lang w:eastAsia="es-ES"/>
        </w:rPr>
        <w:t>HOSPITAL MARIO GAITÁN YANGUAS DE SOACHA E.S.E</w:t>
      </w:r>
      <w:r w:rsidRPr="002A21FB">
        <w:rPr>
          <w:rFonts w:ascii="Century Gothic" w:eastAsia="Times New Roman" w:hAnsi="Century Gothic" w:cs="Arial"/>
          <w:sz w:val="24"/>
          <w:szCs w:val="24"/>
          <w:lang w:eastAsia="es-ES"/>
        </w:rPr>
        <w:t xml:space="preserve">, ante la Procuraduría </w:t>
      </w:r>
      <w:r w:rsidR="00C33D70" w:rsidRPr="002A21FB">
        <w:rPr>
          <w:rFonts w:ascii="Century Gothic" w:eastAsia="Times New Roman" w:hAnsi="Century Gothic" w:cs="Arial"/>
          <w:sz w:val="24"/>
          <w:szCs w:val="24"/>
          <w:lang w:eastAsia="es-ES"/>
        </w:rPr>
        <w:t xml:space="preserve">79 </w:t>
      </w:r>
      <w:r w:rsidRPr="002A21FB">
        <w:rPr>
          <w:rFonts w:ascii="Century Gothic" w:eastAsia="Times New Roman" w:hAnsi="Century Gothic" w:cs="Arial"/>
          <w:sz w:val="24"/>
          <w:szCs w:val="24"/>
          <w:lang w:eastAsia="es-ES"/>
        </w:rPr>
        <w:t>Judicial I para asuntos administrativos, de conformidad con lo anotado en la parte motiva de la presente providencia.</w:t>
      </w:r>
    </w:p>
    <w:p w:rsidR="00A60733" w:rsidRPr="002A21FB" w:rsidRDefault="00A60733" w:rsidP="00912E34">
      <w:pPr>
        <w:tabs>
          <w:tab w:val="left" w:pos="7365"/>
        </w:tabs>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rsidR="00A60733" w:rsidRDefault="00A60733" w:rsidP="00912E34">
      <w:pPr>
        <w:tabs>
          <w:tab w:val="left" w:pos="284"/>
        </w:tabs>
        <w:overflowPunct w:val="0"/>
        <w:autoSpaceDE w:val="0"/>
        <w:autoSpaceDN w:val="0"/>
        <w:adjustRightInd w:val="0"/>
        <w:spacing w:after="0" w:line="360" w:lineRule="auto"/>
        <w:jc w:val="both"/>
        <w:rPr>
          <w:rFonts w:ascii="Century Gothic" w:hAnsi="Century Gothic" w:cs="Arial"/>
          <w:sz w:val="24"/>
          <w:szCs w:val="24"/>
        </w:rPr>
      </w:pPr>
      <w:r w:rsidRPr="002A21FB">
        <w:rPr>
          <w:rFonts w:ascii="Century Gothic" w:eastAsia="Times New Roman" w:hAnsi="Century Gothic" w:cs="Arial"/>
          <w:b/>
          <w:sz w:val="24"/>
          <w:szCs w:val="24"/>
          <w:lang w:eastAsia="es-ES"/>
        </w:rPr>
        <w:t>Segundo:</w:t>
      </w:r>
      <w:r w:rsidR="00C33D70" w:rsidRPr="002A21FB">
        <w:rPr>
          <w:rFonts w:ascii="Century Gothic" w:eastAsia="Times New Roman" w:hAnsi="Century Gothic" w:cs="Arial"/>
          <w:b/>
          <w:sz w:val="24"/>
          <w:szCs w:val="24"/>
          <w:lang w:eastAsia="es-ES"/>
        </w:rPr>
        <w:t xml:space="preserve"> EXPEDIR</w:t>
      </w:r>
      <w:r w:rsidRPr="002A21FB">
        <w:rPr>
          <w:rFonts w:ascii="Century Gothic" w:hAnsi="Century Gothic" w:cs="Arial"/>
          <w:sz w:val="24"/>
          <w:szCs w:val="24"/>
        </w:rPr>
        <w:t xml:space="preserve"> copias de esta providencia y del acta de conciliación respectiva, con destino a las partes haciendo precisión que resultan idóneas para hacer efectivos los derechos reconocidos (artículo 114 del C.G.P).</w:t>
      </w:r>
    </w:p>
    <w:p w:rsidR="008C5EBA" w:rsidRDefault="008C5EBA" w:rsidP="00912E34">
      <w:pPr>
        <w:tabs>
          <w:tab w:val="left" w:pos="284"/>
        </w:tabs>
        <w:overflowPunct w:val="0"/>
        <w:autoSpaceDE w:val="0"/>
        <w:autoSpaceDN w:val="0"/>
        <w:adjustRightInd w:val="0"/>
        <w:spacing w:after="0" w:line="360" w:lineRule="auto"/>
        <w:jc w:val="both"/>
        <w:rPr>
          <w:rFonts w:ascii="Century Gothic" w:hAnsi="Century Gothic" w:cs="Arial"/>
          <w:sz w:val="24"/>
          <w:szCs w:val="24"/>
        </w:rPr>
      </w:pPr>
    </w:p>
    <w:p w:rsidR="00374C7E" w:rsidRPr="009F4E84" w:rsidRDefault="008C5EBA" w:rsidP="00374C7E">
      <w:pPr>
        <w:spacing w:after="0" w:line="360" w:lineRule="auto"/>
        <w:jc w:val="both"/>
        <w:rPr>
          <w:rFonts w:ascii="Century Gothic" w:hAnsi="Century Gothic" w:cs="Arial"/>
          <w:b/>
          <w:sz w:val="24"/>
          <w:szCs w:val="24"/>
        </w:rPr>
      </w:pPr>
      <w:r w:rsidRPr="009F4E84">
        <w:rPr>
          <w:rFonts w:ascii="Century Gothic" w:hAnsi="Century Gothic" w:cs="Arial"/>
          <w:b/>
          <w:sz w:val="24"/>
          <w:szCs w:val="24"/>
        </w:rPr>
        <w:t>Tercero:</w:t>
      </w:r>
      <w:r w:rsidR="00374C7E" w:rsidRPr="009F4E84">
        <w:rPr>
          <w:rFonts w:ascii="Century Gothic" w:hAnsi="Century Gothic" w:cs="Arial"/>
          <w:b/>
          <w:sz w:val="24"/>
          <w:szCs w:val="24"/>
        </w:rPr>
        <w:t xml:space="preserve"> COMPULSAR </w:t>
      </w:r>
      <w:r w:rsidR="00374C7E" w:rsidRPr="009F4E84">
        <w:rPr>
          <w:rFonts w:ascii="Century Gothic" w:eastAsia="Times New Roman" w:hAnsi="Century Gothic" w:cs="Arial"/>
          <w:bCs/>
          <w:sz w:val="24"/>
          <w:szCs w:val="24"/>
          <w:lang w:eastAsia="es-ES"/>
        </w:rPr>
        <w:t>copia de todas las providencias proferidas dentro del expediente de la referencia a</w:t>
      </w:r>
      <w:r w:rsidR="00374C7E" w:rsidRPr="009F4E84">
        <w:rPr>
          <w:rFonts w:ascii="Century Gothic" w:hAnsi="Century Gothic" w:cs="Arial"/>
          <w:sz w:val="24"/>
          <w:szCs w:val="24"/>
        </w:rPr>
        <w:t xml:space="preserve"> la Contraloría General de la República y a la Procuraduría General de la Nación, para que se inicie la investigación correspondiente.</w:t>
      </w:r>
    </w:p>
    <w:p w:rsidR="00374C7E" w:rsidRDefault="00374C7E" w:rsidP="008C5EBA">
      <w:pPr>
        <w:spacing w:after="0" w:line="360" w:lineRule="auto"/>
        <w:jc w:val="both"/>
        <w:rPr>
          <w:rFonts w:ascii="Century Gothic" w:hAnsi="Century Gothic" w:cs="Arial"/>
          <w:b/>
          <w:sz w:val="24"/>
          <w:szCs w:val="24"/>
        </w:rPr>
      </w:pPr>
    </w:p>
    <w:p w:rsidR="008C5EBA" w:rsidRDefault="00374C7E" w:rsidP="008C5EBA">
      <w:pPr>
        <w:spacing w:after="0" w:line="360" w:lineRule="auto"/>
        <w:jc w:val="both"/>
        <w:rPr>
          <w:rFonts w:ascii="Century Gothic" w:hAnsi="Century Gothic" w:cs="Arial"/>
          <w:sz w:val="24"/>
          <w:szCs w:val="24"/>
        </w:rPr>
      </w:pPr>
      <w:r>
        <w:rPr>
          <w:rFonts w:ascii="Century Gothic" w:hAnsi="Century Gothic" w:cs="Arial"/>
          <w:b/>
          <w:sz w:val="24"/>
          <w:szCs w:val="24"/>
        </w:rPr>
        <w:t>Cuarto</w:t>
      </w:r>
      <w:r w:rsidR="009F4E84">
        <w:rPr>
          <w:rFonts w:ascii="Century Gothic" w:hAnsi="Century Gothic" w:cs="Arial"/>
          <w:b/>
          <w:sz w:val="24"/>
          <w:szCs w:val="24"/>
        </w:rPr>
        <w:t xml:space="preserve">: </w:t>
      </w:r>
      <w:r w:rsidR="009F4E84" w:rsidRPr="009F4E84">
        <w:rPr>
          <w:rFonts w:ascii="Century Gothic" w:hAnsi="Century Gothic" w:cs="Arial"/>
          <w:sz w:val="24"/>
          <w:szCs w:val="24"/>
        </w:rPr>
        <w:t>La</w:t>
      </w:r>
      <w:r w:rsidR="008C5EBA" w:rsidRPr="009921AB">
        <w:rPr>
          <w:rFonts w:ascii="Century Gothic" w:hAnsi="Century Gothic" w:cs="Arial"/>
          <w:sz w:val="24"/>
          <w:szCs w:val="24"/>
        </w:rPr>
        <w:t xml:space="preserve"> presente providencia se notif</w:t>
      </w:r>
      <w:r w:rsidR="008C5EBA">
        <w:rPr>
          <w:rFonts w:ascii="Century Gothic" w:hAnsi="Century Gothic" w:cs="Arial"/>
          <w:sz w:val="24"/>
          <w:szCs w:val="24"/>
        </w:rPr>
        <w:t xml:space="preserve">icará una vez el Consejo Superior de la Judicatura levante la suspensión de términos judiciales. </w:t>
      </w:r>
    </w:p>
    <w:p w:rsidR="008C5EBA" w:rsidRDefault="008C5EBA" w:rsidP="00912E34">
      <w:pPr>
        <w:spacing w:line="360" w:lineRule="auto"/>
        <w:jc w:val="both"/>
        <w:rPr>
          <w:rFonts w:ascii="Century Gothic" w:eastAsia="Times New Roman" w:hAnsi="Century Gothic" w:cs="Arial"/>
          <w:b/>
          <w:bCs/>
          <w:sz w:val="24"/>
          <w:szCs w:val="24"/>
          <w:lang w:eastAsia="es-ES"/>
        </w:rPr>
      </w:pPr>
    </w:p>
    <w:p w:rsidR="00A60733" w:rsidRDefault="00A60733" w:rsidP="00912E34">
      <w:pPr>
        <w:spacing w:line="360" w:lineRule="auto"/>
        <w:jc w:val="both"/>
        <w:rPr>
          <w:rFonts w:ascii="Century Gothic" w:eastAsia="Times New Roman" w:hAnsi="Century Gothic" w:cs="Arial"/>
          <w:b/>
          <w:bCs/>
          <w:sz w:val="24"/>
          <w:szCs w:val="24"/>
          <w:lang w:eastAsia="es-ES"/>
        </w:rPr>
      </w:pPr>
      <w:r w:rsidRPr="002A21FB">
        <w:rPr>
          <w:rFonts w:ascii="Century Gothic" w:eastAsia="Times New Roman" w:hAnsi="Century Gothic" w:cs="Arial"/>
          <w:b/>
          <w:bCs/>
          <w:sz w:val="24"/>
          <w:szCs w:val="24"/>
          <w:lang w:eastAsia="es-ES"/>
        </w:rPr>
        <w:t>NOTIFÍQUESE Y CÚMPLASE,</w:t>
      </w:r>
    </w:p>
    <w:p w:rsidR="008C5EBA" w:rsidRPr="002A21FB" w:rsidRDefault="008C5EBA" w:rsidP="00912E34">
      <w:pPr>
        <w:spacing w:line="360" w:lineRule="auto"/>
        <w:jc w:val="both"/>
        <w:rPr>
          <w:rFonts w:ascii="Century Gothic" w:eastAsia="Times New Roman" w:hAnsi="Century Gothic" w:cs="Arial"/>
          <w:b/>
          <w:bCs/>
          <w:sz w:val="24"/>
          <w:szCs w:val="24"/>
          <w:lang w:eastAsia="es-ES"/>
        </w:rPr>
      </w:pPr>
    </w:p>
    <w:p w:rsidR="00C33D70" w:rsidRPr="002A21FB" w:rsidRDefault="00C33D70" w:rsidP="00912E34">
      <w:pPr>
        <w:spacing w:after="0" w:line="360" w:lineRule="auto"/>
        <w:jc w:val="center"/>
        <w:rPr>
          <w:rFonts w:ascii="Century Gothic" w:hAnsi="Century Gothic" w:cs="Arial"/>
          <w:b/>
          <w:bCs/>
          <w:sz w:val="24"/>
          <w:szCs w:val="24"/>
        </w:rPr>
      </w:pPr>
      <w:r w:rsidRPr="002A21FB">
        <w:rPr>
          <w:rFonts w:ascii="Century Gothic" w:hAnsi="Century Gothic" w:cs="Arial"/>
          <w:b/>
          <w:bCs/>
          <w:sz w:val="24"/>
          <w:szCs w:val="24"/>
        </w:rPr>
        <w:t>LUIS GABRIEL AHUMADA PERDOMO</w:t>
      </w:r>
    </w:p>
    <w:p w:rsidR="00C33D70" w:rsidRPr="002A21FB" w:rsidRDefault="00C33D70" w:rsidP="00912E34">
      <w:pPr>
        <w:spacing w:after="0" w:line="360" w:lineRule="auto"/>
        <w:jc w:val="center"/>
        <w:rPr>
          <w:rFonts w:ascii="Century Gothic" w:hAnsi="Century Gothic" w:cs="Arial"/>
          <w:noProof/>
          <w:sz w:val="24"/>
          <w:szCs w:val="24"/>
          <w:lang w:val="es-MX"/>
        </w:rPr>
      </w:pPr>
      <w:r w:rsidRPr="002A21FB">
        <w:rPr>
          <w:rFonts w:ascii="Century Gothic" w:hAnsi="Century Gothic" w:cs="Arial"/>
          <w:noProof/>
          <w:sz w:val="24"/>
          <w:szCs w:val="24"/>
          <w:lang w:val="es-MX"/>
        </w:rPr>
        <w:t>Juez</w:t>
      </w:r>
    </w:p>
    <w:p w:rsidR="00C33D70" w:rsidRPr="008D6B5E" w:rsidRDefault="00C33D70" w:rsidP="00912E34">
      <w:pPr>
        <w:spacing w:line="360" w:lineRule="auto"/>
        <w:jc w:val="both"/>
        <w:rPr>
          <w:rFonts w:ascii="Century Gothic" w:hAnsi="Century Gothic" w:cs="Arial"/>
          <w:sz w:val="16"/>
          <w:szCs w:val="24"/>
        </w:rPr>
      </w:pPr>
      <w:r w:rsidRPr="008D6B5E">
        <w:rPr>
          <w:rFonts w:ascii="Century Gothic" w:hAnsi="Century Gothic" w:cs="Arial"/>
          <w:sz w:val="16"/>
          <w:szCs w:val="24"/>
        </w:rPr>
        <w:t>JBR</w:t>
      </w:r>
    </w:p>
    <w:tbl>
      <w:tblPr>
        <w:tblStyle w:val="Tablaconcuadrcula"/>
        <w:tblW w:w="0" w:type="auto"/>
        <w:tblInd w:w="1668" w:type="dxa"/>
        <w:tblBorders>
          <w:insideH w:val="none" w:sz="0" w:space="0" w:color="auto"/>
          <w:insideV w:val="none" w:sz="0" w:space="0" w:color="auto"/>
        </w:tblBorders>
        <w:tblLook w:val="04A0" w:firstRow="1" w:lastRow="0" w:firstColumn="1" w:lastColumn="0" w:noHBand="0" w:noVBand="1"/>
      </w:tblPr>
      <w:tblGrid>
        <w:gridCol w:w="5528"/>
      </w:tblGrid>
      <w:tr w:rsidR="00C33D70" w:rsidRPr="002A21FB" w:rsidTr="004916AD">
        <w:trPr>
          <w:trHeight w:val="1342"/>
        </w:trPr>
        <w:tc>
          <w:tcPr>
            <w:tcW w:w="5528" w:type="dxa"/>
            <w:tcBorders>
              <w:top w:val="single" w:sz="4" w:space="0" w:color="auto"/>
              <w:left w:val="single" w:sz="4" w:space="0" w:color="auto"/>
              <w:bottom w:val="single" w:sz="4" w:space="0" w:color="auto"/>
              <w:right w:val="single" w:sz="4" w:space="0" w:color="auto"/>
            </w:tcBorders>
          </w:tcPr>
          <w:p w:rsidR="00C33D70" w:rsidRPr="008D6B5E" w:rsidRDefault="00C33D70" w:rsidP="00912E34">
            <w:pPr>
              <w:spacing w:line="360" w:lineRule="auto"/>
              <w:jc w:val="center"/>
              <w:rPr>
                <w:rFonts w:ascii="Century Gothic" w:hAnsi="Century Gothic" w:cs="Arial"/>
                <w:b/>
                <w:sz w:val="18"/>
                <w:szCs w:val="24"/>
              </w:rPr>
            </w:pPr>
            <w:r w:rsidRPr="008D6B5E">
              <w:rPr>
                <w:rFonts w:ascii="Century Gothic" w:hAnsi="Century Gothic" w:cs="Arial"/>
                <w:b/>
                <w:sz w:val="18"/>
                <w:szCs w:val="24"/>
              </w:rPr>
              <w:t>JUZGADO TREINTA Y CUATRO ADMINISTRATIVO CIRCUITO DE BOGOTÁ -  SECCIÓN TERCERA</w:t>
            </w:r>
          </w:p>
          <w:p w:rsidR="00C33D70" w:rsidRPr="008D6B5E" w:rsidRDefault="00C33D70" w:rsidP="00912E34">
            <w:pPr>
              <w:spacing w:line="360" w:lineRule="auto"/>
              <w:jc w:val="both"/>
              <w:rPr>
                <w:rFonts w:ascii="Century Gothic" w:hAnsi="Century Gothic" w:cs="Arial"/>
                <w:sz w:val="18"/>
                <w:szCs w:val="24"/>
              </w:rPr>
            </w:pPr>
            <w:r w:rsidRPr="008D6B5E">
              <w:rPr>
                <w:rFonts w:ascii="Century Gothic" w:hAnsi="Century Gothic" w:cs="Arial"/>
                <w:sz w:val="18"/>
                <w:szCs w:val="24"/>
              </w:rPr>
              <w:t xml:space="preserve">Por anotación en ESTADO notifico a las partes la providencia anterior, hoy </w:t>
            </w:r>
            <w:r w:rsidRPr="008D6B5E">
              <w:rPr>
                <w:rFonts w:ascii="Century Gothic" w:hAnsi="Century Gothic" w:cs="Arial"/>
                <w:b/>
                <w:sz w:val="18"/>
                <w:szCs w:val="24"/>
              </w:rPr>
              <w:t>____________________________</w:t>
            </w:r>
            <w:r w:rsidRPr="008D6B5E">
              <w:rPr>
                <w:rFonts w:ascii="Century Gothic" w:hAnsi="Century Gothic" w:cs="Arial"/>
                <w:sz w:val="18"/>
                <w:szCs w:val="24"/>
              </w:rPr>
              <w:t>a las 8:00 a.m.</w:t>
            </w:r>
          </w:p>
          <w:p w:rsidR="00C33D70" w:rsidRPr="008D6B5E" w:rsidRDefault="00C33D70" w:rsidP="00912E34">
            <w:pPr>
              <w:spacing w:line="360" w:lineRule="auto"/>
              <w:jc w:val="center"/>
              <w:rPr>
                <w:rFonts w:ascii="Century Gothic" w:eastAsia="Times New Roman" w:hAnsi="Century Gothic" w:cs="Arial"/>
                <w:sz w:val="18"/>
                <w:szCs w:val="24"/>
                <w:lang w:val="es-ES" w:eastAsia="es-ES"/>
              </w:rPr>
            </w:pPr>
            <w:r w:rsidRPr="008D6B5E">
              <w:rPr>
                <w:rFonts w:ascii="Century Gothic" w:hAnsi="Century Gothic"/>
                <w:noProof/>
                <w:sz w:val="18"/>
                <w:szCs w:val="24"/>
                <w:lang w:val="es-ES" w:eastAsia="es-ES"/>
              </w:rPr>
              <w:drawing>
                <wp:inline distT="0" distB="0" distL="0" distR="0" wp14:anchorId="13FB0C25" wp14:editId="210DA2B6">
                  <wp:extent cx="552450" cy="490855"/>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490855"/>
                          </a:xfrm>
                          <a:prstGeom prst="rect">
                            <a:avLst/>
                          </a:prstGeom>
                          <a:noFill/>
                          <a:ln>
                            <a:noFill/>
                          </a:ln>
                        </pic:spPr>
                      </pic:pic>
                    </a:graphicData>
                  </a:graphic>
                </wp:inline>
              </w:drawing>
            </w:r>
          </w:p>
        </w:tc>
      </w:tr>
    </w:tbl>
    <w:p w:rsidR="00977E91" w:rsidRPr="002A21FB" w:rsidRDefault="00A30026" w:rsidP="00912E34">
      <w:pPr>
        <w:spacing w:line="360" w:lineRule="auto"/>
        <w:rPr>
          <w:rFonts w:ascii="Century Gothic" w:hAnsi="Century Gothic"/>
          <w:sz w:val="24"/>
          <w:szCs w:val="24"/>
        </w:rPr>
      </w:pPr>
    </w:p>
    <w:sectPr w:rsidR="00977E91" w:rsidRPr="002A21FB" w:rsidSect="00F84882">
      <w:headerReference w:type="default" r:id="rId9"/>
      <w:headerReference w:type="first" r:id="rId10"/>
      <w:pgSz w:w="12240" w:h="18720" w:code="14"/>
      <w:pgMar w:top="1417" w:right="1701" w:bottom="1417" w:left="1701" w:header="851" w:footer="141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026" w:rsidRDefault="00A30026" w:rsidP="00A60733">
      <w:pPr>
        <w:spacing w:after="0" w:line="240" w:lineRule="auto"/>
      </w:pPr>
      <w:r>
        <w:separator/>
      </w:r>
    </w:p>
  </w:endnote>
  <w:endnote w:type="continuationSeparator" w:id="0">
    <w:p w:rsidR="00A30026" w:rsidRDefault="00A30026" w:rsidP="00A6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026" w:rsidRDefault="00A30026" w:rsidP="00A60733">
      <w:pPr>
        <w:spacing w:after="0" w:line="240" w:lineRule="auto"/>
      </w:pPr>
      <w:r>
        <w:separator/>
      </w:r>
    </w:p>
  </w:footnote>
  <w:footnote w:type="continuationSeparator" w:id="0">
    <w:p w:rsidR="00A30026" w:rsidRDefault="00A30026" w:rsidP="00A60733">
      <w:pPr>
        <w:spacing w:after="0" w:line="240" w:lineRule="auto"/>
      </w:pPr>
      <w:r>
        <w:continuationSeparator/>
      </w:r>
    </w:p>
  </w:footnote>
  <w:footnote w:id="1">
    <w:p w:rsidR="00A60733" w:rsidRPr="00413F0C" w:rsidRDefault="00A60733" w:rsidP="00413F0C">
      <w:pPr>
        <w:spacing w:after="0" w:line="276" w:lineRule="auto"/>
        <w:jc w:val="both"/>
        <w:rPr>
          <w:rFonts w:ascii="Century Gothic" w:hAnsi="Century Gothic" w:cs="Arial"/>
          <w:sz w:val="16"/>
          <w:szCs w:val="16"/>
        </w:rPr>
      </w:pPr>
      <w:r w:rsidRPr="00413F0C">
        <w:rPr>
          <w:rStyle w:val="Refdenotaalpie"/>
          <w:rFonts w:ascii="Century Gothic" w:hAnsi="Century Gothic" w:cs="Arial"/>
          <w:sz w:val="16"/>
          <w:szCs w:val="16"/>
        </w:rPr>
        <w:footnoteRef/>
      </w:r>
      <w:r w:rsidRPr="00413F0C">
        <w:rPr>
          <w:rFonts w:ascii="Century Gothic" w:hAnsi="Century Gothic" w:cs="Arial"/>
          <w:sz w:val="16"/>
          <w:szCs w:val="16"/>
        </w:rPr>
        <w:t xml:space="preserve"> Cita efectuada en auto 0683(22232) del 03/01/30. Ponente: GERMAN RODRÍGUEZ VILLAMIZAR. Actor: ROSANA GÓMEZ PATIÑO Y OTROS. Demandado: NACIÓN-INVIAS Y OTROS</w:t>
      </w:r>
    </w:p>
    <w:p w:rsidR="00A60733" w:rsidRPr="00413F0C" w:rsidRDefault="00A60733" w:rsidP="00413F0C">
      <w:pPr>
        <w:spacing w:after="0" w:line="276" w:lineRule="auto"/>
        <w:jc w:val="both"/>
        <w:rPr>
          <w:rFonts w:ascii="Century Gothic" w:hAnsi="Century Gothic" w:cs="Arial"/>
          <w:sz w:val="16"/>
          <w:szCs w:val="16"/>
        </w:rPr>
      </w:pPr>
    </w:p>
  </w:footnote>
  <w:footnote w:id="2">
    <w:p w:rsidR="00373EDC" w:rsidRDefault="00373EDC">
      <w:pPr>
        <w:pStyle w:val="Textonotapie"/>
      </w:pPr>
      <w:r>
        <w:rPr>
          <w:rStyle w:val="Refdenotaalpie"/>
        </w:rPr>
        <w:footnoteRef/>
      </w:r>
      <w:r>
        <w:t xml:space="preserve"> En el presente caso se están reclamando los servicios prestado del 1 de junio al 5 de julio de 2018. (folio 5, 10 a 13 del cuaderno principal) </w:t>
      </w:r>
    </w:p>
  </w:footnote>
  <w:footnote w:id="3">
    <w:p w:rsidR="00996916" w:rsidRPr="00EB183C" w:rsidRDefault="00996916" w:rsidP="00996916">
      <w:pPr>
        <w:pStyle w:val="Textonotapie"/>
        <w:rPr>
          <w:rFonts w:ascii="Century Gothic" w:hAnsi="Century Gothic" w:cs="Arial"/>
          <w:sz w:val="16"/>
          <w:szCs w:val="16"/>
        </w:rPr>
      </w:pPr>
      <w:r w:rsidRPr="00EB183C">
        <w:rPr>
          <w:rStyle w:val="Refdenotaalpie"/>
          <w:rFonts w:ascii="Century Gothic" w:hAnsi="Century Gothic" w:cs="Arial"/>
          <w:sz w:val="16"/>
          <w:szCs w:val="16"/>
        </w:rPr>
        <w:footnoteRef/>
      </w:r>
      <w:r w:rsidRPr="00EB183C">
        <w:rPr>
          <w:rFonts w:ascii="Century Gothic" w:hAnsi="Century Gothic" w:cs="Arial"/>
          <w:sz w:val="16"/>
          <w:szCs w:val="16"/>
        </w:rPr>
        <w:t xml:space="preserve"> Folio </w:t>
      </w:r>
      <w:r>
        <w:rPr>
          <w:rFonts w:ascii="Century Gothic" w:hAnsi="Century Gothic" w:cs="Arial"/>
          <w:sz w:val="16"/>
          <w:szCs w:val="16"/>
        </w:rPr>
        <w:t xml:space="preserve">67 a y 68 </w:t>
      </w:r>
      <w:r w:rsidRPr="00EB183C">
        <w:rPr>
          <w:rFonts w:ascii="Century Gothic" w:hAnsi="Century Gothic" w:cs="Arial"/>
          <w:sz w:val="16"/>
          <w:szCs w:val="16"/>
        </w:rPr>
        <w:t>del cuaderno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BF" w:rsidRPr="00145190" w:rsidRDefault="00B76517">
    <w:pPr>
      <w:pStyle w:val="Encabezado"/>
      <w:jc w:val="right"/>
      <w:rPr>
        <w:rFonts w:ascii="Century Gothic" w:hAnsi="Century Gothic" w:cs="Arial"/>
        <w:sz w:val="16"/>
        <w:szCs w:val="16"/>
        <w:lang w:val="es-MX"/>
      </w:rPr>
    </w:pPr>
    <w:r w:rsidRPr="00145190">
      <w:rPr>
        <w:rFonts w:ascii="Century Gothic" w:hAnsi="Century Gothic" w:cs="Arial"/>
        <w:sz w:val="16"/>
        <w:szCs w:val="16"/>
        <w:lang w:val="es-MX"/>
      </w:rPr>
      <w:t>Expediente No. 2019-0</w:t>
    </w:r>
    <w:r w:rsidR="00443C42" w:rsidRPr="00145190">
      <w:rPr>
        <w:rFonts w:ascii="Century Gothic" w:hAnsi="Century Gothic" w:cs="Arial"/>
        <w:sz w:val="16"/>
        <w:szCs w:val="16"/>
        <w:lang w:val="es-MX"/>
      </w:rPr>
      <w:t>356</w:t>
    </w:r>
  </w:p>
  <w:p w:rsidR="000969BF" w:rsidRPr="00145190" w:rsidRDefault="00B76517">
    <w:pPr>
      <w:pStyle w:val="Encabezado"/>
      <w:jc w:val="right"/>
      <w:rPr>
        <w:rFonts w:ascii="Century Gothic" w:hAnsi="Century Gothic" w:cs="Arial"/>
        <w:sz w:val="16"/>
        <w:szCs w:val="16"/>
        <w:lang w:val="es-MX"/>
      </w:rPr>
    </w:pPr>
    <w:r w:rsidRPr="00145190">
      <w:rPr>
        <w:rFonts w:ascii="Century Gothic" w:hAnsi="Century Gothic" w:cs="Arial"/>
        <w:sz w:val="16"/>
        <w:szCs w:val="16"/>
        <w:lang w:val="es-MX"/>
      </w:rPr>
      <w:t>APR</w:t>
    </w:r>
    <w:r w:rsidR="00443C42" w:rsidRPr="00145190">
      <w:rPr>
        <w:rFonts w:ascii="Century Gothic" w:hAnsi="Century Gothic" w:cs="Arial"/>
        <w:sz w:val="16"/>
        <w:szCs w:val="16"/>
        <w:lang w:val="es-MX"/>
      </w:rPr>
      <w:t xml:space="preserve">UEBA CONCILIACIÓN PREJUDICIAL </w:t>
    </w:r>
  </w:p>
  <w:p w:rsidR="000969BF" w:rsidRPr="00145190" w:rsidRDefault="00B76517">
    <w:pPr>
      <w:pStyle w:val="Encabezado"/>
      <w:jc w:val="right"/>
      <w:rPr>
        <w:rFonts w:ascii="Century Gothic" w:hAnsi="Century Gothic" w:cs="Arial"/>
        <w:sz w:val="16"/>
        <w:szCs w:val="16"/>
        <w:lang w:val="es-MX"/>
      </w:rPr>
    </w:pPr>
    <w:r w:rsidRPr="00145190">
      <w:rPr>
        <w:rFonts w:ascii="Century Gothic" w:hAnsi="Century Gothic" w:cs="Arial"/>
        <w:sz w:val="16"/>
        <w:szCs w:val="16"/>
        <w:lang w:val="es-MX"/>
      </w:rPr>
      <w:t xml:space="preserve">Páginas </w:t>
    </w:r>
    <w:r w:rsidRPr="00145190">
      <w:rPr>
        <w:rStyle w:val="Nmerodepgina"/>
        <w:rFonts w:ascii="Century Gothic" w:hAnsi="Century Gothic" w:cs="Arial"/>
        <w:sz w:val="16"/>
        <w:szCs w:val="16"/>
      </w:rPr>
      <w:fldChar w:fldCharType="begin"/>
    </w:r>
    <w:r w:rsidRPr="00145190">
      <w:rPr>
        <w:rStyle w:val="Nmerodepgina"/>
        <w:rFonts w:ascii="Century Gothic" w:hAnsi="Century Gothic" w:cs="Arial"/>
        <w:sz w:val="16"/>
        <w:szCs w:val="16"/>
      </w:rPr>
      <w:instrText xml:space="preserve"> PAGE </w:instrText>
    </w:r>
    <w:r w:rsidRPr="00145190">
      <w:rPr>
        <w:rStyle w:val="Nmerodepgina"/>
        <w:rFonts w:ascii="Century Gothic" w:hAnsi="Century Gothic" w:cs="Arial"/>
        <w:sz w:val="16"/>
        <w:szCs w:val="16"/>
      </w:rPr>
      <w:fldChar w:fldCharType="separate"/>
    </w:r>
    <w:r w:rsidR="00E9147C">
      <w:rPr>
        <w:rStyle w:val="Nmerodepgina"/>
        <w:rFonts w:ascii="Century Gothic" w:hAnsi="Century Gothic" w:cs="Arial"/>
        <w:noProof/>
        <w:sz w:val="16"/>
        <w:szCs w:val="16"/>
      </w:rPr>
      <w:t>10</w:t>
    </w:r>
    <w:r w:rsidRPr="00145190">
      <w:rPr>
        <w:rStyle w:val="Nmerodepgina"/>
        <w:rFonts w:ascii="Century Gothic" w:hAnsi="Century Gothic" w:cs="Arial"/>
        <w:sz w:val="16"/>
        <w:szCs w:val="16"/>
      </w:rPr>
      <w:fldChar w:fldCharType="end"/>
    </w:r>
    <w:r w:rsidRPr="00145190">
      <w:rPr>
        <w:rStyle w:val="Nmerodepgina"/>
        <w:rFonts w:ascii="Century Gothic" w:hAnsi="Century Gothic" w:cs="Arial"/>
        <w:sz w:val="16"/>
        <w:szCs w:val="16"/>
      </w:rPr>
      <w:t xml:space="preserve"> de </w:t>
    </w:r>
    <w:r w:rsidRPr="00145190">
      <w:rPr>
        <w:rStyle w:val="Nmerodepgina"/>
        <w:rFonts w:ascii="Century Gothic" w:hAnsi="Century Gothic" w:cs="Arial"/>
        <w:sz w:val="16"/>
        <w:szCs w:val="16"/>
      </w:rPr>
      <w:fldChar w:fldCharType="begin"/>
    </w:r>
    <w:r w:rsidRPr="00145190">
      <w:rPr>
        <w:rStyle w:val="Nmerodepgina"/>
        <w:rFonts w:ascii="Century Gothic" w:hAnsi="Century Gothic" w:cs="Arial"/>
        <w:sz w:val="16"/>
        <w:szCs w:val="16"/>
      </w:rPr>
      <w:instrText xml:space="preserve"> NUMPAGES </w:instrText>
    </w:r>
    <w:r w:rsidRPr="00145190">
      <w:rPr>
        <w:rStyle w:val="Nmerodepgina"/>
        <w:rFonts w:ascii="Century Gothic" w:hAnsi="Century Gothic" w:cs="Arial"/>
        <w:sz w:val="16"/>
        <w:szCs w:val="16"/>
      </w:rPr>
      <w:fldChar w:fldCharType="separate"/>
    </w:r>
    <w:r w:rsidR="00E9147C">
      <w:rPr>
        <w:rStyle w:val="Nmerodepgina"/>
        <w:rFonts w:ascii="Century Gothic" w:hAnsi="Century Gothic" w:cs="Arial"/>
        <w:noProof/>
        <w:sz w:val="16"/>
        <w:szCs w:val="16"/>
      </w:rPr>
      <w:t>10</w:t>
    </w:r>
    <w:r w:rsidRPr="00145190">
      <w:rPr>
        <w:rStyle w:val="Nmerodepgina"/>
        <w:rFonts w:ascii="Century Gothic" w:hAnsi="Century Gothic" w:cs="Arial"/>
        <w:sz w:val="16"/>
        <w:szCs w:val="16"/>
      </w:rPr>
      <w:fldChar w:fldCharType="end"/>
    </w:r>
    <w:r w:rsidRPr="00145190">
      <w:rPr>
        <w:rFonts w:ascii="Century Gothic" w:hAnsi="Century Gothic" w:cs="Arial"/>
        <w:sz w:val="16"/>
        <w:szCs w:val="16"/>
        <w:lang w:val="es-MX"/>
      </w:rPr>
      <w:t xml:space="preserve"> </w:t>
    </w:r>
  </w:p>
  <w:p w:rsidR="000969BF" w:rsidRPr="00145190" w:rsidRDefault="00A30026">
    <w:pPr>
      <w:pStyle w:val="Encabezado"/>
      <w:jc w:val="right"/>
      <w:rPr>
        <w:rFonts w:ascii="Century Gothic" w:hAnsi="Century Gothic" w:cs="Arial"/>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BF" w:rsidRPr="00145190" w:rsidRDefault="00B76517">
    <w:pPr>
      <w:pStyle w:val="Encabezado"/>
      <w:jc w:val="center"/>
      <w:rPr>
        <w:rFonts w:ascii="Century Gothic" w:hAnsi="Century Gothic"/>
        <w:b/>
        <w:i/>
        <w:noProof/>
        <w:sz w:val="16"/>
        <w:szCs w:val="16"/>
      </w:rPr>
    </w:pPr>
    <w:r w:rsidRPr="00145190">
      <w:rPr>
        <w:rFonts w:ascii="Century Gothic" w:hAnsi="Century Gothic"/>
        <w:b/>
        <w:i/>
        <w:noProof/>
        <w:sz w:val="16"/>
        <w:szCs w:val="16"/>
        <w:lang w:val="es-ES" w:eastAsia="es-ES"/>
      </w:rPr>
      <w:drawing>
        <wp:inline distT="0" distB="0" distL="0" distR="0" wp14:anchorId="0ECADF4C" wp14:editId="17E53177">
          <wp:extent cx="66738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09600"/>
                  </a:xfrm>
                  <a:prstGeom prst="rect">
                    <a:avLst/>
                  </a:prstGeom>
                  <a:noFill/>
                  <a:ln>
                    <a:noFill/>
                  </a:ln>
                </pic:spPr>
              </pic:pic>
            </a:graphicData>
          </a:graphic>
        </wp:inline>
      </w:drawing>
    </w:r>
    <w:r w:rsidRPr="00145190">
      <w:rPr>
        <w:rFonts w:ascii="Century Gothic" w:hAnsi="Century Gothic"/>
        <w:sz w:val="16"/>
        <w:szCs w:val="16"/>
      </w:rPr>
      <w:fldChar w:fldCharType="begin" w:fldLock="1"/>
    </w:r>
    <w:r w:rsidRPr="00145190">
      <w:rPr>
        <w:rFonts w:ascii="Century Gothic" w:hAnsi="Century Gothic"/>
        <w:sz w:val="16"/>
        <w:szCs w:val="16"/>
      </w:rPr>
      <w:instrText xml:space="preserve">ref  SHAPE  \* MERGEFORMAT </w:instrText>
    </w:r>
    <w:r w:rsidRPr="00145190">
      <w:rPr>
        <w:rFonts w:ascii="Century Gothic" w:hAnsi="Century Gothic"/>
        <w:sz w:val="16"/>
        <w:szCs w:val="16"/>
      </w:rPr>
      <w:fldChar w:fldCharType="separate"/>
    </w:r>
  </w:p>
  <w:p w:rsidR="000969BF" w:rsidRPr="00145190" w:rsidRDefault="00B76517">
    <w:pPr>
      <w:pStyle w:val="Encabezado"/>
      <w:jc w:val="center"/>
      <w:rPr>
        <w:rFonts w:ascii="Century Gothic" w:hAnsi="Century Gothic"/>
        <w:b/>
        <w:sz w:val="16"/>
        <w:szCs w:val="16"/>
        <w:lang w:val="es-MX"/>
      </w:rPr>
    </w:pPr>
    <w:r w:rsidRPr="00145190">
      <w:rPr>
        <w:rFonts w:ascii="Century Gothic" w:hAnsi="Century Gothic"/>
        <w:sz w:val="16"/>
        <w:szCs w:val="16"/>
      </w:rPr>
      <w:fldChar w:fldCharType="end"/>
    </w:r>
    <w:r w:rsidRPr="00145190">
      <w:rPr>
        <w:rFonts w:ascii="Century Gothic" w:hAnsi="Century Gothic"/>
        <w:b/>
        <w:sz w:val="16"/>
        <w:szCs w:val="16"/>
        <w:lang w:val="es-MX"/>
      </w:rPr>
      <w:t>JUZGADO TREINTA Y CUATRO ADMINISTRATIVO</w:t>
    </w:r>
  </w:p>
  <w:p w:rsidR="000969BF" w:rsidRPr="00145190" w:rsidRDefault="00B76517">
    <w:pPr>
      <w:pStyle w:val="Encabezado"/>
      <w:jc w:val="center"/>
      <w:rPr>
        <w:rFonts w:ascii="Century Gothic" w:hAnsi="Century Gothic"/>
        <w:b/>
        <w:sz w:val="16"/>
        <w:szCs w:val="16"/>
        <w:lang w:val="es-MX"/>
      </w:rPr>
    </w:pPr>
    <w:r w:rsidRPr="00145190">
      <w:rPr>
        <w:rFonts w:ascii="Century Gothic" w:hAnsi="Century Gothic"/>
        <w:b/>
        <w:sz w:val="16"/>
        <w:szCs w:val="16"/>
        <w:lang w:val="es-MX"/>
      </w:rPr>
      <w:t>ORAL DE BOGOTÁ</w:t>
    </w:r>
  </w:p>
  <w:p w:rsidR="000969BF" w:rsidRPr="00145190" w:rsidRDefault="00B76517">
    <w:pPr>
      <w:pStyle w:val="Encabezado"/>
      <w:jc w:val="center"/>
      <w:rPr>
        <w:rFonts w:ascii="Century Gothic" w:hAnsi="Century Gothic"/>
        <w:b/>
        <w:sz w:val="16"/>
        <w:szCs w:val="16"/>
        <w:lang w:val="es-MX"/>
      </w:rPr>
    </w:pPr>
    <w:r w:rsidRPr="00145190">
      <w:rPr>
        <w:rFonts w:ascii="Century Gothic" w:hAnsi="Century Gothic"/>
        <w:b/>
        <w:sz w:val="16"/>
        <w:szCs w:val="16"/>
        <w:lang w:val="es-MX"/>
      </w:rPr>
      <w:t>Sección Tercera</w:t>
    </w:r>
  </w:p>
  <w:p w:rsidR="000969BF" w:rsidRPr="00145190" w:rsidRDefault="00A30026">
    <w:pPr>
      <w:pStyle w:val="Encabezado"/>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4712BD"/>
    <w:multiLevelType w:val="hybridMultilevel"/>
    <w:tmpl w:val="FB044F32"/>
    <w:lvl w:ilvl="0" w:tplc="4CF01CF2">
      <w:start w:val="1"/>
      <w:numFmt w:val="bullet"/>
      <w:lvlText w:val=""/>
      <w:lvlJc w:val="left"/>
      <w:pPr>
        <w:tabs>
          <w:tab w:val="num" w:pos="207"/>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624093"/>
    <w:multiLevelType w:val="hybridMultilevel"/>
    <w:tmpl w:val="CC8A7740"/>
    <w:lvl w:ilvl="0" w:tplc="4582F27A">
      <w:start w:val="28"/>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7E66CF"/>
    <w:multiLevelType w:val="hybridMultilevel"/>
    <w:tmpl w:val="A3125E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AD2D4C"/>
    <w:multiLevelType w:val="multilevel"/>
    <w:tmpl w:val="B1AE09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5382FD8"/>
    <w:multiLevelType w:val="hybridMultilevel"/>
    <w:tmpl w:val="98624D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33"/>
    <w:rsid w:val="00032DD1"/>
    <w:rsid w:val="00041F99"/>
    <w:rsid w:val="00057A87"/>
    <w:rsid w:val="00081EE4"/>
    <w:rsid w:val="00093896"/>
    <w:rsid w:val="000B30E2"/>
    <w:rsid w:val="00103E19"/>
    <w:rsid w:val="001357DE"/>
    <w:rsid w:val="00145190"/>
    <w:rsid w:val="00167985"/>
    <w:rsid w:val="00190B2F"/>
    <w:rsid w:val="001A603F"/>
    <w:rsid w:val="001E50A0"/>
    <w:rsid w:val="001F4081"/>
    <w:rsid w:val="002632E5"/>
    <w:rsid w:val="002A21FB"/>
    <w:rsid w:val="002A6BA6"/>
    <w:rsid w:val="002E2A2F"/>
    <w:rsid w:val="00330E15"/>
    <w:rsid w:val="0035280B"/>
    <w:rsid w:val="00373EDC"/>
    <w:rsid w:val="00374C7E"/>
    <w:rsid w:val="00380A99"/>
    <w:rsid w:val="003A0619"/>
    <w:rsid w:val="003C778E"/>
    <w:rsid w:val="003D4146"/>
    <w:rsid w:val="003F4771"/>
    <w:rsid w:val="003F74C8"/>
    <w:rsid w:val="00412B8F"/>
    <w:rsid w:val="00413F0C"/>
    <w:rsid w:val="00443C42"/>
    <w:rsid w:val="00466F2B"/>
    <w:rsid w:val="004C0C7F"/>
    <w:rsid w:val="004C0F54"/>
    <w:rsid w:val="004F452F"/>
    <w:rsid w:val="00554FE5"/>
    <w:rsid w:val="005843CC"/>
    <w:rsid w:val="005C50AF"/>
    <w:rsid w:val="00604F0F"/>
    <w:rsid w:val="0064624D"/>
    <w:rsid w:val="00657692"/>
    <w:rsid w:val="00673AC9"/>
    <w:rsid w:val="0067791E"/>
    <w:rsid w:val="006907D1"/>
    <w:rsid w:val="006A7389"/>
    <w:rsid w:val="006F3B42"/>
    <w:rsid w:val="007004BC"/>
    <w:rsid w:val="00727734"/>
    <w:rsid w:val="00742A24"/>
    <w:rsid w:val="00760E96"/>
    <w:rsid w:val="007C4CE6"/>
    <w:rsid w:val="007E2A0D"/>
    <w:rsid w:val="00844F83"/>
    <w:rsid w:val="0085785C"/>
    <w:rsid w:val="00870175"/>
    <w:rsid w:val="00871AA4"/>
    <w:rsid w:val="008C5EBA"/>
    <w:rsid w:val="008D6B5E"/>
    <w:rsid w:val="00912E34"/>
    <w:rsid w:val="00956023"/>
    <w:rsid w:val="0096600D"/>
    <w:rsid w:val="00970133"/>
    <w:rsid w:val="0098707E"/>
    <w:rsid w:val="00990EC2"/>
    <w:rsid w:val="00996916"/>
    <w:rsid w:val="009B61A8"/>
    <w:rsid w:val="009F4E84"/>
    <w:rsid w:val="00A30026"/>
    <w:rsid w:val="00A33C88"/>
    <w:rsid w:val="00A60733"/>
    <w:rsid w:val="00AA5077"/>
    <w:rsid w:val="00AD2EBE"/>
    <w:rsid w:val="00B355E6"/>
    <w:rsid w:val="00B51E03"/>
    <w:rsid w:val="00B76517"/>
    <w:rsid w:val="00BB522B"/>
    <w:rsid w:val="00BE2622"/>
    <w:rsid w:val="00BE3363"/>
    <w:rsid w:val="00C045E4"/>
    <w:rsid w:val="00C33D70"/>
    <w:rsid w:val="00C360B1"/>
    <w:rsid w:val="00CB16C4"/>
    <w:rsid w:val="00CB62CC"/>
    <w:rsid w:val="00CF05A6"/>
    <w:rsid w:val="00D052E2"/>
    <w:rsid w:val="00E104BC"/>
    <w:rsid w:val="00E9147C"/>
    <w:rsid w:val="00E941D2"/>
    <w:rsid w:val="00EF1C93"/>
    <w:rsid w:val="00F3395A"/>
    <w:rsid w:val="00F56F9C"/>
    <w:rsid w:val="00F6495C"/>
    <w:rsid w:val="00FB3FCE"/>
    <w:rsid w:val="00FD4E9B"/>
    <w:rsid w:val="00FF2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8C9C6-B784-43A0-8615-41F6DE34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0733"/>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C"/>
    <w:basedOn w:val="Normal"/>
    <w:link w:val="TextonotapieCar"/>
    <w:unhideWhenUsed/>
    <w:rsid w:val="00A6073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rsid w:val="00A60733"/>
    <w:rPr>
      <w:sz w:val="20"/>
      <w:szCs w:val="20"/>
      <w:lang w:val="es-CO"/>
    </w:rPr>
  </w:style>
  <w:style w:type="paragraph" w:styleId="Encabezado">
    <w:name w:val="header"/>
    <w:basedOn w:val="Normal"/>
    <w:link w:val="EncabezadoCar"/>
    <w:uiPriority w:val="99"/>
    <w:unhideWhenUsed/>
    <w:rsid w:val="00A60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0733"/>
    <w:rPr>
      <w:lang w:val="es-CO"/>
    </w:rPr>
  </w:style>
  <w:style w:type="character" w:styleId="Nmerodepgina">
    <w:name w:val="page number"/>
    <w:uiPriority w:val="99"/>
    <w:rsid w:val="00A60733"/>
    <w:rPr>
      <w:rFonts w:cs="Times New Roman"/>
    </w:rPr>
  </w:style>
  <w:style w:type="character" w:styleId="Refdenotaalpie">
    <w:name w:val="footnote reference"/>
    <w:aliases w:val="Texto de nota al pie,Ref. de nota al pie 2,Texto de nota al pi,Pie de Página,FC,Ref,de nota al pie,Appel note de bas de p,Appel note de bas de page,Footnotes refss,Footnote number,referencia nota al pie,BVI fnr,f,4_G,16 Point,F"/>
    <w:uiPriority w:val="99"/>
    <w:rsid w:val="00A60733"/>
    <w:rPr>
      <w:rFonts w:cs="Times New Roman"/>
      <w:vertAlign w:val="superscript"/>
    </w:rPr>
  </w:style>
  <w:style w:type="paragraph" w:customStyle="1" w:styleId="Style6">
    <w:name w:val="Style6"/>
    <w:basedOn w:val="Normal"/>
    <w:uiPriority w:val="99"/>
    <w:rsid w:val="00A60733"/>
    <w:pPr>
      <w:widowControl w:val="0"/>
      <w:autoSpaceDE w:val="0"/>
      <w:autoSpaceDN w:val="0"/>
      <w:adjustRightInd w:val="0"/>
      <w:spacing w:after="0" w:line="204" w:lineRule="exact"/>
      <w:jc w:val="both"/>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A60733"/>
    <w:rPr>
      <w:rFonts w:ascii="Arial" w:hAnsi="Arial" w:cs="Arial"/>
      <w:b/>
      <w:bCs/>
      <w:sz w:val="16"/>
      <w:szCs w:val="16"/>
    </w:rPr>
  </w:style>
  <w:style w:type="paragraph" w:styleId="Prrafodelista">
    <w:name w:val="List Paragraph"/>
    <w:basedOn w:val="Normal"/>
    <w:uiPriority w:val="34"/>
    <w:qFormat/>
    <w:rsid w:val="00A60733"/>
    <w:pPr>
      <w:ind w:left="720"/>
      <w:contextualSpacing/>
    </w:pPr>
  </w:style>
  <w:style w:type="table" w:styleId="Tablaconcuadrcula">
    <w:name w:val="Table Grid"/>
    <w:basedOn w:val="Tablanormal"/>
    <w:uiPriority w:val="39"/>
    <w:rsid w:val="00A6073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4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C42"/>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0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561E-CD27-4AE0-AC41-3D610F5E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2835</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crileca88</cp:lastModifiedBy>
  <cp:revision>2</cp:revision>
  <dcterms:created xsi:type="dcterms:W3CDTF">2020-06-29T20:21:00Z</dcterms:created>
  <dcterms:modified xsi:type="dcterms:W3CDTF">2020-06-29T20:21:00Z</dcterms:modified>
</cp:coreProperties>
</file>