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693"/>
      </w:tblGrid>
      <w:tr w:rsidR="000D1BDB" w:rsidRPr="002B1ED1" w:rsidTr="006A5455">
        <w:tc>
          <w:tcPr>
            <w:tcW w:w="2127" w:type="dxa"/>
            <w:vAlign w:val="center"/>
          </w:tcPr>
          <w:p w:rsidR="000D1BDB" w:rsidRPr="001A0178" w:rsidRDefault="000D1BDB" w:rsidP="006A5455">
            <w:pPr>
              <w:jc w:val="both"/>
              <w:rPr>
                <w:rFonts w:ascii="Tahoma" w:hAnsi="Tahoma" w:cs="Tahoma"/>
                <w:sz w:val="16"/>
                <w:szCs w:val="16"/>
                <w:lang w:val="es-MX"/>
              </w:rPr>
            </w:pPr>
            <w:r w:rsidRPr="001A0178">
              <w:rPr>
                <w:rFonts w:ascii="Tahoma" w:hAnsi="Tahoma" w:cs="Tahoma"/>
                <w:sz w:val="16"/>
                <w:szCs w:val="16"/>
                <w:lang w:val="es-MX"/>
              </w:rPr>
              <w:t>CIUDAD Y FECHA</w:t>
            </w:r>
          </w:p>
        </w:tc>
        <w:tc>
          <w:tcPr>
            <w:tcW w:w="6693" w:type="dxa"/>
          </w:tcPr>
          <w:p w:rsidR="000D1BDB" w:rsidRPr="001A0178" w:rsidRDefault="000D1BDB" w:rsidP="0001525A">
            <w:pPr>
              <w:jc w:val="both"/>
              <w:rPr>
                <w:rFonts w:ascii="Tahoma" w:hAnsi="Tahoma" w:cs="Tahoma"/>
                <w:b/>
                <w:sz w:val="16"/>
                <w:szCs w:val="16"/>
                <w:lang w:val="es-MX"/>
              </w:rPr>
            </w:pPr>
            <w:r w:rsidRPr="001A0178">
              <w:rPr>
                <w:rFonts w:ascii="Tahoma" w:hAnsi="Tahoma" w:cs="Tahoma"/>
                <w:b/>
                <w:sz w:val="16"/>
                <w:szCs w:val="16"/>
                <w:lang w:val="es-MX"/>
              </w:rPr>
              <w:t xml:space="preserve">Bogotá D.C., </w:t>
            </w:r>
            <w:r w:rsidR="0001525A">
              <w:rPr>
                <w:rFonts w:ascii="Tahoma" w:hAnsi="Tahoma" w:cs="Tahoma"/>
                <w:b/>
                <w:sz w:val="16"/>
                <w:szCs w:val="16"/>
                <w:lang w:val="es-MX"/>
              </w:rPr>
              <w:t>veintisiete (27)</w:t>
            </w:r>
            <w:r w:rsidRPr="001A0178">
              <w:rPr>
                <w:rFonts w:ascii="Tahoma" w:hAnsi="Tahoma" w:cs="Tahoma"/>
                <w:b/>
                <w:sz w:val="16"/>
                <w:szCs w:val="16"/>
                <w:lang w:val="es-MX"/>
              </w:rPr>
              <w:t xml:space="preserve"> de </w:t>
            </w:r>
            <w:r>
              <w:rPr>
                <w:rFonts w:ascii="Tahoma" w:hAnsi="Tahoma" w:cs="Tahoma"/>
                <w:b/>
                <w:sz w:val="16"/>
                <w:szCs w:val="16"/>
                <w:lang w:val="es-MX"/>
              </w:rPr>
              <w:t>febrero</w:t>
            </w:r>
            <w:r w:rsidRPr="001A0178">
              <w:rPr>
                <w:rFonts w:ascii="Tahoma" w:hAnsi="Tahoma" w:cs="Tahoma"/>
                <w:b/>
                <w:sz w:val="16"/>
                <w:szCs w:val="16"/>
                <w:lang w:val="es-MX"/>
              </w:rPr>
              <w:t xml:space="preserve"> de dos mil </w:t>
            </w:r>
            <w:r>
              <w:rPr>
                <w:rFonts w:ascii="Tahoma" w:hAnsi="Tahoma" w:cs="Tahoma"/>
                <w:b/>
                <w:sz w:val="16"/>
                <w:szCs w:val="16"/>
                <w:lang w:val="es-MX"/>
              </w:rPr>
              <w:t>quince (2015</w:t>
            </w:r>
            <w:r w:rsidRPr="001A0178">
              <w:rPr>
                <w:rFonts w:ascii="Tahoma" w:hAnsi="Tahoma" w:cs="Tahoma"/>
                <w:b/>
                <w:sz w:val="16"/>
                <w:szCs w:val="16"/>
                <w:lang w:val="es-MX"/>
              </w:rPr>
              <w:t>)</w:t>
            </w:r>
          </w:p>
        </w:tc>
      </w:tr>
      <w:tr w:rsidR="000D1BDB" w:rsidRPr="002B1ED1" w:rsidTr="006A5455">
        <w:tc>
          <w:tcPr>
            <w:tcW w:w="2127" w:type="dxa"/>
            <w:vAlign w:val="center"/>
          </w:tcPr>
          <w:p w:rsidR="000D1BDB" w:rsidRPr="001A0178" w:rsidRDefault="000D1BDB" w:rsidP="006A5455">
            <w:pPr>
              <w:jc w:val="both"/>
              <w:rPr>
                <w:rFonts w:ascii="Tahoma" w:hAnsi="Tahoma" w:cs="Tahoma"/>
                <w:sz w:val="16"/>
                <w:szCs w:val="16"/>
                <w:lang w:val="es-MX"/>
              </w:rPr>
            </w:pPr>
            <w:r w:rsidRPr="001A0178">
              <w:rPr>
                <w:rFonts w:ascii="Tahoma" w:hAnsi="Tahoma" w:cs="Tahoma"/>
                <w:sz w:val="16"/>
                <w:szCs w:val="16"/>
                <w:lang w:val="es-MX"/>
              </w:rPr>
              <w:t>REFERENCIA</w:t>
            </w:r>
          </w:p>
        </w:tc>
        <w:tc>
          <w:tcPr>
            <w:tcW w:w="6693" w:type="dxa"/>
          </w:tcPr>
          <w:p w:rsidR="000D1BDB" w:rsidRPr="001A0178" w:rsidRDefault="000D1BDB" w:rsidP="006A5455">
            <w:pPr>
              <w:jc w:val="both"/>
              <w:rPr>
                <w:rFonts w:ascii="Tahoma" w:hAnsi="Tahoma" w:cs="Tahoma"/>
                <w:b/>
                <w:sz w:val="16"/>
                <w:szCs w:val="16"/>
                <w:lang w:val="es-MX"/>
              </w:rPr>
            </w:pPr>
            <w:r w:rsidRPr="001A0178">
              <w:rPr>
                <w:rFonts w:ascii="Tahoma" w:hAnsi="Tahoma" w:cs="Tahoma"/>
                <w:b/>
                <w:sz w:val="16"/>
                <w:szCs w:val="16"/>
                <w:lang w:val="es-MX"/>
              </w:rPr>
              <w:t>Expe</w:t>
            </w:r>
            <w:r>
              <w:rPr>
                <w:rFonts w:ascii="Tahoma" w:hAnsi="Tahoma" w:cs="Tahoma"/>
                <w:b/>
                <w:sz w:val="16"/>
                <w:szCs w:val="16"/>
                <w:lang w:val="es-MX"/>
              </w:rPr>
              <w:t>diente No. 110013336034201500011</w:t>
            </w:r>
            <w:r w:rsidRPr="001A0178">
              <w:rPr>
                <w:rFonts w:ascii="Tahoma" w:hAnsi="Tahoma" w:cs="Tahoma"/>
                <w:b/>
                <w:sz w:val="16"/>
                <w:szCs w:val="16"/>
                <w:lang w:val="es-MX"/>
              </w:rPr>
              <w:t>00</w:t>
            </w:r>
          </w:p>
        </w:tc>
      </w:tr>
      <w:tr w:rsidR="000D1BDB" w:rsidRPr="002B1ED1" w:rsidTr="006A5455">
        <w:tc>
          <w:tcPr>
            <w:tcW w:w="2127" w:type="dxa"/>
            <w:vAlign w:val="center"/>
          </w:tcPr>
          <w:p w:rsidR="000D1BDB" w:rsidRPr="001A0178" w:rsidRDefault="000D1BDB" w:rsidP="006A5455">
            <w:pPr>
              <w:jc w:val="both"/>
              <w:rPr>
                <w:rFonts w:ascii="Tahoma" w:hAnsi="Tahoma" w:cs="Tahoma"/>
                <w:sz w:val="16"/>
                <w:szCs w:val="16"/>
                <w:lang w:val="es-MX"/>
              </w:rPr>
            </w:pPr>
            <w:r w:rsidRPr="001A0178">
              <w:rPr>
                <w:rFonts w:ascii="Tahoma" w:hAnsi="Tahoma" w:cs="Tahoma"/>
                <w:sz w:val="16"/>
                <w:szCs w:val="16"/>
                <w:lang w:val="es-MX"/>
              </w:rPr>
              <w:t>DEMANDANTE</w:t>
            </w:r>
          </w:p>
        </w:tc>
        <w:tc>
          <w:tcPr>
            <w:tcW w:w="6693" w:type="dxa"/>
          </w:tcPr>
          <w:p w:rsidR="000D1BDB" w:rsidRPr="001A0178" w:rsidRDefault="000D1BDB" w:rsidP="006A5455">
            <w:pPr>
              <w:pStyle w:val="Ttulo1"/>
              <w:rPr>
                <w:rFonts w:ascii="Tahoma" w:hAnsi="Tahoma" w:cs="Tahoma"/>
                <w:sz w:val="16"/>
                <w:szCs w:val="16"/>
              </w:rPr>
            </w:pPr>
            <w:r w:rsidRPr="001A0178">
              <w:rPr>
                <w:rFonts w:ascii="Tahoma" w:hAnsi="Tahoma" w:cs="Tahoma"/>
                <w:sz w:val="16"/>
                <w:szCs w:val="16"/>
              </w:rPr>
              <w:t>ESCUELA SUPERIOR DE ADMINISTRACIÓN PÚBLICA – ESAP</w:t>
            </w:r>
          </w:p>
        </w:tc>
      </w:tr>
      <w:tr w:rsidR="000D1BDB" w:rsidRPr="002B1ED1" w:rsidTr="006A5455">
        <w:tc>
          <w:tcPr>
            <w:tcW w:w="2127" w:type="dxa"/>
            <w:vAlign w:val="center"/>
          </w:tcPr>
          <w:p w:rsidR="000D1BDB" w:rsidRPr="001A0178" w:rsidRDefault="000D1BDB" w:rsidP="006A5455">
            <w:pPr>
              <w:jc w:val="both"/>
              <w:rPr>
                <w:rFonts w:ascii="Tahoma" w:hAnsi="Tahoma" w:cs="Tahoma"/>
                <w:sz w:val="16"/>
                <w:szCs w:val="16"/>
                <w:lang w:val="es-MX"/>
              </w:rPr>
            </w:pPr>
            <w:r w:rsidRPr="001A0178">
              <w:rPr>
                <w:rFonts w:ascii="Tahoma" w:hAnsi="Tahoma" w:cs="Tahoma"/>
                <w:sz w:val="16"/>
                <w:szCs w:val="16"/>
                <w:lang w:val="es-MX"/>
              </w:rPr>
              <w:t>DEMANDADO</w:t>
            </w:r>
          </w:p>
        </w:tc>
        <w:tc>
          <w:tcPr>
            <w:tcW w:w="6693" w:type="dxa"/>
          </w:tcPr>
          <w:p w:rsidR="000D1BDB" w:rsidRPr="001A0178" w:rsidRDefault="000D1BDB" w:rsidP="006A5455">
            <w:pPr>
              <w:jc w:val="both"/>
              <w:rPr>
                <w:rFonts w:ascii="Tahoma" w:hAnsi="Tahoma" w:cs="Tahoma"/>
                <w:b/>
                <w:sz w:val="16"/>
                <w:szCs w:val="16"/>
              </w:rPr>
            </w:pPr>
            <w:r>
              <w:rPr>
                <w:rFonts w:ascii="Tahoma" w:hAnsi="Tahoma" w:cs="Tahoma"/>
                <w:b/>
                <w:sz w:val="16"/>
                <w:szCs w:val="16"/>
                <w:lang w:val="es-MX"/>
              </w:rPr>
              <w:t>ALCIRA INES LUQUE BLANCO</w:t>
            </w:r>
          </w:p>
        </w:tc>
      </w:tr>
      <w:tr w:rsidR="000D1BDB" w:rsidRPr="002B1ED1" w:rsidTr="006A5455">
        <w:tc>
          <w:tcPr>
            <w:tcW w:w="2127" w:type="dxa"/>
            <w:vAlign w:val="center"/>
          </w:tcPr>
          <w:p w:rsidR="000D1BDB" w:rsidRPr="001A0178" w:rsidRDefault="000D1BDB" w:rsidP="006A5455">
            <w:pPr>
              <w:jc w:val="both"/>
              <w:rPr>
                <w:rFonts w:ascii="Tahoma" w:hAnsi="Tahoma" w:cs="Tahoma"/>
                <w:sz w:val="16"/>
                <w:szCs w:val="16"/>
                <w:lang w:val="es-MX"/>
              </w:rPr>
            </w:pPr>
            <w:r w:rsidRPr="001A0178">
              <w:rPr>
                <w:rFonts w:ascii="Tahoma" w:hAnsi="Tahoma" w:cs="Tahoma"/>
                <w:sz w:val="16"/>
                <w:szCs w:val="16"/>
                <w:lang w:val="es-MX"/>
              </w:rPr>
              <w:t>MEDIO DE CONTROL</w:t>
            </w:r>
          </w:p>
        </w:tc>
        <w:tc>
          <w:tcPr>
            <w:tcW w:w="6693" w:type="dxa"/>
          </w:tcPr>
          <w:p w:rsidR="000D1BDB" w:rsidRPr="001A0178" w:rsidRDefault="000D1BDB" w:rsidP="006A5455">
            <w:pPr>
              <w:jc w:val="both"/>
              <w:rPr>
                <w:rFonts w:ascii="Tahoma" w:hAnsi="Tahoma" w:cs="Tahoma"/>
                <w:b/>
                <w:sz w:val="16"/>
                <w:szCs w:val="16"/>
                <w:lang w:val="es-MX"/>
              </w:rPr>
            </w:pPr>
            <w:r w:rsidRPr="001A0178">
              <w:rPr>
                <w:rFonts w:ascii="Tahoma" w:hAnsi="Tahoma" w:cs="Tahoma"/>
                <w:b/>
                <w:sz w:val="16"/>
                <w:szCs w:val="16"/>
                <w:lang w:val="es-MX"/>
              </w:rPr>
              <w:t>CONCILIACIÓN PREJUDICIAL</w:t>
            </w:r>
          </w:p>
        </w:tc>
      </w:tr>
      <w:tr w:rsidR="000D1BDB" w:rsidRPr="002B1ED1" w:rsidTr="006A5455">
        <w:tc>
          <w:tcPr>
            <w:tcW w:w="2127" w:type="dxa"/>
            <w:vAlign w:val="center"/>
          </w:tcPr>
          <w:p w:rsidR="000D1BDB" w:rsidRPr="001A0178" w:rsidRDefault="000D1BDB" w:rsidP="006A5455">
            <w:pPr>
              <w:jc w:val="both"/>
              <w:rPr>
                <w:rFonts w:ascii="Tahoma" w:hAnsi="Tahoma" w:cs="Tahoma"/>
                <w:sz w:val="16"/>
                <w:szCs w:val="16"/>
                <w:lang w:val="es-MX"/>
              </w:rPr>
            </w:pPr>
            <w:r w:rsidRPr="001A0178">
              <w:rPr>
                <w:rFonts w:ascii="Tahoma" w:hAnsi="Tahoma" w:cs="Tahoma"/>
                <w:sz w:val="16"/>
                <w:szCs w:val="16"/>
                <w:lang w:val="es-MX"/>
              </w:rPr>
              <w:t>ASUNTO</w:t>
            </w:r>
          </w:p>
        </w:tc>
        <w:tc>
          <w:tcPr>
            <w:tcW w:w="6693" w:type="dxa"/>
          </w:tcPr>
          <w:p w:rsidR="000D1BDB" w:rsidRPr="001A0178" w:rsidRDefault="000D1BDB" w:rsidP="006A5455">
            <w:pPr>
              <w:pStyle w:val="Encabezado"/>
              <w:jc w:val="both"/>
              <w:rPr>
                <w:rFonts w:ascii="Tahoma" w:hAnsi="Tahoma" w:cs="Tahoma"/>
                <w:b/>
                <w:sz w:val="16"/>
                <w:szCs w:val="16"/>
                <w:lang w:val="es-MX"/>
              </w:rPr>
            </w:pPr>
            <w:bookmarkStart w:id="0" w:name="_GoBack"/>
            <w:r w:rsidRPr="001A0178">
              <w:rPr>
                <w:rFonts w:ascii="Tahoma" w:hAnsi="Tahoma" w:cs="Tahoma"/>
                <w:b/>
                <w:sz w:val="16"/>
                <w:szCs w:val="16"/>
                <w:lang w:val="es-MX"/>
              </w:rPr>
              <w:t>APRUEBA CONCILIACIÓN</w:t>
            </w:r>
            <w:bookmarkEnd w:id="0"/>
          </w:p>
        </w:tc>
      </w:tr>
    </w:tbl>
    <w:p w:rsidR="000D1BDB" w:rsidRPr="002B1ED1" w:rsidRDefault="000D1BDB" w:rsidP="000D1BDB">
      <w:pPr>
        <w:rPr>
          <w:rFonts w:ascii="Tahoma" w:hAnsi="Tahoma" w:cs="Tahoma"/>
          <w:sz w:val="18"/>
          <w:szCs w:val="18"/>
        </w:rPr>
      </w:pPr>
    </w:p>
    <w:p w:rsidR="000D1BDB" w:rsidRDefault="000D1BDB" w:rsidP="000D1BDB">
      <w:pPr>
        <w:jc w:val="both"/>
        <w:rPr>
          <w:rFonts w:ascii="Tahoma" w:hAnsi="Tahoma" w:cs="Tahoma"/>
          <w:sz w:val="18"/>
          <w:szCs w:val="18"/>
          <w:lang w:val="es-ES_tradnl"/>
        </w:rPr>
      </w:pPr>
      <w:r>
        <w:rPr>
          <w:rFonts w:ascii="Tahoma" w:hAnsi="Tahoma" w:cs="Tahoma"/>
          <w:sz w:val="18"/>
          <w:szCs w:val="18"/>
          <w:lang w:val="es-ES_tradnl"/>
        </w:rPr>
        <w:t xml:space="preserve">El presente asunto se refiere a la aprobación o improbación de la conciliación prejudicial efectuada entre la ESCUELA SUPERIOR DE ADMINISTRACION PUBLICA – ESAP y ALCIRA INES LUQUE BLANCO, ante la Procuraduría 80 Judicial I para </w:t>
      </w:r>
      <w:r w:rsidR="00FD6EE5">
        <w:rPr>
          <w:rFonts w:ascii="Tahoma" w:hAnsi="Tahoma" w:cs="Tahoma"/>
          <w:sz w:val="18"/>
          <w:szCs w:val="18"/>
          <w:lang w:val="es-ES_tradnl"/>
        </w:rPr>
        <w:t>asuntos administrativos</w:t>
      </w:r>
      <w:r>
        <w:rPr>
          <w:rFonts w:ascii="Tahoma" w:hAnsi="Tahoma" w:cs="Tahoma"/>
          <w:sz w:val="18"/>
          <w:szCs w:val="18"/>
          <w:lang w:val="es-ES_tradnl"/>
        </w:rPr>
        <w:t xml:space="preserve">. </w:t>
      </w:r>
    </w:p>
    <w:p w:rsidR="000D1BDB" w:rsidRPr="002B1ED1" w:rsidRDefault="000D1BDB" w:rsidP="000D1BDB">
      <w:pPr>
        <w:jc w:val="both"/>
        <w:rPr>
          <w:rFonts w:ascii="Tahoma" w:hAnsi="Tahoma" w:cs="Tahoma"/>
          <w:sz w:val="18"/>
          <w:szCs w:val="18"/>
        </w:rPr>
      </w:pPr>
    </w:p>
    <w:p w:rsidR="000D1BDB" w:rsidRPr="002B1ED1" w:rsidRDefault="000D1BDB" w:rsidP="000D1BDB">
      <w:pPr>
        <w:jc w:val="both"/>
        <w:rPr>
          <w:rFonts w:ascii="Tahoma" w:hAnsi="Tahoma" w:cs="Tahoma"/>
          <w:sz w:val="18"/>
          <w:szCs w:val="18"/>
        </w:rPr>
      </w:pPr>
      <w:r w:rsidRPr="002B1ED1">
        <w:rPr>
          <w:rFonts w:ascii="Tahoma" w:hAnsi="Tahoma" w:cs="Tahoma"/>
          <w:sz w:val="18"/>
          <w:szCs w:val="18"/>
        </w:rPr>
        <w:t>Procede el Despacho a pronunciarse sobre la aprobación o improbación de la presente conciliación.</w:t>
      </w:r>
    </w:p>
    <w:p w:rsidR="000D1BDB" w:rsidRPr="002B1ED1" w:rsidRDefault="000D1BDB" w:rsidP="000D1BDB">
      <w:pPr>
        <w:overflowPunct w:val="0"/>
        <w:autoSpaceDE w:val="0"/>
        <w:autoSpaceDN w:val="0"/>
        <w:adjustRightInd w:val="0"/>
        <w:jc w:val="both"/>
        <w:textAlignment w:val="baseline"/>
        <w:rPr>
          <w:rFonts w:ascii="Tahoma" w:hAnsi="Tahoma" w:cs="Tahoma"/>
          <w:b/>
          <w:sz w:val="18"/>
          <w:szCs w:val="18"/>
        </w:rPr>
      </w:pPr>
    </w:p>
    <w:p w:rsidR="000D1BDB" w:rsidRPr="002B1ED1" w:rsidRDefault="000D1BDB" w:rsidP="000D1BDB">
      <w:pPr>
        <w:numPr>
          <w:ilvl w:val="0"/>
          <w:numId w:val="2"/>
        </w:numPr>
        <w:overflowPunct w:val="0"/>
        <w:autoSpaceDE w:val="0"/>
        <w:autoSpaceDN w:val="0"/>
        <w:adjustRightInd w:val="0"/>
        <w:jc w:val="both"/>
        <w:textAlignment w:val="baseline"/>
        <w:rPr>
          <w:rFonts w:ascii="Tahoma" w:hAnsi="Tahoma" w:cs="Tahoma"/>
          <w:b/>
          <w:sz w:val="18"/>
          <w:szCs w:val="18"/>
        </w:rPr>
      </w:pPr>
      <w:r w:rsidRPr="002B1ED1">
        <w:rPr>
          <w:rFonts w:ascii="Tahoma" w:hAnsi="Tahoma" w:cs="Tahoma"/>
          <w:b/>
          <w:sz w:val="18"/>
          <w:szCs w:val="18"/>
        </w:rPr>
        <w:t xml:space="preserve">PRETENSIONES </w:t>
      </w:r>
    </w:p>
    <w:p w:rsidR="000D1BDB" w:rsidRPr="002B1ED1" w:rsidRDefault="000D1BDB" w:rsidP="000D1BDB">
      <w:pPr>
        <w:tabs>
          <w:tab w:val="left" w:pos="360"/>
        </w:tabs>
        <w:jc w:val="both"/>
        <w:rPr>
          <w:rFonts w:ascii="Tahoma" w:hAnsi="Tahoma" w:cs="Tahoma"/>
          <w:b/>
          <w:sz w:val="18"/>
          <w:szCs w:val="18"/>
        </w:rPr>
      </w:pPr>
    </w:p>
    <w:p w:rsidR="000D1BDB" w:rsidRPr="000D1BDB" w:rsidRDefault="000D1BDB" w:rsidP="000D1BDB">
      <w:pPr>
        <w:tabs>
          <w:tab w:val="left" w:pos="360"/>
        </w:tabs>
        <w:jc w:val="both"/>
        <w:rPr>
          <w:rFonts w:ascii="Tahoma" w:hAnsi="Tahoma" w:cs="Tahoma"/>
          <w:i/>
          <w:sz w:val="18"/>
          <w:szCs w:val="18"/>
        </w:rPr>
      </w:pPr>
      <w:r w:rsidRPr="002B1ED1">
        <w:rPr>
          <w:rFonts w:ascii="Tahoma" w:hAnsi="Tahoma" w:cs="Tahoma"/>
          <w:sz w:val="18"/>
          <w:szCs w:val="18"/>
        </w:rPr>
        <w:t xml:space="preserve">Se solicita </w:t>
      </w:r>
      <w:r>
        <w:rPr>
          <w:rFonts w:ascii="Tahoma" w:hAnsi="Tahoma" w:cs="Tahoma"/>
          <w:i/>
          <w:sz w:val="18"/>
          <w:szCs w:val="18"/>
        </w:rPr>
        <w:t xml:space="preserve">“citar a conciliar a la señora ALCIRA INES LUQUE BLANCO, como parte convocante es la ESAP, con el fin de cancelarle la suma de $2.500.000 como saldo del contrato  No. 803 de 2013, suscrito entre las mencionadas partes, teniendo en cuenta la certificación expedida el 25 de marzo de 2014, por el supervisor del contrato, mediante la cual da fe del cumplimiento del mismo. Lo anterior en aras de no causar perjuicio a la contratista y proteger los intereses de la entidad, evitando </w:t>
      </w:r>
      <w:r w:rsidR="00FD6EE5">
        <w:rPr>
          <w:rFonts w:ascii="Tahoma" w:hAnsi="Tahoma" w:cs="Tahoma"/>
          <w:i/>
          <w:sz w:val="18"/>
          <w:szCs w:val="18"/>
        </w:rPr>
        <w:t>futuras</w:t>
      </w:r>
      <w:r>
        <w:rPr>
          <w:rFonts w:ascii="Tahoma" w:hAnsi="Tahoma" w:cs="Tahoma"/>
          <w:i/>
          <w:sz w:val="18"/>
          <w:szCs w:val="18"/>
        </w:rPr>
        <w:t xml:space="preserve"> acciones en contra de la convocante. La ESAP suscribió con ALCIRA INES LUQUE BLANCO el contrato de prestación de servicios profesionales No. 803 de 2013, por un valor de $7.500.000 a cancelar en tres (03) pagos, cada uno de $2.500.000”</w:t>
      </w:r>
    </w:p>
    <w:p w:rsidR="000D1BDB" w:rsidRPr="002B1ED1" w:rsidRDefault="000D1BDB" w:rsidP="000D1BDB">
      <w:pPr>
        <w:tabs>
          <w:tab w:val="left" w:pos="360"/>
        </w:tabs>
        <w:jc w:val="both"/>
        <w:rPr>
          <w:rFonts w:ascii="Tahoma" w:hAnsi="Tahoma" w:cs="Tahoma"/>
          <w:sz w:val="18"/>
          <w:szCs w:val="18"/>
        </w:rPr>
      </w:pPr>
    </w:p>
    <w:p w:rsidR="000D1BDB" w:rsidRPr="002B1ED1" w:rsidRDefault="000D1BDB" w:rsidP="000D1BDB">
      <w:pPr>
        <w:numPr>
          <w:ilvl w:val="0"/>
          <w:numId w:val="2"/>
        </w:numPr>
        <w:jc w:val="both"/>
        <w:rPr>
          <w:rFonts w:ascii="Tahoma" w:hAnsi="Tahoma" w:cs="Tahoma"/>
          <w:sz w:val="18"/>
          <w:szCs w:val="18"/>
        </w:rPr>
      </w:pPr>
      <w:r w:rsidRPr="002B1ED1">
        <w:rPr>
          <w:rFonts w:ascii="Tahoma" w:hAnsi="Tahoma" w:cs="Tahoma"/>
          <w:sz w:val="18"/>
          <w:szCs w:val="18"/>
        </w:rPr>
        <w:t xml:space="preserve">Como </w:t>
      </w:r>
      <w:r w:rsidRPr="002B1ED1">
        <w:rPr>
          <w:rFonts w:ascii="Tahoma" w:hAnsi="Tahoma" w:cs="Tahoma"/>
          <w:b/>
          <w:sz w:val="18"/>
          <w:szCs w:val="18"/>
        </w:rPr>
        <w:t>hechos</w:t>
      </w:r>
      <w:r w:rsidRPr="002B1ED1">
        <w:rPr>
          <w:rFonts w:ascii="Tahoma" w:hAnsi="Tahoma" w:cs="Tahoma"/>
          <w:sz w:val="18"/>
          <w:szCs w:val="18"/>
        </w:rPr>
        <w:t xml:space="preserve"> de la demanda en síntesis se argumentaron los siguientes:</w:t>
      </w:r>
    </w:p>
    <w:p w:rsidR="000D1BDB" w:rsidRPr="002B1ED1" w:rsidRDefault="000D1BDB" w:rsidP="000D1BDB">
      <w:pPr>
        <w:jc w:val="both"/>
        <w:rPr>
          <w:rFonts w:ascii="Tahoma" w:hAnsi="Tahoma" w:cs="Tahoma"/>
          <w:sz w:val="18"/>
          <w:szCs w:val="18"/>
        </w:rPr>
      </w:pPr>
    </w:p>
    <w:p w:rsidR="000D1BDB" w:rsidRDefault="000D1BDB" w:rsidP="00FD6EE5">
      <w:pPr>
        <w:jc w:val="both"/>
        <w:rPr>
          <w:rFonts w:ascii="Tahoma" w:hAnsi="Tahoma" w:cs="Tahoma"/>
          <w:i/>
          <w:sz w:val="18"/>
          <w:szCs w:val="18"/>
        </w:rPr>
      </w:pPr>
      <w:r w:rsidRPr="002B1ED1">
        <w:rPr>
          <w:rFonts w:ascii="Tahoma" w:hAnsi="Tahoma" w:cs="Tahoma"/>
          <w:b/>
          <w:sz w:val="18"/>
          <w:szCs w:val="18"/>
        </w:rPr>
        <w:t>2.1</w:t>
      </w:r>
      <w:r w:rsidRPr="002B1ED1">
        <w:rPr>
          <w:rFonts w:ascii="Tahoma" w:hAnsi="Tahoma" w:cs="Tahoma"/>
          <w:sz w:val="18"/>
          <w:szCs w:val="18"/>
        </w:rPr>
        <w:t xml:space="preserve"> </w:t>
      </w:r>
      <w:r w:rsidR="00FD6EE5">
        <w:rPr>
          <w:rFonts w:ascii="Tahoma" w:hAnsi="Tahoma" w:cs="Tahoma"/>
          <w:sz w:val="18"/>
          <w:szCs w:val="18"/>
        </w:rPr>
        <w:t xml:space="preserve">Se suscribió contrato de prestación de servicios profesionales No. 803 de 18de noviembre de 2013, entre la ESCUELA SUPERIOR DE ADMINISTRACION PUBLICA-ESAP, y la señora ALCIRA INES LUQUE BLANCO, con el objeto de </w:t>
      </w:r>
      <w:r w:rsidR="00FD6EE5">
        <w:rPr>
          <w:rFonts w:ascii="Tahoma" w:hAnsi="Tahoma" w:cs="Tahoma"/>
          <w:i/>
          <w:sz w:val="18"/>
          <w:szCs w:val="18"/>
        </w:rPr>
        <w:t>“prestar los servicios profesionales en cumplimiento de las actividades y cronogramas establecidos en los procesos de modernización institucional, mediante contratos y/o convenios interadministrativos que suscriba la ESAP con las entidades públicas”.</w:t>
      </w:r>
    </w:p>
    <w:p w:rsidR="00FD6EE5" w:rsidRDefault="00FD6EE5" w:rsidP="00FD6EE5">
      <w:pPr>
        <w:jc w:val="both"/>
        <w:rPr>
          <w:rFonts w:ascii="Tahoma" w:hAnsi="Tahoma" w:cs="Tahoma"/>
          <w:i/>
          <w:sz w:val="18"/>
          <w:szCs w:val="18"/>
        </w:rPr>
      </w:pPr>
    </w:p>
    <w:p w:rsidR="00FD6EE5" w:rsidRDefault="00FD6EE5" w:rsidP="00FD6EE5">
      <w:pPr>
        <w:jc w:val="both"/>
        <w:rPr>
          <w:rFonts w:ascii="Tahoma" w:hAnsi="Tahoma" w:cs="Tahoma"/>
          <w:sz w:val="18"/>
          <w:szCs w:val="18"/>
        </w:rPr>
      </w:pPr>
      <w:r>
        <w:rPr>
          <w:rFonts w:ascii="Tahoma" w:hAnsi="Tahoma" w:cs="Tahoma"/>
          <w:b/>
          <w:sz w:val="18"/>
          <w:szCs w:val="18"/>
        </w:rPr>
        <w:t xml:space="preserve">2.2 </w:t>
      </w:r>
      <w:r>
        <w:rPr>
          <w:rFonts w:ascii="Tahoma" w:hAnsi="Tahoma" w:cs="Tahoma"/>
          <w:sz w:val="18"/>
          <w:szCs w:val="18"/>
        </w:rPr>
        <w:t>El valor del contrato se pagaría conforme al Certificado de Disponibilidad Presupuestal No. 299413, del 18 de noviembre de 2013, por valor de SIETE MILLONES QUINIENTOS MIL PESOS ($7.500.000) M/L, en tres (3) cuotas mensuales de DOS MILLONES QUINIENTOS MIL PESOS ($2.500.000) M/L, cada una.</w:t>
      </w:r>
    </w:p>
    <w:p w:rsidR="00FD6EE5" w:rsidRDefault="00FD6EE5" w:rsidP="00FD6EE5">
      <w:pPr>
        <w:jc w:val="both"/>
        <w:rPr>
          <w:rFonts w:ascii="Tahoma" w:hAnsi="Tahoma" w:cs="Tahoma"/>
          <w:sz w:val="18"/>
          <w:szCs w:val="18"/>
        </w:rPr>
      </w:pPr>
    </w:p>
    <w:p w:rsidR="00FD6EE5" w:rsidRDefault="00FD6EE5" w:rsidP="00FD6EE5">
      <w:pPr>
        <w:jc w:val="both"/>
        <w:rPr>
          <w:rFonts w:ascii="Tahoma" w:hAnsi="Tahoma" w:cs="Tahoma"/>
          <w:sz w:val="18"/>
          <w:szCs w:val="18"/>
        </w:rPr>
      </w:pPr>
      <w:r>
        <w:rPr>
          <w:rFonts w:ascii="Tahoma" w:hAnsi="Tahoma" w:cs="Tahoma"/>
          <w:b/>
          <w:sz w:val="18"/>
          <w:szCs w:val="18"/>
        </w:rPr>
        <w:t xml:space="preserve">2.3 </w:t>
      </w:r>
      <w:r>
        <w:rPr>
          <w:rFonts w:ascii="Tahoma" w:hAnsi="Tahoma" w:cs="Tahoma"/>
          <w:sz w:val="18"/>
          <w:szCs w:val="18"/>
        </w:rPr>
        <w:t>La contratista presenta reclamación mediante la cual se da inicio al presente trámite.</w:t>
      </w:r>
    </w:p>
    <w:p w:rsidR="00FD6EE5" w:rsidRDefault="00FD6EE5" w:rsidP="00FD6EE5">
      <w:pPr>
        <w:jc w:val="both"/>
        <w:rPr>
          <w:rFonts w:ascii="Tahoma" w:hAnsi="Tahoma" w:cs="Tahoma"/>
          <w:sz w:val="18"/>
          <w:szCs w:val="18"/>
        </w:rPr>
      </w:pPr>
    </w:p>
    <w:p w:rsidR="00FD6EE5" w:rsidRDefault="00FD6EE5" w:rsidP="00FD6EE5">
      <w:pPr>
        <w:jc w:val="both"/>
        <w:rPr>
          <w:rFonts w:ascii="Tahoma" w:hAnsi="Tahoma" w:cs="Tahoma"/>
          <w:sz w:val="18"/>
          <w:szCs w:val="18"/>
        </w:rPr>
      </w:pPr>
      <w:r>
        <w:rPr>
          <w:rFonts w:ascii="Tahoma" w:hAnsi="Tahoma" w:cs="Tahoma"/>
          <w:b/>
          <w:sz w:val="18"/>
          <w:szCs w:val="18"/>
        </w:rPr>
        <w:t xml:space="preserve">2.4 </w:t>
      </w:r>
      <w:r>
        <w:rPr>
          <w:rFonts w:ascii="Tahoma" w:hAnsi="Tahoma" w:cs="Tahoma"/>
          <w:sz w:val="18"/>
          <w:szCs w:val="18"/>
        </w:rPr>
        <w:t>Según lo informado por el Grupo de Gestión Presupuestal de la ESAP, mediante documento de nombre “</w:t>
      </w:r>
      <w:r>
        <w:rPr>
          <w:rFonts w:ascii="Tahoma" w:hAnsi="Tahoma" w:cs="Tahoma"/>
          <w:i/>
          <w:sz w:val="18"/>
          <w:szCs w:val="18"/>
        </w:rPr>
        <w:t xml:space="preserve">Reporte Compromiso Presupuestal” </w:t>
      </w:r>
      <w:r w:rsidRPr="00FD6EE5">
        <w:rPr>
          <w:rFonts w:ascii="Tahoma" w:hAnsi="Tahoma" w:cs="Tahoma"/>
          <w:sz w:val="18"/>
          <w:szCs w:val="18"/>
        </w:rPr>
        <w:t>informa que aparece un valor pagado por un total de CINCO MILLONES DE PESOS ($5.000.000)</w:t>
      </w:r>
      <w:r>
        <w:rPr>
          <w:rFonts w:ascii="Tahoma" w:hAnsi="Tahoma" w:cs="Tahoma"/>
          <w:sz w:val="18"/>
          <w:szCs w:val="18"/>
        </w:rPr>
        <w:t>.</w:t>
      </w:r>
    </w:p>
    <w:p w:rsidR="00FD6EE5" w:rsidRDefault="00FD6EE5" w:rsidP="00FD6EE5">
      <w:pPr>
        <w:jc w:val="both"/>
        <w:rPr>
          <w:rFonts w:ascii="Tahoma" w:hAnsi="Tahoma" w:cs="Tahoma"/>
          <w:sz w:val="18"/>
          <w:szCs w:val="18"/>
        </w:rPr>
      </w:pPr>
    </w:p>
    <w:p w:rsidR="00FD6EE5" w:rsidRDefault="00FD6EE5" w:rsidP="00FD6EE5">
      <w:pPr>
        <w:jc w:val="both"/>
        <w:rPr>
          <w:rFonts w:ascii="Tahoma" w:hAnsi="Tahoma" w:cs="Tahoma"/>
          <w:sz w:val="18"/>
          <w:szCs w:val="18"/>
        </w:rPr>
      </w:pPr>
      <w:r>
        <w:rPr>
          <w:rFonts w:ascii="Tahoma" w:hAnsi="Tahoma" w:cs="Tahoma"/>
          <w:b/>
          <w:sz w:val="18"/>
          <w:szCs w:val="18"/>
        </w:rPr>
        <w:t xml:space="preserve">2.5 </w:t>
      </w:r>
      <w:r>
        <w:rPr>
          <w:rFonts w:ascii="Tahoma" w:hAnsi="Tahoma" w:cs="Tahoma"/>
          <w:sz w:val="18"/>
          <w:szCs w:val="18"/>
        </w:rPr>
        <w:t xml:space="preserve">Según lo informado por el Grupo de Gestión de Tesorería, mediante documento donde consta la relación de pagos realizados a la contratista, se permite concluir que a la contratista se le han realizado dos abonos, cada uno por un valor de DOS MILLONES QUINIENTOS MIL PESOS $2.500.000, para un total de CINCO MILLONES DE PESOS ($5.000.000), lo cual permite inferir que a la contratista se le adeuda el pago correspondiente al </w:t>
      </w:r>
      <w:r w:rsidR="00B2696A">
        <w:rPr>
          <w:rFonts w:ascii="Tahoma" w:hAnsi="Tahoma" w:cs="Tahoma"/>
          <w:sz w:val="18"/>
          <w:szCs w:val="18"/>
        </w:rPr>
        <w:t>último</w:t>
      </w:r>
      <w:r>
        <w:rPr>
          <w:rFonts w:ascii="Tahoma" w:hAnsi="Tahoma" w:cs="Tahoma"/>
          <w:sz w:val="18"/>
          <w:szCs w:val="18"/>
        </w:rPr>
        <w:t xml:space="preserve"> </w:t>
      </w:r>
      <w:r w:rsidR="00B2696A">
        <w:rPr>
          <w:rFonts w:ascii="Tahoma" w:hAnsi="Tahoma" w:cs="Tahoma"/>
          <w:sz w:val="18"/>
          <w:szCs w:val="18"/>
        </w:rPr>
        <w:t>mes de la prestación de los servicios profesionales, de acuerdo a lo estipulado en el contrato No. 803 de 2013.</w:t>
      </w:r>
    </w:p>
    <w:p w:rsidR="00B2696A" w:rsidRDefault="00B2696A" w:rsidP="00FD6EE5">
      <w:pPr>
        <w:jc w:val="both"/>
        <w:rPr>
          <w:rFonts w:ascii="Tahoma" w:hAnsi="Tahoma" w:cs="Tahoma"/>
          <w:sz w:val="18"/>
          <w:szCs w:val="18"/>
        </w:rPr>
      </w:pPr>
    </w:p>
    <w:p w:rsidR="00B2696A" w:rsidRDefault="00B2696A" w:rsidP="00FD6EE5">
      <w:pPr>
        <w:jc w:val="both"/>
        <w:rPr>
          <w:rFonts w:ascii="Tahoma" w:hAnsi="Tahoma" w:cs="Tahoma"/>
          <w:sz w:val="18"/>
          <w:szCs w:val="18"/>
        </w:rPr>
      </w:pPr>
      <w:r>
        <w:rPr>
          <w:rFonts w:ascii="Tahoma" w:hAnsi="Tahoma" w:cs="Tahoma"/>
          <w:b/>
          <w:sz w:val="18"/>
          <w:szCs w:val="18"/>
        </w:rPr>
        <w:t xml:space="preserve">2.6 </w:t>
      </w:r>
      <w:r>
        <w:rPr>
          <w:rFonts w:ascii="Tahoma" w:hAnsi="Tahoma" w:cs="Tahoma"/>
          <w:sz w:val="18"/>
          <w:szCs w:val="18"/>
        </w:rPr>
        <w:t>Mediante comunicación de fecha 25 de marzo de 2014, el Jefe del departamento de Asesorías y Consultorías de la ESAP, certifica que la señora ALCIRA</w:t>
      </w:r>
      <w:r w:rsidR="00DB41E4">
        <w:rPr>
          <w:rFonts w:ascii="Tahoma" w:hAnsi="Tahoma" w:cs="Tahoma"/>
          <w:sz w:val="18"/>
          <w:szCs w:val="18"/>
        </w:rPr>
        <w:t xml:space="preserve"> INES LUQUE BLANCO, cumplió con las obligaciones contractuales emanadas del contrato de prestación de servicios profesionales No. 803 de 2014.</w:t>
      </w:r>
    </w:p>
    <w:p w:rsidR="00DB41E4" w:rsidRDefault="00DB41E4" w:rsidP="00FD6EE5">
      <w:pPr>
        <w:jc w:val="both"/>
        <w:rPr>
          <w:rFonts w:ascii="Tahoma" w:hAnsi="Tahoma" w:cs="Tahoma"/>
          <w:sz w:val="18"/>
          <w:szCs w:val="18"/>
        </w:rPr>
      </w:pPr>
    </w:p>
    <w:p w:rsidR="00DB41E4" w:rsidRDefault="00DB41E4" w:rsidP="00FD6EE5">
      <w:pPr>
        <w:jc w:val="both"/>
        <w:rPr>
          <w:rFonts w:ascii="Tahoma" w:hAnsi="Tahoma" w:cs="Tahoma"/>
          <w:sz w:val="18"/>
          <w:szCs w:val="18"/>
        </w:rPr>
      </w:pPr>
      <w:r>
        <w:rPr>
          <w:rFonts w:ascii="Tahoma" w:hAnsi="Tahoma" w:cs="Tahoma"/>
          <w:b/>
          <w:sz w:val="18"/>
          <w:szCs w:val="18"/>
        </w:rPr>
        <w:t>2.7</w:t>
      </w:r>
      <w:r>
        <w:rPr>
          <w:rFonts w:ascii="Tahoma" w:hAnsi="Tahoma" w:cs="Tahoma"/>
          <w:sz w:val="18"/>
          <w:szCs w:val="18"/>
        </w:rPr>
        <w:t xml:space="preserve"> Mediante comunicación de fecha 21 de marzo de 2014, el Coordinador del proyecto en el cual participo la señora ALCIRA INES LUQUE BLANCO, certifica que la contratista cumplió con todas las obligaciones de su objeto contractual y entregó los productos asignados dentro del proyecto.</w:t>
      </w:r>
    </w:p>
    <w:p w:rsidR="00DB41E4" w:rsidRDefault="00DB41E4" w:rsidP="00FD6EE5">
      <w:pPr>
        <w:jc w:val="both"/>
        <w:rPr>
          <w:rFonts w:ascii="Tahoma" w:hAnsi="Tahoma" w:cs="Tahoma"/>
          <w:sz w:val="18"/>
          <w:szCs w:val="18"/>
        </w:rPr>
      </w:pPr>
    </w:p>
    <w:p w:rsidR="00DB41E4" w:rsidRDefault="00DB41E4" w:rsidP="00FD6EE5">
      <w:pPr>
        <w:jc w:val="both"/>
        <w:rPr>
          <w:rFonts w:ascii="Tahoma" w:hAnsi="Tahoma" w:cs="Tahoma"/>
          <w:sz w:val="18"/>
          <w:szCs w:val="18"/>
        </w:rPr>
      </w:pPr>
      <w:r>
        <w:rPr>
          <w:rFonts w:ascii="Tahoma" w:hAnsi="Tahoma" w:cs="Tahoma"/>
          <w:b/>
          <w:sz w:val="18"/>
          <w:szCs w:val="18"/>
        </w:rPr>
        <w:t>2.8</w:t>
      </w:r>
      <w:r>
        <w:rPr>
          <w:rFonts w:ascii="Tahoma" w:hAnsi="Tahoma" w:cs="Tahoma"/>
          <w:sz w:val="18"/>
          <w:szCs w:val="18"/>
        </w:rPr>
        <w:t xml:space="preserve"> Al realizar la verificación del caso de la señora ALCIRA INES LUQUE BLANCO, se pudo observar que la contratista no presentó oportunamente su última cuenta de cobro ante el Grupo de Gestión Contable, encargado de procesar las mismas, razón por la cual no se le hizo reserva presupuestal, al desconocer que quedaba un saldo pendiente.</w:t>
      </w:r>
    </w:p>
    <w:p w:rsidR="00DB41E4" w:rsidRDefault="00DB41E4" w:rsidP="00FD6EE5">
      <w:pPr>
        <w:jc w:val="both"/>
        <w:rPr>
          <w:rFonts w:ascii="Tahoma" w:hAnsi="Tahoma" w:cs="Tahoma"/>
          <w:sz w:val="18"/>
          <w:szCs w:val="18"/>
        </w:rPr>
      </w:pPr>
    </w:p>
    <w:p w:rsidR="00DB41E4" w:rsidRDefault="00DB41E4" w:rsidP="00FD6EE5">
      <w:pPr>
        <w:jc w:val="both"/>
        <w:rPr>
          <w:rFonts w:ascii="Tahoma" w:hAnsi="Tahoma" w:cs="Tahoma"/>
          <w:sz w:val="18"/>
          <w:szCs w:val="18"/>
        </w:rPr>
      </w:pPr>
      <w:r>
        <w:rPr>
          <w:rFonts w:ascii="Tahoma" w:hAnsi="Tahoma" w:cs="Tahoma"/>
          <w:b/>
          <w:sz w:val="18"/>
          <w:szCs w:val="18"/>
        </w:rPr>
        <w:t xml:space="preserve">2.9 </w:t>
      </w:r>
      <w:r>
        <w:rPr>
          <w:rFonts w:ascii="Tahoma" w:hAnsi="Tahoma" w:cs="Tahoma"/>
          <w:sz w:val="18"/>
          <w:szCs w:val="18"/>
        </w:rPr>
        <w:t>Mediante oficio interno, el Jefe del Departamento de Asesoría y Consultorías, solicita al Comité de Conciliación el estudio correspondiente al caso, para que por vía del mecanismo de la Conciliación sea procedente realizar el pago de lo adeudado a la señora ALCIRA INES LUQUE BLANCO.</w:t>
      </w:r>
    </w:p>
    <w:p w:rsidR="00DB41E4" w:rsidRDefault="00DB41E4" w:rsidP="00FD6EE5">
      <w:pPr>
        <w:jc w:val="both"/>
        <w:rPr>
          <w:rFonts w:ascii="Tahoma" w:hAnsi="Tahoma" w:cs="Tahoma"/>
          <w:sz w:val="18"/>
          <w:szCs w:val="18"/>
        </w:rPr>
      </w:pPr>
    </w:p>
    <w:p w:rsidR="00DB41E4" w:rsidRDefault="00DB41E4" w:rsidP="00FD6EE5">
      <w:pPr>
        <w:jc w:val="both"/>
        <w:rPr>
          <w:rFonts w:ascii="Tahoma" w:hAnsi="Tahoma" w:cs="Tahoma"/>
          <w:sz w:val="18"/>
          <w:szCs w:val="18"/>
        </w:rPr>
      </w:pPr>
      <w:r>
        <w:rPr>
          <w:rFonts w:ascii="Tahoma" w:hAnsi="Tahoma" w:cs="Tahoma"/>
          <w:b/>
          <w:sz w:val="18"/>
          <w:szCs w:val="18"/>
        </w:rPr>
        <w:t>2.10</w:t>
      </w:r>
      <w:r>
        <w:rPr>
          <w:rFonts w:ascii="Tahoma" w:hAnsi="Tahoma" w:cs="Tahoma"/>
          <w:sz w:val="18"/>
          <w:szCs w:val="18"/>
        </w:rPr>
        <w:t xml:space="preserve"> La secretaria del comité de conciliación, procedió a realizar el estudio respectivo.</w:t>
      </w:r>
    </w:p>
    <w:p w:rsidR="00DB41E4" w:rsidRDefault="00DB41E4" w:rsidP="00FD6EE5">
      <w:pPr>
        <w:jc w:val="both"/>
        <w:rPr>
          <w:rFonts w:ascii="Tahoma" w:hAnsi="Tahoma" w:cs="Tahoma"/>
          <w:sz w:val="18"/>
          <w:szCs w:val="18"/>
        </w:rPr>
      </w:pPr>
    </w:p>
    <w:p w:rsidR="00DB41E4" w:rsidRDefault="00DB41E4" w:rsidP="00FD6EE5">
      <w:pPr>
        <w:jc w:val="both"/>
        <w:rPr>
          <w:rFonts w:ascii="Tahoma" w:hAnsi="Tahoma" w:cs="Tahoma"/>
          <w:sz w:val="18"/>
          <w:szCs w:val="18"/>
        </w:rPr>
      </w:pPr>
      <w:r>
        <w:rPr>
          <w:rFonts w:ascii="Tahoma" w:hAnsi="Tahoma" w:cs="Tahoma"/>
          <w:b/>
          <w:sz w:val="18"/>
          <w:szCs w:val="18"/>
        </w:rPr>
        <w:lastRenderedPageBreak/>
        <w:t>2.11</w:t>
      </w:r>
      <w:r>
        <w:rPr>
          <w:rFonts w:ascii="Tahoma" w:hAnsi="Tahoma" w:cs="Tahoma"/>
          <w:sz w:val="18"/>
          <w:szCs w:val="18"/>
        </w:rPr>
        <w:t xml:space="preserve"> Una vez analizado y estudiado el presente caso y en atención a la certificación, expedida por el Jefe del Departamento de Asesoría y </w:t>
      </w:r>
      <w:r w:rsidR="00744005">
        <w:rPr>
          <w:rFonts w:ascii="Tahoma" w:hAnsi="Tahoma" w:cs="Tahoma"/>
          <w:sz w:val="18"/>
          <w:szCs w:val="18"/>
        </w:rPr>
        <w:t>Consultorías, quien da cuenta del cumplimiento de las obligaciones del contrato, y evidenciada la situación financiera de la contratista con la entidad, que da cuenta del saldo dejado de pagar, la secretaria del comité de conciliación recomienda a los demás miembros</w:t>
      </w:r>
      <w:r w:rsidR="00DC2481">
        <w:rPr>
          <w:rFonts w:ascii="Tahoma" w:hAnsi="Tahoma" w:cs="Tahoma"/>
          <w:sz w:val="18"/>
          <w:szCs w:val="18"/>
        </w:rPr>
        <w:t>, CONCILIAR con la señora ALCIR</w:t>
      </w:r>
      <w:r w:rsidR="00744005">
        <w:rPr>
          <w:rFonts w:ascii="Tahoma" w:hAnsi="Tahoma" w:cs="Tahoma"/>
          <w:sz w:val="18"/>
          <w:szCs w:val="18"/>
        </w:rPr>
        <w:t>A</w:t>
      </w:r>
      <w:r w:rsidR="00DC2481">
        <w:rPr>
          <w:rFonts w:ascii="Tahoma" w:hAnsi="Tahoma" w:cs="Tahoma"/>
          <w:sz w:val="18"/>
          <w:szCs w:val="18"/>
        </w:rPr>
        <w:t xml:space="preserve"> </w:t>
      </w:r>
      <w:r w:rsidR="00744005">
        <w:rPr>
          <w:rFonts w:ascii="Tahoma" w:hAnsi="Tahoma" w:cs="Tahoma"/>
          <w:sz w:val="18"/>
          <w:szCs w:val="18"/>
        </w:rPr>
        <w:t>INES LUQUE BLANCO, con el fin de que le sea reconocida la suma de DOS MILLONES QUINIENTOS MIL PESOS ($2.500.000).</w:t>
      </w:r>
    </w:p>
    <w:p w:rsidR="00744005" w:rsidRDefault="00744005" w:rsidP="00FD6EE5">
      <w:pPr>
        <w:jc w:val="both"/>
        <w:rPr>
          <w:rFonts w:ascii="Tahoma" w:hAnsi="Tahoma" w:cs="Tahoma"/>
          <w:sz w:val="18"/>
          <w:szCs w:val="18"/>
        </w:rPr>
      </w:pPr>
    </w:p>
    <w:p w:rsidR="00744005" w:rsidRPr="00744005" w:rsidRDefault="00744005" w:rsidP="00FD6EE5">
      <w:pPr>
        <w:jc w:val="both"/>
        <w:rPr>
          <w:rFonts w:ascii="Tahoma" w:hAnsi="Tahoma" w:cs="Tahoma"/>
          <w:sz w:val="18"/>
          <w:szCs w:val="18"/>
        </w:rPr>
      </w:pPr>
      <w:r>
        <w:rPr>
          <w:rFonts w:ascii="Tahoma" w:hAnsi="Tahoma" w:cs="Tahoma"/>
          <w:b/>
          <w:sz w:val="18"/>
          <w:szCs w:val="18"/>
        </w:rPr>
        <w:t xml:space="preserve">2.12 </w:t>
      </w:r>
      <w:r>
        <w:rPr>
          <w:rFonts w:ascii="Tahoma" w:hAnsi="Tahoma" w:cs="Tahoma"/>
          <w:sz w:val="18"/>
          <w:szCs w:val="18"/>
        </w:rPr>
        <w:t>En consecuencia, una vez surtido el trámite anterior, se me otorga poder, para solicitar la presente CONCILIACION PREJUDICIAL.</w:t>
      </w:r>
    </w:p>
    <w:p w:rsidR="00FD6EE5" w:rsidRPr="00FD6EE5" w:rsidRDefault="00FD6EE5" w:rsidP="00FD6EE5">
      <w:pPr>
        <w:jc w:val="both"/>
        <w:rPr>
          <w:rFonts w:ascii="Tahoma" w:hAnsi="Tahoma" w:cs="Tahoma"/>
          <w:i/>
          <w:color w:val="000000"/>
          <w:spacing w:val="6"/>
          <w:sz w:val="18"/>
          <w:szCs w:val="18"/>
          <w:lang w:val="es-ES_tradnl"/>
        </w:rPr>
      </w:pPr>
    </w:p>
    <w:p w:rsidR="000D1BDB" w:rsidRPr="002B1ED1" w:rsidRDefault="000D1BDB" w:rsidP="000D1BDB">
      <w:pPr>
        <w:numPr>
          <w:ilvl w:val="0"/>
          <w:numId w:val="2"/>
        </w:numPr>
        <w:jc w:val="both"/>
        <w:rPr>
          <w:rFonts w:ascii="Tahoma" w:hAnsi="Tahoma" w:cs="Tahoma"/>
          <w:color w:val="000000"/>
          <w:spacing w:val="5"/>
          <w:sz w:val="18"/>
          <w:szCs w:val="18"/>
          <w:lang w:val="es-ES_tradnl"/>
        </w:rPr>
      </w:pPr>
      <w:r w:rsidRPr="002B1ED1">
        <w:rPr>
          <w:rFonts w:ascii="Tahoma" w:hAnsi="Tahoma" w:cs="Tahoma"/>
          <w:color w:val="000000"/>
          <w:sz w:val="18"/>
          <w:szCs w:val="18"/>
          <w:lang w:val="es-ES_tradnl"/>
        </w:rPr>
        <w:t xml:space="preserve">Como </w:t>
      </w:r>
      <w:r w:rsidRPr="002B1ED1">
        <w:rPr>
          <w:rFonts w:ascii="Tahoma" w:hAnsi="Tahoma" w:cs="Tahoma"/>
          <w:b/>
          <w:color w:val="000000"/>
          <w:sz w:val="18"/>
          <w:szCs w:val="18"/>
          <w:lang w:val="es-ES_tradnl"/>
        </w:rPr>
        <w:t>pruebas</w:t>
      </w:r>
      <w:r w:rsidRPr="002B1ED1">
        <w:rPr>
          <w:rFonts w:ascii="Tahoma" w:hAnsi="Tahoma" w:cs="Tahoma"/>
          <w:color w:val="000000"/>
          <w:sz w:val="18"/>
          <w:szCs w:val="18"/>
          <w:lang w:val="es-ES_tradnl"/>
        </w:rPr>
        <w:t xml:space="preserve"> se allegaron al proceso las siguientes:</w:t>
      </w:r>
    </w:p>
    <w:p w:rsidR="000D1BDB" w:rsidRPr="002B1ED1" w:rsidRDefault="000D1BDB" w:rsidP="000D1BDB">
      <w:pPr>
        <w:jc w:val="both"/>
        <w:rPr>
          <w:rFonts w:ascii="Tahoma" w:hAnsi="Tahoma" w:cs="Tahoma"/>
          <w:color w:val="000000"/>
          <w:sz w:val="18"/>
          <w:szCs w:val="18"/>
          <w:lang w:val="es-ES_tradnl"/>
        </w:rPr>
      </w:pPr>
    </w:p>
    <w:p w:rsidR="000D1BDB" w:rsidRDefault="000D1BDB" w:rsidP="00744005">
      <w:pPr>
        <w:jc w:val="both"/>
        <w:rPr>
          <w:rFonts w:ascii="Tahoma" w:hAnsi="Tahoma" w:cs="Tahoma"/>
          <w:color w:val="000000"/>
          <w:sz w:val="18"/>
          <w:szCs w:val="18"/>
          <w:lang w:val="es-ES_tradnl"/>
        </w:rPr>
      </w:pPr>
      <w:r w:rsidRPr="002B1ED1">
        <w:rPr>
          <w:rFonts w:ascii="Tahoma" w:hAnsi="Tahoma" w:cs="Tahoma"/>
          <w:b/>
          <w:color w:val="000000"/>
          <w:sz w:val="18"/>
          <w:szCs w:val="18"/>
          <w:lang w:val="es-ES_tradnl"/>
        </w:rPr>
        <w:t>3.1.</w:t>
      </w:r>
      <w:r w:rsidRPr="002B1ED1">
        <w:rPr>
          <w:rFonts w:ascii="Tahoma" w:hAnsi="Tahoma" w:cs="Tahoma"/>
          <w:color w:val="000000"/>
          <w:sz w:val="18"/>
          <w:szCs w:val="18"/>
          <w:lang w:val="es-ES_tradnl"/>
        </w:rPr>
        <w:t xml:space="preserve"> </w:t>
      </w:r>
      <w:r w:rsidR="00744005">
        <w:rPr>
          <w:rFonts w:ascii="Tahoma" w:hAnsi="Tahoma" w:cs="Tahoma"/>
          <w:color w:val="000000"/>
          <w:sz w:val="18"/>
          <w:szCs w:val="18"/>
          <w:lang w:val="es-ES_tradnl"/>
        </w:rPr>
        <w:t>Poder otorgado por el señor Nelson Daniel Álvarez Ospina, quien actúa en calidad de Jefe de la Oficina Asesora Jurídica de la ESAP</w:t>
      </w:r>
      <w:r w:rsidR="00744005">
        <w:rPr>
          <w:rStyle w:val="Refdenotaalpie"/>
          <w:rFonts w:ascii="Tahoma" w:hAnsi="Tahoma"/>
          <w:color w:val="000000"/>
          <w:sz w:val="18"/>
          <w:szCs w:val="18"/>
          <w:lang w:val="es-ES_tradnl"/>
        </w:rPr>
        <w:footnoteReference w:id="1"/>
      </w:r>
      <w:r w:rsidR="00744005">
        <w:rPr>
          <w:rFonts w:ascii="Tahoma" w:hAnsi="Tahoma" w:cs="Tahoma"/>
          <w:color w:val="000000"/>
          <w:sz w:val="18"/>
          <w:szCs w:val="18"/>
          <w:lang w:val="es-ES_tradnl"/>
        </w:rPr>
        <w:t>, al abogado Fabián Camilo Márquez Prieto (folio 2 del cuaderno principal).</w:t>
      </w:r>
    </w:p>
    <w:p w:rsidR="008513A9" w:rsidRDefault="008513A9" w:rsidP="00744005">
      <w:pPr>
        <w:jc w:val="both"/>
        <w:rPr>
          <w:rFonts w:ascii="Tahoma" w:hAnsi="Tahoma" w:cs="Tahoma"/>
          <w:color w:val="000000"/>
          <w:sz w:val="18"/>
          <w:szCs w:val="18"/>
          <w:lang w:val="es-ES_tradnl"/>
        </w:rPr>
      </w:pPr>
    </w:p>
    <w:p w:rsidR="008513A9" w:rsidRDefault="008513A9" w:rsidP="00744005">
      <w:pPr>
        <w:jc w:val="both"/>
        <w:rPr>
          <w:rFonts w:ascii="Tahoma" w:hAnsi="Tahoma" w:cs="Tahoma"/>
          <w:color w:val="000000"/>
          <w:sz w:val="18"/>
          <w:szCs w:val="18"/>
          <w:lang w:val="es-ES_tradnl"/>
        </w:rPr>
      </w:pPr>
      <w:r>
        <w:rPr>
          <w:rFonts w:ascii="Tahoma" w:hAnsi="Tahoma" w:cs="Tahoma"/>
          <w:b/>
          <w:color w:val="000000"/>
          <w:sz w:val="18"/>
          <w:szCs w:val="18"/>
          <w:lang w:val="es-ES_tradnl"/>
        </w:rPr>
        <w:t>3.2</w:t>
      </w:r>
      <w:r>
        <w:rPr>
          <w:rFonts w:ascii="Tahoma" w:hAnsi="Tahoma" w:cs="Tahoma"/>
          <w:color w:val="000000"/>
          <w:sz w:val="18"/>
          <w:szCs w:val="18"/>
          <w:lang w:val="es-ES_tradnl"/>
        </w:rPr>
        <w:t xml:space="preserve"> Copia autentica del contrato de prestación de servicios profesionales No. 803 de 2013, celebrado entre la Escuela Superior de Administración Pública – ESAP, y Alcira Inés Luque Blanco (folio 8 al 13 del cuaderno principal).</w:t>
      </w:r>
    </w:p>
    <w:p w:rsidR="008513A9" w:rsidRDefault="008513A9" w:rsidP="00744005">
      <w:pPr>
        <w:jc w:val="both"/>
        <w:rPr>
          <w:rFonts w:ascii="Tahoma" w:hAnsi="Tahoma" w:cs="Tahoma"/>
          <w:color w:val="000000"/>
          <w:sz w:val="18"/>
          <w:szCs w:val="18"/>
          <w:lang w:val="es-ES_tradnl"/>
        </w:rPr>
      </w:pPr>
    </w:p>
    <w:p w:rsidR="008513A9" w:rsidRDefault="008513A9" w:rsidP="00744005">
      <w:pPr>
        <w:jc w:val="both"/>
        <w:rPr>
          <w:rFonts w:ascii="Tahoma" w:hAnsi="Tahoma" w:cs="Tahoma"/>
          <w:color w:val="000000"/>
          <w:sz w:val="18"/>
          <w:szCs w:val="18"/>
          <w:lang w:val="es-ES_tradnl"/>
        </w:rPr>
      </w:pPr>
      <w:r>
        <w:rPr>
          <w:rFonts w:ascii="Tahoma" w:hAnsi="Tahoma" w:cs="Tahoma"/>
          <w:b/>
          <w:color w:val="000000"/>
          <w:sz w:val="18"/>
          <w:szCs w:val="18"/>
          <w:lang w:val="es-ES_tradnl"/>
        </w:rPr>
        <w:t xml:space="preserve">3.3 </w:t>
      </w:r>
      <w:r>
        <w:rPr>
          <w:rFonts w:ascii="Tahoma" w:hAnsi="Tahoma" w:cs="Tahoma"/>
          <w:color w:val="000000"/>
          <w:sz w:val="18"/>
          <w:szCs w:val="18"/>
          <w:lang w:val="es-ES_tradnl"/>
        </w:rPr>
        <w:t>Oficio No. DAC – 172-160.0093-2014, del 31 de marzo de 2014, dirigido al Jefe de la Oficina Asesora Jurídica (folio 14 al 17 del cuaderno principal).</w:t>
      </w:r>
    </w:p>
    <w:p w:rsidR="008513A9" w:rsidRDefault="008513A9" w:rsidP="00744005">
      <w:pPr>
        <w:jc w:val="both"/>
        <w:rPr>
          <w:rFonts w:ascii="Tahoma" w:hAnsi="Tahoma" w:cs="Tahoma"/>
          <w:color w:val="000000"/>
          <w:sz w:val="18"/>
          <w:szCs w:val="18"/>
          <w:lang w:val="es-ES_tradnl"/>
        </w:rPr>
      </w:pPr>
    </w:p>
    <w:p w:rsidR="008513A9" w:rsidRDefault="008513A9" w:rsidP="00744005">
      <w:pPr>
        <w:jc w:val="both"/>
        <w:rPr>
          <w:rFonts w:ascii="Tahoma" w:hAnsi="Tahoma" w:cs="Tahoma"/>
          <w:color w:val="000000"/>
          <w:sz w:val="18"/>
          <w:szCs w:val="18"/>
          <w:lang w:val="es-ES_tradnl"/>
        </w:rPr>
      </w:pPr>
      <w:r>
        <w:rPr>
          <w:rFonts w:ascii="Tahoma" w:hAnsi="Tahoma" w:cs="Tahoma"/>
          <w:b/>
          <w:color w:val="000000"/>
          <w:sz w:val="18"/>
          <w:szCs w:val="18"/>
          <w:lang w:val="es-ES_tradnl"/>
        </w:rPr>
        <w:t>3.4</w:t>
      </w:r>
      <w:r>
        <w:rPr>
          <w:rFonts w:ascii="Tahoma" w:hAnsi="Tahoma" w:cs="Tahoma"/>
          <w:color w:val="000000"/>
          <w:sz w:val="18"/>
          <w:szCs w:val="18"/>
          <w:lang w:val="es-ES_tradnl"/>
        </w:rPr>
        <w:t xml:space="preserve"> Copia simple del oficio DAC-172-160-0091-2014, dirigido al Jefe del Departamento de Asesoría y Consultorías (folio 18 del cuaderno principal).</w:t>
      </w:r>
    </w:p>
    <w:p w:rsidR="008513A9" w:rsidRDefault="008513A9" w:rsidP="00744005">
      <w:pPr>
        <w:jc w:val="both"/>
        <w:rPr>
          <w:rFonts w:ascii="Tahoma" w:hAnsi="Tahoma" w:cs="Tahoma"/>
          <w:color w:val="000000"/>
          <w:sz w:val="18"/>
          <w:szCs w:val="18"/>
          <w:lang w:val="es-ES_tradnl"/>
        </w:rPr>
      </w:pPr>
    </w:p>
    <w:p w:rsidR="008513A9" w:rsidRDefault="008513A9" w:rsidP="00744005">
      <w:pPr>
        <w:jc w:val="both"/>
        <w:rPr>
          <w:rFonts w:ascii="Tahoma" w:hAnsi="Tahoma" w:cs="Tahoma"/>
          <w:color w:val="000000"/>
          <w:sz w:val="18"/>
          <w:szCs w:val="18"/>
          <w:lang w:val="es-ES_tradnl"/>
        </w:rPr>
      </w:pPr>
      <w:r>
        <w:rPr>
          <w:rFonts w:ascii="Tahoma" w:hAnsi="Tahoma" w:cs="Tahoma"/>
          <w:b/>
          <w:color w:val="000000"/>
          <w:sz w:val="18"/>
          <w:szCs w:val="18"/>
          <w:lang w:val="es-ES_tradnl"/>
        </w:rPr>
        <w:t xml:space="preserve">3.5 </w:t>
      </w:r>
      <w:r>
        <w:rPr>
          <w:rFonts w:ascii="Tahoma" w:hAnsi="Tahoma" w:cs="Tahoma"/>
          <w:color w:val="000000"/>
          <w:sz w:val="18"/>
          <w:szCs w:val="18"/>
          <w:lang w:val="es-ES_tradnl"/>
        </w:rPr>
        <w:t>Certificado expedido por el Jefe del Departamento de Asesoría y Consultorías (folio 19 del cuaderno principal).</w:t>
      </w:r>
    </w:p>
    <w:p w:rsidR="008513A9" w:rsidRDefault="008513A9" w:rsidP="00744005">
      <w:pPr>
        <w:jc w:val="both"/>
        <w:rPr>
          <w:rFonts w:ascii="Tahoma" w:hAnsi="Tahoma" w:cs="Tahoma"/>
          <w:color w:val="000000"/>
          <w:sz w:val="18"/>
          <w:szCs w:val="18"/>
          <w:lang w:val="es-ES_tradnl"/>
        </w:rPr>
      </w:pPr>
    </w:p>
    <w:p w:rsidR="008513A9" w:rsidRDefault="008513A9" w:rsidP="00744005">
      <w:pPr>
        <w:jc w:val="both"/>
        <w:rPr>
          <w:rFonts w:ascii="Tahoma" w:hAnsi="Tahoma" w:cs="Tahoma"/>
          <w:color w:val="000000"/>
          <w:sz w:val="18"/>
          <w:szCs w:val="18"/>
          <w:lang w:val="es-ES_tradnl"/>
        </w:rPr>
      </w:pPr>
      <w:r>
        <w:rPr>
          <w:rFonts w:ascii="Tahoma" w:hAnsi="Tahoma" w:cs="Tahoma"/>
          <w:b/>
          <w:color w:val="000000"/>
          <w:sz w:val="18"/>
          <w:szCs w:val="18"/>
          <w:lang w:val="es-ES_tradnl"/>
        </w:rPr>
        <w:t xml:space="preserve">3.6 </w:t>
      </w:r>
      <w:r>
        <w:rPr>
          <w:rFonts w:ascii="Tahoma" w:hAnsi="Tahoma" w:cs="Tahoma"/>
          <w:color w:val="000000"/>
          <w:sz w:val="18"/>
          <w:szCs w:val="18"/>
          <w:lang w:val="es-ES_tradnl"/>
        </w:rPr>
        <w:t xml:space="preserve">Reporte de relación de pagos, Comprobante de Obligación Presupuestal, </w:t>
      </w:r>
      <w:r w:rsidR="00ED0C52">
        <w:rPr>
          <w:rFonts w:ascii="Tahoma" w:hAnsi="Tahoma" w:cs="Tahoma"/>
          <w:color w:val="000000"/>
          <w:sz w:val="18"/>
          <w:szCs w:val="18"/>
          <w:lang w:val="es-ES_tradnl"/>
        </w:rPr>
        <w:t>Reporte certificado de disponibilidad presupuestal y reporte compromiso presupuestal de gasto (folio 20 al 23del cuaderno principal).</w:t>
      </w:r>
    </w:p>
    <w:p w:rsidR="00ED0C52" w:rsidRDefault="00ED0C52" w:rsidP="00744005">
      <w:pPr>
        <w:jc w:val="both"/>
        <w:rPr>
          <w:rFonts w:ascii="Tahoma" w:hAnsi="Tahoma" w:cs="Tahoma"/>
          <w:color w:val="000000"/>
          <w:sz w:val="18"/>
          <w:szCs w:val="18"/>
          <w:lang w:val="es-ES_tradnl"/>
        </w:rPr>
      </w:pPr>
    </w:p>
    <w:p w:rsidR="00ED0C52" w:rsidRDefault="00ED0C52" w:rsidP="00744005">
      <w:pPr>
        <w:jc w:val="both"/>
        <w:rPr>
          <w:rFonts w:ascii="Tahoma" w:hAnsi="Tahoma" w:cs="Tahoma"/>
          <w:color w:val="000000"/>
          <w:sz w:val="18"/>
          <w:szCs w:val="18"/>
          <w:lang w:val="es-ES_tradnl"/>
        </w:rPr>
      </w:pPr>
      <w:r>
        <w:rPr>
          <w:rFonts w:ascii="Tahoma" w:hAnsi="Tahoma" w:cs="Tahoma"/>
          <w:b/>
          <w:color w:val="000000"/>
          <w:sz w:val="18"/>
          <w:szCs w:val="18"/>
          <w:lang w:val="es-ES_tradnl"/>
        </w:rPr>
        <w:t xml:space="preserve">3.7 </w:t>
      </w:r>
      <w:r>
        <w:rPr>
          <w:rFonts w:ascii="Tahoma" w:hAnsi="Tahoma" w:cs="Tahoma"/>
          <w:color w:val="000000"/>
          <w:sz w:val="18"/>
          <w:szCs w:val="18"/>
          <w:lang w:val="es-ES_tradnl"/>
        </w:rPr>
        <w:t>Ficha técnica de conciliación (folio 24 al 26 del cuaderno principal).</w:t>
      </w:r>
    </w:p>
    <w:p w:rsidR="00ED0C52" w:rsidRDefault="00ED0C52" w:rsidP="00744005">
      <w:pPr>
        <w:jc w:val="both"/>
        <w:rPr>
          <w:rFonts w:ascii="Tahoma" w:hAnsi="Tahoma" w:cs="Tahoma"/>
          <w:color w:val="000000"/>
          <w:sz w:val="18"/>
          <w:szCs w:val="18"/>
          <w:lang w:val="es-ES_tradnl"/>
        </w:rPr>
      </w:pPr>
    </w:p>
    <w:p w:rsidR="00ED0C52" w:rsidRDefault="00ED0C52" w:rsidP="00744005">
      <w:pPr>
        <w:jc w:val="both"/>
        <w:rPr>
          <w:rFonts w:ascii="Tahoma" w:hAnsi="Tahoma" w:cs="Tahoma"/>
          <w:color w:val="000000"/>
          <w:sz w:val="18"/>
          <w:szCs w:val="18"/>
          <w:lang w:val="es-ES_tradnl"/>
        </w:rPr>
      </w:pPr>
      <w:r>
        <w:rPr>
          <w:rFonts w:ascii="Tahoma" w:hAnsi="Tahoma" w:cs="Tahoma"/>
          <w:b/>
          <w:color w:val="000000"/>
          <w:sz w:val="18"/>
          <w:szCs w:val="18"/>
          <w:lang w:val="es-ES_tradnl"/>
        </w:rPr>
        <w:t xml:space="preserve">3.8 </w:t>
      </w:r>
      <w:r>
        <w:rPr>
          <w:rFonts w:ascii="Tahoma" w:hAnsi="Tahoma" w:cs="Tahoma"/>
          <w:color w:val="000000"/>
          <w:sz w:val="18"/>
          <w:szCs w:val="18"/>
          <w:lang w:val="es-ES_tradnl"/>
        </w:rPr>
        <w:t>Copia autentica del Acta del Comité de Conciliación de la ESAP (folio 27 al 55 del cuaderno principal)</w:t>
      </w:r>
    </w:p>
    <w:p w:rsidR="00ED0C52" w:rsidRDefault="00ED0C52" w:rsidP="00744005">
      <w:pPr>
        <w:jc w:val="both"/>
        <w:rPr>
          <w:rFonts w:ascii="Tahoma" w:hAnsi="Tahoma" w:cs="Tahoma"/>
          <w:color w:val="000000"/>
          <w:sz w:val="18"/>
          <w:szCs w:val="18"/>
          <w:lang w:val="es-ES_tradnl"/>
        </w:rPr>
      </w:pPr>
    </w:p>
    <w:p w:rsidR="00ED0C52" w:rsidRDefault="00ED0C52" w:rsidP="00744005">
      <w:pPr>
        <w:jc w:val="both"/>
        <w:rPr>
          <w:rFonts w:ascii="Tahoma" w:hAnsi="Tahoma" w:cs="Tahoma"/>
          <w:color w:val="000000"/>
          <w:sz w:val="18"/>
          <w:szCs w:val="18"/>
          <w:lang w:val="es-ES_tradnl"/>
        </w:rPr>
      </w:pPr>
      <w:r>
        <w:rPr>
          <w:rFonts w:ascii="Tahoma" w:hAnsi="Tahoma" w:cs="Tahoma"/>
          <w:b/>
          <w:color w:val="000000"/>
          <w:sz w:val="18"/>
          <w:szCs w:val="18"/>
          <w:lang w:val="es-ES_tradnl"/>
        </w:rPr>
        <w:t xml:space="preserve">3.9 </w:t>
      </w:r>
      <w:r>
        <w:rPr>
          <w:rFonts w:ascii="Tahoma" w:hAnsi="Tahoma" w:cs="Tahoma"/>
          <w:color w:val="000000"/>
          <w:sz w:val="18"/>
          <w:szCs w:val="18"/>
          <w:lang w:val="es-ES_tradnl"/>
        </w:rPr>
        <w:t>Poder otorgado por la señora Alcira Inés Luque Blanco al abogado Juan Carlos Fernández Garzón (folio 71 del cuaderno principal).</w:t>
      </w:r>
    </w:p>
    <w:p w:rsidR="00ED0C52" w:rsidRDefault="00ED0C52" w:rsidP="00744005">
      <w:pPr>
        <w:jc w:val="both"/>
        <w:rPr>
          <w:rFonts w:ascii="Tahoma" w:hAnsi="Tahoma" w:cs="Tahoma"/>
          <w:color w:val="000000"/>
          <w:sz w:val="18"/>
          <w:szCs w:val="18"/>
          <w:lang w:val="es-ES_tradnl"/>
        </w:rPr>
      </w:pPr>
    </w:p>
    <w:p w:rsidR="00802F16" w:rsidRDefault="00802F16" w:rsidP="00744005">
      <w:pPr>
        <w:jc w:val="both"/>
        <w:rPr>
          <w:rFonts w:ascii="Tahoma" w:hAnsi="Tahoma" w:cs="Tahoma"/>
          <w:color w:val="000000"/>
          <w:sz w:val="18"/>
          <w:szCs w:val="18"/>
          <w:lang w:val="es-ES_tradnl"/>
        </w:rPr>
      </w:pPr>
      <w:r>
        <w:rPr>
          <w:rFonts w:ascii="Tahoma" w:hAnsi="Tahoma" w:cs="Tahoma"/>
          <w:b/>
          <w:color w:val="000000"/>
          <w:sz w:val="18"/>
          <w:szCs w:val="18"/>
          <w:lang w:val="es-ES_tradnl"/>
        </w:rPr>
        <w:t xml:space="preserve">3.10 </w:t>
      </w:r>
      <w:r>
        <w:rPr>
          <w:rFonts w:ascii="Tahoma" w:hAnsi="Tahoma" w:cs="Tahoma"/>
          <w:color w:val="000000"/>
          <w:sz w:val="18"/>
          <w:szCs w:val="18"/>
          <w:lang w:val="es-ES_tradnl"/>
        </w:rPr>
        <w:t>Copia simple de reporte de relación de pagos, de estudios previos de conveniencia y oportunidad, de certificado de  disponibilidad presupuestal, de viabilidad técnica a subactividades. (Folio 75 al 87 del cuaderno principal).</w:t>
      </w:r>
    </w:p>
    <w:p w:rsidR="00802F16" w:rsidRDefault="00802F16" w:rsidP="00744005">
      <w:pPr>
        <w:jc w:val="both"/>
        <w:rPr>
          <w:rFonts w:ascii="Tahoma" w:hAnsi="Tahoma" w:cs="Tahoma"/>
          <w:color w:val="000000"/>
          <w:sz w:val="18"/>
          <w:szCs w:val="18"/>
          <w:lang w:val="es-ES_tradnl"/>
        </w:rPr>
      </w:pPr>
    </w:p>
    <w:p w:rsidR="00802F16" w:rsidRDefault="00802F16" w:rsidP="00744005">
      <w:pPr>
        <w:jc w:val="both"/>
        <w:rPr>
          <w:rFonts w:ascii="Tahoma" w:hAnsi="Tahoma" w:cs="Tahoma"/>
          <w:color w:val="000000"/>
          <w:sz w:val="18"/>
          <w:szCs w:val="18"/>
          <w:lang w:val="es-ES_tradnl"/>
        </w:rPr>
      </w:pPr>
      <w:r>
        <w:rPr>
          <w:rFonts w:ascii="Tahoma" w:hAnsi="Tahoma" w:cs="Tahoma"/>
          <w:b/>
          <w:color w:val="000000"/>
          <w:sz w:val="18"/>
          <w:szCs w:val="18"/>
          <w:lang w:val="es-ES_tradnl"/>
        </w:rPr>
        <w:t xml:space="preserve">3.11 </w:t>
      </w:r>
      <w:r w:rsidRPr="00802F16">
        <w:rPr>
          <w:rFonts w:ascii="Tahoma" w:hAnsi="Tahoma" w:cs="Tahoma"/>
          <w:color w:val="000000"/>
          <w:sz w:val="18"/>
          <w:szCs w:val="18"/>
          <w:lang w:val="es-ES_tradnl"/>
        </w:rPr>
        <w:t>C</w:t>
      </w:r>
      <w:r>
        <w:rPr>
          <w:rFonts w:ascii="Tahoma" w:hAnsi="Tahoma" w:cs="Tahoma"/>
          <w:color w:val="000000"/>
          <w:sz w:val="18"/>
          <w:szCs w:val="18"/>
          <w:lang w:val="es-ES_tradnl"/>
        </w:rPr>
        <w:t>ertificado expedido por el Subdirector Administrativo y Financiero de la ESAP, y del oficio del 12 de noviembre de 2013, que corresponde a la entrega de carpeta (folio 88 al 91 del cuaderno principal).</w:t>
      </w:r>
    </w:p>
    <w:p w:rsidR="00ED0C52" w:rsidRPr="00802F16" w:rsidRDefault="00802F16" w:rsidP="00744005">
      <w:pPr>
        <w:jc w:val="both"/>
        <w:rPr>
          <w:rFonts w:ascii="Tahoma" w:hAnsi="Tahoma" w:cs="Tahoma"/>
          <w:sz w:val="18"/>
          <w:szCs w:val="18"/>
          <w:lang w:val="es-MX"/>
        </w:rPr>
      </w:pPr>
      <w:r>
        <w:rPr>
          <w:rFonts w:ascii="Tahoma" w:hAnsi="Tahoma" w:cs="Tahoma"/>
          <w:color w:val="000000"/>
          <w:sz w:val="18"/>
          <w:szCs w:val="18"/>
          <w:lang w:val="es-ES_tradnl"/>
        </w:rPr>
        <w:t xml:space="preserve"> </w:t>
      </w:r>
    </w:p>
    <w:p w:rsidR="000D1BDB" w:rsidRPr="002B1ED1" w:rsidRDefault="000D1BDB" w:rsidP="000D1BDB">
      <w:pPr>
        <w:jc w:val="both"/>
        <w:rPr>
          <w:rFonts w:ascii="Tahoma" w:hAnsi="Tahoma" w:cs="Tahoma"/>
          <w:sz w:val="18"/>
          <w:szCs w:val="18"/>
        </w:rPr>
      </w:pPr>
    </w:p>
    <w:p w:rsidR="000D1BDB" w:rsidRPr="002B1ED1" w:rsidRDefault="000D1BDB" w:rsidP="000D1BDB">
      <w:pPr>
        <w:jc w:val="center"/>
        <w:rPr>
          <w:rFonts w:ascii="Tahoma" w:hAnsi="Tahoma" w:cs="Tahoma"/>
          <w:b/>
          <w:sz w:val="18"/>
          <w:szCs w:val="18"/>
        </w:rPr>
      </w:pPr>
      <w:r w:rsidRPr="002B1ED1">
        <w:rPr>
          <w:rFonts w:ascii="Tahoma" w:hAnsi="Tahoma" w:cs="Tahoma"/>
          <w:b/>
          <w:sz w:val="18"/>
          <w:szCs w:val="18"/>
        </w:rPr>
        <w:t>4.  CONSIDERACIONES</w:t>
      </w:r>
    </w:p>
    <w:p w:rsidR="000D1BDB" w:rsidRPr="002B1ED1" w:rsidRDefault="000D1BDB" w:rsidP="000D1BDB">
      <w:pPr>
        <w:jc w:val="center"/>
        <w:rPr>
          <w:rFonts w:ascii="Tahoma" w:hAnsi="Tahoma" w:cs="Tahoma"/>
          <w:b/>
          <w:sz w:val="18"/>
          <w:szCs w:val="18"/>
        </w:rPr>
      </w:pPr>
    </w:p>
    <w:p w:rsidR="000D1BDB" w:rsidRPr="00547927" w:rsidRDefault="000D1BDB" w:rsidP="000D1BDB">
      <w:pPr>
        <w:tabs>
          <w:tab w:val="left" w:pos="567"/>
        </w:tabs>
        <w:jc w:val="both"/>
        <w:rPr>
          <w:rFonts w:ascii="Tahoma" w:hAnsi="Tahoma" w:cs="Tahoma"/>
          <w:sz w:val="17"/>
          <w:szCs w:val="17"/>
        </w:rPr>
      </w:pPr>
      <w:r w:rsidRPr="00547927">
        <w:rPr>
          <w:rFonts w:ascii="Tahoma" w:hAnsi="Tahoma" w:cs="Tahoma"/>
          <w:sz w:val="17"/>
          <w:szCs w:val="17"/>
        </w:rPr>
        <w:t>Con fundamento en la ley, el Consejo de Estado</w:t>
      </w:r>
      <w:r w:rsidRPr="00547927">
        <w:rPr>
          <w:rStyle w:val="Refdenotaalpie"/>
          <w:sz w:val="17"/>
          <w:szCs w:val="17"/>
        </w:rPr>
        <w:footnoteReference w:id="2"/>
      </w:r>
      <w:r w:rsidRPr="00547927">
        <w:rPr>
          <w:rFonts w:ascii="Tahoma" w:hAnsi="Tahoma" w:cs="Tahoma"/>
          <w:sz w:val="17"/>
          <w:szCs w:val="17"/>
        </w:rPr>
        <w:t xml:space="preserve"> en reiterada jurisprudencia ha definido los siguientes supuestos, para la aprobación de la conciliación contenciosa administrativa: </w:t>
      </w:r>
    </w:p>
    <w:p w:rsidR="000D1BDB" w:rsidRPr="00547927" w:rsidRDefault="000D1BDB" w:rsidP="000D1BDB">
      <w:pPr>
        <w:tabs>
          <w:tab w:val="left" w:pos="142"/>
        </w:tabs>
        <w:jc w:val="both"/>
        <w:rPr>
          <w:rFonts w:ascii="Tahoma" w:hAnsi="Tahoma" w:cs="Tahoma"/>
          <w:sz w:val="17"/>
          <w:szCs w:val="17"/>
        </w:rPr>
      </w:pPr>
    </w:p>
    <w:p w:rsidR="000D1BDB" w:rsidRPr="00547927" w:rsidRDefault="000D1BDB" w:rsidP="000D1BDB">
      <w:pPr>
        <w:numPr>
          <w:ilvl w:val="0"/>
          <w:numId w:val="4"/>
        </w:numPr>
        <w:tabs>
          <w:tab w:val="clear" w:pos="360"/>
          <w:tab w:val="num" w:pos="0"/>
          <w:tab w:val="left" w:pos="142"/>
          <w:tab w:val="left" w:pos="426"/>
        </w:tabs>
        <w:ind w:left="0" w:firstLine="0"/>
        <w:jc w:val="both"/>
        <w:rPr>
          <w:rFonts w:ascii="Tahoma" w:hAnsi="Tahoma" w:cs="Tahoma"/>
          <w:sz w:val="17"/>
          <w:szCs w:val="17"/>
        </w:rPr>
      </w:pPr>
      <w:r w:rsidRPr="00547927">
        <w:rPr>
          <w:rFonts w:ascii="Tahoma" w:hAnsi="Tahoma" w:cs="Tahoma"/>
          <w:sz w:val="17"/>
          <w:szCs w:val="17"/>
        </w:rPr>
        <w:t xml:space="preserve"> Que verse sobre derechos económicos disponibles por las partes.</w:t>
      </w:r>
    </w:p>
    <w:p w:rsidR="000D1BDB" w:rsidRPr="00547927" w:rsidRDefault="000D1BDB" w:rsidP="000D1BDB">
      <w:pPr>
        <w:numPr>
          <w:ilvl w:val="0"/>
          <w:numId w:val="4"/>
        </w:numPr>
        <w:tabs>
          <w:tab w:val="clear" w:pos="360"/>
          <w:tab w:val="num" w:pos="0"/>
          <w:tab w:val="left" w:pos="142"/>
          <w:tab w:val="left" w:pos="426"/>
        </w:tabs>
        <w:ind w:left="0" w:firstLine="0"/>
        <w:jc w:val="both"/>
        <w:rPr>
          <w:rFonts w:ascii="Tahoma" w:hAnsi="Tahoma" w:cs="Tahoma"/>
          <w:sz w:val="17"/>
          <w:szCs w:val="17"/>
        </w:rPr>
      </w:pPr>
      <w:r w:rsidRPr="00547927">
        <w:rPr>
          <w:rFonts w:ascii="Tahoma" w:hAnsi="Tahoma" w:cs="Tahoma"/>
          <w:sz w:val="17"/>
          <w:szCs w:val="17"/>
        </w:rPr>
        <w:t xml:space="preserve"> Que las entidades estén debidamente representadas.  </w:t>
      </w:r>
    </w:p>
    <w:p w:rsidR="000D1BDB" w:rsidRPr="00547927" w:rsidRDefault="000D1BDB" w:rsidP="000D1BDB">
      <w:pPr>
        <w:numPr>
          <w:ilvl w:val="0"/>
          <w:numId w:val="4"/>
        </w:numPr>
        <w:tabs>
          <w:tab w:val="num" w:pos="0"/>
          <w:tab w:val="left" w:pos="142"/>
        </w:tabs>
        <w:ind w:left="0" w:firstLine="0"/>
        <w:jc w:val="both"/>
        <w:rPr>
          <w:rFonts w:ascii="Tahoma" w:hAnsi="Tahoma" w:cs="Tahoma"/>
          <w:sz w:val="17"/>
          <w:szCs w:val="17"/>
        </w:rPr>
      </w:pPr>
      <w:r w:rsidRPr="00547927">
        <w:rPr>
          <w:rFonts w:ascii="Tahoma" w:hAnsi="Tahoma" w:cs="Tahoma"/>
          <w:sz w:val="17"/>
          <w:szCs w:val="17"/>
        </w:rPr>
        <w:t xml:space="preserve"> Que los representantes o conciliadores tengan capacidad o facultad para conciliar y disponer de la materia objeto de convenio.</w:t>
      </w:r>
    </w:p>
    <w:p w:rsidR="000D1BDB" w:rsidRPr="00547927" w:rsidRDefault="000D1BDB" w:rsidP="000D1BDB">
      <w:pPr>
        <w:numPr>
          <w:ilvl w:val="0"/>
          <w:numId w:val="4"/>
        </w:numPr>
        <w:tabs>
          <w:tab w:val="num" w:pos="0"/>
          <w:tab w:val="left" w:pos="142"/>
        </w:tabs>
        <w:ind w:left="0" w:firstLine="0"/>
        <w:jc w:val="both"/>
        <w:rPr>
          <w:rFonts w:ascii="Tahoma" w:hAnsi="Tahoma" w:cs="Tahoma"/>
          <w:sz w:val="17"/>
          <w:szCs w:val="17"/>
        </w:rPr>
      </w:pPr>
      <w:r w:rsidRPr="00547927">
        <w:rPr>
          <w:rFonts w:ascii="Tahoma" w:hAnsi="Tahoma" w:cs="Tahoma"/>
          <w:sz w:val="17"/>
          <w:szCs w:val="17"/>
        </w:rPr>
        <w:t xml:space="preserve"> Que no haya operado la caducidad de la acción.</w:t>
      </w:r>
    </w:p>
    <w:p w:rsidR="000D1BDB" w:rsidRPr="00547927" w:rsidRDefault="000D1BDB" w:rsidP="000D1BDB">
      <w:pPr>
        <w:numPr>
          <w:ilvl w:val="0"/>
          <w:numId w:val="4"/>
        </w:numPr>
        <w:tabs>
          <w:tab w:val="num" w:pos="0"/>
          <w:tab w:val="left" w:pos="142"/>
        </w:tabs>
        <w:ind w:left="0" w:firstLine="0"/>
        <w:jc w:val="both"/>
        <w:rPr>
          <w:rFonts w:ascii="Tahoma" w:hAnsi="Tahoma" w:cs="Tahoma"/>
          <w:sz w:val="17"/>
          <w:szCs w:val="17"/>
        </w:rPr>
      </w:pPr>
      <w:r w:rsidRPr="00547927">
        <w:rPr>
          <w:rFonts w:ascii="Tahoma" w:hAnsi="Tahoma" w:cs="Tahoma"/>
          <w:sz w:val="17"/>
          <w:szCs w:val="17"/>
        </w:rPr>
        <w:t xml:space="preserve"> Que no resulte abiertamente inconveniente o lesivo para el patrimonio de la administración.</w:t>
      </w:r>
    </w:p>
    <w:p w:rsidR="000D1BDB" w:rsidRPr="00547927" w:rsidRDefault="000D1BDB" w:rsidP="000D1BDB">
      <w:pPr>
        <w:numPr>
          <w:ilvl w:val="0"/>
          <w:numId w:val="4"/>
        </w:numPr>
        <w:tabs>
          <w:tab w:val="num" w:pos="0"/>
          <w:tab w:val="left" w:pos="142"/>
        </w:tabs>
        <w:ind w:left="0" w:firstLine="0"/>
        <w:jc w:val="both"/>
        <w:rPr>
          <w:rFonts w:ascii="Tahoma" w:hAnsi="Tahoma" w:cs="Tahoma"/>
          <w:sz w:val="17"/>
          <w:szCs w:val="17"/>
        </w:rPr>
      </w:pPr>
      <w:r w:rsidRPr="00547927">
        <w:rPr>
          <w:rFonts w:ascii="Tahoma" w:hAnsi="Tahoma" w:cs="Tahoma"/>
          <w:sz w:val="17"/>
          <w:szCs w:val="17"/>
        </w:rPr>
        <w:t xml:space="preserve"> Que los derechos reconocidos estén debidamente respaldados por las probanzas que se hubieren arrimado a la actuación.</w:t>
      </w:r>
    </w:p>
    <w:p w:rsidR="000D1BDB" w:rsidRPr="002B1ED1" w:rsidRDefault="000D1BDB" w:rsidP="000D1BDB">
      <w:pPr>
        <w:ind w:left="360"/>
        <w:jc w:val="both"/>
        <w:rPr>
          <w:rFonts w:ascii="Tahoma" w:hAnsi="Tahoma" w:cs="Tahoma"/>
          <w:sz w:val="18"/>
          <w:szCs w:val="18"/>
        </w:rPr>
      </w:pPr>
    </w:p>
    <w:p w:rsidR="000D1BDB" w:rsidRPr="002B1ED1" w:rsidRDefault="000D1BDB" w:rsidP="000D1BDB">
      <w:pPr>
        <w:jc w:val="both"/>
        <w:rPr>
          <w:rFonts w:ascii="Tahoma" w:hAnsi="Tahoma" w:cs="Tahoma"/>
          <w:b/>
          <w:sz w:val="18"/>
          <w:szCs w:val="18"/>
        </w:rPr>
      </w:pPr>
      <w:r w:rsidRPr="002B1ED1">
        <w:rPr>
          <w:rFonts w:ascii="Tahoma" w:hAnsi="Tahoma" w:cs="Tahoma"/>
          <w:b/>
          <w:sz w:val="18"/>
          <w:szCs w:val="18"/>
        </w:rPr>
        <w:t>Entraremos a estudiar si en el caso en estudio se cumplen los mencionados supuestos:</w:t>
      </w:r>
    </w:p>
    <w:p w:rsidR="000D1BDB" w:rsidRPr="002B1ED1" w:rsidRDefault="000D1BDB" w:rsidP="000D1BDB">
      <w:pPr>
        <w:jc w:val="both"/>
        <w:rPr>
          <w:rFonts w:ascii="Tahoma" w:hAnsi="Tahoma" w:cs="Tahoma"/>
          <w:sz w:val="18"/>
          <w:szCs w:val="18"/>
        </w:rPr>
      </w:pPr>
    </w:p>
    <w:p w:rsidR="000D1BDB" w:rsidRPr="002B1ED1" w:rsidRDefault="000D1BDB" w:rsidP="000D1BDB">
      <w:pPr>
        <w:numPr>
          <w:ilvl w:val="0"/>
          <w:numId w:val="1"/>
        </w:numPr>
        <w:overflowPunct w:val="0"/>
        <w:autoSpaceDE w:val="0"/>
        <w:autoSpaceDN w:val="0"/>
        <w:adjustRightInd w:val="0"/>
        <w:jc w:val="both"/>
        <w:textAlignment w:val="baseline"/>
        <w:rPr>
          <w:rFonts w:ascii="Tahoma" w:hAnsi="Tahoma" w:cs="Tahoma"/>
          <w:b/>
          <w:sz w:val="18"/>
          <w:szCs w:val="18"/>
        </w:rPr>
      </w:pPr>
      <w:r w:rsidRPr="002B1ED1">
        <w:rPr>
          <w:rFonts w:ascii="Tahoma" w:hAnsi="Tahoma" w:cs="Tahoma"/>
          <w:b/>
          <w:sz w:val="18"/>
          <w:szCs w:val="18"/>
        </w:rPr>
        <w:t>Representación y facultades de las partes</w:t>
      </w:r>
    </w:p>
    <w:p w:rsidR="000D1BDB" w:rsidRPr="002B1ED1" w:rsidRDefault="000D1BDB" w:rsidP="000D1BDB">
      <w:pPr>
        <w:jc w:val="both"/>
        <w:rPr>
          <w:rFonts w:ascii="Tahoma" w:hAnsi="Tahoma" w:cs="Tahoma"/>
          <w:sz w:val="18"/>
          <w:szCs w:val="18"/>
        </w:rPr>
      </w:pPr>
    </w:p>
    <w:p w:rsidR="000D1BDB" w:rsidRDefault="000D1BDB" w:rsidP="000D1BDB">
      <w:pPr>
        <w:jc w:val="both"/>
        <w:rPr>
          <w:rFonts w:ascii="Tahoma" w:hAnsi="Tahoma" w:cs="Tahoma"/>
          <w:sz w:val="18"/>
          <w:szCs w:val="18"/>
        </w:rPr>
      </w:pPr>
      <w:r w:rsidRPr="002B1ED1">
        <w:rPr>
          <w:rFonts w:ascii="Tahoma" w:hAnsi="Tahoma" w:cs="Tahoma"/>
          <w:sz w:val="18"/>
          <w:szCs w:val="18"/>
        </w:rPr>
        <w:t xml:space="preserve">La ESCUELA SUPERIOR DE ADMINISTRACIÓN PUBLICA – ESAP, se encuentra debidamente representada por el </w:t>
      </w:r>
      <w:r w:rsidR="00802F16">
        <w:rPr>
          <w:rFonts w:ascii="Tahoma" w:hAnsi="Tahoma" w:cs="Tahoma"/>
          <w:sz w:val="18"/>
          <w:szCs w:val="18"/>
        </w:rPr>
        <w:t>abogado FABIAN CAMILO MARQUE</w:t>
      </w:r>
      <w:r w:rsidR="00FB36DC">
        <w:rPr>
          <w:rFonts w:ascii="Tahoma" w:hAnsi="Tahoma" w:cs="Tahoma"/>
          <w:sz w:val="18"/>
          <w:szCs w:val="18"/>
        </w:rPr>
        <w:t>Z</w:t>
      </w:r>
      <w:r w:rsidR="00802F16">
        <w:rPr>
          <w:rFonts w:ascii="Tahoma" w:hAnsi="Tahoma" w:cs="Tahoma"/>
          <w:sz w:val="18"/>
          <w:szCs w:val="18"/>
        </w:rPr>
        <w:t xml:space="preserve"> PRIETO, apoderado que tiene facultad expresa para conciliar, tal como se puede </w:t>
      </w:r>
      <w:r w:rsidRPr="002B1ED1">
        <w:rPr>
          <w:rFonts w:ascii="Tahoma" w:hAnsi="Tahoma" w:cs="Tahoma"/>
          <w:sz w:val="18"/>
          <w:szCs w:val="18"/>
        </w:rPr>
        <w:t xml:space="preserve"> observar en el poder otorgado visible a folio </w:t>
      </w:r>
      <w:r w:rsidR="00802F16">
        <w:rPr>
          <w:rFonts w:ascii="Tahoma" w:hAnsi="Tahoma" w:cs="Tahoma"/>
          <w:sz w:val="18"/>
          <w:szCs w:val="18"/>
        </w:rPr>
        <w:t>2 del cuaderno principal</w:t>
      </w:r>
      <w:r w:rsidRPr="002B1ED1">
        <w:rPr>
          <w:rFonts w:ascii="Tahoma" w:hAnsi="Tahoma" w:cs="Tahoma"/>
          <w:sz w:val="18"/>
          <w:szCs w:val="18"/>
        </w:rPr>
        <w:t xml:space="preserve">. Así mismo, </w:t>
      </w:r>
      <w:r w:rsidR="00802F16">
        <w:rPr>
          <w:rFonts w:ascii="Tahoma" w:hAnsi="Tahoma" w:cs="Tahoma"/>
          <w:sz w:val="18"/>
          <w:szCs w:val="18"/>
        </w:rPr>
        <w:t>la señora ALCIRA INES LUQUE BLANCO está debidamente representada</w:t>
      </w:r>
      <w:r w:rsidRPr="002B1ED1">
        <w:rPr>
          <w:rFonts w:ascii="Tahoma" w:hAnsi="Tahoma" w:cs="Tahoma"/>
          <w:sz w:val="18"/>
          <w:szCs w:val="18"/>
        </w:rPr>
        <w:t xml:space="preserve"> por el </w:t>
      </w:r>
      <w:r w:rsidR="00802F16">
        <w:rPr>
          <w:rFonts w:ascii="Tahoma" w:hAnsi="Tahoma" w:cs="Tahoma"/>
          <w:sz w:val="18"/>
          <w:szCs w:val="18"/>
        </w:rPr>
        <w:t>abogado JUAN CARLOS FERNANDEZ GARZON</w:t>
      </w:r>
      <w:r w:rsidRPr="002B1ED1">
        <w:rPr>
          <w:rFonts w:ascii="Tahoma" w:hAnsi="Tahoma" w:cs="Tahoma"/>
          <w:sz w:val="18"/>
          <w:szCs w:val="18"/>
          <w:lang w:val="es-MX"/>
        </w:rPr>
        <w:t xml:space="preserve">, </w:t>
      </w:r>
      <w:r w:rsidRPr="002B1ED1">
        <w:rPr>
          <w:rFonts w:ascii="Tahoma" w:hAnsi="Tahoma" w:cs="Tahoma"/>
          <w:sz w:val="18"/>
          <w:szCs w:val="18"/>
          <w:lang w:val="es-MX"/>
        </w:rPr>
        <w:lastRenderedPageBreak/>
        <w:t xml:space="preserve">quien </w:t>
      </w:r>
      <w:r w:rsidRPr="002B1ED1">
        <w:rPr>
          <w:rFonts w:ascii="Tahoma" w:hAnsi="Tahoma" w:cs="Tahoma"/>
          <w:sz w:val="18"/>
          <w:szCs w:val="18"/>
        </w:rPr>
        <w:t xml:space="preserve">tiene facultad expresa para conciliar, tal como se puede observar en el poder otorgado visible a folio </w:t>
      </w:r>
      <w:r w:rsidR="00802F16">
        <w:rPr>
          <w:rFonts w:ascii="Tahoma" w:hAnsi="Tahoma" w:cs="Tahoma"/>
          <w:sz w:val="18"/>
          <w:szCs w:val="18"/>
        </w:rPr>
        <w:t xml:space="preserve">71 </w:t>
      </w:r>
      <w:r w:rsidRPr="002B1ED1">
        <w:rPr>
          <w:rFonts w:ascii="Tahoma" w:hAnsi="Tahoma" w:cs="Tahoma"/>
          <w:sz w:val="18"/>
          <w:szCs w:val="18"/>
        </w:rPr>
        <w:t>del cuaderno principal.</w:t>
      </w:r>
    </w:p>
    <w:p w:rsidR="000D1BDB" w:rsidRPr="002B1ED1" w:rsidRDefault="000D1BDB" w:rsidP="000D1BDB">
      <w:pPr>
        <w:jc w:val="both"/>
        <w:rPr>
          <w:rFonts w:ascii="Tahoma" w:hAnsi="Tahoma" w:cs="Tahoma"/>
          <w:sz w:val="18"/>
          <w:szCs w:val="18"/>
        </w:rPr>
      </w:pPr>
    </w:p>
    <w:p w:rsidR="000D1BDB" w:rsidRDefault="000D1BDB" w:rsidP="000D1BDB">
      <w:pPr>
        <w:numPr>
          <w:ilvl w:val="0"/>
          <w:numId w:val="1"/>
        </w:numPr>
        <w:overflowPunct w:val="0"/>
        <w:autoSpaceDE w:val="0"/>
        <w:autoSpaceDN w:val="0"/>
        <w:adjustRightInd w:val="0"/>
        <w:jc w:val="both"/>
        <w:textAlignment w:val="baseline"/>
        <w:rPr>
          <w:rFonts w:ascii="Tahoma" w:hAnsi="Tahoma" w:cs="Tahoma"/>
          <w:b/>
          <w:sz w:val="18"/>
          <w:szCs w:val="18"/>
        </w:rPr>
      </w:pPr>
      <w:r w:rsidRPr="002B1ED1">
        <w:rPr>
          <w:rFonts w:ascii="Tahoma" w:hAnsi="Tahoma" w:cs="Tahoma"/>
          <w:b/>
          <w:sz w:val="18"/>
          <w:szCs w:val="18"/>
        </w:rPr>
        <w:t xml:space="preserve">Caducidad de la acción </w:t>
      </w:r>
    </w:p>
    <w:p w:rsidR="000D1BDB" w:rsidRPr="002B1ED1" w:rsidRDefault="000D1BDB" w:rsidP="000D1BDB">
      <w:pPr>
        <w:overflowPunct w:val="0"/>
        <w:autoSpaceDE w:val="0"/>
        <w:autoSpaceDN w:val="0"/>
        <w:adjustRightInd w:val="0"/>
        <w:jc w:val="both"/>
        <w:textAlignment w:val="baseline"/>
        <w:rPr>
          <w:rFonts w:ascii="Tahoma" w:hAnsi="Tahoma" w:cs="Tahoma"/>
          <w:b/>
          <w:sz w:val="18"/>
          <w:szCs w:val="18"/>
        </w:rPr>
      </w:pPr>
    </w:p>
    <w:p w:rsidR="000D1BDB" w:rsidRPr="001A0178" w:rsidRDefault="000D1BDB" w:rsidP="000D1BDB">
      <w:pPr>
        <w:jc w:val="both"/>
        <w:rPr>
          <w:rFonts w:ascii="Times New Roman" w:hAnsi="Times New Roman"/>
          <w:sz w:val="18"/>
          <w:szCs w:val="18"/>
        </w:rPr>
      </w:pPr>
      <w:r w:rsidRPr="002B1ED1">
        <w:rPr>
          <w:rFonts w:ascii="Tahoma" w:hAnsi="Tahoma" w:cs="Tahoma"/>
          <w:sz w:val="18"/>
          <w:szCs w:val="18"/>
        </w:rPr>
        <w:t xml:space="preserve">El término de caducidad de la acción cuando se pretenda resolver una controversia contractual, de acuerdo a lo dispuesto en el numeral 2, literal j) del artículo 164 del Código de Procedimiento Administrativo y de lo Contencioso Administrativo señala lo siguiente: </w:t>
      </w:r>
      <w:r w:rsidRPr="002B1ED1">
        <w:rPr>
          <w:rFonts w:ascii="Tahoma" w:hAnsi="Tahoma" w:cs="Tahoma"/>
          <w:i/>
          <w:sz w:val="18"/>
          <w:szCs w:val="18"/>
        </w:rPr>
        <w:t>“</w:t>
      </w:r>
      <w:r w:rsidRPr="001A0178">
        <w:rPr>
          <w:rFonts w:ascii="Times New Roman" w:hAnsi="Times New Roman"/>
          <w:i/>
          <w:sz w:val="18"/>
          <w:szCs w:val="18"/>
        </w:rPr>
        <w:t>En los que no requieran de liquidación, desde el día siguiente al de la terminación del contrato por cualquier causa”.</w:t>
      </w:r>
    </w:p>
    <w:p w:rsidR="000D1BDB" w:rsidRPr="001A0178" w:rsidRDefault="000D1BDB" w:rsidP="000D1BDB">
      <w:pPr>
        <w:jc w:val="both"/>
        <w:rPr>
          <w:rFonts w:ascii="Times New Roman" w:hAnsi="Times New Roman"/>
          <w:sz w:val="18"/>
          <w:szCs w:val="18"/>
        </w:rPr>
      </w:pPr>
    </w:p>
    <w:p w:rsidR="00802F16" w:rsidRDefault="00802F16" w:rsidP="000D1BDB">
      <w:pPr>
        <w:jc w:val="both"/>
        <w:rPr>
          <w:rFonts w:ascii="Tahoma" w:hAnsi="Tahoma" w:cs="Tahoma"/>
          <w:sz w:val="18"/>
          <w:szCs w:val="18"/>
        </w:rPr>
      </w:pPr>
      <w:r>
        <w:rPr>
          <w:rFonts w:ascii="Tahoma" w:hAnsi="Tahoma" w:cs="Tahoma"/>
          <w:sz w:val="18"/>
          <w:szCs w:val="18"/>
        </w:rPr>
        <w:t>Para el caso bajo estudio, tenemos que entre la Escuela Superior de Administración Pública – ESAP y la señora ALCIRA INES LUQUE BLANCO, se suscribió contrato de prestación de servicios No. 803 de 2013</w:t>
      </w:r>
      <w:r w:rsidR="00B81415">
        <w:rPr>
          <w:rFonts w:ascii="Tahoma" w:hAnsi="Tahoma" w:cs="Tahoma"/>
          <w:sz w:val="18"/>
          <w:szCs w:val="18"/>
        </w:rPr>
        <w:t xml:space="preserve">, el cual estableció en su Cláusula Segunda, que el plazo de ejecución del contrato no podría exceder del 20 de diciembre de 2013. </w:t>
      </w:r>
    </w:p>
    <w:p w:rsidR="00802F16" w:rsidRDefault="00802F16" w:rsidP="000D1BDB">
      <w:pPr>
        <w:jc w:val="both"/>
        <w:rPr>
          <w:rFonts w:ascii="Tahoma" w:hAnsi="Tahoma" w:cs="Tahoma"/>
          <w:sz w:val="18"/>
          <w:szCs w:val="18"/>
        </w:rPr>
      </w:pPr>
    </w:p>
    <w:p w:rsidR="000D1BDB" w:rsidRDefault="00B81415" w:rsidP="000D1BDB">
      <w:pPr>
        <w:jc w:val="both"/>
        <w:rPr>
          <w:rFonts w:ascii="Tahoma" w:hAnsi="Tahoma" w:cs="Tahoma"/>
          <w:sz w:val="18"/>
          <w:szCs w:val="18"/>
          <w:lang w:val="es-ES_tradnl"/>
        </w:rPr>
      </w:pPr>
      <w:r>
        <w:rPr>
          <w:rFonts w:ascii="Tahoma" w:hAnsi="Tahoma" w:cs="Tahoma"/>
          <w:sz w:val="18"/>
          <w:szCs w:val="18"/>
          <w:lang w:val="es-ES_tradnl"/>
        </w:rPr>
        <w:t xml:space="preserve">Así las cosas, el término de caducidad se contará a partir del día siguiente al de la terminación del contrato, es decir, el 21 de diciembre de 2013, por lo que tenía hasta el 21 de diciembre de 2015 para radicar la solicitud de conciliación prejudicial y como quiera que la misma fue radicada el día 14 de agosto de 2014, ante la Procuraduría 80 Judicial I para Asuntos Administrativos, encuentra el Despacho que no está caducada. </w:t>
      </w:r>
    </w:p>
    <w:p w:rsidR="000D1BDB" w:rsidRPr="002B1ED1" w:rsidRDefault="000D1BDB" w:rsidP="000D1BDB">
      <w:pPr>
        <w:jc w:val="both"/>
        <w:rPr>
          <w:rFonts w:ascii="Tahoma" w:hAnsi="Tahoma" w:cs="Tahoma"/>
          <w:sz w:val="18"/>
          <w:szCs w:val="18"/>
          <w:lang w:val="es-MX"/>
        </w:rPr>
      </w:pPr>
    </w:p>
    <w:p w:rsidR="000D1BDB" w:rsidRPr="002B1ED1" w:rsidRDefault="000D1BDB" w:rsidP="000D1BDB">
      <w:pPr>
        <w:numPr>
          <w:ilvl w:val="0"/>
          <w:numId w:val="1"/>
        </w:numPr>
        <w:overflowPunct w:val="0"/>
        <w:autoSpaceDE w:val="0"/>
        <w:autoSpaceDN w:val="0"/>
        <w:adjustRightInd w:val="0"/>
        <w:jc w:val="both"/>
        <w:textAlignment w:val="baseline"/>
        <w:rPr>
          <w:rFonts w:ascii="Tahoma" w:hAnsi="Tahoma" w:cs="Tahoma"/>
          <w:b/>
          <w:sz w:val="18"/>
          <w:szCs w:val="18"/>
        </w:rPr>
      </w:pPr>
      <w:r w:rsidRPr="002B1ED1">
        <w:rPr>
          <w:rFonts w:ascii="Tahoma" w:hAnsi="Tahoma" w:cs="Tahoma"/>
          <w:b/>
          <w:sz w:val="18"/>
          <w:szCs w:val="18"/>
        </w:rPr>
        <w:t>Derechos económicos disponibles por las partes</w:t>
      </w:r>
    </w:p>
    <w:p w:rsidR="000D1BDB" w:rsidRPr="002B1ED1" w:rsidRDefault="000D1BDB" w:rsidP="000D1BDB">
      <w:pPr>
        <w:jc w:val="both"/>
        <w:rPr>
          <w:rFonts w:ascii="Tahoma" w:hAnsi="Tahoma" w:cs="Tahoma"/>
          <w:sz w:val="18"/>
          <w:szCs w:val="18"/>
        </w:rPr>
      </w:pPr>
    </w:p>
    <w:p w:rsidR="00B81415" w:rsidRPr="00307A8B" w:rsidRDefault="00B81415" w:rsidP="000D1BDB">
      <w:pPr>
        <w:tabs>
          <w:tab w:val="left" w:pos="360"/>
        </w:tabs>
        <w:jc w:val="both"/>
        <w:rPr>
          <w:rFonts w:ascii="Tahoma" w:hAnsi="Tahoma" w:cs="Tahoma"/>
          <w:sz w:val="18"/>
          <w:szCs w:val="18"/>
        </w:rPr>
      </w:pPr>
      <w:r>
        <w:rPr>
          <w:rFonts w:ascii="Tahoma" w:hAnsi="Tahoma" w:cs="Tahoma"/>
          <w:sz w:val="18"/>
          <w:szCs w:val="18"/>
        </w:rPr>
        <w:t xml:space="preserve">Es claro para el Despacho que se trata de un derecho económico disponible por las partes, pues existe la obligación a cargo de la ESCUELA SUPERIOR DE ADMINISTRACION PUBLICA – ESAP, de pagar a la señora ALCIRA INES LUQUE BLANCO, la suma de </w:t>
      </w:r>
      <w:r w:rsidRPr="00307A8B">
        <w:rPr>
          <w:rFonts w:ascii="Tahoma" w:hAnsi="Tahoma" w:cs="Tahoma"/>
          <w:b/>
          <w:sz w:val="18"/>
          <w:szCs w:val="18"/>
        </w:rPr>
        <w:t xml:space="preserve">DOS MILLONES QUINIENTOS MIL PESOS </w:t>
      </w:r>
      <w:r w:rsidR="00307A8B" w:rsidRPr="00307A8B">
        <w:rPr>
          <w:rFonts w:ascii="Tahoma" w:hAnsi="Tahoma" w:cs="Tahoma"/>
          <w:b/>
          <w:sz w:val="18"/>
          <w:szCs w:val="18"/>
        </w:rPr>
        <w:t>($2.500.000) M/CTE;</w:t>
      </w:r>
      <w:r w:rsidR="00307A8B">
        <w:rPr>
          <w:rFonts w:ascii="Tahoma" w:hAnsi="Tahoma" w:cs="Tahoma"/>
          <w:b/>
          <w:sz w:val="18"/>
          <w:szCs w:val="18"/>
        </w:rPr>
        <w:t xml:space="preserve"> </w:t>
      </w:r>
      <w:r w:rsidR="00307A8B">
        <w:rPr>
          <w:rFonts w:ascii="Tahoma" w:hAnsi="Tahoma" w:cs="Tahoma"/>
          <w:sz w:val="18"/>
          <w:szCs w:val="18"/>
        </w:rPr>
        <w:t>por concepto de saldo a su favor del contrato de prestación de servicios profesionales No. 803 de 2013</w:t>
      </w:r>
    </w:p>
    <w:p w:rsidR="00B81415" w:rsidRDefault="00B81415" w:rsidP="000D1BDB">
      <w:pPr>
        <w:tabs>
          <w:tab w:val="left" w:pos="360"/>
        </w:tabs>
        <w:jc w:val="both"/>
        <w:rPr>
          <w:rFonts w:ascii="Tahoma" w:hAnsi="Tahoma" w:cs="Tahoma"/>
          <w:sz w:val="18"/>
          <w:szCs w:val="18"/>
        </w:rPr>
      </w:pPr>
    </w:p>
    <w:p w:rsidR="000D1BDB" w:rsidRPr="002B1ED1" w:rsidRDefault="000D1BDB" w:rsidP="000D1BDB">
      <w:pPr>
        <w:numPr>
          <w:ilvl w:val="0"/>
          <w:numId w:val="3"/>
        </w:numPr>
        <w:tabs>
          <w:tab w:val="left" w:pos="360"/>
        </w:tabs>
        <w:jc w:val="both"/>
        <w:rPr>
          <w:rFonts w:ascii="Tahoma" w:hAnsi="Tahoma" w:cs="Tahoma"/>
          <w:b/>
          <w:sz w:val="18"/>
          <w:szCs w:val="18"/>
        </w:rPr>
      </w:pPr>
      <w:r w:rsidRPr="002B1ED1">
        <w:rPr>
          <w:rFonts w:ascii="Tahoma" w:hAnsi="Tahoma" w:cs="Tahoma"/>
          <w:b/>
          <w:sz w:val="18"/>
          <w:szCs w:val="18"/>
        </w:rPr>
        <w:t>El acuerdo frente al patrimonio de la administración</w:t>
      </w:r>
    </w:p>
    <w:p w:rsidR="000D1BDB" w:rsidRPr="002B1ED1" w:rsidRDefault="000D1BDB" w:rsidP="000D1BDB">
      <w:pPr>
        <w:jc w:val="both"/>
        <w:rPr>
          <w:rFonts w:ascii="Tahoma" w:hAnsi="Tahoma" w:cs="Tahoma"/>
          <w:sz w:val="18"/>
          <w:szCs w:val="18"/>
        </w:rPr>
      </w:pPr>
    </w:p>
    <w:p w:rsidR="00307A8B" w:rsidRPr="009C3B71" w:rsidRDefault="00307A8B" w:rsidP="000D1BDB">
      <w:pPr>
        <w:tabs>
          <w:tab w:val="left" w:pos="360"/>
        </w:tabs>
        <w:jc w:val="both"/>
        <w:rPr>
          <w:rFonts w:ascii="Tahoma" w:hAnsi="Tahoma" w:cs="Tahoma"/>
          <w:sz w:val="18"/>
          <w:szCs w:val="18"/>
        </w:rPr>
      </w:pPr>
      <w:r>
        <w:rPr>
          <w:rFonts w:ascii="Tahoma" w:hAnsi="Tahoma" w:cs="Tahoma"/>
          <w:sz w:val="18"/>
          <w:szCs w:val="18"/>
        </w:rPr>
        <w:t>Observa el Despacho que los intereses patrimoniales de la Administración no se lesionan, toda vez que en los términos del acuerdo logrado</w:t>
      </w:r>
      <w:r w:rsidR="00FC7D54">
        <w:rPr>
          <w:rFonts w:ascii="Tahoma" w:hAnsi="Tahoma" w:cs="Tahoma"/>
          <w:sz w:val="18"/>
          <w:szCs w:val="18"/>
        </w:rPr>
        <w:t>,</w:t>
      </w:r>
      <w:r>
        <w:rPr>
          <w:rFonts w:ascii="Tahoma" w:hAnsi="Tahoma" w:cs="Tahoma"/>
          <w:sz w:val="18"/>
          <w:szCs w:val="18"/>
        </w:rPr>
        <w:t xml:space="preserve"> la ESCUELA SUPERIOR DE ADMINISTRACION PUBLICA – ESAP, de conformidad con la decisión tomada en el Acta de Reunión No. 11 del Comité de Conciliación, se compromete a pagar a la señora ALCIRA INES LUQUE BLANCO, la sum</w:t>
      </w:r>
      <w:r w:rsidR="009C3B71">
        <w:rPr>
          <w:rFonts w:ascii="Tahoma" w:hAnsi="Tahoma" w:cs="Tahoma"/>
          <w:sz w:val="18"/>
          <w:szCs w:val="18"/>
        </w:rPr>
        <w:t>a</w:t>
      </w:r>
      <w:r>
        <w:rPr>
          <w:rFonts w:ascii="Tahoma" w:hAnsi="Tahoma" w:cs="Tahoma"/>
          <w:sz w:val="18"/>
          <w:szCs w:val="18"/>
        </w:rPr>
        <w:t xml:space="preserve"> de </w:t>
      </w:r>
      <w:r w:rsidR="009C3B71">
        <w:rPr>
          <w:rFonts w:ascii="Tahoma" w:hAnsi="Tahoma" w:cs="Tahoma"/>
          <w:b/>
          <w:sz w:val="18"/>
          <w:szCs w:val="18"/>
        </w:rPr>
        <w:t xml:space="preserve">DOS MILLONES QUINIENTOS MIL PESOS ($2.500.000) M/CTE; </w:t>
      </w:r>
      <w:r w:rsidR="009C3B71">
        <w:rPr>
          <w:rFonts w:ascii="Tahoma" w:hAnsi="Tahoma" w:cs="Tahoma"/>
          <w:sz w:val="18"/>
          <w:szCs w:val="18"/>
        </w:rPr>
        <w:t>por concepto del saldo a su favor del contrato No. 803 de 2013.</w:t>
      </w:r>
    </w:p>
    <w:p w:rsidR="000D1BDB" w:rsidRPr="002B1ED1" w:rsidRDefault="000D1BDB" w:rsidP="000D1BDB">
      <w:pPr>
        <w:tabs>
          <w:tab w:val="left" w:pos="360"/>
        </w:tabs>
        <w:jc w:val="both"/>
        <w:rPr>
          <w:rFonts w:ascii="Tahoma" w:hAnsi="Tahoma" w:cs="Tahoma"/>
          <w:sz w:val="18"/>
          <w:szCs w:val="18"/>
        </w:rPr>
      </w:pPr>
    </w:p>
    <w:p w:rsidR="000D1BDB" w:rsidRPr="002B1ED1" w:rsidRDefault="000D1BDB" w:rsidP="000D1BDB">
      <w:pPr>
        <w:jc w:val="both"/>
        <w:rPr>
          <w:rFonts w:ascii="Tahoma" w:hAnsi="Tahoma" w:cs="Tahoma"/>
          <w:sz w:val="18"/>
          <w:szCs w:val="18"/>
        </w:rPr>
      </w:pPr>
      <w:r w:rsidRPr="002B1ED1">
        <w:rPr>
          <w:rFonts w:ascii="Tahoma" w:hAnsi="Tahoma" w:cs="Tahoma"/>
          <w:sz w:val="18"/>
          <w:szCs w:val="18"/>
        </w:rPr>
        <w:t>Así mismo, con el Acta de Reunión No. 1</w:t>
      </w:r>
      <w:r w:rsidR="009C3B71">
        <w:rPr>
          <w:rFonts w:ascii="Tahoma" w:hAnsi="Tahoma" w:cs="Tahoma"/>
          <w:sz w:val="18"/>
          <w:szCs w:val="18"/>
        </w:rPr>
        <w:t>1</w:t>
      </w:r>
      <w:r w:rsidRPr="002B1ED1">
        <w:rPr>
          <w:rFonts w:ascii="Tahoma" w:hAnsi="Tahoma" w:cs="Tahoma"/>
          <w:sz w:val="18"/>
          <w:szCs w:val="18"/>
        </w:rPr>
        <w:t xml:space="preserve"> del </w:t>
      </w:r>
      <w:r w:rsidR="009C3B71">
        <w:rPr>
          <w:rFonts w:ascii="Tahoma" w:hAnsi="Tahoma" w:cs="Tahoma"/>
          <w:sz w:val="18"/>
          <w:szCs w:val="18"/>
        </w:rPr>
        <w:t>26 de mayo de 2014</w:t>
      </w:r>
      <w:r w:rsidRPr="002B1ED1">
        <w:rPr>
          <w:rFonts w:ascii="Tahoma" w:hAnsi="Tahoma" w:cs="Tahoma"/>
          <w:sz w:val="18"/>
          <w:szCs w:val="18"/>
        </w:rPr>
        <w:t xml:space="preserve"> del comité de conciliación de la ESCUELA SUPERIOR DE ADMINISTRACIÓN PUBLICA</w:t>
      </w:r>
      <w:r w:rsidRPr="002B1ED1">
        <w:rPr>
          <w:rFonts w:ascii="Tahoma" w:hAnsi="Tahoma" w:cs="Tahoma"/>
          <w:sz w:val="18"/>
          <w:szCs w:val="18"/>
          <w:lang w:val="es-MX"/>
        </w:rPr>
        <w:t xml:space="preserve"> – ESAP</w:t>
      </w:r>
      <w:r w:rsidRPr="002B1ED1">
        <w:rPr>
          <w:rFonts w:ascii="Tahoma" w:hAnsi="Tahoma" w:cs="Tahoma"/>
          <w:sz w:val="18"/>
          <w:szCs w:val="18"/>
        </w:rPr>
        <w:t xml:space="preserve">, se cumple con el presupuesto de la conciliación en materia administrativa que exige una decisión favorable del respectivo Comité de Conciliación, cuando a ello hubiere lugar, tal como lo dispone el artículo 75 de la ley 446 de 1998: </w:t>
      </w:r>
      <w:r w:rsidRPr="001A0178">
        <w:rPr>
          <w:rFonts w:ascii="Times New Roman" w:hAnsi="Times New Roman"/>
          <w:sz w:val="18"/>
          <w:szCs w:val="18"/>
        </w:rPr>
        <w:t>“</w:t>
      </w:r>
      <w:r w:rsidRPr="001A0178">
        <w:rPr>
          <w:rFonts w:ascii="Times New Roman" w:hAnsi="Times New Roman"/>
          <w:i/>
          <w:sz w:val="18"/>
          <w:szCs w:val="18"/>
        </w:rPr>
        <w:t>Las entidades y organismos de Derecho Público del orden nacional, departamental, distrital y de los municipios capital de departamento y los Entes Descentralizados de estos mismos niveles, deberán</w:t>
      </w:r>
      <w:r w:rsidRPr="001A0178">
        <w:rPr>
          <w:rFonts w:ascii="Times New Roman" w:hAnsi="Times New Roman"/>
          <w:b/>
          <w:i/>
          <w:sz w:val="18"/>
          <w:szCs w:val="18"/>
        </w:rPr>
        <w:t xml:space="preserve"> </w:t>
      </w:r>
      <w:r w:rsidRPr="001A0178">
        <w:rPr>
          <w:rFonts w:ascii="Times New Roman" w:hAnsi="Times New Roman"/>
          <w:i/>
          <w:sz w:val="18"/>
          <w:szCs w:val="18"/>
        </w:rPr>
        <w:t>integrar un comité de conciliación, conformado por los funcionarios del nivel directivo que se designen y cumplirá las funciones que se le señalen. Las entidades de derecho público de los demás órdenes tendrán la misma facultad”.</w:t>
      </w:r>
    </w:p>
    <w:p w:rsidR="000D1BDB" w:rsidRPr="002B1ED1" w:rsidRDefault="000D1BDB" w:rsidP="000D1BDB">
      <w:pPr>
        <w:jc w:val="both"/>
        <w:rPr>
          <w:rFonts w:ascii="Tahoma" w:hAnsi="Tahoma" w:cs="Tahoma"/>
          <w:sz w:val="18"/>
          <w:szCs w:val="18"/>
        </w:rPr>
      </w:pPr>
    </w:p>
    <w:p w:rsidR="000D1BDB" w:rsidRPr="002B1ED1" w:rsidRDefault="000D1BDB" w:rsidP="000D1BDB">
      <w:pPr>
        <w:numPr>
          <w:ilvl w:val="0"/>
          <w:numId w:val="1"/>
        </w:numPr>
        <w:overflowPunct w:val="0"/>
        <w:autoSpaceDE w:val="0"/>
        <w:autoSpaceDN w:val="0"/>
        <w:adjustRightInd w:val="0"/>
        <w:ind w:left="0" w:firstLine="0"/>
        <w:jc w:val="both"/>
        <w:textAlignment w:val="baseline"/>
        <w:rPr>
          <w:rFonts w:ascii="Tahoma" w:hAnsi="Tahoma" w:cs="Tahoma"/>
          <w:sz w:val="18"/>
          <w:szCs w:val="18"/>
        </w:rPr>
      </w:pPr>
      <w:r w:rsidRPr="002B1ED1">
        <w:rPr>
          <w:rFonts w:ascii="Tahoma" w:hAnsi="Tahoma" w:cs="Tahoma"/>
          <w:b/>
          <w:sz w:val="18"/>
          <w:szCs w:val="18"/>
        </w:rPr>
        <w:t xml:space="preserve">   Los derechos reconocidos están debidamente respaldados por las pruebas que se allegaron a la actuación</w:t>
      </w:r>
      <w:r w:rsidRPr="002B1ED1">
        <w:rPr>
          <w:rFonts w:ascii="Tahoma" w:hAnsi="Tahoma" w:cs="Tahoma"/>
          <w:sz w:val="18"/>
          <w:szCs w:val="18"/>
        </w:rPr>
        <w:t>, como se concluye de lo referido anteriormente.</w:t>
      </w:r>
    </w:p>
    <w:p w:rsidR="000D1BDB" w:rsidRPr="002B1ED1" w:rsidRDefault="000D1BDB" w:rsidP="000D1BDB">
      <w:pPr>
        <w:jc w:val="both"/>
        <w:rPr>
          <w:rFonts w:ascii="Tahoma" w:hAnsi="Tahoma" w:cs="Tahoma"/>
          <w:sz w:val="18"/>
          <w:szCs w:val="18"/>
        </w:rPr>
      </w:pPr>
    </w:p>
    <w:p w:rsidR="000D1BDB" w:rsidRPr="002B1ED1" w:rsidRDefault="000D1BDB" w:rsidP="000D1BDB">
      <w:pPr>
        <w:jc w:val="both"/>
        <w:rPr>
          <w:rFonts w:ascii="Tahoma" w:hAnsi="Tahoma" w:cs="Tahoma"/>
          <w:b/>
          <w:sz w:val="18"/>
          <w:szCs w:val="18"/>
        </w:rPr>
      </w:pPr>
      <w:r w:rsidRPr="002B1ED1">
        <w:rPr>
          <w:rFonts w:ascii="Tahoma" w:hAnsi="Tahoma" w:cs="Tahoma"/>
          <w:sz w:val="18"/>
          <w:szCs w:val="18"/>
        </w:rPr>
        <w:t xml:space="preserve">En mérito de lo expuesto, se </w:t>
      </w:r>
      <w:r w:rsidRPr="002B1ED1">
        <w:rPr>
          <w:rFonts w:ascii="Tahoma" w:hAnsi="Tahoma" w:cs="Tahoma"/>
          <w:b/>
          <w:sz w:val="18"/>
          <w:szCs w:val="18"/>
        </w:rPr>
        <w:t>RESUELVE:</w:t>
      </w:r>
    </w:p>
    <w:p w:rsidR="000D1BDB" w:rsidRPr="002B1ED1" w:rsidRDefault="000D1BDB" w:rsidP="000D1BDB">
      <w:pPr>
        <w:jc w:val="both"/>
        <w:rPr>
          <w:rFonts w:ascii="Tahoma" w:hAnsi="Tahoma" w:cs="Tahoma"/>
          <w:b/>
          <w:sz w:val="18"/>
          <w:szCs w:val="18"/>
        </w:rPr>
      </w:pPr>
    </w:p>
    <w:p w:rsidR="000D1BDB" w:rsidRPr="002B1ED1" w:rsidRDefault="000D1BDB" w:rsidP="000D1BDB">
      <w:pPr>
        <w:jc w:val="both"/>
        <w:rPr>
          <w:rFonts w:ascii="Tahoma" w:hAnsi="Tahoma" w:cs="Tahoma"/>
          <w:sz w:val="18"/>
          <w:szCs w:val="18"/>
        </w:rPr>
      </w:pPr>
      <w:r w:rsidRPr="002B1ED1">
        <w:rPr>
          <w:rFonts w:ascii="Tahoma" w:hAnsi="Tahoma" w:cs="Tahoma"/>
          <w:b/>
          <w:sz w:val="18"/>
          <w:szCs w:val="18"/>
        </w:rPr>
        <w:t xml:space="preserve">Primero: </w:t>
      </w:r>
      <w:r w:rsidRPr="002B1ED1">
        <w:rPr>
          <w:rFonts w:ascii="Tahoma" w:hAnsi="Tahoma" w:cs="Tahoma"/>
          <w:sz w:val="18"/>
          <w:szCs w:val="18"/>
          <w:lang w:val="es-CO"/>
        </w:rPr>
        <w:t>Apruébese</w:t>
      </w:r>
      <w:r w:rsidRPr="002B1ED1">
        <w:rPr>
          <w:rFonts w:ascii="Tahoma" w:hAnsi="Tahoma" w:cs="Tahoma"/>
          <w:sz w:val="18"/>
          <w:szCs w:val="18"/>
        </w:rPr>
        <w:t xml:space="preserve"> la conciliación prejudicial efectuada el </w:t>
      </w:r>
      <w:r w:rsidR="009C3B71">
        <w:rPr>
          <w:rFonts w:ascii="Tahoma" w:hAnsi="Tahoma" w:cs="Tahoma"/>
          <w:sz w:val="18"/>
          <w:szCs w:val="18"/>
        </w:rPr>
        <w:t>once (11) de noviembre</w:t>
      </w:r>
      <w:r w:rsidRPr="002B1ED1">
        <w:rPr>
          <w:rFonts w:ascii="Tahoma" w:hAnsi="Tahoma" w:cs="Tahoma"/>
          <w:sz w:val="18"/>
          <w:szCs w:val="18"/>
        </w:rPr>
        <w:t xml:space="preserve"> de 2014, </w:t>
      </w:r>
      <w:r w:rsidRPr="002B1ED1">
        <w:rPr>
          <w:rFonts w:ascii="Tahoma" w:hAnsi="Tahoma" w:cs="Tahoma"/>
          <w:sz w:val="18"/>
          <w:szCs w:val="18"/>
          <w:lang w:val="es-ES_tradnl"/>
        </w:rPr>
        <w:t>entre</w:t>
      </w:r>
      <w:r w:rsidRPr="002B1ED1">
        <w:rPr>
          <w:rFonts w:ascii="Tahoma" w:hAnsi="Tahoma" w:cs="Tahoma"/>
          <w:sz w:val="18"/>
          <w:szCs w:val="18"/>
        </w:rPr>
        <w:t xml:space="preserve"> la ESCUELA SUPERIOR DE ADMINISTRACIÓN PUBLICA – ESAP y </w:t>
      </w:r>
      <w:r w:rsidR="009C3B71">
        <w:rPr>
          <w:rFonts w:ascii="Tahoma" w:hAnsi="Tahoma" w:cs="Tahoma"/>
          <w:sz w:val="18"/>
          <w:szCs w:val="18"/>
        </w:rPr>
        <w:t>la señora ALCIRA INES LUQUE BLANCO</w:t>
      </w:r>
      <w:r w:rsidRPr="002B1ED1">
        <w:rPr>
          <w:rFonts w:ascii="Tahoma" w:hAnsi="Tahoma" w:cs="Tahoma"/>
          <w:sz w:val="18"/>
          <w:szCs w:val="18"/>
        </w:rPr>
        <w:t xml:space="preserve">, ante la Procuraduría </w:t>
      </w:r>
      <w:r w:rsidR="009C3B71">
        <w:rPr>
          <w:rFonts w:ascii="Tahoma" w:hAnsi="Tahoma" w:cs="Tahoma"/>
          <w:sz w:val="18"/>
          <w:szCs w:val="18"/>
          <w:lang w:val="es-ES_tradnl"/>
        </w:rPr>
        <w:t>Ochenta (80)</w:t>
      </w:r>
      <w:r w:rsidRPr="002B1ED1">
        <w:rPr>
          <w:rFonts w:ascii="Tahoma" w:hAnsi="Tahoma" w:cs="Tahoma"/>
          <w:sz w:val="18"/>
          <w:szCs w:val="18"/>
          <w:lang w:val="es-ES_tradnl"/>
        </w:rPr>
        <w:t xml:space="preserve"> Judicial I</w:t>
      </w:r>
      <w:r w:rsidRPr="002B1ED1">
        <w:rPr>
          <w:rFonts w:ascii="Tahoma" w:hAnsi="Tahoma" w:cs="Tahoma"/>
          <w:sz w:val="18"/>
          <w:szCs w:val="18"/>
        </w:rPr>
        <w:t xml:space="preserve"> para Asuntos Administrativos, de conformidad con lo anotado en la parte motiva de esta providencia. </w:t>
      </w:r>
    </w:p>
    <w:p w:rsidR="000D1BDB" w:rsidRPr="002B1ED1" w:rsidRDefault="000D1BDB" w:rsidP="000D1BDB">
      <w:pPr>
        <w:pStyle w:val="Textoindependiente"/>
        <w:rPr>
          <w:rFonts w:cs="Tahoma"/>
          <w:b/>
          <w:sz w:val="18"/>
          <w:szCs w:val="18"/>
        </w:rPr>
      </w:pPr>
    </w:p>
    <w:p w:rsidR="000D1BDB" w:rsidRPr="002B1ED1" w:rsidRDefault="000D1BDB" w:rsidP="000D1BDB">
      <w:pPr>
        <w:jc w:val="both"/>
        <w:rPr>
          <w:rFonts w:ascii="Tahoma" w:hAnsi="Tahoma" w:cs="Tahoma"/>
          <w:sz w:val="18"/>
          <w:szCs w:val="18"/>
        </w:rPr>
      </w:pPr>
      <w:r w:rsidRPr="002B1ED1">
        <w:rPr>
          <w:rFonts w:ascii="Tahoma" w:hAnsi="Tahoma" w:cs="Tahoma"/>
          <w:b/>
          <w:sz w:val="18"/>
          <w:szCs w:val="18"/>
        </w:rPr>
        <w:t>Segundo:</w:t>
      </w:r>
      <w:r w:rsidRPr="002B1ED1">
        <w:rPr>
          <w:rFonts w:ascii="Tahoma" w:hAnsi="Tahoma" w:cs="Tahoma"/>
          <w:sz w:val="18"/>
          <w:szCs w:val="18"/>
        </w:rPr>
        <w:t xml:space="preserve"> Expídanse copias de esta providencia y del acta de conciliación respectiva, con destino a las partes haciendo precisión que resultan idóneas para hacer efectivos los derechos reconocidos (artículo 115 del CPC)</w:t>
      </w:r>
      <w:r>
        <w:rPr>
          <w:rFonts w:ascii="Tahoma" w:hAnsi="Tahoma" w:cs="Tahoma"/>
          <w:sz w:val="18"/>
          <w:szCs w:val="18"/>
        </w:rPr>
        <w:t>.</w:t>
      </w:r>
    </w:p>
    <w:p w:rsidR="000D1BDB" w:rsidRPr="002B1ED1" w:rsidRDefault="000D1BDB" w:rsidP="000D1BDB">
      <w:pPr>
        <w:jc w:val="both"/>
        <w:rPr>
          <w:rFonts w:ascii="Tahoma" w:hAnsi="Tahoma" w:cs="Tahoma"/>
          <w:sz w:val="18"/>
          <w:szCs w:val="18"/>
        </w:rPr>
      </w:pPr>
    </w:p>
    <w:p w:rsidR="000D1BDB" w:rsidRPr="002B1ED1" w:rsidRDefault="000D1BDB" w:rsidP="000D1BDB">
      <w:pPr>
        <w:widowControl w:val="0"/>
        <w:jc w:val="both"/>
        <w:rPr>
          <w:rFonts w:ascii="Tahoma" w:hAnsi="Tahoma" w:cs="Tahoma"/>
          <w:b/>
          <w:sz w:val="18"/>
          <w:szCs w:val="18"/>
        </w:rPr>
      </w:pPr>
      <w:r w:rsidRPr="002B1ED1">
        <w:rPr>
          <w:rFonts w:ascii="Tahoma" w:hAnsi="Tahoma" w:cs="Tahoma"/>
          <w:b/>
          <w:sz w:val="18"/>
          <w:szCs w:val="18"/>
        </w:rPr>
        <w:t>NOTIFÍQUESE Y CÚMPLASE</w:t>
      </w:r>
    </w:p>
    <w:p w:rsidR="000D1BDB" w:rsidRPr="002B1ED1" w:rsidRDefault="000D1BDB" w:rsidP="000D1BDB">
      <w:pPr>
        <w:widowControl w:val="0"/>
        <w:jc w:val="both"/>
        <w:rPr>
          <w:rFonts w:ascii="Tahoma" w:hAnsi="Tahoma" w:cs="Tahoma"/>
          <w:b/>
          <w:sz w:val="18"/>
          <w:szCs w:val="18"/>
        </w:rPr>
      </w:pPr>
    </w:p>
    <w:p w:rsidR="000D1BDB" w:rsidRPr="002B1ED1" w:rsidRDefault="000D1BDB" w:rsidP="000D1BDB">
      <w:pPr>
        <w:widowControl w:val="0"/>
        <w:jc w:val="both"/>
        <w:rPr>
          <w:rFonts w:ascii="Tahoma" w:hAnsi="Tahoma" w:cs="Tahoma"/>
          <w:b/>
          <w:sz w:val="18"/>
          <w:szCs w:val="18"/>
        </w:rPr>
      </w:pPr>
    </w:p>
    <w:p w:rsidR="000D1BDB" w:rsidRPr="002B1ED1" w:rsidRDefault="000D1BDB" w:rsidP="000D1BDB">
      <w:pPr>
        <w:jc w:val="center"/>
        <w:rPr>
          <w:rFonts w:ascii="Tahoma" w:hAnsi="Tahoma" w:cs="Tahoma"/>
          <w:b/>
          <w:sz w:val="18"/>
          <w:szCs w:val="18"/>
        </w:rPr>
      </w:pPr>
      <w:r w:rsidRPr="002B1ED1">
        <w:rPr>
          <w:rFonts w:ascii="Tahoma" w:hAnsi="Tahoma" w:cs="Tahoma"/>
          <w:b/>
          <w:sz w:val="18"/>
          <w:szCs w:val="18"/>
        </w:rPr>
        <w:t>OLGA CECILIA HENAO MARÍN</w:t>
      </w:r>
    </w:p>
    <w:p w:rsidR="000D1BDB" w:rsidRPr="002B1ED1" w:rsidRDefault="000D1BDB" w:rsidP="000D1BDB">
      <w:pPr>
        <w:jc w:val="center"/>
        <w:rPr>
          <w:rFonts w:ascii="Tahoma" w:hAnsi="Tahoma" w:cs="Tahoma"/>
          <w:sz w:val="18"/>
          <w:szCs w:val="18"/>
        </w:rPr>
      </w:pPr>
      <w:r w:rsidRPr="002B1ED1">
        <w:rPr>
          <w:rFonts w:ascii="Tahoma" w:hAnsi="Tahoma" w:cs="Tahoma"/>
          <w:sz w:val="18"/>
          <w:szCs w:val="18"/>
        </w:rPr>
        <w:t>Juez</w:t>
      </w:r>
    </w:p>
    <w:p w:rsidR="000D1BDB" w:rsidRPr="002B1ED1" w:rsidRDefault="000D1BDB" w:rsidP="000D1BDB">
      <w:pPr>
        <w:jc w:val="both"/>
        <w:rPr>
          <w:rFonts w:ascii="Tahoma" w:hAnsi="Tahoma" w:cs="Tahoma"/>
          <w:sz w:val="18"/>
          <w:szCs w:val="18"/>
        </w:rPr>
      </w:pPr>
    </w:p>
    <w:p w:rsidR="000D1BDB" w:rsidRPr="009C3B71" w:rsidRDefault="009C3B71" w:rsidP="000D1BDB">
      <w:pPr>
        <w:jc w:val="both"/>
        <w:rPr>
          <w:rFonts w:ascii="Tahoma" w:hAnsi="Tahoma" w:cs="Tahoma"/>
          <w:sz w:val="10"/>
          <w:szCs w:val="10"/>
        </w:rPr>
      </w:pPr>
      <w:r w:rsidRPr="009C3B71">
        <w:rPr>
          <w:rFonts w:ascii="Tahoma" w:hAnsi="Tahoma" w:cs="Tahoma"/>
          <w:sz w:val="10"/>
          <w:szCs w:val="10"/>
        </w:rPr>
        <w:t>SLDR</w:t>
      </w:r>
    </w:p>
    <w:p w:rsidR="000D1BDB" w:rsidRPr="002B1ED1" w:rsidRDefault="000D1BDB" w:rsidP="000D1BDB">
      <w:pPr>
        <w:rPr>
          <w:rFonts w:ascii="Tahoma" w:hAnsi="Tahoma" w:cs="Tahoma"/>
          <w:sz w:val="18"/>
          <w:szCs w:val="18"/>
        </w:rPr>
      </w:pPr>
    </w:p>
    <w:p w:rsidR="000D1BDB" w:rsidRPr="002B1ED1" w:rsidRDefault="000D1BDB" w:rsidP="000D1BDB">
      <w:pPr>
        <w:rPr>
          <w:rFonts w:ascii="Tahoma" w:hAnsi="Tahoma" w:cs="Tahoma"/>
        </w:rPr>
      </w:pPr>
    </w:p>
    <w:p w:rsidR="000D1BDB" w:rsidRPr="002B1ED1" w:rsidRDefault="000D1BDB" w:rsidP="000D1BDB">
      <w:pPr>
        <w:rPr>
          <w:rFonts w:ascii="Tahoma" w:hAnsi="Tahoma" w:cs="Tahoma"/>
        </w:rPr>
      </w:pPr>
    </w:p>
    <w:p w:rsidR="000D1BDB" w:rsidRDefault="000D1BDB" w:rsidP="000D1BDB"/>
    <w:p w:rsidR="00284AD7" w:rsidRDefault="00284AD7"/>
    <w:sectPr w:rsidR="00284AD7" w:rsidSect="001A0178">
      <w:headerReference w:type="default" r:id="rId9"/>
      <w:headerReference w:type="first" r:id="rId10"/>
      <w:pgSz w:w="12242" w:h="18722" w:code="14"/>
      <w:pgMar w:top="1417" w:right="1701" w:bottom="1417" w:left="1701" w:header="851"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162" w:rsidRDefault="00944162" w:rsidP="000D1BDB">
      <w:r>
        <w:separator/>
      </w:r>
    </w:p>
  </w:endnote>
  <w:endnote w:type="continuationSeparator" w:id="0">
    <w:p w:rsidR="00944162" w:rsidRDefault="00944162" w:rsidP="000D1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162" w:rsidRDefault="00944162" w:rsidP="000D1BDB">
      <w:r>
        <w:separator/>
      </w:r>
    </w:p>
  </w:footnote>
  <w:footnote w:type="continuationSeparator" w:id="0">
    <w:p w:rsidR="00944162" w:rsidRDefault="00944162" w:rsidP="000D1BDB">
      <w:r>
        <w:continuationSeparator/>
      </w:r>
    </w:p>
  </w:footnote>
  <w:footnote w:id="1">
    <w:p w:rsidR="00744005" w:rsidRPr="00361309" w:rsidRDefault="00744005">
      <w:pPr>
        <w:pStyle w:val="Textonotapie"/>
        <w:rPr>
          <w:sz w:val="12"/>
          <w:szCs w:val="12"/>
          <w:lang w:val="es-CO"/>
        </w:rPr>
      </w:pPr>
      <w:r w:rsidRPr="00361309">
        <w:rPr>
          <w:rStyle w:val="Refdenotaalpie"/>
          <w:sz w:val="12"/>
          <w:szCs w:val="12"/>
        </w:rPr>
        <w:footnoteRef/>
      </w:r>
      <w:r w:rsidRPr="00361309">
        <w:rPr>
          <w:sz w:val="12"/>
          <w:szCs w:val="12"/>
        </w:rPr>
        <w:t xml:space="preserve"> Aunque el señor Nelson Daniel Álvarez Ospina, no aporto documentos que acreditan que es el Jefe la Oficina Asesora Jurídica, se consultó en el siguiente link: </w:t>
      </w:r>
      <w:hyperlink r:id="rId1" w:history="1">
        <w:r w:rsidRPr="00361309">
          <w:rPr>
            <w:rStyle w:val="Hipervnculo"/>
            <w:sz w:val="12"/>
            <w:szCs w:val="12"/>
          </w:rPr>
          <w:t>http://www.esap.edu.co/noticias-internas/690-posesionado-jefe-de-oficina-asesora-jur%C3%ADdica.html</w:t>
        </w:r>
      </w:hyperlink>
      <w:r w:rsidRPr="00361309">
        <w:rPr>
          <w:sz w:val="12"/>
          <w:szCs w:val="12"/>
        </w:rPr>
        <w:t xml:space="preserve"> , y se verifico </w:t>
      </w:r>
      <w:r w:rsidR="008513A9" w:rsidRPr="00361309">
        <w:rPr>
          <w:sz w:val="12"/>
          <w:szCs w:val="12"/>
        </w:rPr>
        <w:t>la calidad en la que actúa.</w:t>
      </w:r>
    </w:p>
  </w:footnote>
  <w:footnote w:id="2">
    <w:p w:rsidR="000D1BDB" w:rsidRPr="00361309" w:rsidRDefault="000D1BDB" w:rsidP="000D1BDB">
      <w:pPr>
        <w:jc w:val="both"/>
        <w:rPr>
          <w:rFonts w:ascii="Tahoma" w:hAnsi="Tahoma" w:cs="Tahoma"/>
          <w:sz w:val="12"/>
          <w:szCs w:val="12"/>
        </w:rPr>
      </w:pPr>
      <w:r w:rsidRPr="00361309">
        <w:rPr>
          <w:rStyle w:val="Refdenotaalpie"/>
          <w:rFonts w:ascii="Tahoma" w:hAnsi="Tahoma" w:cs="Tahoma"/>
          <w:sz w:val="12"/>
          <w:szCs w:val="12"/>
        </w:rPr>
        <w:footnoteRef/>
      </w:r>
      <w:r w:rsidRPr="00361309">
        <w:rPr>
          <w:rFonts w:ascii="Tahoma" w:hAnsi="Tahoma" w:cs="Tahoma"/>
          <w:sz w:val="12"/>
          <w:szCs w:val="12"/>
        </w:rPr>
        <w:t xml:space="preserve"> Cita efectuada en auto 0683(22232) del 03/01/30. Ponente: GERMÁN RODRÍGUEZ VILLAMIZAR. Actor: ROSANA GÓMEZ PATIÑO Y OTROS. Demandado: NACIÓN -INVIAS Y OTROS.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88C" w:rsidRPr="00696A65" w:rsidRDefault="00FC7D54">
    <w:pPr>
      <w:pStyle w:val="Encabezado"/>
      <w:jc w:val="right"/>
      <w:rPr>
        <w:rFonts w:ascii="Tahoma" w:hAnsi="Tahoma" w:cs="Tahoma"/>
        <w:sz w:val="14"/>
        <w:szCs w:val="14"/>
      </w:rPr>
    </w:pPr>
    <w:r w:rsidRPr="00696A65">
      <w:rPr>
        <w:rFonts w:ascii="Tahoma" w:hAnsi="Tahoma" w:cs="Tahoma"/>
        <w:sz w:val="14"/>
        <w:szCs w:val="14"/>
      </w:rPr>
      <w:t xml:space="preserve">Expediente </w:t>
    </w:r>
    <w:r>
      <w:rPr>
        <w:rFonts w:ascii="Tahoma" w:hAnsi="Tahoma" w:cs="Tahoma"/>
        <w:sz w:val="14"/>
        <w:szCs w:val="14"/>
      </w:rPr>
      <w:t>N° 201</w:t>
    </w:r>
    <w:r w:rsidR="00744005">
      <w:rPr>
        <w:rFonts w:ascii="Tahoma" w:hAnsi="Tahoma" w:cs="Tahoma"/>
        <w:sz w:val="14"/>
        <w:szCs w:val="14"/>
      </w:rPr>
      <w:t>5</w:t>
    </w:r>
    <w:r>
      <w:rPr>
        <w:rFonts w:ascii="Tahoma" w:hAnsi="Tahoma" w:cs="Tahoma"/>
        <w:sz w:val="14"/>
        <w:szCs w:val="14"/>
      </w:rPr>
      <w:t xml:space="preserve"> - 001</w:t>
    </w:r>
    <w:r w:rsidR="00744005">
      <w:rPr>
        <w:rFonts w:ascii="Tahoma" w:hAnsi="Tahoma" w:cs="Tahoma"/>
        <w:sz w:val="14"/>
        <w:szCs w:val="14"/>
      </w:rPr>
      <w:t>1</w:t>
    </w:r>
  </w:p>
  <w:p w:rsidR="00A0388C" w:rsidRPr="00696A65" w:rsidRDefault="00FC7D54">
    <w:pPr>
      <w:pStyle w:val="Encabezado"/>
      <w:jc w:val="right"/>
      <w:rPr>
        <w:rFonts w:ascii="Tahoma" w:hAnsi="Tahoma" w:cs="Tahoma"/>
        <w:sz w:val="14"/>
        <w:szCs w:val="14"/>
      </w:rPr>
    </w:pPr>
    <w:r w:rsidRPr="00696A65">
      <w:rPr>
        <w:rFonts w:ascii="Tahoma" w:hAnsi="Tahoma" w:cs="Tahoma"/>
        <w:sz w:val="14"/>
        <w:szCs w:val="14"/>
      </w:rPr>
      <w:t>APRUEBA CONCILIACION</w:t>
    </w:r>
    <w:r>
      <w:rPr>
        <w:rFonts w:ascii="Tahoma" w:hAnsi="Tahoma" w:cs="Tahoma"/>
        <w:sz w:val="14"/>
        <w:szCs w:val="14"/>
      </w:rPr>
      <w:t xml:space="preserve"> PREJUDICIAL</w:t>
    </w:r>
  </w:p>
  <w:p w:rsidR="00A0388C" w:rsidRPr="002B1ED1" w:rsidRDefault="00FC7D54">
    <w:pPr>
      <w:pStyle w:val="Encabezado"/>
      <w:jc w:val="right"/>
      <w:rPr>
        <w:rFonts w:ascii="Tahoma" w:hAnsi="Tahoma" w:cs="Tahoma"/>
        <w:sz w:val="14"/>
        <w:szCs w:val="14"/>
      </w:rPr>
    </w:pPr>
    <w:r w:rsidRPr="002B1ED1">
      <w:rPr>
        <w:rFonts w:ascii="Tahoma" w:hAnsi="Tahoma" w:cs="Tahoma"/>
        <w:sz w:val="14"/>
        <w:szCs w:val="14"/>
      </w:rPr>
      <w:t xml:space="preserve">Página </w:t>
    </w:r>
    <w:r w:rsidRPr="002B1ED1">
      <w:rPr>
        <w:rFonts w:ascii="Tahoma" w:hAnsi="Tahoma" w:cs="Tahoma"/>
        <w:bCs/>
        <w:sz w:val="14"/>
        <w:szCs w:val="14"/>
      </w:rPr>
      <w:fldChar w:fldCharType="begin"/>
    </w:r>
    <w:r w:rsidRPr="002B1ED1">
      <w:rPr>
        <w:rFonts w:ascii="Tahoma" w:hAnsi="Tahoma" w:cs="Tahoma"/>
        <w:bCs/>
        <w:sz w:val="14"/>
        <w:szCs w:val="14"/>
      </w:rPr>
      <w:instrText>PAGE</w:instrText>
    </w:r>
    <w:r w:rsidRPr="002B1ED1">
      <w:rPr>
        <w:rFonts w:ascii="Tahoma" w:hAnsi="Tahoma" w:cs="Tahoma"/>
        <w:bCs/>
        <w:sz w:val="14"/>
        <w:szCs w:val="14"/>
      </w:rPr>
      <w:fldChar w:fldCharType="separate"/>
    </w:r>
    <w:r w:rsidR="00031878">
      <w:rPr>
        <w:rFonts w:ascii="Tahoma" w:hAnsi="Tahoma" w:cs="Tahoma"/>
        <w:bCs/>
        <w:noProof/>
        <w:sz w:val="14"/>
        <w:szCs w:val="14"/>
      </w:rPr>
      <w:t>2</w:t>
    </w:r>
    <w:r w:rsidRPr="002B1ED1">
      <w:rPr>
        <w:rFonts w:ascii="Tahoma" w:hAnsi="Tahoma" w:cs="Tahoma"/>
        <w:bCs/>
        <w:sz w:val="14"/>
        <w:szCs w:val="14"/>
      </w:rPr>
      <w:fldChar w:fldCharType="end"/>
    </w:r>
    <w:r w:rsidRPr="002B1ED1">
      <w:rPr>
        <w:rFonts w:ascii="Tahoma" w:hAnsi="Tahoma" w:cs="Tahoma"/>
        <w:sz w:val="14"/>
        <w:szCs w:val="14"/>
      </w:rPr>
      <w:t xml:space="preserve"> de </w:t>
    </w:r>
    <w:r w:rsidRPr="002B1ED1">
      <w:rPr>
        <w:rFonts w:ascii="Tahoma" w:hAnsi="Tahoma" w:cs="Tahoma"/>
        <w:bCs/>
        <w:sz w:val="14"/>
        <w:szCs w:val="14"/>
      </w:rPr>
      <w:fldChar w:fldCharType="begin"/>
    </w:r>
    <w:r w:rsidRPr="002B1ED1">
      <w:rPr>
        <w:rFonts w:ascii="Tahoma" w:hAnsi="Tahoma" w:cs="Tahoma"/>
        <w:bCs/>
        <w:sz w:val="14"/>
        <w:szCs w:val="14"/>
      </w:rPr>
      <w:instrText>NUMPAGES</w:instrText>
    </w:r>
    <w:r w:rsidRPr="002B1ED1">
      <w:rPr>
        <w:rFonts w:ascii="Tahoma" w:hAnsi="Tahoma" w:cs="Tahoma"/>
        <w:bCs/>
        <w:sz w:val="14"/>
        <w:szCs w:val="14"/>
      </w:rPr>
      <w:fldChar w:fldCharType="separate"/>
    </w:r>
    <w:r w:rsidR="00031878">
      <w:rPr>
        <w:rFonts w:ascii="Tahoma" w:hAnsi="Tahoma" w:cs="Tahoma"/>
        <w:bCs/>
        <w:noProof/>
        <w:sz w:val="14"/>
        <w:szCs w:val="14"/>
      </w:rPr>
      <w:t>3</w:t>
    </w:r>
    <w:r w:rsidRPr="002B1ED1">
      <w:rPr>
        <w:rFonts w:ascii="Tahoma" w:hAnsi="Tahoma" w:cs="Tahoma"/>
        <w:bCs/>
        <w:sz w:val="14"/>
        <w:szCs w:val="14"/>
      </w:rPr>
      <w:fldChar w:fldCharType="end"/>
    </w:r>
  </w:p>
  <w:p w:rsidR="00A0388C" w:rsidRPr="00696A65" w:rsidRDefault="00944162">
    <w:pPr>
      <w:pStyle w:val="Encabezado"/>
      <w:jc w:val="right"/>
      <w:rPr>
        <w:rFonts w:ascii="Tahoma" w:hAnsi="Tahoma" w:cs="Tahoma"/>
        <w:sz w:val="14"/>
        <w:szCs w:val="14"/>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88C" w:rsidRPr="001A0178" w:rsidRDefault="000D1BDB">
    <w:pPr>
      <w:pStyle w:val="Encabezado"/>
      <w:jc w:val="center"/>
      <w:rPr>
        <w:rFonts w:cs="Arial"/>
        <w:b/>
        <w:i/>
        <w:sz w:val="14"/>
        <w:szCs w:val="14"/>
      </w:rPr>
    </w:pPr>
    <w:r>
      <w:rPr>
        <w:rFonts w:cs="Arial"/>
        <w:b/>
        <w:i/>
        <w:noProof/>
        <w:sz w:val="14"/>
        <w:szCs w:val="14"/>
        <w:lang w:val="es-CO" w:eastAsia="es-CO"/>
      </w:rPr>
      <w:drawing>
        <wp:inline distT="0" distB="0" distL="0" distR="0">
          <wp:extent cx="667385" cy="639445"/>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385" cy="639445"/>
                  </a:xfrm>
                  <a:prstGeom prst="rect">
                    <a:avLst/>
                  </a:prstGeom>
                  <a:noFill/>
                  <a:ln>
                    <a:noFill/>
                  </a:ln>
                </pic:spPr>
              </pic:pic>
            </a:graphicData>
          </a:graphic>
        </wp:inline>
      </w:drawing>
    </w:r>
  </w:p>
  <w:p w:rsidR="00A0388C" w:rsidRPr="001A0178" w:rsidRDefault="00FC7D54">
    <w:pPr>
      <w:pStyle w:val="Encabezado"/>
      <w:jc w:val="center"/>
      <w:rPr>
        <w:rFonts w:ascii="Tahoma" w:hAnsi="Tahoma" w:cs="Tahoma"/>
        <w:b/>
        <w:sz w:val="14"/>
        <w:szCs w:val="14"/>
        <w:lang w:val="es-MX"/>
      </w:rPr>
    </w:pPr>
    <w:r w:rsidRPr="001A0178">
      <w:rPr>
        <w:rFonts w:ascii="Tahoma" w:hAnsi="Tahoma" w:cs="Tahoma"/>
        <w:b/>
        <w:sz w:val="14"/>
        <w:szCs w:val="14"/>
        <w:lang w:val="es-MX"/>
      </w:rPr>
      <w:t>JUZGADO TREINTA Y CUATRO ADMINISTRATIVO</w:t>
    </w:r>
  </w:p>
  <w:p w:rsidR="00A0388C" w:rsidRPr="001A0178" w:rsidRDefault="00FC7D54">
    <w:pPr>
      <w:pStyle w:val="Encabezado"/>
      <w:jc w:val="center"/>
      <w:rPr>
        <w:rFonts w:ascii="Tahoma" w:hAnsi="Tahoma" w:cs="Tahoma"/>
        <w:b/>
        <w:sz w:val="14"/>
        <w:szCs w:val="14"/>
        <w:lang w:val="es-MX"/>
      </w:rPr>
    </w:pPr>
    <w:r w:rsidRPr="001A0178">
      <w:rPr>
        <w:rFonts w:ascii="Tahoma" w:hAnsi="Tahoma" w:cs="Tahoma"/>
        <w:b/>
        <w:sz w:val="14"/>
        <w:szCs w:val="14"/>
        <w:lang w:val="es-MX"/>
      </w:rPr>
      <w:t>ORAL DEL CIRCUITO DE BOGOTÁ</w:t>
    </w:r>
  </w:p>
  <w:p w:rsidR="00A0388C" w:rsidRPr="001A0178" w:rsidRDefault="00FC7D54">
    <w:pPr>
      <w:pStyle w:val="Encabezado"/>
      <w:jc w:val="center"/>
      <w:rPr>
        <w:rFonts w:ascii="Tahoma" w:hAnsi="Tahoma" w:cs="Tahoma"/>
        <w:b/>
        <w:sz w:val="14"/>
        <w:szCs w:val="14"/>
        <w:lang w:val="es-MX"/>
      </w:rPr>
    </w:pPr>
    <w:r w:rsidRPr="001A0178">
      <w:rPr>
        <w:rFonts w:ascii="Tahoma" w:hAnsi="Tahoma" w:cs="Tahoma"/>
        <w:b/>
        <w:sz w:val="14"/>
        <w:szCs w:val="14"/>
        <w:lang w:val="es-MX"/>
      </w:rPr>
      <w:t>Sección Tercera</w:t>
    </w:r>
  </w:p>
  <w:p w:rsidR="00A0388C" w:rsidRDefault="0094416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7248A"/>
    <w:multiLevelType w:val="hybridMultilevel"/>
    <w:tmpl w:val="63E235BC"/>
    <w:lvl w:ilvl="0" w:tplc="F940A152">
      <w:start w:val="1"/>
      <w:numFmt w:val="decimal"/>
      <w:lvlText w:val="%1."/>
      <w:lvlJc w:val="left"/>
      <w:pPr>
        <w:ind w:left="360" w:hanging="360"/>
      </w:pPr>
      <w:rPr>
        <w:rFonts w:cs="Times New Roman" w:hint="default"/>
        <w:b/>
      </w:rPr>
    </w:lvl>
    <w:lvl w:ilvl="1" w:tplc="240A000F">
      <w:start w:val="1"/>
      <w:numFmt w:val="decimal"/>
      <w:lvlText w:val="%2."/>
      <w:lvlJc w:val="left"/>
      <w:pPr>
        <w:ind w:left="1080" w:hanging="360"/>
      </w:pPr>
      <w:rPr>
        <w:rFonts w:cs="Times New Roman" w:hint="default"/>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1">
    <w:nsid w:val="364712BD"/>
    <w:multiLevelType w:val="hybridMultilevel"/>
    <w:tmpl w:val="FB044F32"/>
    <w:lvl w:ilvl="0" w:tplc="4CF01CF2">
      <w:start w:val="1"/>
      <w:numFmt w:val="bullet"/>
      <w:lvlText w:val=""/>
      <w:lvlJc w:val="left"/>
      <w:pPr>
        <w:tabs>
          <w:tab w:val="num" w:pos="207"/>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4D160FCF"/>
    <w:multiLevelType w:val="hybridMultilevel"/>
    <w:tmpl w:val="4F8ABB3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58C70FD6"/>
    <w:multiLevelType w:val="hybridMultilevel"/>
    <w:tmpl w:val="1F9C2EB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 w:numId="3">
    <w:abstractNumId w:val="2"/>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BDB"/>
    <w:rsid w:val="0001525A"/>
    <w:rsid w:val="00031878"/>
    <w:rsid w:val="000D1BDB"/>
    <w:rsid w:val="00284AD7"/>
    <w:rsid w:val="00307A8B"/>
    <w:rsid w:val="00361309"/>
    <w:rsid w:val="00744005"/>
    <w:rsid w:val="00802F16"/>
    <w:rsid w:val="008513A9"/>
    <w:rsid w:val="008B049E"/>
    <w:rsid w:val="00920861"/>
    <w:rsid w:val="00944162"/>
    <w:rsid w:val="009C3B71"/>
    <w:rsid w:val="00B2696A"/>
    <w:rsid w:val="00B81415"/>
    <w:rsid w:val="00DB41E4"/>
    <w:rsid w:val="00DC2481"/>
    <w:rsid w:val="00ED0C52"/>
    <w:rsid w:val="00FB36DC"/>
    <w:rsid w:val="00FC7D54"/>
    <w:rsid w:val="00FD6E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BDB"/>
    <w:pPr>
      <w:spacing w:after="0" w:line="240" w:lineRule="auto"/>
    </w:pPr>
    <w:rPr>
      <w:rFonts w:ascii="Arial" w:eastAsia="Times New Roman" w:hAnsi="Arial" w:cs="Times New Roman"/>
      <w:sz w:val="24"/>
      <w:szCs w:val="20"/>
      <w:lang w:eastAsia="es-ES"/>
    </w:rPr>
  </w:style>
  <w:style w:type="paragraph" w:styleId="Ttulo1">
    <w:name w:val="heading 1"/>
    <w:basedOn w:val="Normal"/>
    <w:next w:val="Normal"/>
    <w:link w:val="Ttulo1Car"/>
    <w:uiPriority w:val="99"/>
    <w:qFormat/>
    <w:rsid w:val="000D1BDB"/>
    <w:pPr>
      <w:keepNext/>
      <w:jc w:val="both"/>
      <w:outlineLvl w:val="0"/>
    </w:pPr>
    <w:rPr>
      <w:rFonts w:ascii="Times New Roman" w:hAnsi="Times New Roman"/>
      <w:b/>
      <w:sz w:val="18"/>
      <w:szCs w:val="1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0D1BDB"/>
    <w:rPr>
      <w:rFonts w:ascii="Times New Roman" w:eastAsia="Times New Roman" w:hAnsi="Times New Roman" w:cs="Times New Roman"/>
      <w:b/>
      <w:sz w:val="18"/>
      <w:szCs w:val="18"/>
      <w:lang w:val="es-MX" w:eastAsia="es-ES"/>
    </w:rPr>
  </w:style>
  <w:style w:type="paragraph" w:styleId="Encabezado">
    <w:name w:val="header"/>
    <w:basedOn w:val="Normal"/>
    <w:link w:val="EncabezadoCar"/>
    <w:uiPriority w:val="99"/>
    <w:rsid w:val="000D1BDB"/>
    <w:pPr>
      <w:tabs>
        <w:tab w:val="center" w:pos="4252"/>
        <w:tab w:val="right" w:pos="8504"/>
      </w:tabs>
    </w:pPr>
  </w:style>
  <w:style w:type="character" w:customStyle="1" w:styleId="EncabezadoCar">
    <w:name w:val="Encabezado Car"/>
    <w:basedOn w:val="Fuentedeprrafopredeter"/>
    <w:link w:val="Encabezado"/>
    <w:uiPriority w:val="99"/>
    <w:rsid w:val="000D1BDB"/>
    <w:rPr>
      <w:rFonts w:ascii="Arial" w:eastAsia="Times New Roman" w:hAnsi="Arial" w:cs="Times New Roman"/>
      <w:sz w:val="24"/>
      <w:szCs w:val="20"/>
      <w:lang w:eastAsia="es-ES"/>
    </w:rPr>
  </w:style>
  <w:style w:type="character" w:styleId="Refdenotaalpie">
    <w:name w:val="footnote reference"/>
    <w:aliases w:val="Texto de nota al pie,Ref. de nota al pie 2,Texto de nota al pi"/>
    <w:basedOn w:val="Fuentedeprrafopredeter"/>
    <w:rsid w:val="000D1BDB"/>
    <w:rPr>
      <w:rFonts w:cs="Times New Roman"/>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
    <w:basedOn w:val="Normal"/>
    <w:link w:val="TextonotapieCar"/>
    <w:uiPriority w:val="99"/>
    <w:rsid w:val="000D1BDB"/>
    <w:rPr>
      <w:sz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0D1BDB"/>
    <w:rPr>
      <w:rFonts w:ascii="Arial" w:eastAsia="Times New Roman" w:hAnsi="Arial" w:cs="Times New Roman"/>
      <w:sz w:val="20"/>
      <w:szCs w:val="20"/>
      <w:lang w:eastAsia="es-ES"/>
    </w:rPr>
  </w:style>
  <w:style w:type="paragraph" w:styleId="Textoindependiente">
    <w:name w:val="Body Text"/>
    <w:basedOn w:val="Normal"/>
    <w:link w:val="TextoindependienteCar"/>
    <w:uiPriority w:val="99"/>
    <w:rsid w:val="000D1BDB"/>
    <w:pPr>
      <w:overflowPunct w:val="0"/>
      <w:autoSpaceDE w:val="0"/>
      <w:autoSpaceDN w:val="0"/>
      <w:adjustRightInd w:val="0"/>
      <w:jc w:val="both"/>
      <w:textAlignment w:val="baseline"/>
    </w:pPr>
    <w:rPr>
      <w:rFonts w:ascii="Tahoma" w:hAnsi="Tahoma"/>
      <w:sz w:val="21"/>
    </w:rPr>
  </w:style>
  <w:style w:type="character" w:customStyle="1" w:styleId="TextoindependienteCar">
    <w:name w:val="Texto independiente Car"/>
    <w:basedOn w:val="Fuentedeprrafopredeter"/>
    <w:link w:val="Textoindependiente"/>
    <w:uiPriority w:val="99"/>
    <w:rsid w:val="000D1BDB"/>
    <w:rPr>
      <w:rFonts w:ascii="Tahoma" w:eastAsia="Times New Roman" w:hAnsi="Tahoma" w:cs="Times New Roman"/>
      <w:sz w:val="21"/>
      <w:szCs w:val="20"/>
      <w:lang w:eastAsia="es-ES"/>
    </w:rPr>
  </w:style>
  <w:style w:type="paragraph" w:styleId="Piedepgina">
    <w:name w:val="footer"/>
    <w:basedOn w:val="Normal"/>
    <w:link w:val="PiedepginaCar"/>
    <w:uiPriority w:val="99"/>
    <w:unhideWhenUsed/>
    <w:rsid w:val="00744005"/>
    <w:pPr>
      <w:tabs>
        <w:tab w:val="center" w:pos="4252"/>
        <w:tab w:val="right" w:pos="8504"/>
      </w:tabs>
    </w:pPr>
  </w:style>
  <w:style w:type="character" w:customStyle="1" w:styleId="PiedepginaCar">
    <w:name w:val="Pie de página Car"/>
    <w:basedOn w:val="Fuentedeprrafopredeter"/>
    <w:link w:val="Piedepgina"/>
    <w:uiPriority w:val="99"/>
    <w:rsid w:val="00744005"/>
    <w:rPr>
      <w:rFonts w:ascii="Arial" w:eastAsia="Times New Roman" w:hAnsi="Arial" w:cs="Times New Roman"/>
      <w:sz w:val="24"/>
      <w:szCs w:val="20"/>
      <w:lang w:eastAsia="es-ES"/>
    </w:rPr>
  </w:style>
  <w:style w:type="character" w:styleId="Hipervnculo">
    <w:name w:val="Hyperlink"/>
    <w:basedOn w:val="Fuentedeprrafopredeter"/>
    <w:uiPriority w:val="99"/>
    <w:unhideWhenUsed/>
    <w:rsid w:val="00744005"/>
    <w:rPr>
      <w:color w:val="0563C1" w:themeColor="hyperlink"/>
      <w:u w:val="single"/>
    </w:rPr>
  </w:style>
  <w:style w:type="paragraph" w:styleId="Textodeglobo">
    <w:name w:val="Balloon Text"/>
    <w:basedOn w:val="Normal"/>
    <w:link w:val="TextodegloboCar"/>
    <w:uiPriority w:val="99"/>
    <w:semiHidden/>
    <w:unhideWhenUsed/>
    <w:rsid w:val="0001525A"/>
    <w:rPr>
      <w:rFonts w:ascii="Tahoma" w:hAnsi="Tahoma" w:cs="Tahoma"/>
      <w:sz w:val="16"/>
      <w:szCs w:val="16"/>
    </w:rPr>
  </w:style>
  <w:style w:type="character" w:customStyle="1" w:styleId="TextodegloboCar">
    <w:name w:val="Texto de globo Car"/>
    <w:basedOn w:val="Fuentedeprrafopredeter"/>
    <w:link w:val="Textodeglobo"/>
    <w:uiPriority w:val="99"/>
    <w:semiHidden/>
    <w:rsid w:val="0001525A"/>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BDB"/>
    <w:pPr>
      <w:spacing w:after="0" w:line="240" w:lineRule="auto"/>
    </w:pPr>
    <w:rPr>
      <w:rFonts w:ascii="Arial" w:eastAsia="Times New Roman" w:hAnsi="Arial" w:cs="Times New Roman"/>
      <w:sz w:val="24"/>
      <w:szCs w:val="20"/>
      <w:lang w:eastAsia="es-ES"/>
    </w:rPr>
  </w:style>
  <w:style w:type="paragraph" w:styleId="Ttulo1">
    <w:name w:val="heading 1"/>
    <w:basedOn w:val="Normal"/>
    <w:next w:val="Normal"/>
    <w:link w:val="Ttulo1Car"/>
    <w:uiPriority w:val="99"/>
    <w:qFormat/>
    <w:rsid w:val="000D1BDB"/>
    <w:pPr>
      <w:keepNext/>
      <w:jc w:val="both"/>
      <w:outlineLvl w:val="0"/>
    </w:pPr>
    <w:rPr>
      <w:rFonts w:ascii="Times New Roman" w:hAnsi="Times New Roman"/>
      <w:b/>
      <w:sz w:val="18"/>
      <w:szCs w:val="1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0D1BDB"/>
    <w:rPr>
      <w:rFonts w:ascii="Times New Roman" w:eastAsia="Times New Roman" w:hAnsi="Times New Roman" w:cs="Times New Roman"/>
      <w:b/>
      <w:sz w:val="18"/>
      <w:szCs w:val="18"/>
      <w:lang w:val="es-MX" w:eastAsia="es-ES"/>
    </w:rPr>
  </w:style>
  <w:style w:type="paragraph" w:styleId="Encabezado">
    <w:name w:val="header"/>
    <w:basedOn w:val="Normal"/>
    <w:link w:val="EncabezadoCar"/>
    <w:uiPriority w:val="99"/>
    <w:rsid w:val="000D1BDB"/>
    <w:pPr>
      <w:tabs>
        <w:tab w:val="center" w:pos="4252"/>
        <w:tab w:val="right" w:pos="8504"/>
      </w:tabs>
    </w:pPr>
  </w:style>
  <w:style w:type="character" w:customStyle="1" w:styleId="EncabezadoCar">
    <w:name w:val="Encabezado Car"/>
    <w:basedOn w:val="Fuentedeprrafopredeter"/>
    <w:link w:val="Encabezado"/>
    <w:uiPriority w:val="99"/>
    <w:rsid w:val="000D1BDB"/>
    <w:rPr>
      <w:rFonts w:ascii="Arial" w:eastAsia="Times New Roman" w:hAnsi="Arial" w:cs="Times New Roman"/>
      <w:sz w:val="24"/>
      <w:szCs w:val="20"/>
      <w:lang w:eastAsia="es-ES"/>
    </w:rPr>
  </w:style>
  <w:style w:type="character" w:styleId="Refdenotaalpie">
    <w:name w:val="footnote reference"/>
    <w:aliases w:val="Texto de nota al pie,Ref. de nota al pie 2,Texto de nota al pi"/>
    <w:basedOn w:val="Fuentedeprrafopredeter"/>
    <w:rsid w:val="000D1BDB"/>
    <w:rPr>
      <w:rFonts w:cs="Times New Roman"/>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
    <w:basedOn w:val="Normal"/>
    <w:link w:val="TextonotapieCar"/>
    <w:uiPriority w:val="99"/>
    <w:rsid w:val="000D1BDB"/>
    <w:rPr>
      <w:sz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0D1BDB"/>
    <w:rPr>
      <w:rFonts w:ascii="Arial" w:eastAsia="Times New Roman" w:hAnsi="Arial" w:cs="Times New Roman"/>
      <w:sz w:val="20"/>
      <w:szCs w:val="20"/>
      <w:lang w:eastAsia="es-ES"/>
    </w:rPr>
  </w:style>
  <w:style w:type="paragraph" w:styleId="Textoindependiente">
    <w:name w:val="Body Text"/>
    <w:basedOn w:val="Normal"/>
    <w:link w:val="TextoindependienteCar"/>
    <w:uiPriority w:val="99"/>
    <w:rsid w:val="000D1BDB"/>
    <w:pPr>
      <w:overflowPunct w:val="0"/>
      <w:autoSpaceDE w:val="0"/>
      <w:autoSpaceDN w:val="0"/>
      <w:adjustRightInd w:val="0"/>
      <w:jc w:val="both"/>
      <w:textAlignment w:val="baseline"/>
    </w:pPr>
    <w:rPr>
      <w:rFonts w:ascii="Tahoma" w:hAnsi="Tahoma"/>
      <w:sz w:val="21"/>
    </w:rPr>
  </w:style>
  <w:style w:type="character" w:customStyle="1" w:styleId="TextoindependienteCar">
    <w:name w:val="Texto independiente Car"/>
    <w:basedOn w:val="Fuentedeprrafopredeter"/>
    <w:link w:val="Textoindependiente"/>
    <w:uiPriority w:val="99"/>
    <w:rsid w:val="000D1BDB"/>
    <w:rPr>
      <w:rFonts w:ascii="Tahoma" w:eastAsia="Times New Roman" w:hAnsi="Tahoma" w:cs="Times New Roman"/>
      <w:sz w:val="21"/>
      <w:szCs w:val="20"/>
      <w:lang w:eastAsia="es-ES"/>
    </w:rPr>
  </w:style>
  <w:style w:type="paragraph" w:styleId="Piedepgina">
    <w:name w:val="footer"/>
    <w:basedOn w:val="Normal"/>
    <w:link w:val="PiedepginaCar"/>
    <w:uiPriority w:val="99"/>
    <w:unhideWhenUsed/>
    <w:rsid w:val="00744005"/>
    <w:pPr>
      <w:tabs>
        <w:tab w:val="center" w:pos="4252"/>
        <w:tab w:val="right" w:pos="8504"/>
      </w:tabs>
    </w:pPr>
  </w:style>
  <w:style w:type="character" w:customStyle="1" w:styleId="PiedepginaCar">
    <w:name w:val="Pie de página Car"/>
    <w:basedOn w:val="Fuentedeprrafopredeter"/>
    <w:link w:val="Piedepgina"/>
    <w:uiPriority w:val="99"/>
    <w:rsid w:val="00744005"/>
    <w:rPr>
      <w:rFonts w:ascii="Arial" w:eastAsia="Times New Roman" w:hAnsi="Arial" w:cs="Times New Roman"/>
      <w:sz w:val="24"/>
      <w:szCs w:val="20"/>
      <w:lang w:eastAsia="es-ES"/>
    </w:rPr>
  </w:style>
  <w:style w:type="character" w:styleId="Hipervnculo">
    <w:name w:val="Hyperlink"/>
    <w:basedOn w:val="Fuentedeprrafopredeter"/>
    <w:uiPriority w:val="99"/>
    <w:unhideWhenUsed/>
    <w:rsid w:val="00744005"/>
    <w:rPr>
      <w:color w:val="0563C1" w:themeColor="hyperlink"/>
      <w:u w:val="single"/>
    </w:rPr>
  </w:style>
  <w:style w:type="paragraph" w:styleId="Textodeglobo">
    <w:name w:val="Balloon Text"/>
    <w:basedOn w:val="Normal"/>
    <w:link w:val="TextodegloboCar"/>
    <w:uiPriority w:val="99"/>
    <w:semiHidden/>
    <w:unhideWhenUsed/>
    <w:rsid w:val="0001525A"/>
    <w:rPr>
      <w:rFonts w:ascii="Tahoma" w:hAnsi="Tahoma" w:cs="Tahoma"/>
      <w:sz w:val="16"/>
      <w:szCs w:val="16"/>
    </w:rPr>
  </w:style>
  <w:style w:type="character" w:customStyle="1" w:styleId="TextodegloboCar">
    <w:name w:val="Texto de globo Car"/>
    <w:basedOn w:val="Fuentedeprrafopredeter"/>
    <w:link w:val="Textodeglobo"/>
    <w:uiPriority w:val="99"/>
    <w:semiHidden/>
    <w:rsid w:val="0001525A"/>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esap.edu.co/noticias-internas/690-posesionado-jefe-de-oficina-asesora-jur%C3%ADdica.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C6BDA-74BC-4128-851A-1CEC9DCAF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1867</Words>
  <Characters>10273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Reinaldo Cortes Rivera</dc:creator>
  <cp:lastModifiedBy>Olga Henao Marin</cp:lastModifiedBy>
  <cp:revision>3</cp:revision>
  <cp:lastPrinted>2015-02-27T14:26:00Z</cp:lastPrinted>
  <dcterms:created xsi:type="dcterms:W3CDTF">2015-02-27T14:25:00Z</dcterms:created>
  <dcterms:modified xsi:type="dcterms:W3CDTF">2015-02-27T14:28:00Z</dcterms:modified>
</cp:coreProperties>
</file>