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0"/>
      </w:tblGrid>
      <w:tr w:rsidR="00063998" w:rsidRPr="004E3A41" w:rsidTr="00FE41D4">
        <w:trPr>
          <w:trHeight w:val="215"/>
        </w:trPr>
        <w:tc>
          <w:tcPr>
            <w:tcW w:w="1620" w:type="dxa"/>
            <w:tcBorders>
              <w:top w:val="single" w:sz="4" w:space="0" w:color="auto"/>
              <w:left w:val="single" w:sz="4" w:space="0" w:color="auto"/>
              <w:bottom w:val="single" w:sz="4" w:space="0" w:color="auto"/>
              <w:right w:val="single" w:sz="4" w:space="0" w:color="auto"/>
            </w:tcBorders>
            <w:vAlign w:val="center"/>
          </w:tcPr>
          <w:p w:rsidR="00063998" w:rsidRPr="004E3A41" w:rsidRDefault="00063998" w:rsidP="00FE41D4">
            <w:pPr>
              <w:jc w:val="both"/>
              <w:rPr>
                <w:rFonts w:ascii="Tahoma" w:hAnsi="Tahoma" w:cs="Tahoma"/>
                <w:b/>
                <w:color w:val="auto"/>
                <w:sz w:val="16"/>
                <w:szCs w:val="16"/>
              </w:rPr>
            </w:pPr>
            <w:r w:rsidRPr="004E3A41">
              <w:rPr>
                <w:rFonts w:ascii="Tahoma" w:hAnsi="Tahoma" w:cs="Tahoma"/>
                <w:b/>
                <w:color w:val="auto"/>
                <w:sz w:val="16"/>
                <w:szCs w:val="16"/>
              </w:rPr>
              <w:t>CIUDAD Y FECHA</w:t>
            </w:r>
          </w:p>
        </w:tc>
        <w:tc>
          <w:tcPr>
            <w:tcW w:w="7200" w:type="dxa"/>
            <w:tcBorders>
              <w:top w:val="single" w:sz="4" w:space="0" w:color="auto"/>
              <w:left w:val="single" w:sz="4" w:space="0" w:color="auto"/>
              <w:bottom w:val="single" w:sz="4" w:space="0" w:color="auto"/>
              <w:right w:val="single" w:sz="4" w:space="0" w:color="auto"/>
            </w:tcBorders>
          </w:tcPr>
          <w:p w:rsidR="00063998" w:rsidRPr="004E3A41" w:rsidRDefault="00063998" w:rsidP="009E588E">
            <w:pPr>
              <w:jc w:val="both"/>
              <w:rPr>
                <w:rFonts w:ascii="Tahoma" w:hAnsi="Tahoma" w:cs="Tahoma"/>
                <w:b/>
                <w:color w:val="auto"/>
                <w:sz w:val="16"/>
                <w:szCs w:val="16"/>
              </w:rPr>
            </w:pPr>
            <w:r w:rsidRPr="004E3A41">
              <w:rPr>
                <w:rFonts w:ascii="Tahoma" w:hAnsi="Tahoma" w:cs="Tahoma"/>
                <w:b/>
                <w:color w:val="auto"/>
                <w:sz w:val="16"/>
                <w:szCs w:val="16"/>
              </w:rPr>
              <w:t xml:space="preserve">Bogotá D. C., </w:t>
            </w:r>
            <w:r w:rsidR="009E588E" w:rsidRPr="004E3A41">
              <w:rPr>
                <w:rFonts w:ascii="Tahoma" w:hAnsi="Tahoma" w:cs="Tahoma"/>
                <w:b/>
                <w:color w:val="auto"/>
                <w:sz w:val="16"/>
                <w:szCs w:val="16"/>
              </w:rPr>
              <w:t>veintisiete (27)</w:t>
            </w:r>
            <w:r w:rsidRPr="004E3A41">
              <w:rPr>
                <w:rFonts w:ascii="Tahoma" w:hAnsi="Tahoma" w:cs="Tahoma"/>
                <w:b/>
                <w:color w:val="auto"/>
                <w:sz w:val="16"/>
                <w:szCs w:val="16"/>
              </w:rPr>
              <w:t xml:space="preserve"> de febrero  de dos mil quince  (2015)</w:t>
            </w:r>
          </w:p>
        </w:tc>
      </w:tr>
      <w:tr w:rsidR="00063998" w:rsidRPr="004E3A41" w:rsidTr="00FE41D4">
        <w:trPr>
          <w:trHeight w:val="215"/>
        </w:trPr>
        <w:tc>
          <w:tcPr>
            <w:tcW w:w="1620" w:type="dxa"/>
            <w:tcBorders>
              <w:top w:val="single" w:sz="4" w:space="0" w:color="auto"/>
              <w:left w:val="single" w:sz="4" w:space="0" w:color="auto"/>
              <w:bottom w:val="single" w:sz="4" w:space="0" w:color="auto"/>
              <w:right w:val="single" w:sz="4" w:space="0" w:color="auto"/>
            </w:tcBorders>
            <w:vAlign w:val="center"/>
          </w:tcPr>
          <w:p w:rsidR="00063998" w:rsidRPr="004E3A41" w:rsidRDefault="00063998" w:rsidP="00FE41D4">
            <w:pPr>
              <w:jc w:val="both"/>
              <w:rPr>
                <w:rFonts w:ascii="Tahoma" w:hAnsi="Tahoma" w:cs="Tahoma"/>
                <w:b/>
                <w:color w:val="auto"/>
                <w:sz w:val="16"/>
                <w:szCs w:val="16"/>
              </w:rPr>
            </w:pPr>
            <w:r w:rsidRPr="004E3A41">
              <w:rPr>
                <w:rFonts w:ascii="Tahoma" w:hAnsi="Tahoma" w:cs="Tahoma"/>
                <w:b/>
                <w:color w:val="auto"/>
                <w:sz w:val="16"/>
                <w:szCs w:val="16"/>
              </w:rPr>
              <w:t>REFERENCIA</w:t>
            </w:r>
          </w:p>
        </w:tc>
        <w:tc>
          <w:tcPr>
            <w:tcW w:w="7200" w:type="dxa"/>
            <w:tcBorders>
              <w:top w:val="single" w:sz="4" w:space="0" w:color="auto"/>
              <w:left w:val="single" w:sz="4" w:space="0" w:color="auto"/>
              <w:bottom w:val="single" w:sz="4" w:space="0" w:color="auto"/>
              <w:right w:val="single" w:sz="4" w:space="0" w:color="auto"/>
            </w:tcBorders>
          </w:tcPr>
          <w:p w:rsidR="00063998" w:rsidRPr="004E3A41" w:rsidRDefault="00063998" w:rsidP="00FE41D4">
            <w:pPr>
              <w:jc w:val="both"/>
              <w:rPr>
                <w:rFonts w:ascii="Tahoma" w:hAnsi="Tahoma" w:cs="Tahoma"/>
                <w:b/>
                <w:color w:val="auto"/>
                <w:sz w:val="16"/>
                <w:szCs w:val="16"/>
              </w:rPr>
            </w:pPr>
            <w:r w:rsidRPr="004E3A41">
              <w:rPr>
                <w:rFonts w:ascii="Tahoma" w:hAnsi="Tahoma" w:cs="Tahoma"/>
                <w:b/>
                <w:sz w:val="16"/>
                <w:szCs w:val="16"/>
              </w:rPr>
              <w:t>Expediente No. 110013336034201300035400</w:t>
            </w:r>
          </w:p>
        </w:tc>
      </w:tr>
      <w:tr w:rsidR="00063998" w:rsidRPr="004E3A41" w:rsidTr="00FE41D4">
        <w:trPr>
          <w:trHeight w:val="215"/>
        </w:trPr>
        <w:tc>
          <w:tcPr>
            <w:tcW w:w="1620" w:type="dxa"/>
            <w:tcBorders>
              <w:top w:val="single" w:sz="4" w:space="0" w:color="auto"/>
              <w:left w:val="single" w:sz="4" w:space="0" w:color="auto"/>
              <w:bottom w:val="single" w:sz="4" w:space="0" w:color="auto"/>
              <w:right w:val="single" w:sz="4" w:space="0" w:color="auto"/>
            </w:tcBorders>
            <w:vAlign w:val="center"/>
          </w:tcPr>
          <w:p w:rsidR="00063998" w:rsidRPr="004E3A41" w:rsidRDefault="00063998" w:rsidP="00FE41D4">
            <w:pPr>
              <w:jc w:val="both"/>
              <w:rPr>
                <w:rFonts w:ascii="Tahoma" w:hAnsi="Tahoma" w:cs="Tahoma"/>
                <w:b/>
                <w:color w:val="auto"/>
                <w:sz w:val="16"/>
                <w:szCs w:val="16"/>
              </w:rPr>
            </w:pPr>
            <w:r w:rsidRPr="004E3A41">
              <w:rPr>
                <w:rFonts w:ascii="Tahoma" w:hAnsi="Tahoma" w:cs="Tahoma"/>
                <w:b/>
                <w:color w:val="auto"/>
                <w:sz w:val="16"/>
                <w:szCs w:val="16"/>
              </w:rPr>
              <w:t>DEMANDANTE</w:t>
            </w:r>
          </w:p>
        </w:tc>
        <w:tc>
          <w:tcPr>
            <w:tcW w:w="7200" w:type="dxa"/>
            <w:tcBorders>
              <w:top w:val="single" w:sz="4" w:space="0" w:color="auto"/>
              <w:left w:val="single" w:sz="4" w:space="0" w:color="auto"/>
              <w:bottom w:val="single" w:sz="4" w:space="0" w:color="auto"/>
              <w:right w:val="single" w:sz="4" w:space="0" w:color="auto"/>
            </w:tcBorders>
          </w:tcPr>
          <w:p w:rsidR="00063998" w:rsidRPr="004E3A41" w:rsidRDefault="00063998" w:rsidP="00FE41D4">
            <w:pPr>
              <w:jc w:val="both"/>
              <w:rPr>
                <w:rFonts w:ascii="Tahoma" w:hAnsi="Tahoma" w:cs="Tahoma"/>
                <w:b/>
                <w:color w:val="auto"/>
                <w:sz w:val="16"/>
                <w:szCs w:val="16"/>
              </w:rPr>
            </w:pPr>
            <w:r w:rsidRPr="004E3A41">
              <w:rPr>
                <w:rFonts w:ascii="Tahoma" w:hAnsi="Tahoma" w:cs="Tahoma"/>
                <w:b/>
                <w:sz w:val="16"/>
                <w:szCs w:val="16"/>
              </w:rPr>
              <w:t>VR CONSTRUCCIONES Y SERVICIOS LTDA.</w:t>
            </w:r>
          </w:p>
        </w:tc>
      </w:tr>
      <w:tr w:rsidR="00063998" w:rsidRPr="004E3A41" w:rsidTr="00FE41D4">
        <w:trPr>
          <w:trHeight w:val="215"/>
        </w:trPr>
        <w:tc>
          <w:tcPr>
            <w:tcW w:w="1620" w:type="dxa"/>
            <w:tcBorders>
              <w:top w:val="single" w:sz="4" w:space="0" w:color="auto"/>
              <w:left w:val="single" w:sz="4" w:space="0" w:color="auto"/>
              <w:bottom w:val="single" w:sz="4" w:space="0" w:color="auto"/>
              <w:right w:val="single" w:sz="4" w:space="0" w:color="auto"/>
            </w:tcBorders>
            <w:vAlign w:val="center"/>
          </w:tcPr>
          <w:p w:rsidR="00063998" w:rsidRPr="004E3A41" w:rsidRDefault="00063998" w:rsidP="00FE41D4">
            <w:pPr>
              <w:jc w:val="both"/>
              <w:rPr>
                <w:rFonts w:ascii="Tahoma" w:hAnsi="Tahoma" w:cs="Tahoma"/>
                <w:b/>
                <w:color w:val="auto"/>
                <w:sz w:val="16"/>
                <w:szCs w:val="16"/>
              </w:rPr>
            </w:pPr>
            <w:r w:rsidRPr="004E3A41">
              <w:rPr>
                <w:rFonts w:ascii="Tahoma" w:hAnsi="Tahoma" w:cs="Tahoma"/>
                <w:b/>
                <w:color w:val="auto"/>
                <w:sz w:val="16"/>
                <w:szCs w:val="16"/>
              </w:rPr>
              <w:t>DEMANDADO</w:t>
            </w:r>
          </w:p>
        </w:tc>
        <w:tc>
          <w:tcPr>
            <w:tcW w:w="7200" w:type="dxa"/>
            <w:tcBorders>
              <w:top w:val="single" w:sz="4" w:space="0" w:color="auto"/>
              <w:left w:val="single" w:sz="4" w:space="0" w:color="auto"/>
              <w:bottom w:val="single" w:sz="4" w:space="0" w:color="auto"/>
              <w:right w:val="single" w:sz="4" w:space="0" w:color="auto"/>
            </w:tcBorders>
          </w:tcPr>
          <w:p w:rsidR="00063998" w:rsidRPr="004E3A41" w:rsidRDefault="00063998" w:rsidP="00FE41D4">
            <w:pPr>
              <w:jc w:val="both"/>
              <w:rPr>
                <w:rFonts w:ascii="Tahoma" w:hAnsi="Tahoma" w:cs="Tahoma"/>
                <w:b/>
                <w:color w:val="auto"/>
                <w:sz w:val="16"/>
                <w:szCs w:val="16"/>
              </w:rPr>
            </w:pPr>
            <w:r w:rsidRPr="004E3A41">
              <w:rPr>
                <w:rFonts w:ascii="Tahoma" w:hAnsi="Tahoma" w:cs="Tahoma"/>
                <w:b/>
                <w:sz w:val="16"/>
                <w:szCs w:val="16"/>
              </w:rPr>
              <w:t>MUNICIPIO DE SOACHA</w:t>
            </w:r>
          </w:p>
        </w:tc>
      </w:tr>
      <w:tr w:rsidR="00063998" w:rsidRPr="004E3A41" w:rsidTr="00FE41D4">
        <w:trPr>
          <w:trHeight w:val="215"/>
        </w:trPr>
        <w:tc>
          <w:tcPr>
            <w:tcW w:w="1620" w:type="dxa"/>
            <w:tcBorders>
              <w:top w:val="single" w:sz="4" w:space="0" w:color="auto"/>
              <w:left w:val="single" w:sz="4" w:space="0" w:color="auto"/>
              <w:bottom w:val="single" w:sz="4" w:space="0" w:color="auto"/>
              <w:right w:val="single" w:sz="4" w:space="0" w:color="auto"/>
            </w:tcBorders>
            <w:vAlign w:val="center"/>
          </w:tcPr>
          <w:p w:rsidR="00063998" w:rsidRPr="004E3A41" w:rsidRDefault="00063998" w:rsidP="00FE41D4">
            <w:pPr>
              <w:jc w:val="both"/>
              <w:rPr>
                <w:rFonts w:ascii="Tahoma" w:hAnsi="Tahoma" w:cs="Tahoma"/>
                <w:b/>
                <w:color w:val="auto"/>
                <w:sz w:val="16"/>
                <w:szCs w:val="16"/>
              </w:rPr>
            </w:pPr>
            <w:r w:rsidRPr="004E3A41">
              <w:rPr>
                <w:rFonts w:ascii="Tahoma" w:hAnsi="Tahoma" w:cs="Tahoma"/>
                <w:b/>
                <w:color w:val="auto"/>
                <w:sz w:val="16"/>
                <w:szCs w:val="16"/>
              </w:rPr>
              <w:t>ACCIÓN</w:t>
            </w:r>
          </w:p>
        </w:tc>
        <w:tc>
          <w:tcPr>
            <w:tcW w:w="7200" w:type="dxa"/>
            <w:tcBorders>
              <w:top w:val="single" w:sz="4" w:space="0" w:color="auto"/>
              <w:left w:val="single" w:sz="4" w:space="0" w:color="auto"/>
              <w:bottom w:val="single" w:sz="4" w:space="0" w:color="auto"/>
              <w:right w:val="single" w:sz="4" w:space="0" w:color="auto"/>
            </w:tcBorders>
          </w:tcPr>
          <w:p w:rsidR="00063998" w:rsidRPr="004E3A41" w:rsidRDefault="00063998" w:rsidP="00FE41D4">
            <w:pPr>
              <w:jc w:val="both"/>
              <w:rPr>
                <w:rFonts w:ascii="Tahoma" w:hAnsi="Tahoma" w:cs="Tahoma"/>
                <w:b/>
                <w:color w:val="auto"/>
                <w:sz w:val="16"/>
                <w:szCs w:val="16"/>
              </w:rPr>
            </w:pPr>
            <w:r w:rsidRPr="004E3A41">
              <w:rPr>
                <w:rFonts w:ascii="Tahoma" w:hAnsi="Tahoma" w:cs="Tahoma"/>
                <w:b/>
                <w:sz w:val="16"/>
                <w:szCs w:val="16"/>
              </w:rPr>
              <w:t>CONTROVERSIAS CONTRACTUALES</w:t>
            </w:r>
            <w:r w:rsidRPr="004E3A41">
              <w:rPr>
                <w:rFonts w:ascii="Tahoma" w:hAnsi="Tahoma" w:cs="Tahoma"/>
                <w:b/>
                <w:color w:val="auto"/>
                <w:sz w:val="16"/>
                <w:szCs w:val="16"/>
              </w:rPr>
              <w:t xml:space="preserve"> </w:t>
            </w:r>
            <w:r w:rsidRPr="004E3A41">
              <w:rPr>
                <w:rFonts w:ascii="Tahoma" w:hAnsi="Tahoma" w:cs="Tahoma"/>
                <w:b/>
                <w:color w:val="auto"/>
                <w:sz w:val="16"/>
                <w:szCs w:val="16"/>
              </w:rPr>
              <w:fldChar w:fldCharType="begin"/>
            </w:r>
            <w:r w:rsidRPr="004E3A41">
              <w:rPr>
                <w:rFonts w:ascii="Tahoma" w:hAnsi="Tahoma" w:cs="Tahoma"/>
                <w:b/>
                <w:color w:val="auto"/>
                <w:sz w:val="16"/>
                <w:szCs w:val="16"/>
              </w:rPr>
              <w:instrText xml:space="preserve"> MERGEFIELD "ACCION_" </w:instrText>
            </w:r>
            <w:r w:rsidRPr="004E3A41">
              <w:rPr>
                <w:rFonts w:ascii="Tahoma" w:hAnsi="Tahoma" w:cs="Tahoma"/>
                <w:b/>
                <w:color w:val="auto"/>
                <w:sz w:val="16"/>
                <w:szCs w:val="16"/>
              </w:rPr>
              <w:fldChar w:fldCharType="end"/>
            </w:r>
          </w:p>
        </w:tc>
      </w:tr>
      <w:tr w:rsidR="00063998" w:rsidRPr="004E3A41" w:rsidTr="00FE41D4">
        <w:trPr>
          <w:trHeight w:val="215"/>
        </w:trPr>
        <w:tc>
          <w:tcPr>
            <w:tcW w:w="1620" w:type="dxa"/>
            <w:tcBorders>
              <w:top w:val="single" w:sz="4" w:space="0" w:color="auto"/>
              <w:left w:val="single" w:sz="4" w:space="0" w:color="auto"/>
              <w:bottom w:val="single" w:sz="4" w:space="0" w:color="auto"/>
              <w:right w:val="single" w:sz="4" w:space="0" w:color="auto"/>
            </w:tcBorders>
            <w:vAlign w:val="center"/>
          </w:tcPr>
          <w:p w:rsidR="00063998" w:rsidRPr="004E3A41" w:rsidRDefault="00063998" w:rsidP="00FE41D4">
            <w:pPr>
              <w:jc w:val="both"/>
              <w:rPr>
                <w:rFonts w:ascii="Tahoma" w:hAnsi="Tahoma" w:cs="Tahoma"/>
                <w:b/>
                <w:color w:val="auto"/>
                <w:sz w:val="16"/>
                <w:szCs w:val="16"/>
              </w:rPr>
            </w:pPr>
            <w:r w:rsidRPr="004E3A41">
              <w:rPr>
                <w:rFonts w:ascii="Tahoma" w:hAnsi="Tahoma" w:cs="Tahoma"/>
                <w:b/>
                <w:color w:val="auto"/>
                <w:sz w:val="16"/>
                <w:szCs w:val="16"/>
              </w:rPr>
              <w:t>ASUNTO</w:t>
            </w:r>
          </w:p>
        </w:tc>
        <w:tc>
          <w:tcPr>
            <w:tcW w:w="7200" w:type="dxa"/>
            <w:tcBorders>
              <w:top w:val="single" w:sz="4" w:space="0" w:color="auto"/>
              <w:left w:val="single" w:sz="4" w:space="0" w:color="auto"/>
              <w:bottom w:val="single" w:sz="4" w:space="0" w:color="auto"/>
              <w:right w:val="single" w:sz="4" w:space="0" w:color="auto"/>
            </w:tcBorders>
          </w:tcPr>
          <w:p w:rsidR="00063998" w:rsidRPr="004E3A41" w:rsidRDefault="00D84A64" w:rsidP="00D84A64">
            <w:pPr>
              <w:jc w:val="both"/>
              <w:rPr>
                <w:rFonts w:ascii="Tahoma" w:hAnsi="Tahoma" w:cs="Tahoma"/>
                <w:b/>
                <w:color w:val="auto"/>
                <w:sz w:val="16"/>
                <w:szCs w:val="16"/>
              </w:rPr>
            </w:pPr>
            <w:bookmarkStart w:id="0" w:name="_GoBack"/>
            <w:r w:rsidRPr="004E3A41">
              <w:rPr>
                <w:rFonts w:ascii="Tahoma" w:hAnsi="Tahoma" w:cs="Tahoma"/>
                <w:b/>
                <w:sz w:val="16"/>
                <w:szCs w:val="16"/>
              </w:rPr>
              <w:t>RECHAZA REPOSICIÓN Y CONCEDE APELACIÓN CONTRA AUTO QUE NIEGA LLAMAMIENTO EN GARANTIA</w:t>
            </w:r>
            <w:bookmarkEnd w:id="0"/>
          </w:p>
        </w:tc>
      </w:tr>
    </w:tbl>
    <w:p w:rsidR="00063998" w:rsidRPr="004E3A41" w:rsidRDefault="00063998" w:rsidP="00063998">
      <w:pPr>
        <w:jc w:val="both"/>
        <w:rPr>
          <w:rFonts w:ascii="Tahoma" w:hAnsi="Tahoma" w:cs="Tahoma"/>
          <w:color w:val="auto"/>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t xml:space="preserve">Con la presente demanda se pretende que se declare la responsabilidad contractual del MUNICIPIO DE SOACHA por la existencia de mayores cantidades de obra ejecutadas por el contratista durante la ejecución del contrato Nº 666 del 06 de Octubre de 2010, suscrito entre el MUNICIPIO DE SOACHA CUNDINAMARCA- Y VR CONSTRUCCIONES Y SERVICIOS LTDA. </w:t>
      </w:r>
    </w:p>
    <w:p w:rsidR="00063998" w:rsidRPr="004E3A41" w:rsidRDefault="00063998" w:rsidP="00063998">
      <w:pPr>
        <w:jc w:val="both"/>
        <w:rPr>
          <w:rFonts w:ascii="Tahoma" w:hAnsi="Tahoma" w:cs="Tahoma"/>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t>En providencia del 19 de marzo de 2014 se admitió la demanda interpuesta por VR CONSTRUCCIONES Y SERVICIOS LTDA en contra de la MUNICIPIO DE SOACHA CUNDINAMARCA</w:t>
      </w:r>
      <w:r w:rsidR="004E3A41" w:rsidRPr="004E3A41">
        <w:rPr>
          <w:rStyle w:val="Refdenotaalpie"/>
          <w:rFonts w:ascii="Tahoma" w:hAnsi="Tahoma" w:cs="Tahoma"/>
          <w:sz w:val="18"/>
          <w:szCs w:val="18"/>
        </w:rPr>
        <w:footnoteReference w:id="1"/>
      </w:r>
      <w:r w:rsidRPr="004E3A41">
        <w:rPr>
          <w:rFonts w:ascii="Tahoma" w:hAnsi="Tahoma" w:cs="Tahoma"/>
          <w:sz w:val="18"/>
          <w:szCs w:val="18"/>
        </w:rPr>
        <w:t xml:space="preserve"> </w:t>
      </w:r>
    </w:p>
    <w:p w:rsidR="00063998" w:rsidRPr="004E3A41" w:rsidRDefault="00063998" w:rsidP="00063998">
      <w:pPr>
        <w:jc w:val="both"/>
        <w:rPr>
          <w:rFonts w:ascii="Tahoma" w:hAnsi="Tahoma" w:cs="Tahoma"/>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t>En la contestación de la demanda el MUNICIPIO DE SOACHA llamó en garantía a la empresa CONSTRUHERCA LTDA</w:t>
      </w:r>
      <w:r w:rsidR="004E3A41" w:rsidRPr="004E3A41">
        <w:rPr>
          <w:rStyle w:val="Refdenotaalpie"/>
          <w:rFonts w:ascii="Tahoma" w:hAnsi="Tahoma" w:cs="Tahoma"/>
          <w:sz w:val="18"/>
          <w:szCs w:val="18"/>
        </w:rPr>
        <w:footnoteReference w:id="2"/>
      </w:r>
      <w:r w:rsidRPr="004E3A41">
        <w:rPr>
          <w:rFonts w:ascii="Tahoma" w:hAnsi="Tahoma" w:cs="Tahoma"/>
          <w:sz w:val="18"/>
          <w:szCs w:val="18"/>
        </w:rPr>
        <w:t xml:space="preserve"> </w:t>
      </w:r>
    </w:p>
    <w:p w:rsidR="004E3A41" w:rsidRPr="004E3A41" w:rsidRDefault="004E3A41" w:rsidP="00063998">
      <w:pPr>
        <w:jc w:val="both"/>
        <w:rPr>
          <w:rFonts w:ascii="Tahoma" w:hAnsi="Tahoma" w:cs="Tahoma"/>
          <w:color w:val="auto"/>
          <w:sz w:val="18"/>
          <w:szCs w:val="18"/>
        </w:rPr>
      </w:pPr>
    </w:p>
    <w:p w:rsidR="00063998" w:rsidRPr="004E3A41" w:rsidRDefault="00063998" w:rsidP="00063998">
      <w:pPr>
        <w:jc w:val="both"/>
        <w:rPr>
          <w:rFonts w:ascii="Tahoma" w:hAnsi="Tahoma" w:cs="Tahoma"/>
          <w:color w:val="auto"/>
          <w:sz w:val="18"/>
          <w:szCs w:val="18"/>
        </w:rPr>
      </w:pPr>
      <w:r w:rsidRPr="004E3A41">
        <w:rPr>
          <w:rFonts w:ascii="Tahoma" w:hAnsi="Tahoma" w:cs="Tahoma"/>
          <w:color w:val="auto"/>
          <w:sz w:val="18"/>
          <w:szCs w:val="18"/>
        </w:rPr>
        <w:t>Con auto del 16 de octubre de 2014 se negó el llamamiento en garantía con fines de repetición</w:t>
      </w:r>
      <w:r w:rsidR="004E3A41" w:rsidRPr="004E3A41">
        <w:rPr>
          <w:rFonts w:ascii="Tahoma" w:hAnsi="Tahoma" w:cs="Tahoma"/>
          <w:color w:val="auto"/>
          <w:sz w:val="18"/>
          <w:szCs w:val="18"/>
        </w:rPr>
        <w:t>.</w:t>
      </w:r>
      <w:r w:rsidRPr="004E3A41">
        <w:rPr>
          <w:rFonts w:ascii="Tahoma" w:hAnsi="Tahoma" w:cs="Tahoma"/>
          <w:color w:val="auto"/>
          <w:sz w:val="18"/>
          <w:szCs w:val="18"/>
        </w:rPr>
        <w:t xml:space="preserve"> </w:t>
      </w:r>
    </w:p>
    <w:p w:rsidR="00063998" w:rsidRPr="004E3A41" w:rsidRDefault="00063998" w:rsidP="00063998">
      <w:pPr>
        <w:jc w:val="both"/>
        <w:rPr>
          <w:rFonts w:ascii="Tahoma" w:hAnsi="Tahoma" w:cs="Tahoma"/>
          <w:color w:val="auto"/>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t>En informe secretarial del 30 de enero de 2015 se anotó: “</w:t>
      </w:r>
      <w:r w:rsidRPr="004E3A41">
        <w:rPr>
          <w:rFonts w:ascii="Tahoma" w:hAnsi="Tahoma" w:cs="Tahoma"/>
          <w:sz w:val="18"/>
          <w:szCs w:val="18"/>
        </w:rPr>
        <w:tab/>
      </w:r>
      <w:r w:rsidRPr="004E3A41">
        <w:rPr>
          <w:rFonts w:ascii="Tahoma" w:hAnsi="Tahoma" w:cs="Tahoma"/>
          <w:i/>
          <w:sz w:val="18"/>
          <w:szCs w:val="18"/>
        </w:rPr>
        <w:t>RECURSO DE REPOSICIÓN Y EN SUBSIDIO APELACIÓN CONTRA PROVEÍDO ANTERIOR, OPORTUNAMENTE INTERPUESTO (ENERO 20 DE 2015) Y DEBIDAMENTE TRAMITADOS. SÍRVASE PROVEER</w:t>
      </w:r>
      <w:r w:rsidRPr="004E3A41">
        <w:rPr>
          <w:rFonts w:ascii="Tahoma" w:hAnsi="Tahoma" w:cs="Tahoma"/>
          <w:sz w:val="18"/>
          <w:szCs w:val="18"/>
        </w:rPr>
        <w:t>”</w:t>
      </w:r>
    </w:p>
    <w:p w:rsidR="00063998" w:rsidRPr="004E3A41" w:rsidRDefault="00063998" w:rsidP="00063998">
      <w:pPr>
        <w:jc w:val="both"/>
        <w:rPr>
          <w:rFonts w:ascii="Tahoma" w:hAnsi="Tahoma" w:cs="Tahoma"/>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t>Procede el Despacho a pronunciarse sobre lo anotado.</w:t>
      </w:r>
    </w:p>
    <w:p w:rsidR="00063998" w:rsidRPr="004E3A41" w:rsidRDefault="00063998" w:rsidP="00063998">
      <w:pPr>
        <w:jc w:val="both"/>
        <w:rPr>
          <w:rFonts w:ascii="Tahoma" w:hAnsi="Tahoma" w:cs="Tahoma"/>
          <w:sz w:val="18"/>
          <w:szCs w:val="18"/>
        </w:rPr>
      </w:pPr>
    </w:p>
    <w:p w:rsidR="00063998" w:rsidRPr="004E3A41" w:rsidRDefault="00063998" w:rsidP="00063998">
      <w:pPr>
        <w:jc w:val="center"/>
        <w:rPr>
          <w:rFonts w:ascii="Tahoma" w:hAnsi="Tahoma" w:cs="Tahoma"/>
          <w:b/>
          <w:sz w:val="18"/>
          <w:szCs w:val="18"/>
          <w:lang w:val="es-MX"/>
        </w:rPr>
      </w:pPr>
      <w:r w:rsidRPr="004E3A41">
        <w:rPr>
          <w:rFonts w:ascii="Tahoma" w:hAnsi="Tahoma" w:cs="Tahoma"/>
          <w:b/>
          <w:sz w:val="18"/>
          <w:szCs w:val="18"/>
          <w:lang w:val="es-MX"/>
        </w:rPr>
        <w:t>CONSIDERACIONES:</w:t>
      </w:r>
    </w:p>
    <w:p w:rsidR="00D84A64" w:rsidRPr="004E3A41" w:rsidRDefault="00D84A64" w:rsidP="00063998">
      <w:pPr>
        <w:jc w:val="center"/>
        <w:rPr>
          <w:rFonts w:ascii="Tahoma" w:hAnsi="Tahoma" w:cs="Tahoma"/>
          <w:b/>
          <w:sz w:val="18"/>
          <w:szCs w:val="18"/>
          <w:lang w:val="es-MX"/>
        </w:rPr>
      </w:pPr>
    </w:p>
    <w:p w:rsidR="00D84A64" w:rsidRPr="004E3A41" w:rsidRDefault="00D84A64" w:rsidP="00063998">
      <w:pPr>
        <w:jc w:val="center"/>
        <w:rPr>
          <w:rFonts w:ascii="Tahoma" w:hAnsi="Tahoma" w:cs="Tahoma"/>
          <w:b/>
          <w:sz w:val="18"/>
          <w:szCs w:val="18"/>
          <w:lang w:val="es-MX"/>
        </w:rPr>
      </w:pPr>
    </w:p>
    <w:p w:rsidR="00063998" w:rsidRPr="004E3A41" w:rsidRDefault="00063998" w:rsidP="00063998">
      <w:pPr>
        <w:ind w:left="360"/>
        <w:jc w:val="both"/>
        <w:rPr>
          <w:rFonts w:ascii="Tahoma" w:hAnsi="Tahoma" w:cs="Tahoma"/>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t xml:space="preserve">El artículo 243 del Código de Procedimiento Administrativo y de lo Contencioso Administrativo, señala que los </w:t>
      </w:r>
      <w:r w:rsidRPr="004E3A41">
        <w:rPr>
          <w:rFonts w:ascii="Tahoma" w:hAnsi="Tahoma" w:cs="Tahoma"/>
          <w:b/>
          <w:sz w:val="18"/>
          <w:szCs w:val="18"/>
        </w:rPr>
        <w:t>autos susceptibles de apelación proferidos en la misma instancia por los jueces administrativos son</w:t>
      </w:r>
      <w:r w:rsidRPr="004E3A41">
        <w:rPr>
          <w:rFonts w:ascii="Tahoma" w:hAnsi="Tahoma" w:cs="Tahoma"/>
          <w:sz w:val="18"/>
          <w:szCs w:val="18"/>
        </w:rPr>
        <w:t>:</w:t>
      </w:r>
    </w:p>
    <w:p w:rsidR="00063998" w:rsidRPr="004E3A41" w:rsidRDefault="00063998" w:rsidP="00063998">
      <w:pPr>
        <w:jc w:val="both"/>
        <w:rPr>
          <w:rFonts w:ascii="Tahoma" w:hAnsi="Tahoma" w:cs="Tahoma"/>
          <w:sz w:val="18"/>
          <w:szCs w:val="18"/>
        </w:rPr>
      </w:pPr>
    </w:p>
    <w:p w:rsidR="00063998" w:rsidRPr="004E3A41" w:rsidRDefault="00063998" w:rsidP="00063998">
      <w:pPr>
        <w:jc w:val="both"/>
        <w:rPr>
          <w:rFonts w:ascii="Tahoma" w:hAnsi="Tahoma" w:cs="Tahoma"/>
          <w:b/>
          <w:i/>
          <w:sz w:val="18"/>
          <w:szCs w:val="18"/>
          <w:u w:val="single"/>
        </w:rPr>
      </w:pPr>
      <w:r w:rsidRPr="004E3A41">
        <w:rPr>
          <w:rFonts w:ascii="Tahoma" w:hAnsi="Tahoma" w:cs="Tahoma"/>
          <w:b/>
          <w:i/>
          <w:sz w:val="18"/>
          <w:szCs w:val="18"/>
        </w:rPr>
        <w:t>“</w:t>
      </w:r>
      <w:r w:rsidRPr="004E3A41">
        <w:rPr>
          <w:rFonts w:ascii="Tahoma" w:hAnsi="Tahoma" w:cs="Tahoma"/>
          <w:i/>
          <w:sz w:val="18"/>
          <w:szCs w:val="18"/>
        </w:rPr>
        <w:t>1. El que rechace la demanda.</w:t>
      </w:r>
    </w:p>
    <w:p w:rsidR="00063998" w:rsidRPr="004E3A41" w:rsidRDefault="00063998" w:rsidP="00063998">
      <w:pPr>
        <w:jc w:val="both"/>
        <w:rPr>
          <w:rFonts w:ascii="Tahoma" w:hAnsi="Tahoma" w:cs="Tahoma"/>
          <w:i/>
          <w:sz w:val="18"/>
          <w:szCs w:val="18"/>
        </w:rPr>
      </w:pPr>
      <w:r w:rsidRPr="004E3A41">
        <w:rPr>
          <w:rFonts w:ascii="Tahoma" w:hAnsi="Tahoma" w:cs="Tahoma"/>
          <w:i/>
          <w:sz w:val="18"/>
          <w:szCs w:val="18"/>
        </w:rPr>
        <w:t>2. El que decrete una medida cautelar y el que resuelva los incidentes de responsabilidad y desacato en ese mismo trámite.</w:t>
      </w:r>
    </w:p>
    <w:p w:rsidR="00063998" w:rsidRPr="004E3A41" w:rsidRDefault="00063998" w:rsidP="00063998">
      <w:pPr>
        <w:jc w:val="both"/>
        <w:rPr>
          <w:rFonts w:ascii="Tahoma" w:hAnsi="Tahoma" w:cs="Tahoma"/>
          <w:i/>
          <w:sz w:val="18"/>
          <w:szCs w:val="18"/>
        </w:rPr>
      </w:pPr>
      <w:r w:rsidRPr="004E3A41">
        <w:rPr>
          <w:rFonts w:ascii="Tahoma" w:hAnsi="Tahoma" w:cs="Tahoma"/>
          <w:i/>
          <w:sz w:val="18"/>
          <w:szCs w:val="18"/>
        </w:rPr>
        <w:t>3. El que ponga fin al proceso.</w:t>
      </w:r>
    </w:p>
    <w:p w:rsidR="00063998" w:rsidRPr="004E3A41" w:rsidRDefault="00063998" w:rsidP="00063998">
      <w:pPr>
        <w:jc w:val="both"/>
        <w:rPr>
          <w:rFonts w:ascii="Tahoma" w:hAnsi="Tahoma" w:cs="Tahoma"/>
          <w:i/>
          <w:sz w:val="18"/>
          <w:szCs w:val="18"/>
        </w:rPr>
      </w:pPr>
      <w:r w:rsidRPr="004E3A41">
        <w:rPr>
          <w:rFonts w:ascii="Tahoma" w:hAnsi="Tahoma" w:cs="Tahoma"/>
          <w:i/>
          <w:sz w:val="18"/>
          <w:szCs w:val="18"/>
        </w:rPr>
        <w:t>4. El que apruebe conciliaciones extrajudiciales o judiciales, recurso que solo podrá ser interpuesto por el Ministerio Público.</w:t>
      </w:r>
    </w:p>
    <w:p w:rsidR="00063998" w:rsidRPr="004E3A41" w:rsidRDefault="00063998" w:rsidP="00063998">
      <w:pPr>
        <w:jc w:val="both"/>
        <w:rPr>
          <w:rFonts w:ascii="Tahoma" w:hAnsi="Tahoma" w:cs="Tahoma"/>
          <w:i/>
          <w:sz w:val="18"/>
          <w:szCs w:val="18"/>
        </w:rPr>
      </w:pPr>
      <w:r w:rsidRPr="004E3A41">
        <w:rPr>
          <w:rFonts w:ascii="Tahoma" w:hAnsi="Tahoma" w:cs="Tahoma"/>
          <w:i/>
          <w:sz w:val="18"/>
          <w:szCs w:val="18"/>
        </w:rPr>
        <w:t>5. El que resuelva la liquidación de la condena o de los perjuicios.</w:t>
      </w:r>
    </w:p>
    <w:p w:rsidR="00063998" w:rsidRPr="004E3A41" w:rsidRDefault="00063998" w:rsidP="00063998">
      <w:pPr>
        <w:jc w:val="both"/>
        <w:rPr>
          <w:rFonts w:ascii="Tahoma" w:hAnsi="Tahoma" w:cs="Tahoma"/>
          <w:i/>
          <w:sz w:val="18"/>
          <w:szCs w:val="18"/>
        </w:rPr>
      </w:pPr>
      <w:r w:rsidRPr="004E3A41">
        <w:rPr>
          <w:rFonts w:ascii="Tahoma" w:hAnsi="Tahoma" w:cs="Tahoma"/>
          <w:i/>
          <w:sz w:val="18"/>
          <w:szCs w:val="18"/>
        </w:rPr>
        <w:t>6. El que decreta las nulidades procesales.</w:t>
      </w:r>
    </w:p>
    <w:p w:rsidR="00063998" w:rsidRPr="004E3A41" w:rsidRDefault="00063998" w:rsidP="00063998">
      <w:pPr>
        <w:jc w:val="both"/>
        <w:rPr>
          <w:rFonts w:ascii="Tahoma" w:hAnsi="Tahoma" w:cs="Tahoma"/>
          <w:b/>
          <w:i/>
          <w:sz w:val="18"/>
          <w:szCs w:val="18"/>
          <w:u w:val="single"/>
        </w:rPr>
      </w:pPr>
      <w:r w:rsidRPr="004E3A41">
        <w:rPr>
          <w:rFonts w:ascii="Tahoma" w:hAnsi="Tahoma" w:cs="Tahoma"/>
          <w:b/>
          <w:i/>
          <w:sz w:val="18"/>
          <w:szCs w:val="18"/>
          <w:u w:val="single"/>
        </w:rPr>
        <w:t>7. El que niega la intervención de terceros.</w:t>
      </w:r>
    </w:p>
    <w:p w:rsidR="00063998" w:rsidRPr="004E3A41" w:rsidRDefault="00063998" w:rsidP="00063998">
      <w:pPr>
        <w:jc w:val="both"/>
        <w:rPr>
          <w:rFonts w:ascii="Tahoma" w:hAnsi="Tahoma" w:cs="Tahoma"/>
          <w:i/>
          <w:sz w:val="18"/>
          <w:szCs w:val="18"/>
        </w:rPr>
      </w:pPr>
      <w:r w:rsidRPr="004E3A41">
        <w:rPr>
          <w:rFonts w:ascii="Tahoma" w:hAnsi="Tahoma" w:cs="Tahoma"/>
          <w:i/>
          <w:sz w:val="18"/>
          <w:szCs w:val="18"/>
        </w:rPr>
        <w:t>8. El que prescinda de la audiencia de pruebas.</w:t>
      </w:r>
    </w:p>
    <w:p w:rsidR="00063998" w:rsidRPr="004E3A41" w:rsidRDefault="00063998" w:rsidP="00063998">
      <w:pPr>
        <w:jc w:val="both"/>
        <w:rPr>
          <w:rFonts w:ascii="Tahoma" w:hAnsi="Tahoma" w:cs="Tahoma"/>
          <w:sz w:val="18"/>
          <w:szCs w:val="18"/>
        </w:rPr>
      </w:pPr>
      <w:r w:rsidRPr="004E3A41">
        <w:rPr>
          <w:rFonts w:ascii="Tahoma" w:hAnsi="Tahoma" w:cs="Tahoma"/>
          <w:i/>
          <w:sz w:val="18"/>
          <w:szCs w:val="18"/>
        </w:rPr>
        <w:t xml:space="preserve">9. El que deniegue el decreto o práctica de alguna prueba pedida oportunamente” </w:t>
      </w:r>
      <w:r w:rsidRPr="004E3A41">
        <w:rPr>
          <w:rFonts w:ascii="Tahoma" w:hAnsi="Tahoma" w:cs="Tahoma"/>
          <w:sz w:val="18"/>
          <w:szCs w:val="18"/>
        </w:rPr>
        <w:t>(Subrayado y negrilla fuera de texto)</w:t>
      </w:r>
    </w:p>
    <w:p w:rsidR="00063998" w:rsidRPr="004E3A41" w:rsidRDefault="00063998" w:rsidP="00063998">
      <w:pPr>
        <w:jc w:val="both"/>
        <w:rPr>
          <w:rFonts w:ascii="Tahoma" w:hAnsi="Tahoma" w:cs="Tahoma"/>
          <w:sz w:val="18"/>
          <w:szCs w:val="18"/>
        </w:rPr>
      </w:pPr>
    </w:p>
    <w:p w:rsidR="00D84A64" w:rsidRPr="004E3A41" w:rsidRDefault="00D84A64" w:rsidP="00D84A64">
      <w:pPr>
        <w:jc w:val="both"/>
        <w:rPr>
          <w:rFonts w:ascii="Tahoma" w:hAnsi="Tahoma" w:cs="Tahoma"/>
          <w:b/>
          <w:color w:val="auto"/>
          <w:sz w:val="18"/>
          <w:szCs w:val="18"/>
          <w:lang w:val="es-MX"/>
        </w:rPr>
      </w:pPr>
      <w:r w:rsidRPr="004E3A41">
        <w:rPr>
          <w:rStyle w:val="apple-converted-space"/>
          <w:rFonts w:ascii="Tahoma" w:hAnsi="Tahoma" w:cs="Tahoma"/>
          <w:color w:val="auto"/>
          <w:sz w:val="18"/>
          <w:szCs w:val="18"/>
        </w:rPr>
        <w:t xml:space="preserve">El artículo 226 del </w:t>
      </w:r>
      <w:r w:rsidRPr="004E3A41">
        <w:rPr>
          <w:rFonts w:ascii="Tahoma" w:hAnsi="Tahoma" w:cs="Tahoma"/>
          <w:color w:val="auto"/>
          <w:sz w:val="18"/>
          <w:szCs w:val="18"/>
        </w:rPr>
        <w:t>Código de Procedimiento Administrativo y de lo Contencioso Administrativo señala que: “</w:t>
      </w:r>
      <w:r w:rsidRPr="004E3A41">
        <w:rPr>
          <w:rStyle w:val="apple-converted-space"/>
          <w:rFonts w:ascii="Tahoma" w:hAnsi="Tahoma" w:cs="Tahoma"/>
          <w:color w:val="auto"/>
          <w:sz w:val="18"/>
          <w:szCs w:val="18"/>
        </w:rPr>
        <w:t>El</w:t>
      </w:r>
      <w:r w:rsidRPr="004E3A41">
        <w:rPr>
          <w:rFonts w:ascii="Tahoma" w:hAnsi="Tahoma" w:cs="Tahoma"/>
          <w:i/>
          <w:color w:val="auto"/>
          <w:sz w:val="18"/>
          <w:szCs w:val="18"/>
        </w:rPr>
        <w:t xml:space="preserve"> auto que acepta la solicitud de </w:t>
      </w:r>
      <w:r w:rsidRPr="004E3A41">
        <w:rPr>
          <w:rFonts w:ascii="Tahoma" w:hAnsi="Tahoma" w:cs="Tahoma"/>
          <w:b/>
          <w:i/>
          <w:color w:val="auto"/>
          <w:sz w:val="18"/>
          <w:szCs w:val="18"/>
        </w:rPr>
        <w:t xml:space="preserve">intervención en primera instancia será apelable </w:t>
      </w:r>
      <w:r w:rsidRPr="004E3A41">
        <w:rPr>
          <w:rFonts w:ascii="Tahoma" w:hAnsi="Tahoma" w:cs="Tahoma"/>
          <w:i/>
          <w:color w:val="auto"/>
          <w:sz w:val="18"/>
          <w:szCs w:val="18"/>
        </w:rPr>
        <w:t xml:space="preserve">en el efecto devolutivo y el que la </w:t>
      </w:r>
      <w:r w:rsidRPr="004E3A41">
        <w:rPr>
          <w:rFonts w:ascii="Tahoma" w:hAnsi="Tahoma" w:cs="Tahoma"/>
          <w:b/>
          <w:i/>
          <w:color w:val="auto"/>
          <w:sz w:val="18"/>
          <w:szCs w:val="18"/>
        </w:rPr>
        <w:t>niega en el suspensivo.</w:t>
      </w:r>
      <w:r w:rsidRPr="004E3A41">
        <w:rPr>
          <w:rFonts w:ascii="Tahoma" w:hAnsi="Tahoma" w:cs="Tahoma"/>
          <w:i/>
          <w:color w:val="auto"/>
          <w:sz w:val="18"/>
          <w:szCs w:val="18"/>
        </w:rPr>
        <w:t xml:space="preserve"> El auto que la resuelva en única instancia será susceptible del recurso de súplica o del de reposición, según el juez sea individual o colegiado, y en los mismos efectos previstos para la apelación</w:t>
      </w:r>
      <w:r w:rsidRPr="004E3A41">
        <w:rPr>
          <w:rFonts w:ascii="Tahoma" w:hAnsi="Tahoma" w:cs="Tahoma"/>
          <w:color w:val="auto"/>
          <w:sz w:val="18"/>
          <w:szCs w:val="18"/>
        </w:rPr>
        <w:t>” (</w:t>
      </w:r>
      <w:r w:rsidRPr="004E3A41">
        <w:rPr>
          <w:rFonts w:ascii="Tahoma" w:hAnsi="Tahoma" w:cs="Tahoma"/>
          <w:b/>
          <w:sz w:val="18"/>
          <w:szCs w:val="18"/>
        </w:rPr>
        <w:t>negrilla fuera de texto</w:t>
      </w:r>
      <w:r w:rsidRPr="004E3A41">
        <w:rPr>
          <w:rFonts w:ascii="Tahoma" w:hAnsi="Tahoma" w:cs="Tahoma"/>
          <w:sz w:val="18"/>
          <w:szCs w:val="18"/>
        </w:rPr>
        <w:t>)</w:t>
      </w:r>
    </w:p>
    <w:p w:rsidR="00D84A64" w:rsidRPr="004E3A41" w:rsidRDefault="00D84A64" w:rsidP="00063998">
      <w:pPr>
        <w:jc w:val="both"/>
        <w:rPr>
          <w:rFonts w:ascii="Tahoma" w:hAnsi="Tahoma" w:cs="Tahoma"/>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t xml:space="preserve">En el presente caso la providencia recurrida solo es susceptible del recurso de apelación, como quiera que la </w:t>
      </w:r>
      <w:proofErr w:type="gramStart"/>
      <w:r w:rsidRPr="004E3A41">
        <w:rPr>
          <w:rFonts w:ascii="Tahoma" w:hAnsi="Tahoma" w:cs="Tahoma"/>
          <w:sz w:val="18"/>
          <w:szCs w:val="18"/>
        </w:rPr>
        <w:t>norma</w:t>
      </w:r>
      <w:proofErr w:type="gramEnd"/>
      <w:r w:rsidRPr="004E3A41">
        <w:rPr>
          <w:rFonts w:ascii="Tahoma" w:hAnsi="Tahoma" w:cs="Tahoma"/>
          <w:sz w:val="18"/>
          <w:szCs w:val="18"/>
        </w:rPr>
        <w:t xml:space="preserve"> expresamente así lo ha regulado; por tal motivo, se procederá a rechazar el recurso de reposición por improcedente y a estudiar el recurso de apelación interpuesto contra la providencia del 1</w:t>
      </w:r>
      <w:r w:rsidR="00D84A64" w:rsidRPr="004E3A41">
        <w:rPr>
          <w:rFonts w:ascii="Tahoma" w:hAnsi="Tahoma" w:cs="Tahoma"/>
          <w:sz w:val="18"/>
          <w:szCs w:val="18"/>
        </w:rPr>
        <w:t>6</w:t>
      </w:r>
      <w:r w:rsidRPr="004E3A41">
        <w:rPr>
          <w:rFonts w:ascii="Tahoma" w:hAnsi="Tahoma" w:cs="Tahoma"/>
          <w:spacing w:val="1"/>
          <w:sz w:val="18"/>
          <w:szCs w:val="18"/>
          <w:lang w:val="es-MX"/>
        </w:rPr>
        <w:t xml:space="preserve"> de </w:t>
      </w:r>
      <w:r w:rsidR="00D84A64" w:rsidRPr="004E3A41">
        <w:rPr>
          <w:rFonts w:ascii="Tahoma" w:hAnsi="Tahoma" w:cs="Tahoma"/>
          <w:spacing w:val="1"/>
          <w:sz w:val="18"/>
          <w:szCs w:val="18"/>
          <w:lang w:val="es-MX"/>
        </w:rPr>
        <w:t xml:space="preserve">octubre </w:t>
      </w:r>
      <w:r w:rsidRPr="004E3A41">
        <w:rPr>
          <w:rFonts w:ascii="Tahoma" w:hAnsi="Tahoma" w:cs="Tahoma"/>
          <w:spacing w:val="1"/>
          <w:sz w:val="18"/>
          <w:szCs w:val="18"/>
          <w:lang w:val="es-MX"/>
        </w:rPr>
        <w:t>de 2014.</w:t>
      </w:r>
    </w:p>
    <w:p w:rsidR="00063998" w:rsidRPr="004E3A41" w:rsidRDefault="00063998" w:rsidP="00063998">
      <w:pPr>
        <w:jc w:val="both"/>
        <w:rPr>
          <w:rFonts w:ascii="Tahoma" w:hAnsi="Tahoma" w:cs="Tahoma"/>
          <w:sz w:val="18"/>
          <w:szCs w:val="18"/>
        </w:rPr>
      </w:pPr>
    </w:p>
    <w:p w:rsidR="00063998" w:rsidRPr="004E3A41" w:rsidRDefault="00063998" w:rsidP="00063998">
      <w:pPr>
        <w:pStyle w:val="nueve-"/>
        <w:spacing w:before="15" w:after="15"/>
        <w:ind w:right="15" w:firstLine="0"/>
        <w:rPr>
          <w:rFonts w:ascii="Tahoma" w:hAnsi="Tahoma" w:cs="Tahoma"/>
          <w:sz w:val="18"/>
          <w:szCs w:val="18"/>
        </w:rPr>
      </w:pPr>
      <w:r w:rsidRPr="004E3A41">
        <w:rPr>
          <w:rFonts w:ascii="Tahoma" w:hAnsi="Tahoma" w:cs="Tahoma"/>
          <w:sz w:val="18"/>
          <w:szCs w:val="18"/>
        </w:rPr>
        <w:t xml:space="preserve">Ahora bien, el numeral 2º del artículo 244 ibídem prevé que cuando el auto es notificado por estado, el recurso de apelación deberá sustentarse e interponerse por escrito dentro de los </w:t>
      </w:r>
      <w:r w:rsidRPr="004E3A41">
        <w:rPr>
          <w:rFonts w:ascii="Tahoma" w:hAnsi="Tahoma" w:cs="Tahoma"/>
          <w:b/>
          <w:sz w:val="18"/>
          <w:szCs w:val="18"/>
        </w:rPr>
        <w:t>tres (3) días</w:t>
      </w:r>
      <w:r w:rsidRPr="004E3A41">
        <w:rPr>
          <w:rFonts w:ascii="Tahoma" w:hAnsi="Tahoma" w:cs="Tahoma"/>
          <w:sz w:val="18"/>
          <w:szCs w:val="18"/>
        </w:rPr>
        <w:t xml:space="preserve"> siguientes ante el juez que lo profirió. </w:t>
      </w:r>
    </w:p>
    <w:p w:rsidR="00063998" w:rsidRPr="004E3A41" w:rsidRDefault="00063998" w:rsidP="00063998">
      <w:pPr>
        <w:jc w:val="both"/>
        <w:rPr>
          <w:rFonts w:ascii="Tahoma" w:hAnsi="Tahoma" w:cs="Tahoma"/>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sz w:val="18"/>
          <w:szCs w:val="18"/>
        </w:rPr>
        <w:lastRenderedPageBreak/>
        <w:t>El auto recurrido fue notificado por estado el 1</w:t>
      </w:r>
      <w:r w:rsidR="00D84A64" w:rsidRPr="004E3A41">
        <w:rPr>
          <w:rFonts w:ascii="Tahoma" w:hAnsi="Tahoma" w:cs="Tahoma"/>
          <w:sz w:val="18"/>
          <w:szCs w:val="18"/>
        </w:rPr>
        <w:t>5</w:t>
      </w:r>
      <w:r w:rsidRPr="004E3A41">
        <w:rPr>
          <w:rFonts w:ascii="Tahoma" w:hAnsi="Tahoma" w:cs="Tahoma"/>
          <w:sz w:val="18"/>
          <w:szCs w:val="18"/>
        </w:rPr>
        <w:t xml:space="preserve"> de </w:t>
      </w:r>
      <w:r w:rsidR="00D84A64" w:rsidRPr="004E3A41">
        <w:rPr>
          <w:rFonts w:ascii="Tahoma" w:hAnsi="Tahoma" w:cs="Tahoma"/>
          <w:sz w:val="18"/>
          <w:szCs w:val="18"/>
        </w:rPr>
        <w:t>enero</w:t>
      </w:r>
      <w:r w:rsidRPr="004E3A41">
        <w:rPr>
          <w:rFonts w:ascii="Tahoma" w:hAnsi="Tahoma" w:cs="Tahoma"/>
          <w:sz w:val="18"/>
          <w:szCs w:val="18"/>
        </w:rPr>
        <w:t xml:space="preserve"> de 201</w:t>
      </w:r>
      <w:r w:rsidR="00D84A64" w:rsidRPr="004E3A41">
        <w:rPr>
          <w:rFonts w:ascii="Tahoma" w:hAnsi="Tahoma" w:cs="Tahoma"/>
          <w:sz w:val="18"/>
          <w:szCs w:val="18"/>
        </w:rPr>
        <w:t>5</w:t>
      </w:r>
      <w:r w:rsidRPr="004E3A41">
        <w:rPr>
          <w:rFonts w:ascii="Tahoma" w:hAnsi="Tahoma" w:cs="Tahoma"/>
          <w:sz w:val="18"/>
          <w:szCs w:val="18"/>
        </w:rPr>
        <w:t xml:space="preserve">, por lo que se tenía hasta el </w:t>
      </w:r>
      <w:r w:rsidR="00D84A64" w:rsidRPr="004E3A41">
        <w:rPr>
          <w:rFonts w:ascii="Tahoma" w:hAnsi="Tahoma" w:cs="Tahoma"/>
          <w:sz w:val="18"/>
          <w:szCs w:val="18"/>
        </w:rPr>
        <w:t>20</w:t>
      </w:r>
      <w:r w:rsidRPr="004E3A41">
        <w:rPr>
          <w:rFonts w:ascii="Tahoma" w:hAnsi="Tahoma" w:cs="Tahoma"/>
          <w:sz w:val="18"/>
          <w:szCs w:val="18"/>
        </w:rPr>
        <w:t xml:space="preserve"> de </w:t>
      </w:r>
      <w:r w:rsidR="00D84A64" w:rsidRPr="004E3A41">
        <w:rPr>
          <w:rFonts w:ascii="Tahoma" w:hAnsi="Tahoma" w:cs="Tahoma"/>
          <w:sz w:val="18"/>
          <w:szCs w:val="18"/>
        </w:rPr>
        <w:t>enero</w:t>
      </w:r>
      <w:r w:rsidRPr="004E3A41">
        <w:rPr>
          <w:rFonts w:ascii="Tahoma" w:hAnsi="Tahoma" w:cs="Tahoma"/>
          <w:sz w:val="18"/>
          <w:szCs w:val="18"/>
        </w:rPr>
        <w:t xml:space="preserve"> de la misma anualidad para presentar el recurso de apelación y como quiera que el mismo </w:t>
      </w:r>
      <w:proofErr w:type="gramStart"/>
      <w:r w:rsidRPr="004E3A41">
        <w:rPr>
          <w:rFonts w:ascii="Tahoma" w:hAnsi="Tahoma" w:cs="Tahoma"/>
          <w:sz w:val="18"/>
          <w:szCs w:val="18"/>
        </w:rPr>
        <w:t>fue</w:t>
      </w:r>
      <w:proofErr w:type="gramEnd"/>
      <w:r w:rsidRPr="004E3A41">
        <w:rPr>
          <w:rFonts w:ascii="Tahoma" w:hAnsi="Tahoma" w:cs="Tahoma"/>
          <w:sz w:val="18"/>
          <w:szCs w:val="18"/>
        </w:rPr>
        <w:t xml:space="preserve"> interpuesto e</w:t>
      </w:r>
      <w:r w:rsidR="00D84A64" w:rsidRPr="004E3A41">
        <w:rPr>
          <w:rFonts w:ascii="Tahoma" w:hAnsi="Tahoma" w:cs="Tahoma"/>
          <w:sz w:val="18"/>
          <w:szCs w:val="18"/>
        </w:rPr>
        <w:t>se</w:t>
      </w:r>
      <w:r w:rsidRPr="004E3A41">
        <w:rPr>
          <w:rFonts w:ascii="Tahoma" w:hAnsi="Tahoma" w:cs="Tahoma"/>
          <w:sz w:val="18"/>
          <w:szCs w:val="18"/>
        </w:rPr>
        <w:t xml:space="preserve"> </w:t>
      </w:r>
      <w:r w:rsidR="00D84A64" w:rsidRPr="004E3A41">
        <w:rPr>
          <w:rFonts w:ascii="Tahoma" w:hAnsi="Tahoma" w:cs="Tahoma"/>
          <w:sz w:val="18"/>
          <w:szCs w:val="18"/>
        </w:rPr>
        <w:t>mismo día</w:t>
      </w:r>
      <w:r w:rsidRPr="004E3A41">
        <w:rPr>
          <w:rFonts w:ascii="Tahoma" w:hAnsi="Tahoma" w:cs="Tahoma"/>
          <w:sz w:val="18"/>
          <w:szCs w:val="18"/>
        </w:rPr>
        <w:t xml:space="preserve">, se concederá </w:t>
      </w:r>
      <w:r w:rsidRPr="004E3A41">
        <w:rPr>
          <w:rFonts w:ascii="Tahoma" w:hAnsi="Tahoma" w:cs="Tahoma"/>
          <w:noProof/>
          <w:sz w:val="18"/>
          <w:szCs w:val="18"/>
        </w:rPr>
        <w:t xml:space="preserve">ante el </w:t>
      </w:r>
      <w:r w:rsidRPr="004E3A41">
        <w:rPr>
          <w:rFonts w:ascii="Tahoma" w:hAnsi="Tahoma" w:cs="Tahoma"/>
          <w:sz w:val="18"/>
          <w:szCs w:val="18"/>
        </w:rPr>
        <w:t>Tribunal Administrativo de Cundinamarca en el efecto suspensivo.</w:t>
      </w:r>
    </w:p>
    <w:p w:rsidR="00063998" w:rsidRPr="004E3A41" w:rsidRDefault="00063998" w:rsidP="00063998">
      <w:pPr>
        <w:tabs>
          <w:tab w:val="left" w:pos="-720"/>
        </w:tabs>
        <w:suppressAutoHyphens/>
        <w:jc w:val="both"/>
        <w:rPr>
          <w:rFonts w:ascii="Tahoma" w:hAnsi="Tahoma" w:cs="Tahoma"/>
          <w:spacing w:val="-3"/>
          <w:sz w:val="18"/>
          <w:szCs w:val="18"/>
        </w:rPr>
      </w:pPr>
    </w:p>
    <w:p w:rsidR="00063998" w:rsidRPr="004E3A41" w:rsidRDefault="00063998" w:rsidP="00063998">
      <w:pPr>
        <w:pStyle w:val="NormalWeb"/>
        <w:spacing w:before="0" w:beforeAutospacing="0" w:after="0" w:afterAutospacing="0"/>
        <w:jc w:val="both"/>
        <w:rPr>
          <w:rFonts w:ascii="Tahoma" w:hAnsi="Tahoma" w:cs="Tahoma"/>
          <w:b/>
          <w:sz w:val="18"/>
          <w:szCs w:val="18"/>
        </w:rPr>
      </w:pPr>
      <w:r w:rsidRPr="004E3A41">
        <w:rPr>
          <w:rFonts w:ascii="Tahoma" w:hAnsi="Tahoma" w:cs="Tahoma"/>
          <w:sz w:val="18"/>
          <w:szCs w:val="18"/>
        </w:rPr>
        <w:t xml:space="preserve">Por lo anterior se </w:t>
      </w:r>
      <w:r w:rsidRPr="004E3A41">
        <w:rPr>
          <w:rFonts w:ascii="Tahoma" w:hAnsi="Tahoma" w:cs="Tahoma"/>
          <w:b/>
          <w:sz w:val="18"/>
          <w:szCs w:val="18"/>
        </w:rPr>
        <w:t>RESUELVE:</w:t>
      </w:r>
    </w:p>
    <w:p w:rsidR="00063998" w:rsidRPr="004E3A41" w:rsidRDefault="00063998" w:rsidP="00063998">
      <w:pPr>
        <w:pStyle w:val="NormalWeb"/>
        <w:spacing w:before="0" w:beforeAutospacing="0" w:after="0" w:afterAutospacing="0"/>
        <w:jc w:val="both"/>
        <w:rPr>
          <w:rFonts w:ascii="Tahoma" w:hAnsi="Tahoma" w:cs="Tahoma"/>
          <w:b/>
          <w:sz w:val="18"/>
          <w:szCs w:val="18"/>
        </w:rPr>
      </w:pPr>
    </w:p>
    <w:p w:rsidR="00D84A64" w:rsidRPr="004E3A41" w:rsidRDefault="00063998" w:rsidP="00063998">
      <w:pPr>
        <w:jc w:val="both"/>
        <w:rPr>
          <w:rFonts w:ascii="Tahoma" w:hAnsi="Tahoma" w:cs="Tahoma"/>
          <w:spacing w:val="1"/>
          <w:sz w:val="18"/>
          <w:szCs w:val="18"/>
          <w:lang w:val="es-MX"/>
        </w:rPr>
      </w:pPr>
      <w:r w:rsidRPr="004E3A41">
        <w:rPr>
          <w:rFonts w:ascii="Tahoma" w:hAnsi="Tahoma" w:cs="Tahoma"/>
          <w:b/>
          <w:sz w:val="18"/>
          <w:szCs w:val="18"/>
        </w:rPr>
        <w:t xml:space="preserve">Primero: </w:t>
      </w:r>
      <w:r w:rsidRPr="004E3A41">
        <w:rPr>
          <w:rFonts w:ascii="Tahoma" w:hAnsi="Tahoma" w:cs="Tahoma"/>
          <w:b/>
          <w:bCs/>
          <w:sz w:val="18"/>
          <w:szCs w:val="18"/>
          <w:lang w:val="es-MX"/>
        </w:rPr>
        <w:t>Rechácese</w:t>
      </w:r>
      <w:r w:rsidRPr="004E3A41">
        <w:rPr>
          <w:rFonts w:ascii="Tahoma" w:hAnsi="Tahoma" w:cs="Tahoma"/>
          <w:bCs/>
          <w:sz w:val="18"/>
          <w:szCs w:val="18"/>
          <w:lang w:val="es-MX"/>
        </w:rPr>
        <w:t xml:space="preserve"> por improcedente el recurso de REPOSICIÓN interpuesto contra la providencia del </w:t>
      </w:r>
      <w:r w:rsidR="00D84A64" w:rsidRPr="004E3A41">
        <w:rPr>
          <w:rFonts w:ascii="Tahoma" w:hAnsi="Tahoma" w:cs="Tahoma"/>
          <w:sz w:val="18"/>
          <w:szCs w:val="18"/>
        </w:rPr>
        <w:t>16</w:t>
      </w:r>
      <w:r w:rsidR="00D84A64" w:rsidRPr="004E3A41">
        <w:rPr>
          <w:rFonts w:ascii="Tahoma" w:hAnsi="Tahoma" w:cs="Tahoma"/>
          <w:spacing w:val="1"/>
          <w:sz w:val="18"/>
          <w:szCs w:val="18"/>
          <w:lang w:val="es-MX"/>
        </w:rPr>
        <w:t xml:space="preserve"> de octubre de 2014, por las razones expuestas en la parte motiva de la presente providencia.</w:t>
      </w:r>
    </w:p>
    <w:p w:rsidR="00D84A64" w:rsidRPr="004E3A41" w:rsidRDefault="00D84A64" w:rsidP="00063998">
      <w:pPr>
        <w:jc w:val="both"/>
        <w:rPr>
          <w:rFonts w:ascii="Tahoma" w:hAnsi="Tahoma" w:cs="Tahoma"/>
          <w:spacing w:val="1"/>
          <w:sz w:val="18"/>
          <w:szCs w:val="18"/>
          <w:lang w:val="es-MX"/>
        </w:rPr>
      </w:pPr>
    </w:p>
    <w:p w:rsidR="00063998" w:rsidRPr="004E3A41" w:rsidRDefault="00063998" w:rsidP="00063998">
      <w:pPr>
        <w:jc w:val="both"/>
        <w:rPr>
          <w:rFonts w:ascii="Tahoma" w:hAnsi="Tahoma" w:cs="Tahoma"/>
          <w:sz w:val="18"/>
          <w:szCs w:val="18"/>
        </w:rPr>
      </w:pPr>
      <w:r w:rsidRPr="004E3A41">
        <w:rPr>
          <w:rFonts w:ascii="Tahoma" w:hAnsi="Tahoma" w:cs="Tahoma"/>
          <w:b/>
          <w:sz w:val="18"/>
          <w:szCs w:val="18"/>
        </w:rPr>
        <w:t xml:space="preserve">Segundo: </w:t>
      </w:r>
      <w:r w:rsidRPr="004E3A41">
        <w:rPr>
          <w:rFonts w:ascii="Tahoma" w:hAnsi="Tahoma" w:cs="Tahoma"/>
          <w:b/>
          <w:sz w:val="18"/>
          <w:szCs w:val="18"/>
          <w:lang w:val="es-MX"/>
        </w:rPr>
        <w:t>Concédase</w:t>
      </w:r>
      <w:r w:rsidRPr="004E3A41">
        <w:rPr>
          <w:rFonts w:ascii="Tahoma" w:hAnsi="Tahoma" w:cs="Tahoma"/>
          <w:sz w:val="18"/>
          <w:szCs w:val="18"/>
        </w:rPr>
        <w:t xml:space="preserve"> el recurso de APELACIÓN oportunamente interpuesto por la parte actora contra la providencia del </w:t>
      </w:r>
      <w:r w:rsidR="00D84A64" w:rsidRPr="004E3A41">
        <w:rPr>
          <w:rFonts w:ascii="Tahoma" w:hAnsi="Tahoma" w:cs="Tahoma"/>
          <w:sz w:val="18"/>
          <w:szCs w:val="18"/>
        </w:rPr>
        <w:t>16</w:t>
      </w:r>
      <w:r w:rsidR="00D84A64" w:rsidRPr="004E3A41">
        <w:rPr>
          <w:rFonts w:ascii="Tahoma" w:hAnsi="Tahoma" w:cs="Tahoma"/>
          <w:spacing w:val="1"/>
          <w:sz w:val="18"/>
          <w:szCs w:val="18"/>
          <w:lang w:val="es-MX"/>
        </w:rPr>
        <w:t xml:space="preserve"> de octubre de 2014</w:t>
      </w:r>
      <w:r w:rsidRPr="004E3A41">
        <w:rPr>
          <w:rFonts w:ascii="Tahoma" w:hAnsi="Tahoma" w:cs="Tahoma"/>
          <w:sz w:val="18"/>
          <w:szCs w:val="18"/>
        </w:rPr>
        <w:t>, en el efecto suspensivo.</w:t>
      </w:r>
    </w:p>
    <w:p w:rsidR="00063998" w:rsidRPr="004E3A41" w:rsidRDefault="00063998" w:rsidP="00063998">
      <w:pPr>
        <w:jc w:val="both"/>
        <w:rPr>
          <w:rFonts w:ascii="Tahoma" w:hAnsi="Tahoma" w:cs="Tahoma"/>
          <w:sz w:val="18"/>
          <w:szCs w:val="18"/>
        </w:rPr>
      </w:pPr>
    </w:p>
    <w:p w:rsidR="00063998" w:rsidRPr="004E3A41" w:rsidRDefault="00063998" w:rsidP="00063998">
      <w:pPr>
        <w:jc w:val="both"/>
        <w:rPr>
          <w:rFonts w:ascii="Tahoma" w:hAnsi="Tahoma" w:cs="Tahoma"/>
          <w:sz w:val="18"/>
          <w:szCs w:val="18"/>
        </w:rPr>
      </w:pPr>
      <w:r w:rsidRPr="004E3A41">
        <w:rPr>
          <w:rFonts w:ascii="Tahoma" w:hAnsi="Tahoma" w:cs="Tahoma"/>
          <w:b/>
          <w:sz w:val="18"/>
          <w:szCs w:val="18"/>
        </w:rPr>
        <w:t xml:space="preserve">Tercero: </w:t>
      </w:r>
      <w:r w:rsidRPr="004E3A41">
        <w:rPr>
          <w:rFonts w:ascii="Tahoma" w:hAnsi="Tahoma" w:cs="Tahoma"/>
          <w:sz w:val="18"/>
          <w:szCs w:val="18"/>
        </w:rPr>
        <w:t>Una vez ejecutoriado el presente auto, por la Oficina de Apoyo, remítase al Tribunal Administrativo de Cundinamarca el expediente de la referencia, haciéndose las anotaciones del caso.</w:t>
      </w:r>
    </w:p>
    <w:p w:rsidR="00063998" w:rsidRPr="004E3A41" w:rsidRDefault="00063998" w:rsidP="00063998">
      <w:pPr>
        <w:jc w:val="both"/>
        <w:rPr>
          <w:rFonts w:ascii="Tahoma" w:hAnsi="Tahoma" w:cs="Tahoma"/>
          <w:sz w:val="18"/>
          <w:szCs w:val="18"/>
        </w:rPr>
      </w:pPr>
    </w:p>
    <w:p w:rsidR="00063998" w:rsidRPr="004E3A41" w:rsidRDefault="00063998" w:rsidP="00063998">
      <w:pPr>
        <w:jc w:val="both"/>
        <w:rPr>
          <w:rFonts w:ascii="Tahoma" w:hAnsi="Tahoma" w:cs="Tahoma"/>
          <w:b/>
          <w:sz w:val="18"/>
          <w:szCs w:val="18"/>
          <w:lang w:val="es-MX"/>
        </w:rPr>
      </w:pPr>
      <w:r w:rsidRPr="004E3A41">
        <w:rPr>
          <w:rFonts w:ascii="Tahoma" w:hAnsi="Tahoma" w:cs="Tahoma"/>
          <w:b/>
          <w:sz w:val="18"/>
          <w:szCs w:val="18"/>
          <w:lang w:val="es-MX"/>
        </w:rPr>
        <w:t>NOTIFÍQUESE y CÚMPLASE</w:t>
      </w:r>
    </w:p>
    <w:p w:rsidR="00063998" w:rsidRPr="004E3A41" w:rsidRDefault="00063998" w:rsidP="00063998">
      <w:pPr>
        <w:jc w:val="both"/>
        <w:rPr>
          <w:rFonts w:ascii="Tahoma" w:hAnsi="Tahoma" w:cs="Tahoma"/>
          <w:sz w:val="18"/>
          <w:szCs w:val="18"/>
          <w:lang w:val="es-MX"/>
        </w:rPr>
      </w:pPr>
    </w:p>
    <w:p w:rsidR="00063998" w:rsidRPr="004E3A41" w:rsidRDefault="00063998" w:rsidP="00063998">
      <w:pPr>
        <w:jc w:val="center"/>
        <w:rPr>
          <w:rFonts w:ascii="Tahoma" w:hAnsi="Tahoma" w:cs="Tahoma"/>
          <w:b/>
          <w:sz w:val="18"/>
          <w:szCs w:val="18"/>
          <w:lang w:val="es-MX"/>
        </w:rPr>
      </w:pPr>
      <w:r w:rsidRPr="004E3A41">
        <w:rPr>
          <w:rFonts w:ascii="Tahoma" w:hAnsi="Tahoma" w:cs="Tahoma"/>
          <w:b/>
          <w:sz w:val="18"/>
          <w:szCs w:val="18"/>
          <w:lang w:val="es-MX"/>
        </w:rPr>
        <w:t>OLGA CECILIA HENAO MARÍN</w:t>
      </w:r>
    </w:p>
    <w:p w:rsidR="00063998" w:rsidRPr="004E3A41" w:rsidRDefault="00063998" w:rsidP="00063998">
      <w:pPr>
        <w:jc w:val="center"/>
        <w:rPr>
          <w:rFonts w:ascii="Tahoma" w:hAnsi="Tahoma" w:cs="Tahoma"/>
          <w:sz w:val="18"/>
          <w:szCs w:val="18"/>
          <w:lang w:val="es-MX"/>
        </w:rPr>
      </w:pPr>
      <w:r w:rsidRPr="004E3A41">
        <w:rPr>
          <w:rFonts w:ascii="Tahoma" w:hAnsi="Tahoma" w:cs="Tahoma"/>
          <w:sz w:val="18"/>
          <w:szCs w:val="18"/>
          <w:lang w:val="es-MX"/>
        </w:rPr>
        <w:t>Juez</w:t>
      </w:r>
    </w:p>
    <w:p w:rsidR="00063998" w:rsidRPr="004E3A41" w:rsidRDefault="00063998" w:rsidP="00D84A64">
      <w:pPr>
        <w:rPr>
          <w:rFonts w:ascii="Tahoma" w:hAnsi="Tahoma" w:cs="Tahoma"/>
          <w:b/>
          <w:color w:val="auto"/>
          <w:sz w:val="14"/>
          <w:szCs w:val="14"/>
        </w:rPr>
      </w:pPr>
      <w:r w:rsidRPr="004E3A41">
        <w:rPr>
          <w:rFonts w:ascii="Tahoma" w:hAnsi="Tahoma" w:cs="Tahoma"/>
          <w:sz w:val="14"/>
          <w:szCs w:val="14"/>
        </w:rPr>
        <w:t>NNC</w:t>
      </w:r>
    </w:p>
    <w:sectPr w:rsidR="00063998" w:rsidRPr="004E3A41" w:rsidSect="004E3A41">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E5" w:rsidRDefault="005C1CE5" w:rsidP="00063998">
      <w:r>
        <w:separator/>
      </w:r>
    </w:p>
  </w:endnote>
  <w:endnote w:type="continuationSeparator" w:id="0">
    <w:p w:rsidR="005C1CE5" w:rsidRDefault="005C1CE5" w:rsidP="000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Default="00D84A64">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E5" w:rsidRDefault="005C1CE5" w:rsidP="00063998">
      <w:r>
        <w:separator/>
      </w:r>
    </w:p>
  </w:footnote>
  <w:footnote w:type="continuationSeparator" w:id="0">
    <w:p w:rsidR="005C1CE5" w:rsidRDefault="005C1CE5" w:rsidP="00063998">
      <w:r>
        <w:continuationSeparator/>
      </w:r>
    </w:p>
  </w:footnote>
  <w:footnote w:id="1">
    <w:p w:rsidR="004E3A41" w:rsidRPr="004E3A41" w:rsidRDefault="004E3A41">
      <w:pPr>
        <w:pStyle w:val="Textonotapie"/>
        <w:rPr>
          <w:rFonts w:ascii="Tahoma" w:hAnsi="Tahoma" w:cs="Tahoma"/>
          <w:sz w:val="12"/>
          <w:szCs w:val="12"/>
        </w:rPr>
      </w:pPr>
      <w:r w:rsidRPr="004E3A41">
        <w:rPr>
          <w:rStyle w:val="Refdenotaalpie"/>
          <w:rFonts w:ascii="Tahoma" w:hAnsi="Tahoma" w:cs="Tahoma"/>
          <w:sz w:val="12"/>
          <w:szCs w:val="12"/>
        </w:rPr>
        <w:footnoteRef/>
      </w:r>
      <w:r w:rsidRPr="004E3A41">
        <w:rPr>
          <w:rFonts w:ascii="Tahoma" w:hAnsi="Tahoma" w:cs="Tahoma"/>
          <w:sz w:val="12"/>
          <w:szCs w:val="12"/>
        </w:rPr>
        <w:t xml:space="preserve"> Folios 25 y 26, cuaderno principal</w:t>
      </w:r>
    </w:p>
    <w:p w:rsidR="004E3A41" w:rsidRPr="004E3A41" w:rsidRDefault="004E3A41">
      <w:pPr>
        <w:pStyle w:val="Textonotapie"/>
        <w:rPr>
          <w:rFonts w:ascii="Tahoma" w:hAnsi="Tahoma" w:cs="Tahoma"/>
          <w:sz w:val="12"/>
          <w:szCs w:val="12"/>
        </w:rPr>
      </w:pPr>
    </w:p>
  </w:footnote>
  <w:footnote w:id="2">
    <w:p w:rsidR="004E3A41" w:rsidRPr="004E3A41" w:rsidRDefault="004E3A41">
      <w:pPr>
        <w:pStyle w:val="Textonotapie"/>
        <w:rPr>
          <w:rFonts w:ascii="Tahoma" w:hAnsi="Tahoma" w:cs="Tahoma"/>
          <w:sz w:val="12"/>
          <w:szCs w:val="12"/>
        </w:rPr>
      </w:pPr>
      <w:r w:rsidRPr="004E3A41">
        <w:rPr>
          <w:rStyle w:val="Refdenotaalpie"/>
          <w:rFonts w:ascii="Tahoma" w:hAnsi="Tahoma" w:cs="Tahoma"/>
          <w:sz w:val="12"/>
          <w:szCs w:val="12"/>
        </w:rPr>
        <w:footnoteRef/>
      </w:r>
      <w:r w:rsidRPr="004E3A41">
        <w:rPr>
          <w:rFonts w:ascii="Tahoma" w:hAnsi="Tahoma" w:cs="Tahoma"/>
          <w:sz w:val="12"/>
          <w:szCs w:val="12"/>
        </w:rPr>
        <w:t xml:space="preserve"> Folios 48 y 49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Default="00D84A64">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sidR="00BE34B6">
      <w:rPr>
        <w:rFonts w:ascii="Tahoma" w:hAnsi="Tahoma" w:cs="Tahoma"/>
        <w:bCs/>
        <w:noProof/>
        <w:sz w:val="18"/>
        <w:szCs w:val="18"/>
      </w:rPr>
      <w:t>«No_DE_EXPEDIENTE»</w:t>
    </w:r>
    <w:r>
      <w:rPr>
        <w:rFonts w:ascii="Tahoma" w:hAnsi="Tahoma" w:cs="Tahoma"/>
        <w:bCs/>
        <w:sz w:val="18"/>
        <w:szCs w:val="18"/>
      </w:rPr>
      <w:fldChar w:fldCharType="end"/>
    </w:r>
  </w:p>
  <w:p w:rsidR="00DC7C40" w:rsidRDefault="00D84A64">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BE34B6">
      <w:rPr>
        <w:rStyle w:val="Nmerodepgina"/>
        <w:rFonts w:ascii="Tahoma" w:hAnsi="Tahoma" w:cs="Tahoma"/>
        <w:noProof/>
        <w:sz w:val="18"/>
        <w:szCs w:val="18"/>
      </w:rPr>
      <w:t>2</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Pr="004E3A41" w:rsidRDefault="00D84A64" w:rsidP="00EC60D0">
    <w:pPr>
      <w:pStyle w:val="Encabezado"/>
      <w:jc w:val="right"/>
      <w:rPr>
        <w:rFonts w:ascii="Tahoma" w:hAnsi="Tahoma" w:cs="Tahoma"/>
        <w:sz w:val="12"/>
        <w:szCs w:val="12"/>
        <w:lang w:val="es-MX"/>
      </w:rPr>
    </w:pPr>
    <w:r w:rsidRPr="004E3A41">
      <w:rPr>
        <w:rFonts w:ascii="Tahoma" w:hAnsi="Tahoma" w:cs="Tahoma"/>
        <w:sz w:val="12"/>
        <w:szCs w:val="12"/>
        <w:lang w:val="es-MX"/>
      </w:rPr>
      <w:t>Expediente No. 2013- 0354</w:t>
    </w:r>
  </w:p>
  <w:p w:rsidR="00DC7C40" w:rsidRPr="004E3A41" w:rsidRDefault="00D84A64" w:rsidP="00EC60D0">
    <w:pPr>
      <w:pStyle w:val="Encabezado"/>
      <w:jc w:val="right"/>
      <w:rPr>
        <w:rFonts w:ascii="Tahoma" w:hAnsi="Tahoma" w:cs="Tahoma"/>
        <w:sz w:val="11"/>
        <w:szCs w:val="11"/>
        <w:lang w:val="es-MX"/>
      </w:rPr>
    </w:pPr>
    <w:r w:rsidRPr="004E3A41">
      <w:rPr>
        <w:rFonts w:ascii="Tahoma" w:hAnsi="Tahoma" w:cs="Tahoma"/>
        <w:sz w:val="11"/>
        <w:szCs w:val="11"/>
        <w:lang w:val="es-MX"/>
      </w:rPr>
      <w:t xml:space="preserve"> </w:t>
    </w:r>
    <w:r w:rsidR="004E3A41" w:rsidRPr="004E3A41">
      <w:rPr>
        <w:rFonts w:ascii="Tahoma" w:hAnsi="Tahoma" w:cs="Tahoma"/>
        <w:sz w:val="11"/>
        <w:szCs w:val="11"/>
        <w:lang w:val="es-CO"/>
      </w:rPr>
      <w:t>RECHAZA REPOSICIÓN Y CONCEDE APELACIÓN CONTRA AUTO QUE NIEGA LLAMAMIENTO EN GARANTIA</w:t>
    </w:r>
  </w:p>
  <w:p w:rsidR="00DC7C40" w:rsidRPr="004E3A41" w:rsidRDefault="00D84A64" w:rsidP="00EC60D0">
    <w:pPr>
      <w:pStyle w:val="Encabezado"/>
      <w:jc w:val="right"/>
      <w:rPr>
        <w:rStyle w:val="Nmerodepgina"/>
        <w:rFonts w:ascii="Tahoma" w:hAnsi="Tahoma" w:cs="Tahoma"/>
        <w:sz w:val="12"/>
        <w:szCs w:val="12"/>
      </w:rPr>
    </w:pPr>
    <w:r w:rsidRPr="004E3A41">
      <w:rPr>
        <w:rFonts w:ascii="Tahoma" w:hAnsi="Tahoma" w:cs="Tahoma"/>
        <w:sz w:val="12"/>
        <w:szCs w:val="12"/>
        <w:lang w:val="es-MX"/>
      </w:rPr>
      <w:t xml:space="preserve"> Páginas </w:t>
    </w:r>
    <w:r w:rsidRPr="004E3A41">
      <w:rPr>
        <w:rStyle w:val="Nmerodepgina"/>
        <w:rFonts w:ascii="Tahoma" w:hAnsi="Tahoma" w:cs="Tahoma"/>
        <w:sz w:val="12"/>
        <w:szCs w:val="12"/>
      </w:rPr>
      <w:fldChar w:fldCharType="begin"/>
    </w:r>
    <w:r w:rsidRPr="004E3A41">
      <w:rPr>
        <w:rStyle w:val="Nmerodepgina"/>
        <w:rFonts w:ascii="Tahoma" w:hAnsi="Tahoma" w:cs="Tahoma"/>
        <w:sz w:val="12"/>
        <w:szCs w:val="12"/>
      </w:rPr>
      <w:instrText xml:space="preserve"> PAGE  \* Arabic  \* MERGEFORMAT </w:instrText>
    </w:r>
    <w:r w:rsidRPr="004E3A41">
      <w:rPr>
        <w:rStyle w:val="Nmerodepgina"/>
        <w:rFonts w:ascii="Tahoma" w:hAnsi="Tahoma" w:cs="Tahoma"/>
        <w:sz w:val="12"/>
        <w:szCs w:val="12"/>
      </w:rPr>
      <w:fldChar w:fldCharType="separate"/>
    </w:r>
    <w:r w:rsidR="00BE34B6">
      <w:rPr>
        <w:rStyle w:val="Nmerodepgina"/>
        <w:rFonts w:ascii="Tahoma" w:hAnsi="Tahoma" w:cs="Tahoma"/>
        <w:noProof/>
        <w:sz w:val="12"/>
        <w:szCs w:val="12"/>
      </w:rPr>
      <w:t>2</w:t>
    </w:r>
    <w:r w:rsidRPr="004E3A41">
      <w:rPr>
        <w:rStyle w:val="Nmerodepgina"/>
        <w:rFonts w:ascii="Tahoma" w:hAnsi="Tahoma" w:cs="Tahoma"/>
        <w:sz w:val="12"/>
        <w:szCs w:val="12"/>
      </w:rPr>
      <w:fldChar w:fldCharType="end"/>
    </w:r>
    <w:r w:rsidRPr="004E3A41">
      <w:rPr>
        <w:rStyle w:val="Nmerodepgina"/>
        <w:rFonts w:ascii="Tahoma" w:hAnsi="Tahoma" w:cs="Tahoma"/>
        <w:sz w:val="12"/>
        <w:szCs w:val="12"/>
      </w:rPr>
      <w:t xml:space="preserve"> de </w:t>
    </w:r>
    <w:r w:rsidRPr="004E3A41">
      <w:rPr>
        <w:rStyle w:val="Nmerodepgina"/>
        <w:rFonts w:ascii="Tahoma" w:hAnsi="Tahoma" w:cs="Tahoma"/>
        <w:sz w:val="12"/>
        <w:szCs w:val="12"/>
      </w:rPr>
      <w:fldChar w:fldCharType="begin"/>
    </w:r>
    <w:r w:rsidRPr="004E3A41">
      <w:rPr>
        <w:rStyle w:val="Nmerodepgina"/>
        <w:rFonts w:ascii="Tahoma" w:hAnsi="Tahoma" w:cs="Tahoma"/>
        <w:sz w:val="12"/>
        <w:szCs w:val="12"/>
      </w:rPr>
      <w:instrText xml:space="preserve"> NUMPAGES  \* Arabic  \* MERGEFORMAT </w:instrText>
    </w:r>
    <w:r w:rsidRPr="004E3A41">
      <w:rPr>
        <w:rStyle w:val="Nmerodepgina"/>
        <w:rFonts w:ascii="Tahoma" w:hAnsi="Tahoma" w:cs="Tahoma"/>
        <w:sz w:val="12"/>
        <w:szCs w:val="12"/>
      </w:rPr>
      <w:fldChar w:fldCharType="separate"/>
    </w:r>
    <w:r w:rsidR="00BE34B6">
      <w:rPr>
        <w:rStyle w:val="Nmerodepgina"/>
        <w:rFonts w:ascii="Tahoma" w:hAnsi="Tahoma" w:cs="Tahoma"/>
        <w:noProof/>
        <w:sz w:val="12"/>
        <w:szCs w:val="12"/>
      </w:rPr>
      <w:t>2</w:t>
    </w:r>
    <w:r w:rsidRPr="004E3A41">
      <w:rPr>
        <w:rStyle w:val="Nmerodepgina"/>
        <w:rFonts w:ascii="Tahoma" w:hAnsi="Tahoma" w:cs="Tahoma"/>
        <w:sz w:val="12"/>
        <w:szCs w:val="12"/>
      </w:rPr>
      <w:fldChar w:fldCharType="end"/>
    </w:r>
  </w:p>
  <w:p w:rsidR="00DC7C40" w:rsidRPr="00E87BB4" w:rsidRDefault="005C1CE5" w:rsidP="00EC60D0">
    <w:pPr>
      <w:pStyle w:val="Encabezado"/>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Pr="004E3A41" w:rsidRDefault="00063998">
    <w:pPr>
      <w:pStyle w:val="Encabezado"/>
      <w:jc w:val="center"/>
      <w:rPr>
        <w:rFonts w:ascii="Arial" w:hAnsi="Arial" w:cs="Arial"/>
        <w:b/>
        <w:i/>
        <w:sz w:val="14"/>
        <w:szCs w:val="14"/>
      </w:rPr>
    </w:pPr>
    <w:r w:rsidRPr="004E3A41">
      <w:rPr>
        <w:rFonts w:ascii="Arial" w:hAnsi="Arial" w:cs="Arial"/>
        <w:b/>
        <w:i/>
        <w:noProof/>
        <w:sz w:val="14"/>
        <w:szCs w:val="14"/>
        <w:lang w:val="es-CO" w:eastAsia="es-CO"/>
      </w:rPr>
      <w:drawing>
        <wp:inline distT="0" distB="0" distL="0" distR="0" wp14:anchorId="3BEE01C9" wp14:editId="34C74BF8">
          <wp:extent cx="669925" cy="64833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48335"/>
                  </a:xfrm>
                  <a:prstGeom prst="rect">
                    <a:avLst/>
                  </a:prstGeom>
                  <a:noFill/>
                  <a:ln>
                    <a:noFill/>
                  </a:ln>
                </pic:spPr>
              </pic:pic>
            </a:graphicData>
          </a:graphic>
        </wp:inline>
      </w:drawing>
    </w:r>
  </w:p>
  <w:p w:rsidR="00DC7C40" w:rsidRPr="004E3A41" w:rsidRDefault="00D84A64">
    <w:pPr>
      <w:pStyle w:val="Encabezado"/>
      <w:jc w:val="center"/>
      <w:rPr>
        <w:rFonts w:ascii="Tahoma" w:hAnsi="Tahoma" w:cs="Tahoma"/>
        <w:b/>
        <w:sz w:val="14"/>
        <w:szCs w:val="14"/>
        <w:lang w:val="es-MX"/>
      </w:rPr>
    </w:pPr>
    <w:r w:rsidRPr="004E3A41">
      <w:rPr>
        <w:rFonts w:ascii="Tahoma" w:hAnsi="Tahoma" w:cs="Tahoma"/>
        <w:b/>
        <w:sz w:val="14"/>
        <w:szCs w:val="14"/>
        <w:lang w:val="es-MX"/>
      </w:rPr>
      <w:t>JUZGADO TREINTA Y CUATRO ADMINISTRATIVO</w:t>
    </w:r>
  </w:p>
  <w:p w:rsidR="00DC7C40" w:rsidRPr="004E3A41" w:rsidRDefault="00D84A64">
    <w:pPr>
      <w:pStyle w:val="Encabezado"/>
      <w:jc w:val="center"/>
      <w:rPr>
        <w:rFonts w:ascii="Tahoma" w:hAnsi="Tahoma" w:cs="Tahoma"/>
        <w:b/>
        <w:sz w:val="14"/>
        <w:szCs w:val="14"/>
        <w:lang w:val="es-MX"/>
      </w:rPr>
    </w:pPr>
    <w:r w:rsidRPr="004E3A41">
      <w:rPr>
        <w:rFonts w:ascii="Tahoma" w:hAnsi="Tahoma" w:cs="Tahoma"/>
        <w:b/>
        <w:sz w:val="14"/>
        <w:szCs w:val="14"/>
        <w:lang w:val="es-MX"/>
      </w:rPr>
      <w:t>CIRCUITO DE BOGOTÁ</w:t>
    </w:r>
  </w:p>
  <w:p w:rsidR="00DC7C40" w:rsidRPr="004E3A41" w:rsidRDefault="00D84A64">
    <w:pPr>
      <w:pStyle w:val="Encabezado"/>
      <w:jc w:val="center"/>
      <w:rPr>
        <w:rFonts w:ascii="Tahoma" w:hAnsi="Tahoma" w:cs="Tahoma"/>
        <w:b/>
        <w:sz w:val="14"/>
        <w:szCs w:val="14"/>
        <w:lang w:val="es-MX"/>
      </w:rPr>
    </w:pPr>
    <w:r w:rsidRPr="004E3A41">
      <w:rPr>
        <w:rFonts w:ascii="Tahoma" w:hAnsi="Tahoma" w:cs="Tahoma"/>
        <w:b/>
        <w:sz w:val="14"/>
        <w:szCs w:val="14"/>
        <w:lang w:val="es-MX"/>
      </w:rPr>
      <w:t>Sección Tercera</w:t>
    </w:r>
  </w:p>
  <w:p w:rsidR="00DC7C40" w:rsidRDefault="005C1C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69F"/>
    <w:multiLevelType w:val="hybridMultilevel"/>
    <w:tmpl w:val="7F72C0A2"/>
    <w:lvl w:ilvl="0" w:tplc="F5FE9F66">
      <w:numFmt w:val="bullet"/>
      <w:lvlText w:val="-"/>
      <w:lvlJc w:val="left"/>
      <w:pPr>
        <w:ind w:left="720" w:hanging="360"/>
      </w:pPr>
      <w:rPr>
        <w:rFonts w:ascii="Tahoma" w:eastAsia="Times New Roman" w:hAnsi="Tahoma" w:cs="Tahoma"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2CA3594"/>
    <w:multiLevelType w:val="hybridMultilevel"/>
    <w:tmpl w:val="FB2435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7C9C4710"/>
    <w:multiLevelType w:val="hybridMultilevel"/>
    <w:tmpl w:val="3DAC6E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98"/>
    <w:rsid w:val="00000D2B"/>
    <w:rsid w:val="00000DF2"/>
    <w:rsid w:val="00022D36"/>
    <w:rsid w:val="00036E39"/>
    <w:rsid w:val="00042199"/>
    <w:rsid w:val="00063998"/>
    <w:rsid w:val="00066A91"/>
    <w:rsid w:val="000F39E6"/>
    <w:rsid w:val="000F64E7"/>
    <w:rsid w:val="00132B7B"/>
    <w:rsid w:val="001549AA"/>
    <w:rsid w:val="0019170C"/>
    <w:rsid w:val="001921D3"/>
    <w:rsid w:val="001A0776"/>
    <w:rsid w:val="00257960"/>
    <w:rsid w:val="002952B5"/>
    <w:rsid w:val="00297B2B"/>
    <w:rsid w:val="002B76E8"/>
    <w:rsid w:val="002C5AEA"/>
    <w:rsid w:val="002F16F3"/>
    <w:rsid w:val="00326395"/>
    <w:rsid w:val="00350AF1"/>
    <w:rsid w:val="00362CC7"/>
    <w:rsid w:val="003806E6"/>
    <w:rsid w:val="00392A6C"/>
    <w:rsid w:val="00395226"/>
    <w:rsid w:val="003B6F7A"/>
    <w:rsid w:val="003F454E"/>
    <w:rsid w:val="00465E86"/>
    <w:rsid w:val="0048331D"/>
    <w:rsid w:val="00487FA6"/>
    <w:rsid w:val="00490EFC"/>
    <w:rsid w:val="004967AE"/>
    <w:rsid w:val="004A6885"/>
    <w:rsid w:val="004E3A41"/>
    <w:rsid w:val="004F54D3"/>
    <w:rsid w:val="0050747C"/>
    <w:rsid w:val="005C1CE5"/>
    <w:rsid w:val="005C6DC7"/>
    <w:rsid w:val="005C718B"/>
    <w:rsid w:val="005E152C"/>
    <w:rsid w:val="005E48DF"/>
    <w:rsid w:val="006006D2"/>
    <w:rsid w:val="00602156"/>
    <w:rsid w:val="00614901"/>
    <w:rsid w:val="00624646"/>
    <w:rsid w:val="0063671C"/>
    <w:rsid w:val="00640524"/>
    <w:rsid w:val="00647A9D"/>
    <w:rsid w:val="0065761F"/>
    <w:rsid w:val="006A63F7"/>
    <w:rsid w:val="006E6753"/>
    <w:rsid w:val="006E7BDD"/>
    <w:rsid w:val="00700E47"/>
    <w:rsid w:val="00722C4B"/>
    <w:rsid w:val="007273C9"/>
    <w:rsid w:val="0073348F"/>
    <w:rsid w:val="0073626D"/>
    <w:rsid w:val="00752EDC"/>
    <w:rsid w:val="007543C3"/>
    <w:rsid w:val="00782144"/>
    <w:rsid w:val="007C3F4F"/>
    <w:rsid w:val="007D3B03"/>
    <w:rsid w:val="007F62A8"/>
    <w:rsid w:val="00803E8E"/>
    <w:rsid w:val="00820FB7"/>
    <w:rsid w:val="00823F14"/>
    <w:rsid w:val="00832241"/>
    <w:rsid w:val="00845790"/>
    <w:rsid w:val="00862288"/>
    <w:rsid w:val="008711F6"/>
    <w:rsid w:val="0087259C"/>
    <w:rsid w:val="008A6CA6"/>
    <w:rsid w:val="008B6016"/>
    <w:rsid w:val="009149E6"/>
    <w:rsid w:val="009205C6"/>
    <w:rsid w:val="00934A99"/>
    <w:rsid w:val="0094277A"/>
    <w:rsid w:val="009E2850"/>
    <w:rsid w:val="009E588E"/>
    <w:rsid w:val="00A00FCE"/>
    <w:rsid w:val="00A1153B"/>
    <w:rsid w:val="00A42C86"/>
    <w:rsid w:val="00A45B17"/>
    <w:rsid w:val="00A5722F"/>
    <w:rsid w:val="00A63921"/>
    <w:rsid w:val="00AA5E70"/>
    <w:rsid w:val="00AE24F9"/>
    <w:rsid w:val="00AE584D"/>
    <w:rsid w:val="00AF6097"/>
    <w:rsid w:val="00B17E3F"/>
    <w:rsid w:val="00B476AB"/>
    <w:rsid w:val="00B5038C"/>
    <w:rsid w:val="00B504F1"/>
    <w:rsid w:val="00B514E2"/>
    <w:rsid w:val="00B558FD"/>
    <w:rsid w:val="00B9419C"/>
    <w:rsid w:val="00BB5083"/>
    <w:rsid w:val="00BD404F"/>
    <w:rsid w:val="00BE34B6"/>
    <w:rsid w:val="00C335D8"/>
    <w:rsid w:val="00C70F2A"/>
    <w:rsid w:val="00C83C97"/>
    <w:rsid w:val="00C87121"/>
    <w:rsid w:val="00C952E5"/>
    <w:rsid w:val="00CE11B9"/>
    <w:rsid w:val="00D03FBE"/>
    <w:rsid w:val="00D10E77"/>
    <w:rsid w:val="00D15A71"/>
    <w:rsid w:val="00D84A64"/>
    <w:rsid w:val="00DB209C"/>
    <w:rsid w:val="00DE644E"/>
    <w:rsid w:val="00E13206"/>
    <w:rsid w:val="00E54675"/>
    <w:rsid w:val="00EA1D63"/>
    <w:rsid w:val="00EB0AE4"/>
    <w:rsid w:val="00ED027F"/>
    <w:rsid w:val="00EE202D"/>
    <w:rsid w:val="00EF1DE4"/>
    <w:rsid w:val="00F07DEB"/>
    <w:rsid w:val="00F31A6F"/>
    <w:rsid w:val="00F9054B"/>
    <w:rsid w:val="00FD2823"/>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98"/>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63998"/>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06399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63998"/>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06399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63998"/>
  </w:style>
  <w:style w:type="paragraph" w:styleId="Textonotapie">
    <w:name w:val="footnote text"/>
    <w:basedOn w:val="Normal"/>
    <w:link w:val="TextonotapieCar"/>
    <w:semiHidden/>
    <w:rsid w:val="00063998"/>
    <w:rPr>
      <w:sz w:val="20"/>
      <w:szCs w:val="20"/>
    </w:rPr>
  </w:style>
  <w:style w:type="character" w:customStyle="1" w:styleId="TextonotapieCar">
    <w:name w:val="Texto nota pie Car"/>
    <w:basedOn w:val="Fuentedeprrafopredeter"/>
    <w:link w:val="Textonotapie"/>
    <w:semiHidden/>
    <w:rsid w:val="00063998"/>
    <w:rPr>
      <w:rFonts w:ascii="Arial" w:eastAsia="Times New Roman" w:hAnsi="Arial" w:cs="Arial"/>
      <w:color w:val="000000"/>
      <w:sz w:val="20"/>
      <w:szCs w:val="20"/>
      <w:lang w:eastAsia="es-ES"/>
    </w:rPr>
  </w:style>
  <w:style w:type="character" w:styleId="Refdenotaalpie">
    <w:name w:val="footnote reference"/>
    <w:semiHidden/>
    <w:rsid w:val="00063998"/>
    <w:rPr>
      <w:vertAlign w:val="superscript"/>
    </w:rPr>
  </w:style>
  <w:style w:type="paragraph" w:customStyle="1" w:styleId="Prrafodelista1">
    <w:name w:val="Párrafo de lista1"/>
    <w:basedOn w:val="Normal"/>
    <w:rsid w:val="00063998"/>
    <w:pPr>
      <w:ind w:left="720"/>
      <w:contextualSpacing/>
    </w:pPr>
    <w:rPr>
      <w:rFonts w:ascii="Times New Roman" w:eastAsia="Calibri" w:hAnsi="Times New Roman" w:cs="Times New Roman"/>
      <w:color w:val="auto"/>
      <w:lang w:val="es-ES"/>
    </w:rPr>
  </w:style>
  <w:style w:type="paragraph" w:styleId="Textodeglobo">
    <w:name w:val="Balloon Text"/>
    <w:basedOn w:val="Normal"/>
    <w:link w:val="TextodegloboCar"/>
    <w:uiPriority w:val="99"/>
    <w:semiHidden/>
    <w:unhideWhenUsed/>
    <w:rsid w:val="00063998"/>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998"/>
    <w:rPr>
      <w:rFonts w:ascii="Tahoma" w:eastAsia="Times New Roman" w:hAnsi="Tahoma" w:cs="Tahoma"/>
      <w:color w:val="000000"/>
      <w:sz w:val="16"/>
      <w:szCs w:val="16"/>
      <w:lang w:eastAsia="es-ES"/>
    </w:rPr>
  </w:style>
  <w:style w:type="paragraph" w:styleId="NormalWeb">
    <w:name w:val="Normal (Web)"/>
    <w:basedOn w:val="Normal"/>
    <w:uiPriority w:val="99"/>
    <w:rsid w:val="00063998"/>
    <w:pPr>
      <w:spacing w:before="100" w:beforeAutospacing="1" w:after="100" w:afterAutospacing="1"/>
    </w:pPr>
    <w:rPr>
      <w:rFonts w:ascii="Times New Roman" w:eastAsia="Calibri" w:hAnsi="Times New Roman" w:cs="Times New Roman"/>
      <w:color w:val="auto"/>
      <w:lang w:val="es-ES"/>
    </w:rPr>
  </w:style>
  <w:style w:type="paragraph" w:customStyle="1" w:styleId="nueve-">
    <w:name w:val="nueve-"/>
    <w:rsid w:val="00063998"/>
    <w:pPr>
      <w:spacing w:before="216" w:after="216" w:line="240" w:lineRule="auto"/>
      <w:ind w:firstLine="432"/>
      <w:jc w:val="both"/>
    </w:pPr>
    <w:rPr>
      <w:rFonts w:ascii="Arial" w:eastAsia="Times New Roman" w:hAnsi="Arial" w:cs="Arial"/>
      <w:sz w:val="24"/>
      <w:szCs w:val="24"/>
      <w:lang w:val="es-ES" w:eastAsia="es-ES"/>
    </w:rPr>
  </w:style>
  <w:style w:type="character" w:customStyle="1" w:styleId="apple-converted-space">
    <w:name w:val="apple-converted-space"/>
    <w:basedOn w:val="Fuentedeprrafopredeter"/>
    <w:rsid w:val="00D84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98"/>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63998"/>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06399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63998"/>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06399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63998"/>
  </w:style>
  <w:style w:type="paragraph" w:styleId="Textonotapie">
    <w:name w:val="footnote text"/>
    <w:basedOn w:val="Normal"/>
    <w:link w:val="TextonotapieCar"/>
    <w:semiHidden/>
    <w:rsid w:val="00063998"/>
    <w:rPr>
      <w:sz w:val="20"/>
      <w:szCs w:val="20"/>
    </w:rPr>
  </w:style>
  <w:style w:type="character" w:customStyle="1" w:styleId="TextonotapieCar">
    <w:name w:val="Texto nota pie Car"/>
    <w:basedOn w:val="Fuentedeprrafopredeter"/>
    <w:link w:val="Textonotapie"/>
    <w:semiHidden/>
    <w:rsid w:val="00063998"/>
    <w:rPr>
      <w:rFonts w:ascii="Arial" w:eastAsia="Times New Roman" w:hAnsi="Arial" w:cs="Arial"/>
      <w:color w:val="000000"/>
      <w:sz w:val="20"/>
      <w:szCs w:val="20"/>
      <w:lang w:eastAsia="es-ES"/>
    </w:rPr>
  </w:style>
  <w:style w:type="character" w:styleId="Refdenotaalpie">
    <w:name w:val="footnote reference"/>
    <w:semiHidden/>
    <w:rsid w:val="00063998"/>
    <w:rPr>
      <w:vertAlign w:val="superscript"/>
    </w:rPr>
  </w:style>
  <w:style w:type="paragraph" w:customStyle="1" w:styleId="Prrafodelista1">
    <w:name w:val="Párrafo de lista1"/>
    <w:basedOn w:val="Normal"/>
    <w:rsid w:val="00063998"/>
    <w:pPr>
      <w:ind w:left="720"/>
      <w:contextualSpacing/>
    </w:pPr>
    <w:rPr>
      <w:rFonts w:ascii="Times New Roman" w:eastAsia="Calibri" w:hAnsi="Times New Roman" w:cs="Times New Roman"/>
      <w:color w:val="auto"/>
      <w:lang w:val="es-ES"/>
    </w:rPr>
  </w:style>
  <w:style w:type="paragraph" w:styleId="Textodeglobo">
    <w:name w:val="Balloon Text"/>
    <w:basedOn w:val="Normal"/>
    <w:link w:val="TextodegloboCar"/>
    <w:uiPriority w:val="99"/>
    <w:semiHidden/>
    <w:unhideWhenUsed/>
    <w:rsid w:val="00063998"/>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998"/>
    <w:rPr>
      <w:rFonts w:ascii="Tahoma" w:eastAsia="Times New Roman" w:hAnsi="Tahoma" w:cs="Tahoma"/>
      <w:color w:val="000000"/>
      <w:sz w:val="16"/>
      <w:szCs w:val="16"/>
      <w:lang w:eastAsia="es-ES"/>
    </w:rPr>
  </w:style>
  <w:style w:type="paragraph" w:styleId="NormalWeb">
    <w:name w:val="Normal (Web)"/>
    <w:basedOn w:val="Normal"/>
    <w:uiPriority w:val="99"/>
    <w:rsid w:val="00063998"/>
    <w:pPr>
      <w:spacing w:before="100" w:beforeAutospacing="1" w:after="100" w:afterAutospacing="1"/>
    </w:pPr>
    <w:rPr>
      <w:rFonts w:ascii="Times New Roman" w:eastAsia="Calibri" w:hAnsi="Times New Roman" w:cs="Times New Roman"/>
      <w:color w:val="auto"/>
      <w:lang w:val="es-ES"/>
    </w:rPr>
  </w:style>
  <w:style w:type="paragraph" w:customStyle="1" w:styleId="nueve-">
    <w:name w:val="nueve-"/>
    <w:rsid w:val="00063998"/>
    <w:pPr>
      <w:spacing w:before="216" w:after="216" w:line="240" w:lineRule="auto"/>
      <w:ind w:firstLine="432"/>
      <w:jc w:val="both"/>
    </w:pPr>
    <w:rPr>
      <w:rFonts w:ascii="Arial" w:eastAsia="Times New Roman" w:hAnsi="Arial" w:cs="Arial"/>
      <w:sz w:val="24"/>
      <w:szCs w:val="24"/>
      <w:lang w:val="es-ES" w:eastAsia="es-ES"/>
    </w:rPr>
  </w:style>
  <w:style w:type="character" w:customStyle="1" w:styleId="apple-converted-space">
    <w:name w:val="apple-converted-space"/>
    <w:basedOn w:val="Fuentedeprrafopredeter"/>
    <w:rsid w:val="00D8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DBE5-206B-4F37-BFA8-6BBCD891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2015-02-26T19:02:00Z</cp:lastPrinted>
  <dcterms:created xsi:type="dcterms:W3CDTF">2015-02-26T19:02:00Z</dcterms:created>
  <dcterms:modified xsi:type="dcterms:W3CDTF">2015-02-26T19:18:00Z</dcterms:modified>
</cp:coreProperties>
</file>