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7229"/>
      </w:tblGrid>
      <w:tr w:rsidR="00825ADE" w:rsidRPr="00063484" w:rsidTr="00063484">
        <w:tc>
          <w:tcPr>
            <w:tcW w:w="1560" w:type="dxa"/>
            <w:vAlign w:val="center"/>
          </w:tcPr>
          <w:p w:rsidR="00825ADE" w:rsidRPr="00063484" w:rsidRDefault="00825ADE" w:rsidP="00ED2ECC">
            <w:pPr>
              <w:jc w:val="both"/>
              <w:rPr>
                <w:rFonts w:ascii="Tahoma" w:hAnsi="Tahoma" w:cs="Tahoma"/>
                <w:sz w:val="15"/>
                <w:szCs w:val="15"/>
                <w:lang w:val="es-MX"/>
              </w:rPr>
            </w:pPr>
            <w:r w:rsidRPr="00063484">
              <w:rPr>
                <w:rFonts w:ascii="Tahoma" w:hAnsi="Tahoma" w:cs="Tahoma"/>
                <w:sz w:val="15"/>
                <w:szCs w:val="15"/>
                <w:lang w:val="es-MX"/>
              </w:rPr>
              <w:t>CIUDAD Y FECHA</w:t>
            </w:r>
          </w:p>
        </w:tc>
        <w:tc>
          <w:tcPr>
            <w:tcW w:w="7229" w:type="dxa"/>
          </w:tcPr>
          <w:p w:rsidR="00825ADE" w:rsidRPr="00063484" w:rsidRDefault="00825ADE" w:rsidP="007E1006">
            <w:pPr>
              <w:jc w:val="both"/>
              <w:rPr>
                <w:rFonts w:ascii="Tahoma" w:hAnsi="Tahoma" w:cs="Tahoma"/>
                <w:b/>
                <w:sz w:val="15"/>
                <w:szCs w:val="15"/>
                <w:lang w:val="es-MX"/>
              </w:rPr>
            </w:pPr>
            <w:r w:rsidRPr="00063484">
              <w:rPr>
                <w:rFonts w:ascii="Tahoma" w:hAnsi="Tahoma" w:cs="Tahoma"/>
                <w:b/>
                <w:sz w:val="15"/>
                <w:szCs w:val="15"/>
                <w:lang w:val="es-MX"/>
              </w:rPr>
              <w:t xml:space="preserve">Bogotá D.C., </w:t>
            </w:r>
            <w:r w:rsidR="007E1006" w:rsidRPr="00063484">
              <w:rPr>
                <w:rFonts w:ascii="Tahoma" w:hAnsi="Tahoma" w:cs="Tahoma"/>
                <w:b/>
                <w:sz w:val="15"/>
                <w:szCs w:val="15"/>
                <w:lang w:val="es-MX"/>
              </w:rPr>
              <w:t xml:space="preserve">dieciocho (18) de marzo </w:t>
            </w:r>
            <w:r w:rsidRPr="00063484">
              <w:rPr>
                <w:rFonts w:ascii="Tahoma" w:hAnsi="Tahoma" w:cs="Tahoma"/>
                <w:b/>
                <w:sz w:val="15"/>
                <w:szCs w:val="15"/>
                <w:lang w:val="es-MX"/>
              </w:rPr>
              <w:t xml:space="preserve">de dos mil quince (2015) </w:t>
            </w:r>
          </w:p>
        </w:tc>
      </w:tr>
      <w:tr w:rsidR="00825ADE" w:rsidRPr="00063484" w:rsidTr="00063484">
        <w:tc>
          <w:tcPr>
            <w:tcW w:w="1560" w:type="dxa"/>
            <w:vAlign w:val="center"/>
          </w:tcPr>
          <w:p w:rsidR="00825ADE" w:rsidRPr="00063484" w:rsidRDefault="00825ADE" w:rsidP="00ED2ECC">
            <w:pPr>
              <w:jc w:val="both"/>
              <w:rPr>
                <w:rFonts w:ascii="Tahoma" w:hAnsi="Tahoma" w:cs="Tahoma"/>
                <w:sz w:val="15"/>
                <w:szCs w:val="15"/>
                <w:lang w:val="es-MX"/>
              </w:rPr>
            </w:pPr>
            <w:r w:rsidRPr="00063484">
              <w:rPr>
                <w:rFonts w:ascii="Tahoma" w:hAnsi="Tahoma" w:cs="Tahoma"/>
                <w:sz w:val="15"/>
                <w:szCs w:val="15"/>
                <w:lang w:val="es-MX"/>
              </w:rPr>
              <w:t>REFERENCIA</w:t>
            </w:r>
          </w:p>
        </w:tc>
        <w:tc>
          <w:tcPr>
            <w:tcW w:w="7229" w:type="dxa"/>
          </w:tcPr>
          <w:p w:rsidR="00825ADE" w:rsidRPr="00063484" w:rsidRDefault="00825ADE" w:rsidP="00ED2ECC">
            <w:pPr>
              <w:jc w:val="both"/>
              <w:rPr>
                <w:rFonts w:ascii="Tahoma" w:hAnsi="Tahoma" w:cs="Tahoma"/>
                <w:b/>
                <w:sz w:val="15"/>
                <w:szCs w:val="15"/>
                <w:lang w:val="es-MX"/>
              </w:rPr>
            </w:pPr>
            <w:r w:rsidRPr="00063484">
              <w:rPr>
                <w:rFonts w:ascii="Tahoma" w:hAnsi="Tahoma" w:cs="Tahoma"/>
                <w:b/>
                <w:sz w:val="15"/>
                <w:szCs w:val="15"/>
                <w:lang w:val="es-MX"/>
              </w:rPr>
              <w:t>Expediente No.11001333603420150014300</w:t>
            </w:r>
          </w:p>
        </w:tc>
      </w:tr>
      <w:tr w:rsidR="00825ADE" w:rsidRPr="00063484" w:rsidTr="00063484">
        <w:trPr>
          <w:trHeight w:val="65"/>
        </w:trPr>
        <w:tc>
          <w:tcPr>
            <w:tcW w:w="1560" w:type="dxa"/>
            <w:vAlign w:val="center"/>
          </w:tcPr>
          <w:p w:rsidR="00825ADE" w:rsidRPr="00063484" w:rsidRDefault="00825ADE" w:rsidP="00ED2ECC">
            <w:pPr>
              <w:jc w:val="both"/>
              <w:rPr>
                <w:rFonts w:ascii="Tahoma" w:hAnsi="Tahoma" w:cs="Tahoma"/>
                <w:sz w:val="15"/>
                <w:szCs w:val="15"/>
                <w:lang w:val="es-MX"/>
              </w:rPr>
            </w:pPr>
            <w:r w:rsidRPr="00063484">
              <w:rPr>
                <w:rFonts w:ascii="Tahoma" w:hAnsi="Tahoma" w:cs="Tahoma"/>
                <w:sz w:val="15"/>
                <w:szCs w:val="15"/>
                <w:lang w:val="es-MX"/>
              </w:rPr>
              <w:t>DEMANDANTE</w:t>
            </w:r>
          </w:p>
        </w:tc>
        <w:tc>
          <w:tcPr>
            <w:tcW w:w="7229" w:type="dxa"/>
          </w:tcPr>
          <w:p w:rsidR="00825ADE" w:rsidRPr="00063484" w:rsidRDefault="00825ADE" w:rsidP="00ED2ECC">
            <w:pPr>
              <w:jc w:val="both"/>
              <w:rPr>
                <w:rFonts w:ascii="Tahoma" w:hAnsi="Tahoma" w:cs="Tahoma"/>
                <w:b/>
                <w:sz w:val="15"/>
                <w:szCs w:val="15"/>
                <w:lang w:val="es-MX"/>
              </w:rPr>
            </w:pPr>
            <w:r w:rsidRPr="00063484">
              <w:rPr>
                <w:rFonts w:ascii="Tahoma" w:hAnsi="Tahoma" w:cs="Tahoma"/>
                <w:b/>
                <w:sz w:val="15"/>
                <w:szCs w:val="15"/>
                <w:lang w:val="es-MX"/>
              </w:rPr>
              <w:t>CRUZ BLANCA E.P.S.</w:t>
            </w:r>
          </w:p>
        </w:tc>
      </w:tr>
      <w:tr w:rsidR="00825ADE" w:rsidRPr="00063484" w:rsidTr="00063484">
        <w:tc>
          <w:tcPr>
            <w:tcW w:w="1560" w:type="dxa"/>
            <w:vAlign w:val="center"/>
          </w:tcPr>
          <w:p w:rsidR="00825ADE" w:rsidRPr="00063484" w:rsidRDefault="00825ADE" w:rsidP="00ED2ECC">
            <w:pPr>
              <w:jc w:val="both"/>
              <w:rPr>
                <w:rFonts w:ascii="Tahoma" w:hAnsi="Tahoma" w:cs="Tahoma"/>
                <w:sz w:val="15"/>
                <w:szCs w:val="15"/>
                <w:lang w:val="es-MX"/>
              </w:rPr>
            </w:pPr>
            <w:r w:rsidRPr="00063484">
              <w:rPr>
                <w:rFonts w:ascii="Tahoma" w:hAnsi="Tahoma" w:cs="Tahoma"/>
                <w:sz w:val="15"/>
                <w:szCs w:val="15"/>
                <w:lang w:val="es-MX"/>
              </w:rPr>
              <w:t>DEMANDADO</w:t>
            </w:r>
          </w:p>
        </w:tc>
        <w:tc>
          <w:tcPr>
            <w:tcW w:w="7229" w:type="dxa"/>
          </w:tcPr>
          <w:p w:rsidR="00825ADE" w:rsidRPr="00063484" w:rsidRDefault="00825ADE" w:rsidP="00ED2ECC">
            <w:pPr>
              <w:jc w:val="both"/>
              <w:rPr>
                <w:rFonts w:ascii="Tahoma" w:hAnsi="Tahoma" w:cs="Tahoma"/>
                <w:b/>
                <w:sz w:val="15"/>
                <w:szCs w:val="15"/>
                <w:lang w:val="es-MX"/>
              </w:rPr>
            </w:pPr>
            <w:r w:rsidRPr="00063484">
              <w:rPr>
                <w:rFonts w:ascii="Tahoma" w:hAnsi="Tahoma" w:cs="Tahoma"/>
                <w:b/>
                <w:sz w:val="15"/>
                <w:szCs w:val="15"/>
                <w:lang w:val="es-MX"/>
              </w:rPr>
              <w:t>NACION-MINISTERIO DE SALUD Y PROTECCION SOCIAL</w:t>
            </w:r>
          </w:p>
        </w:tc>
      </w:tr>
      <w:tr w:rsidR="00825ADE" w:rsidRPr="00063484" w:rsidTr="00063484">
        <w:tc>
          <w:tcPr>
            <w:tcW w:w="1560" w:type="dxa"/>
            <w:vAlign w:val="center"/>
          </w:tcPr>
          <w:p w:rsidR="00825ADE" w:rsidRPr="00063484" w:rsidRDefault="00825ADE" w:rsidP="00ED2ECC">
            <w:pPr>
              <w:jc w:val="both"/>
              <w:rPr>
                <w:rFonts w:ascii="Tahoma" w:hAnsi="Tahoma" w:cs="Tahoma"/>
                <w:sz w:val="15"/>
                <w:szCs w:val="15"/>
                <w:lang w:val="es-MX"/>
              </w:rPr>
            </w:pPr>
            <w:r w:rsidRPr="00063484">
              <w:rPr>
                <w:rFonts w:ascii="Tahoma" w:hAnsi="Tahoma" w:cs="Tahoma"/>
                <w:sz w:val="15"/>
                <w:szCs w:val="15"/>
                <w:lang w:val="es-MX"/>
              </w:rPr>
              <w:t>MEDIO DE CONTROL</w:t>
            </w:r>
          </w:p>
        </w:tc>
        <w:tc>
          <w:tcPr>
            <w:tcW w:w="7229" w:type="dxa"/>
          </w:tcPr>
          <w:p w:rsidR="00825ADE" w:rsidRPr="00063484" w:rsidRDefault="00825ADE" w:rsidP="00ED2ECC">
            <w:pPr>
              <w:jc w:val="both"/>
              <w:rPr>
                <w:rFonts w:ascii="Tahoma" w:hAnsi="Tahoma" w:cs="Tahoma"/>
                <w:b/>
                <w:noProof/>
                <w:sz w:val="15"/>
                <w:szCs w:val="15"/>
              </w:rPr>
            </w:pPr>
            <w:r w:rsidRPr="00063484">
              <w:rPr>
                <w:rFonts w:ascii="Tahoma" w:hAnsi="Tahoma" w:cs="Tahoma"/>
                <w:b/>
                <w:noProof/>
                <w:sz w:val="15"/>
                <w:szCs w:val="15"/>
              </w:rPr>
              <w:t>REPARACION DIRECTA</w:t>
            </w:r>
          </w:p>
        </w:tc>
      </w:tr>
      <w:tr w:rsidR="00825ADE" w:rsidRPr="00063484" w:rsidTr="00063484">
        <w:tc>
          <w:tcPr>
            <w:tcW w:w="1560" w:type="dxa"/>
            <w:vAlign w:val="center"/>
          </w:tcPr>
          <w:p w:rsidR="00825ADE" w:rsidRPr="00063484" w:rsidRDefault="00825ADE" w:rsidP="00ED2ECC">
            <w:pPr>
              <w:jc w:val="both"/>
              <w:rPr>
                <w:rFonts w:ascii="Tahoma" w:hAnsi="Tahoma" w:cs="Tahoma"/>
                <w:sz w:val="15"/>
                <w:szCs w:val="15"/>
                <w:lang w:val="es-MX"/>
              </w:rPr>
            </w:pPr>
            <w:r w:rsidRPr="00063484">
              <w:rPr>
                <w:rFonts w:ascii="Tahoma" w:hAnsi="Tahoma" w:cs="Tahoma"/>
                <w:sz w:val="15"/>
                <w:szCs w:val="15"/>
                <w:lang w:val="es-MX"/>
              </w:rPr>
              <w:t>ASUNTO</w:t>
            </w:r>
          </w:p>
        </w:tc>
        <w:tc>
          <w:tcPr>
            <w:tcW w:w="7229" w:type="dxa"/>
          </w:tcPr>
          <w:p w:rsidR="00825ADE" w:rsidRPr="00063484" w:rsidRDefault="00825ADE" w:rsidP="00825ADE">
            <w:pPr>
              <w:pStyle w:val="Encabezado"/>
              <w:rPr>
                <w:rFonts w:ascii="Tahoma" w:hAnsi="Tahoma" w:cs="Tahoma"/>
                <w:b/>
                <w:sz w:val="15"/>
                <w:szCs w:val="15"/>
              </w:rPr>
            </w:pPr>
            <w:bookmarkStart w:id="0" w:name="_GoBack"/>
            <w:r w:rsidRPr="00063484">
              <w:rPr>
                <w:rFonts w:ascii="Tahoma" w:hAnsi="Tahoma" w:cs="Tahoma"/>
                <w:b/>
                <w:sz w:val="15"/>
                <w:szCs w:val="15"/>
              </w:rPr>
              <w:t xml:space="preserve">RESUELVE </w:t>
            </w:r>
            <w:r w:rsidR="00744137">
              <w:rPr>
                <w:rFonts w:ascii="Tahoma" w:hAnsi="Tahoma" w:cs="Tahoma"/>
                <w:b/>
                <w:sz w:val="15"/>
                <w:szCs w:val="15"/>
              </w:rPr>
              <w:t xml:space="preserve">SOBRE </w:t>
            </w:r>
            <w:r w:rsidRPr="00063484">
              <w:rPr>
                <w:rFonts w:ascii="Tahoma" w:hAnsi="Tahoma" w:cs="Tahoma"/>
                <w:b/>
                <w:sz w:val="15"/>
                <w:szCs w:val="15"/>
              </w:rPr>
              <w:t xml:space="preserve">RECURSO DE APELACION CONTRA AUTO QUE REMITE POR FALTA DE JURISDICCION </w:t>
            </w:r>
            <w:bookmarkEnd w:id="0"/>
          </w:p>
        </w:tc>
      </w:tr>
    </w:tbl>
    <w:p w:rsidR="00825ADE" w:rsidRPr="00063484" w:rsidRDefault="00825ADE" w:rsidP="00825ADE">
      <w:pPr>
        <w:rPr>
          <w:rFonts w:ascii="Tahoma" w:hAnsi="Tahoma" w:cs="Tahoma"/>
          <w:sz w:val="17"/>
          <w:szCs w:val="17"/>
        </w:rPr>
      </w:pPr>
    </w:p>
    <w:p w:rsidR="00825ADE" w:rsidRPr="00063484" w:rsidRDefault="00825ADE" w:rsidP="00825ADE">
      <w:pPr>
        <w:shd w:val="clear" w:color="auto" w:fill="FFFFFF"/>
        <w:autoSpaceDE w:val="0"/>
        <w:autoSpaceDN w:val="0"/>
        <w:adjustRightInd w:val="0"/>
        <w:jc w:val="both"/>
        <w:rPr>
          <w:rFonts w:ascii="Tahoma" w:hAnsi="Tahoma" w:cs="Tahoma"/>
          <w:i/>
          <w:color w:val="000000"/>
          <w:sz w:val="17"/>
          <w:szCs w:val="17"/>
          <w:lang w:val="es-ES_tradnl"/>
        </w:rPr>
      </w:pPr>
      <w:r w:rsidRPr="00063484">
        <w:rPr>
          <w:rFonts w:ascii="Tahoma" w:hAnsi="Tahoma" w:cs="Tahoma"/>
          <w:sz w:val="17"/>
          <w:szCs w:val="17"/>
        </w:rPr>
        <w:t xml:space="preserve">CRUZ BLANCA E.P.S. presentó demanda de reparación directa en contra de la </w:t>
      </w:r>
      <w:r w:rsidRPr="00063484">
        <w:rPr>
          <w:rFonts w:ascii="Tahoma" w:hAnsi="Tahoma" w:cs="Tahoma"/>
          <w:b/>
          <w:sz w:val="17"/>
          <w:szCs w:val="17"/>
          <w:lang w:val="es-MX"/>
        </w:rPr>
        <w:t>NACION-MINISTERIO DE SALUD Y PROTECCION SOCIAL</w:t>
      </w:r>
      <w:r w:rsidRPr="00063484">
        <w:rPr>
          <w:rFonts w:ascii="Tahoma" w:hAnsi="Tahoma" w:cs="Tahoma"/>
          <w:sz w:val="17"/>
          <w:szCs w:val="17"/>
          <w:lang w:val="es-MX"/>
        </w:rPr>
        <w:t xml:space="preserve">, las sociedades fiduciarias que conforman el </w:t>
      </w:r>
      <w:r w:rsidRPr="00063484">
        <w:rPr>
          <w:rFonts w:ascii="Tahoma" w:hAnsi="Tahoma" w:cs="Tahoma"/>
          <w:b/>
          <w:sz w:val="17"/>
          <w:szCs w:val="17"/>
          <w:lang w:val="es-MX"/>
        </w:rPr>
        <w:t xml:space="preserve">CONSORCIO SAYP 2011, </w:t>
      </w:r>
      <w:r w:rsidRPr="00063484">
        <w:rPr>
          <w:rFonts w:ascii="Tahoma" w:hAnsi="Tahoma" w:cs="Tahoma"/>
          <w:sz w:val="17"/>
          <w:szCs w:val="17"/>
          <w:lang w:val="es-MX"/>
        </w:rPr>
        <w:t xml:space="preserve">las cuales son </w:t>
      </w:r>
      <w:r w:rsidRPr="00063484">
        <w:rPr>
          <w:rFonts w:ascii="Tahoma" w:hAnsi="Tahoma" w:cs="Tahoma"/>
          <w:b/>
          <w:sz w:val="17"/>
          <w:szCs w:val="17"/>
          <w:lang w:val="es-MX"/>
        </w:rPr>
        <w:t>FIDUCIARIA LA PREVISORA S.A., FIDUPREVISORA S.A., FIDUCIARIA COLOMBIANA DE COMERCIO EXTERIOR S.A.- FIDUCOLEX</w:t>
      </w:r>
      <w:r w:rsidRPr="00063484">
        <w:rPr>
          <w:rFonts w:ascii="Tahoma" w:hAnsi="Tahoma" w:cs="Tahoma"/>
          <w:sz w:val="17"/>
          <w:szCs w:val="17"/>
          <w:lang w:val="es-MX"/>
        </w:rPr>
        <w:t xml:space="preserve"> y las sociedades que conforman la unión temporal </w:t>
      </w:r>
      <w:r w:rsidRPr="00063484">
        <w:rPr>
          <w:rFonts w:ascii="Tahoma" w:hAnsi="Tahoma" w:cs="Tahoma"/>
          <w:b/>
          <w:sz w:val="17"/>
          <w:szCs w:val="17"/>
          <w:lang w:val="es-MX"/>
        </w:rPr>
        <w:t>NUEVO FOSYGA</w:t>
      </w:r>
      <w:r w:rsidRPr="00063484">
        <w:rPr>
          <w:rFonts w:ascii="Tahoma" w:hAnsi="Tahoma" w:cs="Tahoma"/>
          <w:sz w:val="17"/>
          <w:szCs w:val="17"/>
        </w:rPr>
        <w:t xml:space="preserve">, </w:t>
      </w:r>
      <w:r w:rsidRPr="00063484">
        <w:rPr>
          <w:rFonts w:ascii="Tahoma" w:hAnsi="Tahoma" w:cs="Tahoma"/>
          <w:b/>
          <w:sz w:val="17"/>
          <w:szCs w:val="17"/>
        </w:rPr>
        <w:t xml:space="preserve">GRUPO ASESORIA EN SISTEMATIZACION DE DATOS-SOCIEDAD POR ACCIONES SIMPLIFICADA-GRUPO ASD S.A.S., SERVIS OUTSOURSING INFORMATICO S.A.-SERVIS S.A., CARVAJAL TECNOLOGIA Y SERVICIOS S.A.S. </w:t>
      </w:r>
      <w:r w:rsidRPr="00063484">
        <w:rPr>
          <w:rFonts w:ascii="Tahoma" w:hAnsi="Tahoma" w:cs="Tahoma"/>
          <w:sz w:val="17"/>
          <w:szCs w:val="17"/>
        </w:rPr>
        <w:t xml:space="preserve"> , </w:t>
      </w:r>
      <w:r w:rsidRPr="00063484">
        <w:rPr>
          <w:rFonts w:ascii="Tahoma" w:hAnsi="Tahoma" w:cs="Tahoma"/>
          <w:i/>
          <w:sz w:val="17"/>
          <w:szCs w:val="17"/>
        </w:rPr>
        <w:t>“(…)</w:t>
      </w:r>
      <w:r w:rsidRPr="00063484">
        <w:rPr>
          <w:rFonts w:ascii="Tahoma" w:hAnsi="Tahoma" w:cs="Tahoma"/>
          <w:i/>
          <w:color w:val="000000"/>
          <w:sz w:val="17"/>
          <w:szCs w:val="17"/>
          <w:lang w:val="es-ES_tradnl"/>
        </w:rPr>
        <w:t xml:space="preserve"> se declare solidariamente responsable a la NACIÓN - MINISTERIO DE SALUD Y DE LA PROTECCIÓN SOCIAL, CONSORCIO SAYP 2011 Y LAS SOCIEDADES FIDUCIARIAS QUE LO INTEGRAN, LA UNIÓN TEMPORAL NUEVO FOSYGA Y LAS SOCIEDADES FIDUCIARIAS QUE INTEGRAN LA UNIÓN por los daños antijurídicos causados por estos a SALUD TOTAL EPS S.A. como consecuencia del no pago de las solicitudes de recobro presentadas por esta con corte de 30 de noviembre de 201, rechazadas por considerarlas en el POS como único motivo de glosa(…)</w:t>
      </w:r>
    </w:p>
    <w:p w:rsidR="00825ADE" w:rsidRPr="00063484" w:rsidRDefault="00825ADE" w:rsidP="00825ADE">
      <w:pPr>
        <w:shd w:val="clear" w:color="auto" w:fill="FFFFFF"/>
        <w:autoSpaceDE w:val="0"/>
        <w:autoSpaceDN w:val="0"/>
        <w:adjustRightInd w:val="0"/>
        <w:jc w:val="both"/>
        <w:rPr>
          <w:rFonts w:ascii="Tahoma" w:hAnsi="Tahoma" w:cs="Tahoma"/>
          <w:i/>
          <w:color w:val="000000"/>
          <w:sz w:val="17"/>
          <w:szCs w:val="17"/>
          <w:lang w:val="es-ES_tradnl"/>
        </w:rPr>
      </w:pPr>
    </w:p>
    <w:p w:rsidR="00825ADE" w:rsidRPr="00063484" w:rsidRDefault="00825ADE" w:rsidP="00825ADE">
      <w:pPr>
        <w:shd w:val="clear" w:color="auto" w:fill="FFFFFF"/>
        <w:autoSpaceDE w:val="0"/>
        <w:autoSpaceDN w:val="0"/>
        <w:adjustRightInd w:val="0"/>
        <w:jc w:val="both"/>
        <w:rPr>
          <w:rFonts w:ascii="Tahoma" w:hAnsi="Tahoma" w:cs="Tahoma"/>
          <w:sz w:val="17"/>
          <w:szCs w:val="17"/>
        </w:rPr>
      </w:pPr>
      <w:r w:rsidRPr="00063484">
        <w:rPr>
          <w:rFonts w:ascii="Tahoma" w:hAnsi="Tahoma" w:cs="Tahoma"/>
          <w:sz w:val="17"/>
          <w:szCs w:val="17"/>
          <w:lang w:val="es-MX"/>
        </w:rPr>
        <w:t>Con auto del 27 de febrero de 2015 se remitió el expediente No</w:t>
      </w:r>
      <w:r w:rsidRPr="00063484">
        <w:rPr>
          <w:rFonts w:ascii="Tahoma" w:hAnsi="Tahoma" w:cs="Tahoma"/>
          <w:sz w:val="17"/>
          <w:szCs w:val="17"/>
        </w:rPr>
        <w:t xml:space="preserve">. </w:t>
      </w:r>
      <w:r w:rsidRPr="00063484">
        <w:rPr>
          <w:rFonts w:ascii="Tahoma" w:hAnsi="Tahoma" w:cs="Tahoma"/>
          <w:sz w:val="17"/>
          <w:szCs w:val="17"/>
          <w:lang w:val="es-MX"/>
        </w:rPr>
        <w:t xml:space="preserve">11001333603420150014300 </w:t>
      </w:r>
      <w:r w:rsidRPr="00063484">
        <w:rPr>
          <w:rFonts w:ascii="Tahoma" w:hAnsi="Tahoma" w:cs="Tahoma"/>
          <w:sz w:val="17"/>
          <w:szCs w:val="17"/>
        </w:rPr>
        <w:fldChar w:fldCharType="begin"/>
      </w:r>
      <w:r w:rsidRPr="00063484">
        <w:rPr>
          <w:rFonts w:ascii="Tahoma" w:hAnsi="Tahoma" w:cs="Tahoma"/>
          <w:sz w:val="17"/>
          <w:szCs w:val="17"/>
        </w:rPr>
        <w:instrText xml:space="preserve"> MERGEFIELD "No_DE_EXPEDIENTE" </w:instrText>
      </w:r>
      <w:r w:rsidRPr="00063484">
        <w:rPr>
          <w:rFonts w:ascii="Tahoma" w:hAnsi="Tahoma" w:cs="Tahoma"/>
          <w:sz w:val="17"/>
          <w:szCs w:val="17"/>
        </w:rPr>
        <w:fldChar w:fldCharType="end"/>
      </w:r>
      <w:r w:rsidRPr="00063484">
        <w:rPr>
          <w:rFonts w:ascii="Tahoma" w:hAnsi="Tahoma" w:cs="Tahoma"/>
          <w:sz w:val="17"/>
          <w:szCs w:val="17"/>
        </w:rPr>
        <w:t>a los Juzgados Laborales del Circuito de Bogotá (Reparto) por ser la jurisdicción competente.</w:t>
      </w:r>
    </w:p>
    <w:p w:rsidR="00825ADE" w:rsidRPr="00063484" w:rsidRDefault="00825ADE" w:rsidP="00825ADE">
      <w:pPr>
        <w:shd w:val="clear" w:color="auto" w:fill="FFFFFF"/>
        <w:autoSpaceDE w:val="0"/>
        <w:autoSpaceDN w:val="0"/>
        <w:adjustRightInd w:val="0"/>
        <w:jc w:val="both"/>
        <w:rPr>
          <w:rFonts w:ascii="Tahoma" w:hAnsi="Tahoma" w:cs="Tahoma"/>
          <w:i/>
          <w:color w:val="000000"/>
          <w:sz w:val="17"/>
          <w:szCs w:val="17"/>
        </w:rPr>
      </w:pPr>
    </w:p>
    <w:p w:rsidR="00825ADE" w:rsidRPr="00063484" w:rsidRDefault="00825ADE" w:rsidP="00825ADE">
      <w:pPr>
        <w:shd w:val="clear" w:color="auto" w:fill="FFFFFF"/>
        <w:autoSpaceDE w:val="0"/>
        <w:autoSpaceDN w:val="0"/>
        <w:adjustRightInd w:val="0"/>
        <w:jc w:val="both"/>
        <w:rPr>
          <w:rFonts w:ascii="Tahoma" w:hAnsi="Tahoma" w:cs="Tahoma"/>
          <w:i/>
          <w:color w:val="000000"/>
          <w:sz w:val="17"/>
          <w:szCs w:val="17"/>
          <w:lang w:val="es-ES_tradnl"/>
        </w:rPr>
      </w:pPr>
      <w:r w:rsidRPr="00063484">
        <w:rPr>
          <w:rFonts w:ascii="Tahoma" w:hAnsi="Tahoma" w:cs="Tahoma"/>
          <w:color w:val="000000"/>
          <w:sz w:val="17"/>
          <w:szCs w:val="17"/>
          <w:lang w:val="es-ES_tradnl"/>
        </w:rPr>
        <w:t>En informe secretarial del 13 de marzo de 2015 se anotó</w:t>
      </w:r>
      <w:r w:rsidRPr="00063484">
        <w:rPr>
          <w:rFonts w:ascii="Tahoma" w:hAnsi="Tahoma" w:cs="Tahoma"/>
          <w:i/>
          <w:color w:val="000000"/>
          <w:sz w:val="17"/>
          <w:szCs w:val="17"/>
          <w:lang w:val="es-ES_tradnl"/>
        </w:rPr>
        <w:t xml:space="preserve"> “RECURSO DE APELACIÓN CONTRA AUTO QUE REMITE POR JURISDICCIÓN OPORTUNAMENTE INTERPUESTO POR PARTE ACTORA (MARZO 5 DE 2015) Y DEBIDAMENTE TRAMITADO. SÍRVASE PROVEER”</w:t>
      </w:r>
    </w:p>
    <w:p w:rsidR="00825ADE" w:rsidRPr="00063484" w:rsidRDefault="00825ADE" w:rsidP="00825ADE">
      <w:pPr>
        <w:shd w:val="clear" w:color="auto" w:fill="FFFFFF"/>
        <w:autoSpaceDE w:val="0"/>
        <w:autoSpaceDN w:val="0"/>
        <w:adjustRightInd w:val="0"/>
        <w:jc w:val="both"/>
        <w:rPr>
          <w:rFonts w:ascii="Tahoma" w:hAnsi="Tahoma" w:cs="Tahoma"/>
          <w:i/>
          <w:color w:val="000000"/>
          <w:sz w:val="17"/>
          <w:szCs w:val="17"/>
          <w:lang w:val="es-ES_tradnl"/>
        </w:rPr>
      </w:pPr>
      <w:r w:rsidRPr="00063484">
        <w:rPr>
          <w:rFonts w:ascii="Tahoma" w:hAnsi="Tahoma" w:cs="Tahoma"/>
          <w:i/>
          <w:color w:val="000000"/>
          <w:sz w:val="17"/>
          <w:szCs w:val="17"/>
          <w:lang w:val="es-ES_tradnl"/>
        </w:rPr>
        <w:t xml:space="preserve"> </w:t>
      </w:r>
    </w:p>
    <w:p w:rsidR="00825ADE" w:rsidRPr="00063484" w:rsidRDefault="00825ADE" w:rsidP="00825ADE">
      <w:pPr>
        <w:jc w:val="center"/>
        <w:rPr>
          <w:rFonts w:ascii="Tahoma" w:hAnsi="Tahoma" w:cs="Tahoma"/>
          <w:b/>
          <w:sz w:val="17"/>
          <w:szCs w:val="17"/>
        </w:rPr>
      </w:pPr>
      <w:r w:rsidRPr="00063484">
        <w:rPr>
          <w:rFonts w:ascii="Tahoma" w:hAnsi="Tahoma" w:cs="Tahoma"/>
          <w:b/>
          <w:sz w:val="17"/>
          <w:szCs w:val="17"/>
        </w:rPr>
        <w:t>CONSIDERACIONES:</w:t>
      </w:r>
    </w:p>
    <w:p w:rsidR="00825ADE" w:rsidRPr="00063484" w:rsidRDefault="00825ADE" w:rsidP="00825ADE">
      <w:pPr>
        <w:jc w:val="both"/>
        <w:rPr>
          <w:rFonts w:ascii="Tahoma" w:hAnsi="Tahoma" w:cs="Tahoma"/>
          <w:b/>
          <w:sz w:val="17"/>
          <w:szCs w:val="17"/>
        </w:rPr>
      </w:pPr>
    </w:p>
    <w:p w:rsidR="00825ADE" w:rsidRPr="00063484" w:rsidRDefault="00825ADE" w:rsidP="00825ADE">
      <w:pPr>
        <w:jc w:val="both"/>
        <w:rPr>
          <w:rFonts w:ascii="Tahoma" w:hAnsi="Tahoma" w:cs="Tahoma"/>
          <w:sz w:val="17"/>
          <w:szCs w:val="17"/>
        </w:rPr>
      </w:pPr>
      <w:r w:rsidRPr="00063484">
        <w:rPr>
          <w:rFonts w:ascii="Tahoma" w:hAnsi="Tahoma" w:cs="Tahoma"/>
          <w:sz w:val="17"/>
          <w:szCs w:val="17"/>
        </w:rPr>
        <w:t xml:space="preserve">El artículo 242 del </w:t>
      </w:r>
      <w:r w:rsidR="00D47AAE" w:rsidRPr="00063484">
        <w:rPr>
          <w:rFonts w:ascii="Tahoma" w:hAnsi="Tahoma" w:cs="Tahoma"/>
          <w:sz w:val="17"/>
          <w:szCs w:val="17"/>
        </w:rPr>
        <w:t xml:space="preserve">Código de Procedimiento Administrativo </w:t>
      </w:r>
      <w:r w:rsidRPr="00063484">
        <w:rPr>
          <w:rFonts w:ascii="Tahoma" w:hAnsi="Tahoma" w:cs="Tahoma"/>
          <w:sz w:val="17"/>
          <w:szCs w:val="17"/>
        </w:rPr>
        <w:t xml:space="preserve">y de lo Contencioso Administrativo señala que el recurso de reposición procede, entre otros, contra los autos que </w:t>
      </w:r>
      <w:r w:rsidRPr="00063484">
        <w:rPr>
          <w:rFonts w:ascii="Tahoma" w:hAnsi="Tahoma" w:cs="Tahoma"/>
          <w:b/>
          <w:sz w:val="17"/>
          <w:szCs w:val="17"/>
        </w:rPr>
        <w:t>no</w:t>
      </w:r>
      <w:r w:rsidRPr="00063484">
        <w:rPr>
          <w:rFonts w:ascii="Tahoma" w:hAnsi="Tahoma" w:cs="Tahoma"/>
          <w:sz w:val="17"/>
          <w:szCs w:val="17"/>
        </w:rPr>
        <w:t xml:space="preserve"> </w:t>
      </w:r>
      <w:r w:rsidRPr="00063484">
        <w:rPr>
          <w:rFonts w:ascii="Tahoma" w:hAnsi="Tahoma" w:cs="Tahoma"/>
          <w:b/>
          <w:sz w:val="17"/>
          <w:szCs w:val="17"/>
        </w:rPr>
        <w:t>sean susceptibles de recurso de apelación</w:t>
      </w:r>
      <w:r w:rsidRPr="00063484">
        <w:rPr>
          <w:rFonts w:ascii="Tahoma" w:hAnsi="Tahoma" w:cs="Tahoma"/>
          <w:sz w:val="17"/>
          <w:szCs w:val="17"/>
        </w:rPr>
        <w:t>.</w:t>
      </w:r>
    </w:p>
    <w:p w:rsidR="00825ADE" w:rsidRPr="00063484" w:rsidRDefault="00825ADE" w:rsidP="00825ADE">
      <w:pPr>
        <w:jc w:val="both"/>
        <w:rPr>
          <w:rFonts w:ascii="Tahoma" w:hAnsi="Tahoma" w:cs="Tahoma"/>
          <w:sz w:val="17"/>
          <w:szCs w:val="17"/>
        </w:rPr>
      </w:pPr>
    </w:p>
    <w:p w:rsidR="00825ADE" w:rsidRPr="00063484" w:rsidRDefault="00825ADE" w:rsidP="00825ADE">
      <w:pPr>
        <w:jc w:val="both"/>
        <w:rPr>
          <w:rFonts w:ascii="Tahoma" w:hAnsi="Tahoma" w:cs="Tahoma"/>
          <w:sz w:val="17"/>
          <w:szCs w:val="17"/>
        </w:rPr>
      </w:pPr>
      <w:r w:rsidRPr="00063484">
        <w:rPr>
          <w:rFonts w:ascii="Tahoma" w:hAnsi="Tahoma" w:cs="Tahoma"/>
          <w:sz w:val="17"/>
          <w:szCs w:val="17"/>
        </w:rPr>
        <w:t xml:space="preserve">A su vez, el artículo 243 ibídem, señala que los </w:t>
      </w:r>
      <w:r w:rsidRPr="00063484">
        <w:rPr>
          <w:rFonts w:ascii="Tahoma" w:hAnsi="Tahoma" w:cs="Tahoma"/>
          <w:b/>
          <w:sz w:val="17"/>
          <w:szCs w:val="17"/>
        </w:rPr>
        <w:t>autos susceptibles de apelación y proferidos en la misma instancia por los jueces administrativos son</w:t>
      </w:r>
      <w:r w:rsidRPr="00063484">
        <w:rPr>
          <w:rFonts w:ascii="Tahoma" w:hAnsi="Tahoma" w:cs="Tahoma"/>
          <w:sz w:val="17"/>
          <w:szCs w:val="17"/>
        </w:rPr>
        <w:t>:</w:t>
      </w:r>
    </w:p>
    <w:p w:rsidR="00825ADE" w:rsidRPr="00063484" w:rsidRDefault="00825ADE" w:rsidP="00825ADE">
      <w:pPr>
        <w:jc w:val="both"/>
        <w:rPr>
          <w:rFonts w:ascii="Tahoma" w:hAnsi="Tahoma" w:cs="Tahoma"/>
          <w:sz w:val="17"/>
          <w:szCs w:val="17"/>
        </w:rPr>
      </w:pPr>
    </w:p>
    <w:p w:rsidR="00825ADE" w:rsidRPr="00063484" w:rsidRDefault="00825ADE" w:rsidP="00825ADE">
      <w:pPr>
        <w:jc w:val="both"/>
        <w:rPr>
          <w:rFonts w:ascii="Tahoma" w:hAnsi="Tahoma" w:cs="Tahoma"/>
          <w:i/>
          <w:sz w:val="17"/>
          <w:szCs w:val="17"/>
        </w:rPr>
      </w:pPr>
      <w:r w:rsidRPr="00063484">
        <w:rPr>
          <w:rFonts w:ascii="Tahoma" w:hAnsi="Tahoma" w:cs="Tahoma"/>
          <w:i/>
          <w:sz w:val="17"/>
          <w:szCs w:val="17"/>
        </w:rPr>
        <w:t>“1. El que rechace la demanda.</w:t>
      </w:r>
    </w:p>
    <w:p w:rsidR="00825ADE" w:rsidRPr="00063484" w:rsidRDefault="00825ADE" w:rsidP="00825ADE">
      <w:pPr>
        <w:jc w:val="both"/>
        <w:rPr>
          <w:rFonts w:ascii="Tahoma" w:hAnsi="Tahoma" w:cs="Tahoma"/>
          <w:i/>
          <w:sz w:val="17"/>
          <w:szCs w:val="17"/>
        </w:rPr>
      </w:pPr>
      <w:r w:rsidRPr="00063484">
        <w:rPr>
          <w:rFonts w:ascii="Tahoma" w:hAnsi="Tahoma" w:cs="Tahoma"/>
          <w:i/>
          <w:sz w:val="17"/>
          <w:szCs w:val="17"/>
        </w:rPr>
        <w:t>2. El que decrete una medida cautelar y el que resuelva los incidentes de responsabilidad y desacato en ese mismo trámite.</w:t>
      </w:r>
    </w:p>
    <w:p w:rsidR="00825ADE" w:rsidRPr="00063484" w:rsidRDefault="00825ADE" w:rsidP="00825ADE">
      <w:pPr>
        <w:jc w:val="both"/>
        <w:rPr>
          <w:rFonts w:ascii="Tahoma" w:hAnsi="Tahoma" w:cs="Tahoma"/>
          <w:i/>
          <w:sz w:val="17"/>
          <w:szCs w:val="17"/>
        </w:rPr>
      </w:pPr>
      <w:r w:rsidRPr="00063484">
        <w:rPr>
          <w:rFonts w:ascii="Tahoma" w:hAnsi="Tahoma" w:cs="Tahoma"/>
          <w:i/>
          <w:sz w:val="17"/>
          <w:szCs w:val="17"/>
        </w:rPr>
        <w:t>3. El que ponga fin al proceso.</w:t>
      </w:r>
    </w:p>
    <w:p w:rsidR="00825ADE" w:rsidRPr="00063484" w:rsidRDefault="00825ADE" w:rsidP="00825ADE">
      <w:pPr>
        <w:jc w:val="both"/>
        <w:rPr>
          <w:rFonts w:ascii="Tahoma" w:hAnsi="Tahoma" w:cs="Tahoma"/>
          <w:i/>
          <w:sz w:val="17"/>
          <w:szCs w:val="17"/>
        </w:rPr>
      </w:pPr>
      <w:r w:rsidRPr="00063484">
        <w:rPr>
          <w:rFonts w:ascii="Tahoma" w:hAnsi="Tahoma" w:cs="Tahoma"/>
          <w:i/>
          <w:sz w:val="17"/>
          <w:szCs w:val="17"/>
        </w:rPr>
        <w:t>4. El que apruebe conciliaciones extrajudiciales o judiciales, recurso que solo podrá ser interpuesto por el Ministerio Público.</w:t>
      </w:r>
    </w:p>
    <w:p w:rsidR="00825ADE" w:rsidRPr="00063484" w:rsidRDefault="00825ADE" w:rsidP="00825ADE">
      <w:pPr>
        <w:jc w:val="both"/>
        <w:rPr>
          <w:rFonts w:ascii="Tahoma" w:hAnsi="Tahoma" w:cs="Tahoma"/>
          <w:i/>
          <w:sz w:val="17"/>
          <w:szCs w:val="17"/>
        </w:rPr>
      </w:pPr>
      <w:r w:rsidRPr="00063484">
        <w:rPr>
          <w:rFonts w:ascii="Tahoma" w:hAnsi="Tahoma" w:cs="Tahoma"/>
          <w:i/>
          <w:sz w:val="17"/>
          <w:szCs w:val="17"/>
        </w:rPr>
        <w:t>5. El que resuelva la liquidación de la condena o de los perjuicios.</w:t>
      </w:r>
    </w:p>
    <w:p w:rsidR="00825ADE" w:rsidRPr="00063484" w:rsidRDefault="00825ADE" w:rsidP="00825ADE">
      <w:pPr>
        <w:jc w:val="both"/>
        <w:rPr>
          <w:rFonts w:ascii="Tahoma" w:hAnsi="Tahoma" w:cs="Tahoma"/>
          <w:i/>
          <w:sz w:val="17"/>
          <w:szCs w:val="17"/>
        </w:rPr>
      </w:pPr>
      <w:r w:rsidRPr="00063484">
        <w:rPr>
          <w:rFonts w:ascii="Tahoma" w:hAnsi="Tahoma" w:cs="Tahoma"/>
          <w:i/>
          <w:sz w:val="17"/>
          <w:szCs w:val="17"/>
        </w:rPr>
        <w:t>6. El que decreta las nulidades procesales.</w:t>
      </w:r>
    </w:p>
    <w:p w:rsidR="00825ADE" w:rsidRPr="00063484" w:rsidRDefault="00825ADE" w:rsidP="00825ADE">
      <w:pPr>
        <w:jc w:val="both"/>
        <w:rPr>
          <w:rFonts w:ascii="Tahoma" w:hAnsi="Tahoma" w:cs="Tahoma"/>
          <w:i/>
          <w:sz w:val="17"/>
          <w:szCs w:val="17"/>
        </w:rPr>
      </w:pPr>
      <w:r w:rsidRPr="00063484">
        <w:rPr>
          <w:rFonts w:ascii="Tahoma" w:hAnsi="Tahoma" w:cs="Tahoma"/>
          <w:i/>
          <w:sz w:val="17"/>
          <w:szCs w:val="17"/>
        </w:rPr>
        <w:t>7. El que niega la intervención de terceros.</w:t>
      </w:r>
    </w:p>
    <w:p w:rsidR="00825ADE" w:rsidRPr="00063484" w:rsidRDefault="00825ADE" w:rsidP="00825ADE">
      <w:pPr>
        <w:jc w:val="both"/>
        <w:rPr>
          <w:rFonts w:ascii="Tahoma" w:hAnsi="Tahoma" w:cs="Tahoma"/>
          <w:i/>
          <w:sz w:val="17"/>
          <w:szCs w:val="17"/>
        </w:rPr>
      </w:pPr>
      <w:r w:rsidRPr="00063484">
        <w:rPr>
          <w:rFonts w:ascii="Tahoma" w:hAnsi="Tahoma" w:cs="Tahoma"/>
          <w:i/>
          <w:sz w:val="17"/>
          <w:szCs w:val="17"/>
        </w:rPr>
        <w:t>8. El que prescinda de la audiencia de pruebas.</w:t>
      </w:r>
    </w:p>
    <w:p w:rsidR="00825ADE" w:rsidRPr="00063484" w:rsidRDefault="00825ADE" w:rsidP="00825ADE">
      <w:pPr>
        <w:jc w:val="both"/>
        <w:rPr>
          <w:rFonts w:ascii="Tahoma" w:hAnsi="Tahoma" w:cs="Tahoma"/>
          <w:i/>
          <w:sz w:val="17"/>
          <w:szCs w:val="17"/>
        </w:rPr>
      </w:pPr>
      <w:r w:rsidRPr="00063484">
        <w:rPr>
          <w:rFonts w:ascii="Tahoma" w:hAnsi="Tahoma" w:cs="Tahoma"/>
          <w:i/>
          <w:sz w:val="17"/>
          <w:szCs w:val="17"/>
        </w:rPr>
        <w:t>9. El que deniegue el decreto o práctica de alguna prueba pedida oportunamente”</w:t>
      </w:r>
    </w:p>
    <w:p w:rsidR="00825ADE" w:rsidRPr="00063484" w:rsidRDefault="00825ADE" w:rsidP="00825ADE">
      <w:pPr>
        <w:jc w:val="both"/>
        <w:rPr>
          <w:rFonts w:ascii="Tahoma" w:hAnsi="Tahoma" w:cs="Tahoma"/>
          <w:i/>
          <w:sz w:val="17"/>
          <w:szCs w:val="17"/>
        </w:rPr>
      </w:pPr>
    </w:p>
    <w:p w:rsidR="00825ADE" w:rsidRPr="00063484" w:rsidRDefault="00825ADE" w:rsidP="00825ADE">
      <w:pPr>
        <w:jc w:val="both"/>
        <w:rPr>
          <w:rFonts w:ascii="Tahoma" w:hAnsi="Tahoma" w:cs="Tahoma"/>
          <w:sz w:val="17"/>
          <w:szCs w:val="17"/>
        </w:rPr>
      </w:pPr>
      <w:r w:rsidRPr="00063484">
        <w:rPr>
          <w:rFonts w:ascii="Tahoma" w:hAnsi="Tahoma" w:cs="Tahoma"/>
          <w:sz w:val="17"/>
          <w:szCs w:val="17"/>
        </w:rPr>
        <w:t>En el caso bajo estudio la providencia recurrida solo es susceptible del recurso de reposición, como quiera que no está dentro de aquellos autos que son objeto del recurso de apelación, ni tampoco existe otra norma que así lo indique; por tal motivo se negará el recurso de apelación por improcedente.</w:t>
      </w:r>
    </w:p>
    <w:p w:rsidR="00825ADE" w:rsidRPr="00063484" w:rsidRDefault="00825ADE" w:rsidP="00825ADE">
      <w:pPr>
        <w:jc w:val="both"/>
        <w:rPr>
          <w:rFonts w:ascii="Tahoma" w:hAnsi="Tahoma" w:cs="Tahoma"/>
          <w:sz w:val="17"/>
          <w:szCs w:val="17"/>
        </w:rPr>
      </w:pPr>
    </w:p>
    <w:p w:rsidR="00825ADE" w:rsidRPr="00063484" w:rsidRDefault="00825ADE" w:rsidP="00825ADE">
      <w:pPr>
        <w:jc w:val="both"/>
        <w:rPr>
          <w:rFonts w:ascii="Tahoma" w:hAnsi="Tahoma" w:cs="Tahoma"/>
          <w:sz w:val="17"/>
          <w:szCs w:val="17"/>
        </w:rPr>
      </w:pPr>
      <w:r w:rsidRPr="00063484">
        <w:rPr>
          <w:rFonts w:ascii="Tahoma" w:hAnsi="Tahoma" w:cs="Tahoma"/>
          <w:sz w:val="17"/>
          <w:szCs w:val="17"/>
        </w:rPr>
        <w:t xml:space="preserve">Ahora bien, manifiesta el accionante que de la lectura que se hace a los numerales 1 y </w:t>
      </w:r>
      <w:r w:rsidR="00FE5157" w:rsidRPr="00063484">
        <w:rPr>
          <w:rFonts w:ascii="Tahoma" w:hAnsi="Tahoma" w:cs="Tahoma"/>
          <w:sz w:val="17"/>
          <w:szCs w:val="17"/>
        </w:rPr>
        <w:t>4</w:t>
      </w:r>
      <w:r w:rsidRPr="00063484">
        <w:rPr>
          <w:rFonts w:ascii="Tahoma" w:hAnsi="Tahoma" w:cs="Tahoma"/>
          <w:sz w:val="17"/>
          <w:szCs w:val="17"/>
        </w:rPr>
        <w:t xml:space="preserve"> que se refieren respectivamente al auto que rechaza la demanda y al auto que pone fin al proceso, situaciones ambas que son susceptibles del recurso de apelación por tratarse de un auto que pone fin al proceso ante la Sección Tercera de los Juzgados Administrativos, para remitirlo por jurisdicción a los Juzgado Laborales del Circuito, se puede entrar a conceder el recurso de apelación.</w:t>
      </w:r>
    </w:p>
    <w:p w:rsidR="00825ADE" w:rsidRPr="00063484" w:rsidRDefault="00825ADE" w:rsidP="00825ADE">
      <w:pPr>
        <w:jc w:val="both"/>
        <w:rPr>
          <w:rFonts w:ascii="Tahoma" w:hAnsi="Tahoma" w:cs="Tahoma"/>
          <w:sz w:val="17"/>
          <w:szCs w:val="17"/>
        </w:rPr>
      </w:pPr>
    </w:p>
    <w:p w:rsidR="00825ADE" w:rsidRPr="00063484" w:rsidRDefault="00825ADE" w:rsidP="00825ADE">
      <w:pPr>
        <w:jc w:val="both"/>
        <w:rPr>
          <w:rFonts w:ascii="Tahoma" w:hAnsi="Tahoma" w:cs="Tahoma"/>
          <w:sz w:val="17"/>
          <w:szCs w:val="17"/>
        </w:rPr>
      </w:pPr>
      <w:r w:rsidRPr="00063484">
        <w:rPr>
          <w:rFonts w:ascii="Tahoma" w:hAnsi="Tahoma" w:cs="Tahoma"/>
          <w:sz w:val="17"/>
          <w:szCs w:val="17"/>
        </w:rPr>
        <w:t xml:space="preserve">Al respecto, este despacho se permite señalar que los autos que son susceptibles del recurso de apelación vienen expresamente enunciados precisamente porque no se permite realizar ninguna interpretación. Tan es así que el parágrafo del mismo artículo establece </w:t>
      </w:r>
      <w:r w:rsidRPr="00063484">
        <w:rPr>
          <w:i/>
          <w:sz w:val="17"/>
          <w:szCs w:val="17"/>
        </w:rPr>
        <w:t>“La apelación solo procederá de conformidad con las normas del presente código, incluso en aquellos trámites e incidentes que se rijan por el procedimiento civil.”</w:t>
      </w:r>
      <w:r w:rsidR="00D47AAE" w:rsidRPr="00063484">
        <w:rPr>
          <w:i/>
          <w:sz w:val="17"/>
          <w:szCs w:val="17"/>
        </w:rPr>
        <w:t xml:space="preserve">  </w:t>
      </w:r>
      <w:r w:rsidR="00D47AAE" w:rsidRPr="00063484">
        <w:rPr>
          <w:rFonts w:ascii="Tahoma" w:hAnsi="Tahoma" w:cs="Tahoma"/>
          <w:sz w:val="17"/>
          <w:szCs w:val="17"/>
        </w:rPr>
        <w:t xml:space="preserve">Además, la remisión </w:t>
      </w:r>
      <w:r w:rsidR="0066018C" w:rsidRPr="00063484">
        <w:rPr>
          <w:rFonts w:ascii="Tahoma" w:hAnsi="Tahoma" w:cs="Tahoma"/>
          <w:sz w:val="17"/>
          <w:szCs w:val="17"/>
        </w:rPr>
        <w:t xml:space="preserve">de un proceso a otra jurisdicción </w:t>
      </w:r>
      <w:r w:rsidR="00D47AAE" w:rsidRPr="00063484">
        <w:rPr>
          <w:rFonts w:ascii="Tahoma" w:hAnsi="Tahoma" w:cs="Tahoma"/>
          <w:sz w:val="17"/>
          <w:szCs w:val="17"/>
        </w:rPr>
        <w:t>no pone fin al proceso</w:t>
      </w:r>
      <w:r w:rsidR="0066018C" w:rsidRPr="00063484">
        <w:rPr>
          <w:rStyle w:val="Refdenotaalpie"/>
          <w:rFonts w:ascii="Tahoma" w:hAnsi="Tahoma" w:cs="Tahoma"/>
          <w:sz w:val="17"/>
          <w:szCs w:val="17"/>
        </w:rPr>
        <w:footnoteReference w:id="1"/>
      </w:r>
      <w:r w:rsidR="00D47AAE" w:rsidRPr="00063484">
        <w:rPr>
          <w:rFonts w:ascii="Tahoma" w:hAnsi="Tahoma" w:cs="Tahoma"/>
          <w:sz w:val="17"/>
          <w:szCs w:val="17"/>
        </w:rPr>
        <w:t>.</w:t>
      </w:r>
    </w:p>
    <w:p w:rsidR="00825ADE" w:rsidRPr="00063484" w:rsidRDefault="00825ADE" w:rsidP="00825ADE">
      <w:pPr>
        <w:jc w:val="both"/>
        <w:rPr>
          <w:rFonts w:ascii="Tahoma" w:hAnsi="Tahoma" w:cs="Tahoma"/>
          <w:sz w:val="17"/>
          <w:szCs w:val="17"/>
        </w:rPr>
      </w:pPr>
    </w:p>
    <w:p w:rsidR="00825ADE" w:rsidRPr="00063484" w:rsidRDefault="00825ADE" w:rsidP="00825ADE">
      <w:pPr>
        <w:jc w:val="both"/>
        <w:rPr>
          <w:rFonts w:ascii="Tahoma" w:hAnsi="Tahoma" w:cs="Tahoma"/>
          <w:b/>
          <w:bCs/>
          <w:sz w:val="17"/>
          <w:szCs w:val="17"/>
          <w:lang w:val="es-ES_tradnl"/>
        </w:rPr>
      </w:pPr>
      <w:r w:rsidRPr="00063484">
        <w:rPr>
          <w:rFonts w:ascii="Tahoma" w:hAnsi="Tahoma" w:cs="Tahoma"/>
          <w:sz w:val="17"/>
          <w:szCs w:val="17"/>
          <w:lang w:val="es-ES_tradnl"/>
        </w:rPr>
        <w:t xml:space="preserve">En consecuencia, se </w:t>
      </w:r>
      <w:r w:rsidRPr="00063484">
        <w:rPr>
          <w:rFonts w:ascii="Tahoma" w:hAnsi="Tahoma" w:cs="Tahoma"/>
          <w:b/>
          <w:bCs/>
          <w:sz w:val="17"/>
          <w:szCs w:val="17"/>
          <w:lang w:val="es-ES_tradnl"/>
        </w:rPr>
        <w:t>RESUELVE:</w:t>
      </w:r>
    </w:p>
    <w:p w:rsidR="00825ADE" w:rsidRPr="00063484" w:rsidRDefault="00825ADE" w:rsidP="00825ADE">
      <w:pPr>
        <w:jc w:val="both"/>
        <w:rPr>
          <w:rFonts w:ascii="Tahoma" w:hAnsi="Tahoma" w:cs="Tahoma"/>
          <w:sz w:val="17"/>
          <w:szCs w:val="17"/>
        </w:rPr>
      </w:pPr>
    </w:p>
    <w:p w:rsidR="00825ADE" w:rsidRPr="00063484" w:rsidRDefault="00825ADE" w:rsidP="00825ADE">
      <w:pPr>
        <w:jc w:val="both"/>
        <w:rPr>
          <w:rFonts w:ascii="Tahoma" w:hAnsi="Tahoma" w:cs="Tahoma"/>
          <w:bCs/>
          <w:sz w:val="17"/>
          <w:szCs w:val="17"/>
          <w:lang w:val="es-ES_tradnl"/>
        </w:rPr>
      </w:pPr>
      <w:r w:rsidRPr="00063484">
        <w:rPr>
          <w:rFonts w:ascii="Tahoma" w:hAnsi="Tahoma" w:cs="Tahoma"/>
          <w:b/>
          <w:bCs/>
          <w:sz w:val="17"/>
          <w:szCs w:val="17"/>
          <w:lang w:val="es-ES_tradnl"/>
        </w:rPr>
        <w:t>PRIMERO:</w:t>
      </w:r>
      <w:r w:rsidRPr="00063484">
        <w:rPr>
          <w:rFonts w:ascii="Tahoma" w:hAnsi="Tahoma" w:cs="Tahoma"/>
          <w:bCs/>
          <w:sz w:val="17"/>
          <w:szCs w:val="17"/>
          <w:lang w:val="es-ES_tradnl"/>
        </w:rPr>
        <w:t xml:space="preserve"> </w:t>
      </w:r>
      <w:r w:rsidRPr="00063484">
        <w:rPr>
          <w:rFonts w:ascii="Tahoma" w:hAnsi="Tahoma" w:cs="Tahoma"/>
          <w:b/>
          <w:bCs/>
          <w:sz w:val="17"/>
          <w:szCs w:val="17"/>
          <w:lang w:val="es-ES_tradnl"/>
        </w:rPr>
        <w:t>Niéguese</w:t>
      </w:r>
      <w:r w:rsidRPr="00063484">
        <w:rPr>
          <w:rFonts w:ascii="Tahoma" w:hAnsi="Tahoma" w:cs="Tahoma"/>
          <w:bCs/>
          <w:sz w:val="17"/>
          <w:szCs w:val="17"/>
          <w:lang w:val="es-ES_tradnl"/>
        </w:rPr>
        <w:t xml:space="preserve"> por improcedente el recurso de apelación interpuesto contra la providencia de </w:t>
      </w:r>
      <w:r w:rsidRPr="00063484">
        <w:rPr>
          <w:rFonts w:ascii="Tahoma" w:hAnsi="Tahoma" w:cs="Tahoma"/>
          <w:sz w:val="17"/>
          <w:szCs w:val="17"/>
          <w:lang w:val="es-MX"/>
        </w:rPr>
        <w:t>27 de febrero de 2015</w:t>
      </w:r>
      <w:r w:rsidRPr="00063484">
        <w:rPr>
          <w:rFonts w:ascii="Tahoma" w:hAnsi="Tahoma" w:cs="Tahoma"/>
          <w:bCs/>
          <w:sz w:val="17"/>
          <w:szCs w:val="17"/>
          <w:lang w:val="es-ES_tradnl"/>
        </w:rPr>
        <w:t>, por las razones expuestas en la parte motiva de esta providencia.</w:t>
      </w:r>
    </w:p>
    <w:p w:rsidR="00825ADE" w:rsidRPr="00063484" w:rsidRDefault="00825ADE" w:rsidP="00825ADE">
      <w:pPr>
        <w:jc w:val="both"/>
        <w:rPr>
          <w:rFonts w:ascii="Tahoma" w:hAnsi="Tahoma" w:cs="Tahoma"/>
          <w:bCs/>
          <w:sz w:val="17"/>
          <w:szCs w:val="17"/>
          <w:lang w:val="es-ES_tradnl"/>
        </w:rPr>
      </w:pPr>
    </w:p>
    <w:p w:rsidR="00825ADE" w:rsidRPr="00063484" w:rsidRDefault="00825ADE" w:rsidP="00825ADE">
      <w:pPr>
        <w:jc w:val="both"/>
        <w:rPr>
          <w:rFonts w:ascii="Tahoma" w:hAnsi="Tahoma" w:cs="Tahoma"/>
          <w:sz w:val="17"/>
          <w:szCs w:val="17"/>
          <w:lang w:val="es-MX"/>
        </w:rPr>
      </w:pPr>
      <w:r w:rsidRPr="00063484">
        <w:rPr>
          <w:rFonts w:ascii="Tahoma" w:hAnsi="Tahoma" w:cs="Tahoma"/>
          <w:b/>
          <w:bCs/>
          <w:sz w:val="17"/>
          <w:szCs w:val="17"/>
          <w:lang w:val="es-ES_tradnl"/>
        </w:rPr>
        <w:t xml:space="preserve">SEGUNDO: </w:t>
      </w:r>
      <w:r w:rsidRPr="00063484">
        <w:rPr>
          <w:rFonts w:ascii="Tahoma" w:hAnsi="Tahoma" w:cs="Tahoma"/>
          <w:sz w:val="17"/>
          <w:szCs w:val="17"/>
          <w:lang w:val="es-ES_tradnl"/>
        </w:rPr>
        <w:t xml:space="preserve">Por lo anterior, por secretaría, dese cumplimiento a lo dispuesto en providencia del </w:t>
      </w:r>
      <w:r w:rsidRPr="00063484">
        <w:rPr>
          <w:rFonts w:ascii="Tahoma" w:hAnsi="Tahoma" w:cs="Tahoma"/>
          <w:sz w:val="17"/>
          <w:szCs w:val="17"/>
          <w:lang w:val="es-MX"/>
        </w:rPr>
        <w:t>27 de febrero de 2015.</w:t>
      </w:r>
    </w:p>
    <w:p w:rsidR="00825ADE" w:rsidRPr="00063484" w:rsidRDefault="00825ADE" w:rsidP="00825ADE">
      <w:pPr>
        <w:jc w:val="both"/>
        <w:rPr>
          <w:rFonts w:ascii="Tahoma" w:hAnsi="Tahoma" w:cs="Tahoma"/>
          <w:sz w:val="17"/>
          <w:szCs w:val="17"/>
          <w:lang w:val="es-ES_tradnl"/>
        </w:rPr>
      </w:pPr>
    </w:p>
    <w:p w:rsidR="00825ADE" w:rsidRPr="00063484" w:rsidRDefault="00825ADE" w:rsidP="00825ADE">
      <w:pPr>
        <w:rPr>
          <w:rFonts w:ascii="Tahoma" w:hAnsi="Tahoma" w:cs="Tahoma"/>
          <w:b/>
          <w:sz w:val="17"/>
          <w:szCs w:val="17"/>
          <w:lang w:val="es-MX"/>
        </w:rPr>
      </w:pPr>
      <w:r w:rsidRPr="00063484">
        <w:rPr>
          <w:rFonts w:ascii="Tahoma" w:hAnsi="Tahoma" w:cs="Tahoma"/>
          <w:b/>
          <w:sz w:val="17"/>
          <w:szCs w:val="17"/>
          <w:lang w:val="es-MX"/>
        </w:rPr>
        <w:t>NOTIFÍQUESE Y CÚMPLASE</w:t>
      </w:r>
    </w:p>
    <w:p w:rsidR="00825ADE" w:rsidRPr="00063484" w:rsidRDefault="00825ADE" w:rsidP="00825ADE">
      <w:pPr>
        <w:rPr>
          <w:rFonts w:ascii="Tahoma" w:hAnsi="Tahoma" w:cs="Tahoma"/>
          <w:b/>
          <w:sz w:val="17"/>
          <w:szCs w:val="17"/>
          <w:lang w:val="es-MX"/>
        </w:rPr>
      </w:pPr>
    </w:p>
    <w:p w:rsidR="00825ADE" w:rsidRPr="00063484" w:rsidRDefault="00825ADE" w:rsidP="00825ADE">
      <w:pPr>
        <w:jc w:val="center"/>
        <w:rPr>
          <w:rFonts w:ascii="Tahoma" w:hAnsi="Tahoma" w:cs="Tahoma"/>
          <w:b/>
          <w:sz w:val="17"/>
          <w:szCs w:val="17"/>
          <w:lang w:val="es-MX"/>
        </w:rPr>
      </w:pPr>
      <w:r w:rsidRPr="00063484">
        <w:rPr>
          <w:rFonts w:ascii="Tahoma" w:hAnsi="Tahoma" w:cs="Tahoma"/>
          <w:b/>
          <w:sz w:val="17"/>
          <w:szCs w:val="17"/>
          <w:lang w:val="es-MX"/>
        </w:rPr>
        <w:t>OLGA CECILIA HENAO MARÍN</w:t>
      </w:r>
    </w:p>
    <w:p w:rsidR="00825ADE" w:rsidRPr="00063484" w:rsidRDefault="00825ADE" w:rsidP="00825ADE">
      <w:pPr>
        <w:jc w:val="center"/>
        <w:rPr>
          <w:rFonts w:ascii="Tahoma" w:hAnsi="Tahoma" w:cs="Tahoma"/>
          <w:sz w:val="17"/>
          <w:szCs w:val="17"/>
          <w:lang w:val="es-MX"/>
        </w:rPr>
      </w:pPr>
      <w:r w:rsidRPr="00063484">
        <w:rPr>
          <w:rFonts w:ascii="Tahoma" w:hAnsi="Tahoma" w:cs="Tahoma"/>
          <w:sz w:val="17"/>
          <w:szCs w:val="17"/>
          <w:lang w:val="es-MX"/>
        </w:rPr>
        <w:t>Juez</w:t>
      </w:r>
    </w:p>
    <w:p w:rsidR="00825ADE" w:rsidRPr="00063484" w:rsidRDefault="00825ADE" w:rsidP="00825ADE">
      <w:pPr>
        <w:rPr>
          <w:rFonts w:ascii="Tahoma" w:hAnsi="Tahoma" w:cs="Tahoma"/>
          <w:sz w:val="13"/>
          <w:szCs w:val="13"/>
          <w:lang w:val="es-MX"/>
        </w:rPr>
      </w:pPr>
      <w:r w:rsidRPr="00063484">
        <w:rPr>
          <w:rFonts w:ascii="Tahoma" w:hAnsi="Tahoma" w:cs="Tahoma"/>
          <w:sz w:val="13"/>
          <w:szCs w:val="13"/>
        </w:rPr>
        <w:t>NNC</w:t>
      </w:r>
    </w:p>
    <w:p w:rsidR="00825ADE" w:rsidRPr="00063484" w:rsidRDefault="00825ADE" w:rsidP="00825ADE">
      <w:pPr>
        <w:rPr>
          <w:rFonts w:ascii="Tahoma" w:hAnsi="Tahoma" w:cs="Tahoma"/>
          <w:sz w:val="17"/>
          <w:szCs w:val="17"/>
        </w:rPr>
      </w:pPr>
    </w:p>
    <w:p w:rsidR="00825ADE" w:rsidRPr="00063484" w:rsidRDefault="00825ADE" w:rsidP="00825ADE">
      <w:pPr>
        <w:jc w:val="both"/>
        <w:rPr>
          <w:rFonts w:ascii="Tahoma" w:hAnsi="Tahoma" w:cs="Tahoma"/>
          <w:sz w:val="17"/>
          <w:szCs w:val="17"/>
        </w:rPr>
      </w:pPr>
    </w:p>
    <w:p w:rsidR="00825ADE" w:rsidRPr="00063484" w:rsidRDefault="00825ADE" w:rsidP="00825ADE">
      <w:pPr>
        <w:rPr>
          <w:rFonts w:ascii="Tahoma" w:hAnsi="Tahoma" w:cs="Tahoma"/>
          <w:sz w:val="17"/>
          <w:szCs w:val="17"/>
        </w:rPr>
      </w:pPr>
    </w:p>
    <w:p w:rsidR="00825ADE" w:rsidRPr="00063484" w:rsidRDefault="00825ADE" w:rsidP="00825ADE">
      <w:pPr>
        <w:rPr>
          <w:rFonts w:ascii="Tahoma" w:hAnsi="Tahoma" w:cs="Tahoma"/>
          <w:sz w:val="17"/>
          <w:szCs w:val="17"/>
        </w:rPr>
      </w:pPr>
    </w:p>
    <w:p w:rsidR="00825ADE" w:rsidRPr="00063484" w:rsidRDefault="00825ADE" w:rsidP="00825ADE">
      <w:pPr>
        <w:shd w:val="clear" w:color="auto" w:fill="FFFFFF"/>
        <w:autoSpaceDE w:val="0"/>
        <w:autoSpaceDN w:val="0"/>
        <w:adjustRightInd w:val="0"/>
        <w:jc w:val="both"/>
        <w:rPr>
          <w:rFonts w:ascii="Tahoma" w:hAnsi="Tahoma" w:cs="Tahoma"/>
          <w:i/>
          <w:color w:val="000000"/>
          <w:sz w:val="17"/>
          <w:szCs w:val="17"/>
          <w:lang w:val="es-ES_tradnl"/>
        </w:rPr>
      </w:pPr>
    </w:p>
    <w:sectPr w:rsidR="00825ADE" w:rsidRPr="00063484" w:rsidSect="00063484">
      <w:headerReference w:type="default" r:id="rId9"/>
      <w:headerReference w:type="first" r:id="rId10"/>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705" w:rsidRDefault="00940705" w:rsidP="00825ADE">
      <w:r>
        <w:separator/>
      </w:r>
    </w:p>
  </w:endnote>
  <w:endnote w:type="continuationSeparator" w:id="0">
    <w:p w:rsidR="00940705" w:rsidRDefault="00940705" w:rsidP="00825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705" w:rsidRDefault="00940705" w:rsidP="00825ADE">
      <w:r>
        <w:separator/>
      </w:r>
    </w:p>
  </w:footnote>
  <w:footnote w:type="continuationSeparator" w:id="0">
    <w:p w:rsidR="00940705" w:rsidRDefault="00940705" w:rsidP="00825ADE">
      <w:r>
        <w:continuationSeparator/>
      </w:r>
    </w:p>
  </w:footnote>
  <w:footnote w:id="1">
    <w:p w:rsidR="0066018C" w:rsidRPr="00063484" w:rsidRDefault="0066018C">
      <w:pPr>
        <w:pStyle w:val="Textonotapie"/>
        <w:rPr>
          <w:rFonts w:ascii="Tahoma" w:hAnsi="Tahoma" w:cs="Tahoma"/>
          <w:sz w:val="12"/>
          <w:szCs w:val="12"/>
          <w:lang w:val="es-CO"/>
        </w:rPr>
      </w:pPr>
      <w:r w:rsidRPr="00063484">
        <w:rPr>
          <w:rStyle w:val="Refdenotaalpie"/>
          <w:rFonts w:ascii="Tahoma" w:hAnsi="Tahoma" w:cs="Tahoma"/>
          <w:sz w:val="12"/>
          <w:szCs w:val="12"/>
        </w:rPr>
        <w:footnoteRef/>
      </w:r>
      <w:r w:rsidRPr="00063484">
        <w:rPr>
          <w:rFonts w:ascii="Tahoma" w:hAnsi="Tahoma" w:cs="Tahoma"/>
          <w:sz w:val="12"/>
          <w:szCs w:val="12"/>
        </w:rPr>
        <w:t xml:space="preserve"> </w:t>
      </w:r>
      <w:r w:rsidR="00063484" w:rsidRPr="00063484">
        <w:rPr>
          <w:rFonts w:ascii="Tahoma" w:hAnsi="Tahoma" w:cs="Tahoma"/>
          <w:sz w:val="12"/>
          <w:szCs w:val="12"/>
        </w:rPr>
        <w:t xml:space="preserve">CPACA. </w:t>
      </w:r>
      <w:r w:rsidRPr="00063484">
        <w:rPr>
          <w:rFonts w:ascii="Tahoma" w:hAnsi="Tahoma" w:cs="Tahoma"/>
          <w:b/>
          <w:bCs/>
          <w:sz w:val="12"/>
          <w:szCs w:val="12"/>
          <w:lang w:val="es-CO"/>
        </w:rPr>
        <w:t>Artículo 168. </w:t>
      </w:r>
      <w:r w:rsidRPr="00063484">
        <w:rPr>
          <w:rFonts w:ascii="Tahoma" w:hAnsi="Tahoma" w:cs="Tahoma"/>
          <w:b/>
          <w:bCs/>
          <w:i/>
          <w:iCs/>
          <w:sz w:val="12"/>
          <w:szCs w:val="12"/>
          <w:lang w:val="es-CO"/>
        </w:rPr>
        <w:t>Falta de jurisdicción o de competencia.</w:t>
      </w:r>
      <w:r w:rsidRPr="00063484">
        <w:rPr>
          <w:rFonts w:ascii="Tahoma" w:hAnsi="Tahoma" w:cs="Tahoma"/>
          <w:i/>
          <w:iCs/>
          <w:sz w:val="12"/>
          <w:szCs w:val="12"/>
          <w:lang w:val="es-CO"/>
        </w:rPr>
        <w:t> </w:t>
      </w:r>
      <w:r w:rsidRPr="00063484">
        <w:rPr>
          <w:rFonts w:ascii="Tahoma" w:hAnsi="Tahoma" w:cs="Tahoma"/>
          <w:sz w:val="12"/>
          <w:szCs w:val="12"/>
          <w:lang w:val="es-CO"/>
        </w:rPr>
        <w:t>En caso de falta de jurisdicción o de competencia, mediante decisión motivada el Juez ordenará remitir el expediente al competente, en caso de que existiere, a la mayor brevedad posible. Para todos los efectos legales se tendrá en cuenta la presentación inicial hecha ante la corporación o juzgado que ordena la remisión.</w:t>
      </w:r>
    </w:p>
    <w:p w:rsidR="00063484" w:rsidRPr="00063484" w:rsidRDefault="00063484">
      <w:pPr>
        <w:pStyle w:val="Textonotapie"/>
        <w:rPr>
          <w:rFonts w:ascii="Tahoma" w:hAnsi="Tahoma" w:cs="Tahoma"/>
          <w:sz w:val="12"/>
          <w:szCs w:val="12"/>
          <w:lang w:val="es-CO"/>
        </w:rPr>
      </w:pPr>
    </w:p>
    <w:p w:rsidR="00063484" w:rsidRPr="00063484" w:rsidRDefault="00063484" w:rsidP="00063484">
      <w:pPr>
        <w:pStyle w:val="Textonotapie"/>
        <w:rPr>
          <w:rFonts w:ascii="Tahoma" w:hAnsi="Tahoma" w:cs="Tahoma"/>
          <w:sz w:val="12"/>
          <w:szCs w:val="12"/>
        </w:rPr>
      </w:pPr>
      <w:r w:rsidRPr="00063484">
        <w:rPr>
          <w:rFonts w:ascii="Tahoma" w:hAnsi="Tahoma" w:cs="Tahoma"/>
          <w:sz w:val="12"/>
          <w:szCs w:val="12"/>
          <w:lang w:val="es-CO"/>
        </w:rPr>
        <w:t xml:space="preserve">CGP. </w:t>
      </w:r>
      <w:r w:rsidRPr="00063484">
        <w:rPr>
          <w:rFonts w:ascii="Tahoma" w:hAnsi="Tahoma" w:cs="Tahoma"/>
          <w:b/>
          <w:bCs/>
          <w:sz w:val="12"/>
          <w:szCs w:val="12"/>
        </w:rPr>
        <w:t>Artículo 16. </w:t>
      </w:r>
      <w:proofErr w:type="spellStart"/>
      <w:r w:rsidRPr="00063484">
        <w:rPr>
          <w:rFonts w:ascii="Tahoma" w:hAnsi="Tahoma" w:cs="Tahoma"/>
          <w:b/>
          <w:bCs/>
          <w:i/>
          <w:iCs/>
          <w:sz w:val="12"/>
          <w:szCs w:val="12"/>
        </w:rPr>
        <w:t>Prorrogabilidad</w:t>
      </w:r>
      <w:proofErr w:type="spellEnd"/>
      <w:r w:rsidRPr="00063484">
        <w:rPr>
          <w:rFonts w:ascii="Tahoma" w:hAnsi="Tahoma" w:cs="Tahoma"/>
          <w:b/>
          <w:bCs/>
          <w:i/>
          <w:iCs/>
          <w:sz w:val="12"/>
          <w:szCs w:val="12"/>
        </w:rPr>
        <w:t xml:space="preserve"> e </w:t>
      </w:r>
      <w:proofErr w:type="spellStart"/>
      <w:r w:rsidRPr="00063484">
        <w:rPr>
          <w:rFonts w:ascii="Tahoma" w:hAnsi="Tahoma" w:cs="Tahoma"/>
          <w:b/>
          <w:bCs/>
          <w:i/>
          <w:iCs/>
          <w:sz w:val="12"/>
          <w:szCs w:val="12"/>
        </w:rPr>
        <w:t>improrrogabilidad</w:t>
      </w:r>
      <w:proofErr w:type="spellEnd"/>
      <w:r w:rsidRPr="00063484">
        <w:rPr>
          <w:rFonts w:ascii="Tahoma" w:hAnsi="Tahoma" w:cs="Tahoma"/>
          <w:b/>
          <w:bCs/>
          <w:i/>
          <w:iCs/>
          <w:sz w:val="12"/>
          <w:szCs w:val="12"/>
        </w:rPr>
        <w:t xml:space="preserve"> de la jurisdicción y la competencia</w:t>
      </w:r>
      <w:r w:rsidRPr="00063484">
        <w:rPr>
          <w:rFonts w:ascii="Tahoma" w:hAnsi="Tahoma" w:cs="Tahoma"/>
          <w:b/>
          <w:bCs/>
          <w:sz w:val="12"/>
          <w:szCs w:val="12"/>
        </w:rPr>
        <w:t>.</w:t>
      </w:r>
      <w:r>
        <w:rPr>
          <w:rFonts w:ascii="Tahoma" w:hAnsi="Tahoma" w:cs="Tahoma"/>
          <w:b/>
          <w:bCs/>
          <w:sz w:val="12"/>
          <w:szCs w:val="12"/>
        </w:rPr>
        <w:t xml:space="preserve"> </w:t>
      </w:r>
      <w:r w:rsidRPr="00063484">
        <w:rPr>
          <w:rFonts w:ascii="Tahoma" w:hAnsi="Tahoma" w:cs="Tahoma"/>
          <w:sz w:val="12"/>
          <w:szCs w:val="12"/>
        </w:rPr>
        <w:t>La jurisdicción y la competencia por los factores subjetivo y funcional son improrrogables. Cuando se declare, de oficio o a petición de parte, la falta de jurisdicción o la falta de competencia por los factores subjetivo o funcional, lo actuado conservará validez, salvo la sentencia que se hubiere proferido que será nula, y el proceso se enviará de inmediato al juez competente. Lo actuado con posterioridad a la declaratoria de falta de jurisdicción o de competencia será nulo.</w:t>
      </w:r>
    </w:p>
    <w:p w:rsidR="00063484" w:rsidRPr="00063484" w:rsidRDefault="00063484" w:rsidP="00063484">
      <w:pPr>
        <w:pStyle w:val="Textonotapie"/>
        <w:rPr>
          <w:rFonts w:ascii="Tahoma" w:hAnsi="Tahoma" w:cs="Tahoma"/>
          <w:sz w:val="12"/>
          <w:szCs w:val="12"/>
        </w:rPr>
      </w:pPr>
      <w:r w:rsidRPr="00063484">
        <w:rPr>
          <w:rFonts w:ascii="Tahoma" w:hAnsi="Tahoma" w:cs="Tahoma"/>
          <w:sz w:val="12"/>
          <w:szCs w:val="12"/>
        </w:rPr>
        <w:t>La falta de competencia por factores distintos del subjetivo o funcional es prorrogable cuando no se reclame en tiempo, y el juez seguirá conociendo del proceso. Cuando se alegue oportunamente lo actuado conservará validez y el proceso se remitirá al juez competente.</w:t>
      </w:r>
    </w:p>
    <w:p w:rsidR="00063484" w:rsidRPr="00063484" w:rsidRDefault="00063484">
      <w:pPr>
        <w:pStyle w:val="Textonotapie"/>
        <w:rPr>
          <w:rFonts w:ascii="Tahoma" w:hAnsi="Tahoma" w:cs="Tahoma"/>
          <w:sz w:val="12"/>
          <w:szCs w:val="12"/>
        </w:rPr>
      </w:pPr>
    </w:p>
    <w:p w:rsidR="00063484" w:rsidRPr="00063484" w:rsidRDefault="00063484">
      <w:pPr>
        <w:pStyle w:val="Textonotapie"/>
        <w:rPr>
          <w:rFonts w:ascii="Tahoma" w:hAnsi="Tahoma" w:cs="Tahoma"/>
          <w:sz w:val="12"/>
          <w:szCs w:val="12"/>
          <w:lang w:val="es-CO"/>
        </w:rPr>
      </w:pPr>
    </w:p>
    <w:p w:rsidR="00063484" w:rsidRPr="00063484" w:rsidRDefault="00063484">
      <w:pPr>
        <w:pStyle w:val="Textonotapie"/>
        <w:rPr>
          <w:rFonts w:ascii="Tahoma" w:hAnsi="Tahoma" w:cs="Tahoma"/>
          <w:sz w:val="12"/>
          <w:szCs w:val="12"/>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012" w:rsidRPr="003D181E" w:rsidRDefault="00FE5157" w:rsidP="00787012">
    <w:pPr>
      <w:pStyle w:val="Encabezado"/>
      <w:jc w:val="right"/>
      <w:rPr>
        <w:rFonts w:ascii="Tahoma" w:hAnsi="Tahoma" w:cs="Tahoma"/>
        <w:sz w:val="13"/>
        <w:szCs w:val="13"/>
        <w:lang w:val="es-MX"/>
      </w:rPr>
    </w:pPr>
    <w:r>
      <w:rPr>
        <w:rFonts w:ascii="Tahoma" w:hAnsi="Tahoma" w:cs="Tahoma"/>
        <w:sz w:val="13"/>
        <w:szCs w:val="13"/>
        <w:lang w:val="es-MX"/>
      </w:rPr>
      <w:t xml:space="preserve">Expediente No </w:t>
    </w:r>
    <w:r w:rsidR="00825ADE">
      <w:rPr>
        <w:rFonts w:ascii="Tahoma" w:hAnsi="Tahoma" w:cs="Tahoma"/>
        <w:sz w:val="13"/>
        <w:szCs w:val="13"/>
        <w:lang w:val="es-MX"/>
      </w:rPr>
      <w:t>2015-0</w:t>
    </w:r>
    <w:r>
      <w:rPr>
        <w:rFonts w:ascii="Tahoma" w:hAnsi="Tahoma" w:cs="Tahoma"/>
        <w:sz w:val="13"/>
        <w:szCs w:val="13"/>
        <w:lang w:val="es-MX"/>
      </w:rPr>
      <w:t>143</w:t>
    </w:r>
  </w:p>
  <w:p w:rsidR="00825ADE" w:rsidRPr="003F50A7" w:rsidRDefault="00825ADE" w:rsidP="00825ADE">
    <w:pPr>
      <w:pStyle w:val="Encabezado"/>
      <w:jc w:val="right"/>
      <w:rPr>
        <w:rFonts w:ascii="Tahoma" w:hAnsi="Tahoma" w:cs="Tahoma"/>
        <w:sz w:val="14"/>
        <w:szCs w:val="14"/>
      </w:rPr>
    </w:pPr>
    <w:r>
      <w:rPr>
        <w:rFonts w:ascii="Tahoma" w:hAnsi="Tahoma" w:cs="Tahoma"/>
        <w:sz w:val="14"/>
        <w:szCs w:val="14"/>
      </w:rPr>
      <w:t xml:space="preserve">RESUELVE RECURSOS DE APELACION CONTRA AUTO QUE REMITE POR FALTA DE JURISDICCION </w:t>
    </w:r>
  </w:p>
  <w:p w:rsidR="00787012" w:rsidRPr="003D181E" w:rsidRDefault="00FE5157" w:rsidP="00787012">
    <w:pPr>
      <w:pStyle w:val="Encabezado"/>
      <w:jc w:val="right"/>
      <w:rPr>
        <w:rStyle w:val="Nmerodepgina"/>
        <w:sz w:val="13"/>
        <w:szCs w:val="13"/>
      </w:rPr>
    </w:pPr>
    <w:r w:rsidRPr="003D181E">
      <w:rPr>
        <w:rFonts w:ascii="Tahoma" w:hAnsi="Tahoma" w:cs="Tahoma"/>
        <w:sz w:val="13"/>
        <w:szCs w:val="13"/>
        <w:lang w:val="es-MX"/>
      </w:rPr>
      <w:t xml:space="preserve">Páginas </w:t>
    </w:r>
    <w:r w:rsidRPr="003D181E">
      <w:rPr>
        <w:rStyle w:val="Nmerodepgina"/>
        <w:sz w:val="13"/>
        <w:szCs w:val="13"/>
      </w:rPr>
      <w:fldChar w:fldCharType="begin"/>
    </w:r>
    <w:r w:rsidRPr="003D181E">
      <w:rPr>
        <w:rStyle w:val="Nmerodepgina"/>
        <w:sz w:val="13"/>
        <w:szCs w:val="13"/>
      </w:rPr>
      <w:instrText xml:space="preserve"> PAGE </w:instrText>
    </w:r>
    <w:r w:rsidRPr="003D181E">
      <w:rPr>
        <w:rStyle w:val="Nmerodepgina"/>
        <w:sz w:val="13"/>
        <w:szCs w:val="13"/>
      </w:rPr>
      <w:fldChar w:fldCharType="separate"/>
    </w:r>
    <w:r w:rsidR="00FB67AC">
      <w:rPr>
        <w:rStyle w:val="Nmerodepgina"/>
        <w:noProof/>
        <w:sz w:val="13"/>
        <w:szCs w:val="13"/>
      </w:rPr>
      <w:t>2</w:t>
    </w:r>
    <w:r w:rsidRPr="003D181E">
      <w:rPr>
        <w:rStyle w:val="Nmerodepgina"/>
        <w:sz w:val="13"/>
        <w:szCs w:val="13"/>
      </w:rPr>
      <w:fldChar w:fldCharType="end"/>
    </w:r>
    <w:r w:rsidRPr="003D181E">
      <w:rPr>
        <w:rStyle w:val="Nmerodepgina"/>
        <w:sz w:val="13"/>
        <w:szCs w:val="13"/>
      </w:rPr>
      <w:t xml:space="preserve"> de </w:t>
    </w:r>
    <w:r w:rsidRPr="003D181E">
      <w:rPr>
        <w:rStyle w:val="Nmerodepgina"/>
        <w:sz w:val="13"/>
        <w:szCs w:val="13"/>
      </w:rPr>
      <w:fldChar w:fldCharType="begin"/>
    </w:r>
    <w:r w:rsidRPr="003D181E">
      <w:rPr>
        <w:rStyle w:val="Nmerodepgina"/>
        <w:sz w:val="13"/>
        <w:szCs w:val="13"/>
      </w:rPr>
      <w:instrText xml:space="preserve"> NUMPAGES </w:instrText>
    </w:r>
    <w:r w:rsidRPr="003D181E">
      <w:rPr>
        <w:rStyle w:val="Nmerodepgina"/>
        <w:sz w:val="13"/>
        <w:szCs w:val="13"/>
      </w:rPr>
      <w:fldChar w:fldCharType="separate"/>
    </w:r>
    <w:r w:rsidR="00FB67AC">
      <w:rPr>
        <w:rStyle w:val="Nmerodepgina"/>
        <w:noProof/>
        <w:sz w:val="13"/>
        <w:szCs w:val="13"/>
      </w:rPr>
      <w:t>2</w:t>
    </w:r>
    <w:r w:rsidRPr="003D181E">
      <w:rPr>
        <w:rStyle w:val="Nmerodepgina"/>
        <w:sz w:val="13"/>
        <w:szCs w:val="13"/>
      </w:rPr>
      <w:fldChar w:fldCharType="end"/>
    </w:r>
  </w:p>
  <w:p w:rsidR="00787012" w:rsidRPr="003D181E" w:rsidRDefault="00940705">
    <w:pPr>
      <w:pStyle w:val="Encabezado"/>
      <w:rPr>
        <w:sz w:val="13"/>
        <w:szCs w:val="1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D05" w:rsidRPr="003D181E" w:rsidRDefault="00FE5157" w:rsidP="00007D05">
    <w:pPr>
      <w:jc w:val="center"/>
      <w:rPr>
        <w:rFonts w:ascii="Tahoma" w:hAnsi="Tahoma" w:cs="Tahoma"/>
        <w:sz w:val="13"/>
        <w:szCs w:val="13"/>
      </w:rPr>
    </w:pPr>
    <w:r w:rsidRPr="003D181E">
      <w:rPr>
        <w:rFonts w:ascii="Tahoma" w:hAnsi="Tahoma" w:cs="Tahoma"/>
        <w:b/>
        <w:i/>
        <w:noProof/>
        <w:sz w:val="13"/>
        <w:szCs w:val="13"/>
        <w:lang w:eastAsia="es-CO"/>
      </w:rPr>
      <w:drawing>
        <wp:inline distT="0" distB="0" distL="0" distR="0" wp14:anchorId="67E55178" wp14:editId="63734C06">
          <wp:extent cx="666750" cy="657225"/>
          <wp:effectExtent l="0" t="0" r="0" b="9525"/>
          <wp:docPr id="2" name="Imagen 2"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007D05" w:rsidRPr="003D181E" w:rsidRDefault="00FE5157" w:rsidP="00007D05">
    <w:pPr>
      <w:pStyle w:val="Encabezado"/>
      <w:jc w:val="center"/>
      <w:rPr>
        <w:rFonts w:ascii="Tahoma" w:hAnsi="Tahoma" w:cs="Tahoma"/>
        <w:b/>
        <w:sz w:val="13"/>
        <w:szCs w:val="13"/>
        <w:lang w:val="es-MX"/>
      </w:rPr>
    </w:pPr>
    <w:r w:rsidRPr="003D181E">
      <w:rPr>
        <w:rFonts w:ascii="Tahoma" w:hAnsi="Tahoma" w:cs="Tahoma"/>
        <w:b/>
        <w:sz w:val="13"/>
        <w:szCs w:val="13"/>
        <w:lang w:val="es-MX"/>
      </w:rPr>
      <w:t>JUZGADO TREINTA Y CUATRO ADMINISTRATIVO</w:t>
    </w:r>
  </w:p>
  <w:p w:rsidR="00007D05" w:rsidRPr="003D181E" w:rsidRDefault="00FE5157" w:rsidP="00007D05">
    <w:pPr>
      <w:pStyle w:val="Encabezado"/>
      <w:jc w:val="center"/>
      <w:rPr>
        <w:rFonts w:ascii="Tahoma" w:hAnsi="Tahoma" w:cs="Tahoma"/>
        <w:b/>
        <w:sz w:val="13"/>
        <w:szCs w:val="13"/>
        <w:lang w:val="es-MX"/>
      </w:rPr>
    </w:pPr>
    <w:r w:rsidRPr="003D181E">
      <w:rPr>
        <w:rFonts w:ascii="Tahoma" w:hAnsi="Tahoma" w:cs="Tahoma"/>
        <w:b/>
        <w:sz w:val="13"/>
        <w:szCs w:val="13"/>
        <w:lang w:val="es-MX"/>
      </w:rPr>
      <w:t>ORAL DE BOGOTÁ</w:t>
    </w:r>
  </w:p>
  <w:p w:rsidR="00007D05" w:rsidRPr="003D181E" w:rsidRDefault="00FE5157" w:rsidP="00007D05">
    <w:pPr>
      <w:pStyle w:val="Encabezado"/>
      <w:jc w:val="center"/>
      <w:rPr>
        <w:rFonts w:ascii="Tahoma" w:hAnsi="Tahoma" w:cs="Tahoma"/>
        <w:b/>
        <w:sz w:val="13"/>
        <w:szCs w:val="13"/>
        <w:lang w:val="es-MX"/>
      </w:rPr>
    </w:pPr>
    <w:r w:rsidRPr="003D181E">
      <w:rPr>
        <w:rFonts w:ascii="Tahoma" w:hAnsi="Tahoma" w:cs="Tahoma"/>
        <w:b/>
        <w:sz w:val="13"/>
        <w:szCs w:val="13"/>
        <w:lang w:val="es-MX"/>
      </w:rPr>
      <w:t>Sección Tercera</w:t>
    </w:r>
  </w:p>
  <w:p w:rsidR="00007D05" w:rsidRDefault="009407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C4A06"/>
    <w:multiLevelType w:val="hybridMultilevel"/>
    <w:tmpl w:val="36582B4E"/>
    <w:lvl w:ilvl="0" w:tplc="9420273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DE"/>
    <w:rsid w:val="00000D2B"/>
    <w:rsid w:val="00000DF2"/>
    <w:rsid w:val="00022D36"/>
    <w:rsid w:val="00036E39"/>
    <w:rsid w:val="00042199"/>
    <w:rsid w:val="00063484"/>
    <w:rsid w:val="00066A91"/>
    <w:rsid w:val="000F39E6"/>
    <w:rsid w:val="000F64E7"/>
    <w:rsid w:val="00132B7B"/>
    <w:rsid w:val="001549AA"/>
    <w:rsid w:val="0019170C"/>
    <w:rsid w:val="001921D3"/>
    <w:rsid w:val="001A0776"/>
    <w:rsid w:val="00257960"/>
    <w:rsid w:val="002952B5"/>
    <w:rsid w:val="00297B2B"/>
    <w:rsid w:val="002A6D59"/>
    <w:rsid w:val="002B76E8"/>
    <w:rsid w:val="002C5AEA"/>
    <w:rsid w:val="002E588C"/>
    <w:rsid w:val="002F16F3"/>
    <w:rsid w:val="00326395"/>
    <w:rsid w:val="00334792"/>
    <w:rsid w:val="00350AF1"/>
    <w:rsid w:val="00362CC7"/>
    <w:rsid w:val="003806E6"/>
    <w:rsid w:val="00392A6C"/>
    <w:rsid w:val="00395226"/>
    <w:rsid w:val="003B6F7A"/>
    <w:rsid w:val="003F454E"/>
    <w:rsid w:val="00465E86"/>
    <w:rsid w:val="0048331D"/>
    <w:rsid w:val="00487FA6"/>
    <w:rsid w:val="00490EFC"/>
    <w:rsid w:val="004967AE"/>
    <w:rsid w:val="004A6885"/>
    <w:rsid w:val="004F54D3"/>
    <w:rsid w:val="004F7EEA"/>
    <w:rsid w:val="0050747C"/>
    <w:rsid w:val="005C6DC7"/>
    <w:rsid w:val="005C718B"/>
    <w:rsid w:val="005E152C"/>
    <w:rsid w:val="005E48DF"/>
    <w:rsid w:val="006006D2"/>
    <w:rsid w:val="00602156"/>
    <w:rsid w:val="00614901"/>
    <w:rsid w:val="00624646"/>
    <w:rsid w:val="00640524"/>
    <w:rsid w:val="00647A9D"/>
    <w:rsid w:val="0065761F"/>
    <w:rsid w:val="0066018C"/>
    <w:rsid w:val="006A63F7"/>
    <w:rsid w:val="006E6753"/>
    <w:rsid w:val="006E7BDD"/>
    <w:rsid w:val="00700E47"/>
    <w:rsid w:val="00722C4B"/>
    <w:rsid w:val="007273C9"/>
    <w:rsid w:val="0073348F"/>
    <w:rsid w:val="0073626D"/>
    <w:rsid w:val="00744137"/>
    <w:rsid w:val="00752EDC"/>
    <w:rsid w:val="007543C3"/>
    <w:rsid w:val="00782144"/>
    <w:rsid w:val="007C3F4F"/>
    <w:rsid w:val="007D3B03"/>
    <w:rsid w:val="007E1006"/>
    <w:rsid w:val="007F62A8"/>
    <w:rsid w:val="00803E8E"/>
    <w:rsid w:val="00820FB7"/>
    <w:rsid w:val="00823F14"/>
    <w:rsid w:val="00825ADE"/>
    <w:rsid w:val="00832241"/>
    <w:rsid w:val="00845790"/>
    <w:rsid w:val="00862288"/>
    <w:rsid w:val="008711F6"/>
    <w:rsid w:val="0087259C"/>
    <w:rsid w:val="008A6CA6"/>
    <w:rsid w:val="008B6016"/>
    <w:rsid w:val="009149E6"/>
    <w:rsid w:val="009205C6"/>
    <w:rsid w:val="00934A99"/>
    <w:rsid w:val="00940705"/>
    <w:rsid w:val="0094277A"/>
    <w:rsid w:val="009E2850"/>
    <w:rsid w:val="00A00FCE"/>
    <w:rsid w:val="00A1153B"/>
    <w:rsid w:val="00A42C86"/>
    <w:rsid w:val="00A45B17"/>
    <w:rsid w:val="00A5722F"/>
    <w:rsid w:val="00A63921"/>
    <w:rsid w:val="00AA5E70"/>
    <w:rsid w:val="00AE24F9"/>
    <w:rsid w:val="00AE584D"/>
    <w:rsid w:val="00AF6097"/>
    <w:rsid w:val="00B17E3F"/>
    <w:rsid w:val="00B476AB"/>
    <w:rsid w:val="00B5038C"/>
    <w:rsid w:val="00B504F1"/>
    <w:rsid w:val="00B514E2"/>
    <w:rsid w:val="00B558FD"/>
    <w:rsid w:val="00B9419C"/>
    <w:rsid w:val="00BB5083"/>
    <w:rsid w:val="00BD404F"/>
    <w:rsid w:val="00C335D8"/>
    <w:rsid w:val="00C70F2A"/>
    <w:rsid w:val="00C83C97"/>
    <w:rsid w:val="00C87121"/>
    <w:rsid w:val="00C952E5"/>
    <w:rsid w:val="00CE11B9"/>
    <w:rsid w:val="00D03FBE"/>
    <w:rsid w:val="00D10E77"/>
    <w:rsid w:val="00D15A71"/>
    <w:rsid w:val="00D43F06"/>
    <w:rsid w:val="00D47AAE"/>
    <w:rsid w:val="00DB209C"/>
    <w:rsid w:val="00DE644E"/>
    <w:rsid w:val="00E13206"/>
    <w:rsid w:val="00E54675"/>
    <w:rsid w:val="00EA1D63"/>
    <w:rsid w:val="00EB0AE4"/>
    <w:rsid w:val="00ED027F"/>
    <w:rsid w:val="00EE202D"/>
    <w:rsid w:val="00EF1DE4"/>
    <w:rsid w:val="00F07DEB"/>
    <w:rsid w:val="00F31A6F"/>
    <w:rsid w:val="00F9054B"/>
    <w:rsid w:val="00FB67AC"/>
    <w:rsid w:val="00FD2823"/>
    <w:rsid w:val="00FE5157"/>
    <w:rsid w:val="00FF63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AD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25ADE"/>
    <w:pPr>
      <w:tabs>
        <w:tab w:val="center" w:pos="4252"/>
        <w:tab w:val="right" w:pos="8504"/>
      </w:tabs>
    </w:pPr>
    <w:rPr>
      <w:lang w:val="es-ES"/>
    </w:rPr>
  </w:style>
  <w:style w:type="character" w:customStyle="1" w:styleId="EncabezadoCar">
    <w:name w:val="Encabezado Car"/>
    <w:basedOn w:val="Fuentedeprrafopredeter"/>
    <w:link w:val="Encabezado"/>
    <w:uiPriority w:val="99"/>
    <w:rsid w:val="00825ADE"/>
    <w:rPr>
      <w:rFonts w:ascii="Times New Roman" w:eastAsia="Times New Roman" w:hAnsi="Times New Roman" w:cs="Times New Roman"/>
      <w:sz w:val="24"/>
      <w:szCs w:val="24"/>
      <w:lang w:val="es-ES" w:eastAsia="es-ES"/>
    </w:rPr>
  </w:style>
  <w:style w:type="character" w:styleId="Refdenotaalpie">
    <w:name w:val="footnote reference"/>
    <w:aliases w:val="Pie de Página,FC,Texto de nota al pie,Ref. de nota al pie 2"/>
    <w:uiPriority w:val="99"/>
    <w:rsid w:val="00825ADE"/>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iPriority w:val="99"/>
    <w:rsid w:val="00825ADE"/>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uiPriority w:val="99"/>
    <w:rsid w:val="00825ADE"/>
    <w:rPr>
      <w:rFonts w:ascii="Times New Roman" w:eastAsia="Times New Roman" w:hAnsi="Times New Roman" w:cs="Times New Roman"/>
      <w:sz w:val="20"/>
      <w:szCs w:val="20"/>
      <w:lang w:val="es-ES" w:eastAsia="es-ES"/>
    </w:rPr>
  </w:style>
  <w:style w:type="character" w:styleId="Nmerodepgina">
    <w:name w:val="page number"/>
    <w:uiPriority w:val="99"/>
    <w:rsid w:val="00825ADE"/>
    <w:rPr>
      <w:rFonts w:cs="Times New Roman"/>
    </w:rPr>
  </w:style>
  <w:style w:type="character" w:styleId="Hipervnculo">
    <w:name w:val="Hyperlink"/>
    <w:basedOn w:val="Fuentedeprrafopredeter"/>
    <w:uiPriority w:val="99"/>
    <w:unhideWhenUsed/>
    <w:rsid w:val="00825ADE"/>
    <w:rPr>
      <w:color w:val="0000FF" w:themeColor="hyperlink"/>
      <w:u w:val="single"/>
    </w:rPr>
  </w:style>
  <w:style w:type="paragraph" w:styleId="Textodeglobo">
    <w:name w:val="Balloon Text"/>
    <w:basedOn w:val="Normal"/>
    <w:link w:val="TextodegloboCar"/>
    <w:uiPriority w:val="99"/>
    <w:semiHidden/>
    <w:unhideWhenUsed/>
    <w:rsid w:val="00825ADE"/>
    <w:rPr>
      <w:rFonts w:ascii="Tahoma" w:hAnsi="Tahoma" w:cs="Tahoma"/>
      <w:sz w:val="16"/>
      <w:szCs w:val="16"/>
    </w:rPr>
  </w:style>
  <w:style w:type="character" w:customStyle="1" w:styleId="TextodegloboCar">
    <w:name w:val="Texto de globo Car"/>
    <w:basedOn w:val="Fuentedeprrafopredeter"/>
    <w:link w:val="Textodeglobo"/>
    <w:uiPriority w:val="99"/>
    <w:semiHidden/>
    <w:rsid w:val="00825ADE"/>
    <w:rPr>
      <w:rFonts w:ascii="Tahoma" w:eastAsia="Times New Roman" w:hAnsi="Tahoma" w:cs="Tahoma"/>
      <w:sz w:val="16"/>
      <w:szCs w:val="16"/>
      <w:lang w:eastAsia="es-ES"/>
    </w:rPr>
  </w:style>
  <w:style w:type="paragraph" w:customStyle="1" w:styleId="nueve-">
    <w:name w:val="nueve-"/>
    <w:rsid w:val="00825ADE"/>
    <w:pPr>
      <w:spacing w:before="216" w:after="216" w:line="240" w:lineRule="auto"/>
      <w:ind w:firstLine="432"/>
      <w:jc w:val="both"/>
    </w:pPr>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825ADE"/>
    <w:pPr>
      <w:tabs>
        <w:tab w:val="center" w:pos="4419"/>
        <w:tab w:val="right" w:pos="8838"/>
      </w:tabs>
    </w:pPr>
  </w:style>
  <w:style w:type="character" w:customStyle="1" w:styleId="PiedepginaCar">
    <w:name w:val="Pie de página Car"/>
    <w:basedOn w:val="Fuentedeprrafopredeter"/>
    <w:link w:val="Piedepgina"/>
    <w:uiPriority w:val="99"/>
    <w:rsid w:val="00825ADE"/>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0634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AD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25ADE"/>
    <w:pPr>
      <w:tabs>
        <w:tab w:val="center" w:pos="4252"/>
        <w:tab w:val="right" w:pos="8504"/>
      </w:tabs>
    </w:pPr>
    <w:rPr>
      <w:lang w:val="es-ES"/>
    </w:rPr>
  </w:style>
  <w:style w:type="character" w:customStyle="1" w:styleId="EncabezadoCar">
    <w:name w:val="Encabezado Car"/>
    <w:basedOn w:val="Fuentedeprrafopredeter"/>
    <w:link w:val="Encabezado"/>
    <w:uiPriority w:val="99"/>
    <w:rsid w:val="00825ADE"/>
    <w:rPr>
      <w:rFonts w:ascii="Times New Roman" w:eastAsia="Times New Roman" w:hAnsi="Times New Roman" w:cs="Times New Roman"/>
      <w:sz w:val="24"/>
      <w:szCs w:val="24"/>
      <w:lang w:val="es-ES" w:eastAsia="es-ES"/>
    </w:rPr>
  </w:style>
  <w:style w:type="character" w:styleId="Refdenotaalpie">
    <w:name w:val="footnote reference"/>
    <w:aliases w:val="Pie de Página,FC,Texto de nota al pie,Ref. de nota al pie 2"/>
    <w:uiPriority w:val="99"/>
    <w:rsid w:val="00825ADE"/>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iPriority w:val="99"/>
    <w:rsid w:val="00825ADE"/>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uiPriority w:val="99"/>
    <w:rsid w:val="00825ADE"/>
    <w:rPr>
      <w:rFonts w:ascii="Times New Roman" w:eastAsia="Times New Roman" w:hAnsi="Times New Roman" w:cs="Times New Roman"/>
      <w:sz w:val="20"/>
      <w:szCs w:val="20"/>
      <w:lang w:val="es-ES" w:eastAsia="es-ES"/>
    </w:rPr>
  </w:style>
  <w:style w:type="character" w:styleId="Nmerodepgina">
    <w:name w:val="page number"/>
    <w:uiPriority w:val="99"/>
    <w:rsid w:val="00825ADE"/>
    <w:rPr>
      <w:rFonts w:cs="Times New Roman"/>
    </w:rPr>
  </w:style>
  <w:style w:type="character" w:styleId="Hipervnculo">
    <w:name w:val="Hyperlink"/>
    <w:basedOn w:val="Fuentedeprrafopredeter"/>
    <w:uiPriority w:val="99"/>
    <w:unhideWhenUsed/>
    <w:rsid w:val="00825ADE"/>
    <w:rPr>
      <w:color w:val="0000FF" w:themeColor="hyperlink"/>
      <w:u w:val="single"/>
    </w:rPr>
  </w:style>
  <w:style w:type="paragraph" w:styleId="Textodeglobo">
    <w:name w:val="Balloon Text"/>
    <w:basedOn w:val="Normal"/>
    <w:link w:val="TextodegloboCar"/>
    <w:uiPriority w:val="99"/>
    <w:semiHidden/>
    <w:unhideWhenUsed/>
    <w:rsid w:val="00825ADE"/>
    <w:rPr>
      <w:rFonts w:ascii="Tahoma" w:hAnsi="Tahoma" w:cs="Tahoma"/>
      <w:sz w:val="16"/>
      <w:szCs w:val="16"/>
    </w:rPr>
  </w:style>
  <w:style w:type="character" w:customStyle="1" w:styleId="TextodegloboCar">
    <w:name w:val="Texto de globo Car"/>
    <w:basedOn w:val="Fuentedeprrafopredeter"/>
    <w:link w:val="Textodeglobo"/>
    <w:uiPriority w:val="99"/>
    <w:semiHidden/>
    <w:rsid w:val="00825ADE"/>
    <w:rPr>
      <w:rFonts w:ascii="Tahoma" w:eastAsia="Times New Roman" w:hAnsi="Tahoma" w:cs="Tahoma"/>
      <w:sz w:val="16"/>
      <w:szCs w:val="16"/>
      <w:lang w:eastAsia="es-ES"/>
    </w:rPr>
  </w:style>
  <w:style w:type="paragraph" w:customStyle="1" w:styleId="nueve-">
    <w:name w:val="nueve-"/>
    <w:rsid w:val="00825ADE"/>
    <w:pPr>
      <w:spacing w:before="216" w:after="216" w:line="240" w:lineRule="auto"/>
      <w:ind w:firstLine="432"/>
      <w:jc w:val="both"/>
    </w:pPr>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825ADE"/>
    <w:pPr>
      <w:tabs>
        <w:tab w:val="center" w:pos="4419"/>
        <w:tab w:val="right" w:pos="8838"/>
      </w:tabs>
    </w:pPr>
  </w:style>
  <w:style w:type="character" w:customStyle="1" w:styleId="PiedepginaCar">
    <w:name w:val="Pie de página Car"/>
    <w:basedOn w:val="Fuentedeprrafopredeter"/>
    <w:link w:val="Piedepgina"/>
    <w:uiPriority w:val="99"/>
    <w:rsid w:val="00825ADE"/>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063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554A3-6FC2-4F37-9E83-02256322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698</Words>
  <Characters>3841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4</cp:revision>
  <cp:lastPrinted>2015-03-17T22:15:00Z</cp:lastPrinted>
  <dcterms:created xsi:type="dcterms:W3CDTF">2015-03-17T22:10:00Z</dcterms:created>
  <dcterms:modified xsi:type="dcterms:W3CDTF">2015-03-17T22:16:00Z</dcterms:modified>
</cp:coreProperties>
</file>