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77"/>
      </w:tblGrid>
      <w:tr w:rsidR="00420DD6" w:rsidRPr="00BA0995" w:rsidTr="00131D1D">
        <w:tc>
          <w:tcPr>
            <w:tcW w:w="1843" w:type="dxa"/>
          </w:tcPr>
          <w:p w:rsidR="00420DD6" w:rsidRPr="00BA0995" w:rsidRDefault="00420DD6" w:rsidP="00BA0995">
            <w:pPr>
              <w:jc w:val="both"/>
              <w:rPr>
                <w:rFonts w:ascii="Tahoma" w:hAnsi="Tahoma" w:cs="Tahoma"/>
                <w:sz w:val="16"/>
                <w:szCs w:val="16"/>
                <w:lang w:val="es-MX"/>
              </w:rPr>
            </w:pPr>
            <w:r w:rsidRPr="00BA0995">
              <w:rPr>
                <w:rFonts w:ascii="Tahoma" w:hAnsi="Tahoma" w:cs="Tahoma"/>
                <w:sz w:val="16"/>
                <w:szCs w:val="16"/>
                <w:lang w:val="es-MX"/>
              </w:rPr>
              <w:t>CIUDAD Y FECHA</w:t>
            </w:r>
          </w:p>
        </w:tc>
        <w:tc>
          <w:tcPr>
            <w:tcW w:w="6977" w:type="dxa"/>
          </w:tcPr>
          <w:p w:rsidR="00420DD6" w:rsidRPr="00BA0995" w:rsidRDefault="00420DD6" w:rsidP="0036729E">
            <w:pPr>
              <w:jc w:val="both"/>
              <w:rPr>
                <w:rFonts w:ascii="Tahoma" w:hAnsi="Tahoma" w:cs="Tahoma"/>
                <w:b/>
                <w:sz w:val="16"/>
                <w:szCs w:val="16"/>
                <w:lang w:val="es-MX"/>
              </w:rPr>
            </w:pPr>
            <w:r w:rsidRPr="00BA0995">
              <w:rPr>
                <w:rFonts w:ascii="Tahoma" w:hAnsi="Tahoma" w:cs="Tahoma"/>
                <w:b/>
                <w:sz w:val="16"/>
                <w:szCs w:val="16"/>
                <w:lang w:val="es-MX"/>
              </w:rPr>
              <w:t xml:space="preserve">Bogotá D.C., </w:t>
            </w:r>
            <w:r w:rsidR="0036729E">
              <w:rPr>
                <w:rFonts w:ascii="Tahoma" w:hAnsi="Tahoma" w:cs="Tahoma"/>
                <w:b/>
                <w:sz w:val="16"/>
                <w:szCs w:val="16"/>
                <w:lang w:val="es-MX"/>
              </w:rPr>
              <w:t>veintinueve (29)</w:t>
            </w:r>
            <w:r w:rsidRPr="00BA0995">
              <w:rPr>
                <w:rFonts w:ascii="Tahoma" w:hAnsi="Tahoma" w:cs="Tahoma"/>
                <w:b/>
                <w:sz w:val="16"/>
                <w:szCs w:val="16"/>
                <w:lang w:val="es-MX"/>
              </w:rPr>
              <w:t xml:space="preserve"> de </w:t>
            </w:r>
            <w:r w:rsidR="00FA018E">
              <w:rPr>
                <w:rFonts w:ascii="Tahoma" w:hAnsi="Tahoma" w:cs="Tahoma"/>
                <w:b/>
                <w:sz w:val="16"/>
                <w:szCs w:val="16"/>
                <w:lang w:val="es-MX"/>
              </w:rPr>
              <w:t xml:space="preserve">mayo </w:t>
            </w:r>
            <w:r w:rsidRPr="00BA0995">
              <w:rPr>
                <w:rFonts w:ascii="Tahoma" w:hAnsi="Tahoma" w:cs="Tahoma"/>
                <w:b/>
                <w:sz w:val="16"/>
                <w:szCs w:val="16"/>
                <w:lang w:val="es-MX"/>
              </w:rPr>
              <w:t>de dos mil quince (2015)</w:t>
            </w:r>
          </w:p>
        </w:tc>
      </w:tr>
      <w:tr w:rsidR="00420DD6" w:rsidRPr="00BA0995" w:rsidTr="00131D1D">
        <w:tc>
          <w:tcPr>
            <w:tcW w:w="1843" w:type="dxa"/>
          </w:tcPr>
          <w:p w:rsidR="00420DD6" w:rsidRPr="00BA0995" w:rsidRDefault="00420DD6" w:rsidP="00BA0995">
            <w:pPr>
              <w:jc w:val="both"/>
              <w:rPr>
                <w:rFonts w:ascii="Tahoma" w:hAnsi="Tahoma" w:cs="Tahoma"/>
                <w:sz w:val="16"/>
                <w:szCs w:val="16"/>
                <w:lang w:val="es-MX"/>
              </w:rPr>
            </w:pPr>
            <w:r w:rsidRPr="00BA0995">
              <w:rPr>
                <w:rFonts w:ascii="Tahoma" w:hAnsi="Tahoma" w:cs="Tahoma"/>
                <w:sz w:val="16"/>
                <w:szCs w:val="16"/>
                <w:lang w:val="es-MX"/>
              </w:rPr>
              <w:t>REFERENCIA</w:t>
            </w:r>
          </w:p>
        </w:tc>
        <w:tc>
          <w:tcPr>
            <w:tcW w:w="6977" w:type="dxa"/>
          </w:tcPr>
          <w:p w:rsidR="00420DD6" w:rsidRPr="00BA0995" w:rsidRDefault="00420DD6" w:rsidP="00BA0995">
            <w:pPr>
              <w:jc w:val="both"/>
              <w:rPr>
                <w:rFonts w:ascii="Tahoma" w:hAnsi="Tahoma" w:cs="Tahoma"/>
                <w:b/>
                <w:sz w:val="16"/>
                <w:szCs w:val="16"/>
                <w:lang w:val="es-MX"/>
              </w:rPr>
            </w:pPr>
            <w:r w:rsidRPr="00BA0995">
              <w:rPr>
                <w:rFonts w:ascii="Tahoma" w:hAnsi="Tahoma" w:cs="Tahoma"/>
                <w:b/>
                <w:sz w:val="16"/>
                <w:szCs w:val="16"/>
                <w:lang w:val="es-MX"/>
              </w:rPr>
              <w:t>Expediente No. 11001333603420140054700</w:t>
            </w:r>
          </w:p>
        </w:tc>
      </w:tr>
      <w:tr w:rsidR="00420DD6" w:rsidRPr="00BA0995" w:rsidTr="00131D1D">
        <w:tc>
          <w:tcPr>
            <w:tcW w:w="1843" w:type="dxa"/>
          </w:tcPr>
          <w:p w:rsidR="00420DD6" w:rsidRPr="00BA0995" w:rsidRDefault="00420DD6" w:rsidP="00BA0995">
            <w:pPr>
              <w:jc w:val="both"/>
              <w:rPr>
                <w:rFonts w:ascii="Tahoma" w:hAnsi="Tahoma" w:cs="Tahoma"/>
                <w:sz w:val="16"/>
                <w:szCs w:val="16"/>
                <w:lang w:val="es-MX"/>
              </w:rPr>
            </w:pPr>
            <w:r w:rsidRPr="00BA0995">
              <w:rPr>
                <w:rFonts w:ascii="Tahoma" w:hAnsi="Tahoma" w:cs="Tahoma"/>
                <w:sz w:val="16"/>
                <w:szCs w:val="16"/>
                <w:lang w:val="es-MX"/>
              </w:rPr>
              <w:t>DEMANDANTE</w:t>
            </w:r>
          </w:p>
        </w:tc>
        <w:tc>
          <w:tcPr>
            <w:tcW w:w="6977" w:type="dxa"/>
          </w:tcPr>
          <w:p w:rsidR="00420DD6" w:rsidRPr="00BA0995" w:rsidRDefault="00420DD6" w:rsidP="00BA0995">
            <w:pPr>
              <w:jc w:val="both"/>
              <w:rPr>
                <w:rFonts w:ascii="Tahoma" w:hAnsi="Tahoma" w:cs="Tahoma"/>
                <w:b/>
                <w:sz w:val="16"/>
                <w:szCs w:val="16"/>
                <w:lang w:val="es-MX"/>
              </w:rPr>
            </w:pPr>
            <w:r w:rsidRPr="00BA0995">
              <w:rPr>
                <w:rFonts w:ascii="Tahoma" w:hAnsi="Tahoma" w:cs="Tahoma"/>
                <w:b/>
                <w:sz w:val="16"/>
                <w:szCs w:val="16"/>
              </w:rPr>
              <w:t>INGENIERIA DE DISEÑO CONSTRUCCIONES ELECTRICOS S.A.S</w:t>
            </w:r>
          </w:p>
        </w:tc>
      </w:tr>
      <w:tr w:rsidR="00420DD6" w:rsidRPr="00BA0995" w:rsidTr="00131D1D">
        <w:tc>
          <w:tcPr>
            <w:tcW w:w="1843" w:type="dxa"/>
          </w:tcPr>
          <w:p w:rsidR="00420DD6" w:rsidRPr="00BA0995" w:rsidRDefault="00420DD6" w:rsidP="00BA0995">
            <w:pPr>
              <w:jc w:val="both"/>
              <w:rPr>
                <w:rFonts w:ascii="Tahoma" w:hAnsi="Tahoma" w:cs="Tahoma"/>
                <w:sz w:val="16"/>
                <w:szCs w:val="16"/>
                <w:lang w:val="es-MX"/>
              </w:rPr>
            </w:pPr>
            <w:r w:rsidRPr="00BA0995">
              <w:rPr>
                <w:rFonts w:ascii="Tahoma" w:hAnsi="Tahoma" w:cs="Tahoma"/>
                <w:sz w:val="16"/>
                <w:szCs w:val="16"/>
                <w:lang w:val="es-MX"/>
              </w:rPr>
              <w:t>DEMANDADO</w:t>
            </w:r>
          </w:p>
        </w:tc>
        <w:tc>
          <w:tcPr>
            <w:tcW w:w="6977" w:type="dxa"/>
          </w:tcPr>
          <w:p w:rsidR="00420DD6" w:rsidRPr="00BA0995" w:rsidRDefault="00420DD6" w:rsidP="00BA0995">
            <w:pPr>
              <w:jc w:val="both"/>
              <w:rPr>
                <w:rFonts w:ascii="Tahoma" w:hAnsi="Tahoma" w:cs="Tahoma"/>
                <w:b/>
                <w:sz w:val="16"/>
                <w:szCs w:val="16"/>
                <w:lang w:val="es-MX"/>
              </w:rPr>
            </w:pPr>
            <w:r w:rsidRPr="00BA0995">
              <w:rPr>
                <w:rFonts w:ascii="Tahoma" w:hAnsi="Tahoma" w:cs="Tahoma"/>
                <w:b/>
                <w:sz w:val="16"/>
                <w:szCs w:val="16"/>
              </w:rPr>
              <w:t>TERMINAL DE TRANSPORTE S.A</w:t>
            </w:r>
          </w:p>
        </w:tc>
      </w:tr>
      <w:tr w:rsidR="00420DD6" w:rsidRPr="00BA0995" w:rsidTr="00131D1D">
        <w:tc>
          <w:tcPr>
            <w:tcW w:w="1843" w:type="dxa"/>
          </w:tcPr>
          <w:p w:rsidR="00420DD6" w:rsidRPr="00BA0995" w:rsidRDefault="00420DD6" w:rsidP="00BA0995">
            <w:pPr>
              <w:jc w:val="both"/>
              <w:rPr>
                <w:rFonts w:ascii="Tahoma" w:hAnsi="Tahoma" w:cs="Tahoma"/>
                <w:sz w:val="16"/>
                <w:szCs w:val="16"/>
                <w:lang w:val="es-MX"/>
              </w:rPr>
            </w:pPr>
            <w:r w:rsidRPr="00BA0995">
              <w:rPr>
                <w:rFonts w:ascii="Tahoma" w:hAnsi="Tahoma" w:cs="Tahoma"/>
                <w:sz w:val="16"/>
                <w:szCs w:val="16"/>
                <w:lang w:val="es-MX"/>
              </w:rPr>
              <w:t>MEDIO DE CONTROL</w:t>
            </w:r>
          </w:p>
        </w:tc>
        <w:tc>
          <w:tcPr>
            <w:tcW w:w="6977" w:type="dxa"/>
          </w:tcPr>
          <w:p w:rsidR="00420DD6" w:rsidRPr="00BA0995" w:rsidRDefault="00420DD6" w:rsidP="00BA0995">
            <w:pPr>
              <w:jc w:val="both"/>
              <w:rPr>
                <w:rFonts w:ascii="Tahoma" w:hAnsi="Tahoma" w:cs="Tahoma"/>
                <w:b/>
                <w:sz w:val="16"/>
                <w:szCs w:val="16"/>
                <w:lang w:val="es-MX"/>
              </w:rPr>
            </w:pPr>
            <w:r w:rsidRPr="00BA0995">
              <w:rPr>
                <w:rFonts w:ascii="Tahoma" w:hAnsi="Tahoma" w:cs="Tahoma"/>
                <w:b/>
                <w:sz w:val="16"/>
                <w:szCs w:val="16"/>
                <w:lang w:val="es-MX"/>
              </w:rPr>
              <w:t xml:space="preserve">CONTRACTUAL </w:t>
            </w:r>
          </w:p>
        </w:tc>
      </w:tr>
      <w:tr w:rsidR="00420DD6" w:rsidRPr="00BA0995" w:rsidTr="00131D1D">
        <w:tc>
          <w:tcPr>
            <w:tcW w:w="1843" w:type="dxa"/>
          </w:tcPr>
          <w:p w:rsidR="00420DD6" w:rsidRPr="00BA0995" w:rsidRDefault="00420DD6" w:rsidP="00BA0995">
            <w:pPr>
              <w:jc w:val="both"/>
              <w:rPr>
                <w:rFonts w:ascii="Tahoma" w:hAnsi="Tahoma" w:cs="Tahoma"/>
                <w:sz w:val="16"/>
                <w:szCs w:val="16"/>
                <w:lang w:val="es-MX"/>
              </w:rPr>
            </w:pPr>
            <w:r w:rsidRPr="00BA0995">
              <w:rPr>
                <w:rFonts w:ascii="Tahoma" w:hAnsi="Tahoma" w:cs="Tahoma"/>
                <w:sz w:val="16"/>
                <w:szCs w:val="16"/>
                <w:lang w:val="es-MX"/>
              </w:rPr>
              <w:t>ASUNTO</w:t>
            </w:r>
          </w:p>
        </w:tc>
        <w:tc>
          <w:tcPr>
            <w:tcW w:w="6977" w:type="dxa"/>
          </w:tcPr>
          <w:p w:rsidR="00420DD6" w:rsidRPr="00BA0995" w:rsidRDefault="00420DD6" w:rsidP="00BA0995">
            <w:pPr>
              <w:jc w:val="both"/>
              <w:rPr>
                <w:rFonts w:ascii="Tahoma" w:hAnsi="Tahoma" w:cs="Tahoma"/>
                <w:b/>
                <w:sz w:val="16"/>
                <w:szCs w:val="16"/>
                <w:lang w:val="es-MX"/>
              </w:rPr>
            </w:pPr>
            <w:bookmarkStart w:id="0" w:name="_GoBack"/>
            <w:r w:rsidRPr="00BA0995">
              <w:rPr>
                <w:rFonts w:ascii="Tahoma" w:hAnsi="Tahoma" w:cs="Tahoma"/>
                <w:b/>
                <w:sz w:val="16"/>
                <w:szCs w:val="16"/>
                <w:lang w:val="es-MX"/>
              </w:rPr>
              <w:t>DECIDE RECURSO DE REPOSICION CONTRA AUTO QUE INADMITE DEMANDA</w:t>
            </w:r>
            <w:bookmarkEnd w:id="0"/>
          </w:p>
        </w:tc>
      </w:tr>
    </w:tbl>
    <w:p w:rsidR="00420DD6" w:rsidRPr="00BA0995" w:rsidRDefault="00420DD6" w:rsidP="00BA0995">
      <w:pPr>
        <w:jc w:val="both"/>
        <w:rPr>
          <w:rFonts w:ascii="Tahoma" w:hAnsi="Tahoma" w:cs="Tahoma"/>
          <w:sz w:val="16"/>
          <w:szCs w:val="16"/>
        </w:rPr>
      </w:pPr>
    </w:p>
    <w:p w:rsidR="00420DD6" w:rsidRPr="00BA0995" w:rsidRDefault="00420DD6" w:rsidP="00BA0995">
      <w:pPr>
        <w:jc w:val="both"/>
        <w:rPr>
          <w:rFonts w:ascii="Tahoma" w:hAnsi="Tahoma" w:cs="Tahoma"/>
          <w:sz w:val="16"/>
          <w:szCs w:val="16"/>
        </w:rPr>
      </w:pPr>
      <w:r w:rsidRPr="00BA0995">
        <w:rPr>
          <w:rFonts w:ascii="Tahoma" w:hAnsi="Tahoma" w:cs="Tahoma"/>
          <w:sz w:val="16"/>
          <w:szCs w:val="16"/>
        </w:rPr>
        <w:t>Con la presente demanda se pretende declarar la inexistencia del contrato de transacción del 5 de junio de 2013 suscrito entre la sociedad ingeniería de diseño Construcciones Eléctricas S.A.S – INCOEL y la Terminal de Transportes S.A.</w:t>
      </w:r>
    </w:p>
    <w:p w:rsidR="00420DD6" w:rsidRPr="00BA0995" w:rsidRDefault="00420DD6" w:rsidP="00BA0995">
      <w:pPr>
        <w:jc w:val="both"/>
        <w:rPr>
          <w:rFonts w:ascii="Tahoma" w:hAnsi="Tahoma" w:cs="Tahoma"/>
          <w:sz w:val="16"/>
          <w:szCs w:val="16"/>
        </w:rPr>
      </w:pPr>
    </w:p>
    <w:p w:rsidR="00BA0995" w:rsidRPr="00BA0995" w:rsidRDefault="00BA0995" w:rsidP="00BA0995">
      <w:pPr>
        <w:jc w:val="both"/>
        <w:rPr>
          <w:rFonts w:ascii="Tahoma" w:hAnsi="Tahoma" w:cs="Tahoma"/>
          <w:sz w:val="16"/>
          <w:szCs w:val="16"/>
        </w:rPr>
      </w:pPr>
      <w:r w:rsidRPr="00BA0995">
        <w:rPr>
          <w:rFonts w:ascii="Tahoma" w:hAnsi="Tahoma" w:cs="Tahoma"/>
          <w:sz w:val="16"/>
          <w:szCs w:val="16"/>
        </w:rPr>
        <w:t xml:space="preserve">Con auto del </w:t>
      </w:r>
      <w:r>
        <w:rPr>
          <w:rFonts w:ascii="Tahoma" w:hAnsi="Tahoma" w:cs="Tahoma"/>
          <w:sz w:val="16"/>
          <w:szCs w:val="16"/>
        </w:rPr>
        <w:t xml:space="preserve">16 de octubre de 2014 </w:t>
      </w:r>
      <w:r w:rsidRPr="00BA0995">
        <w:rPr>
          <w:rFonts w:ascii="Tahoma" w:hAnsi="Tahoma" w:cs="Tahoma"/>
          <w:sz w:val="16"/>
          <w:szCs w:val="16"/>
        </w:rPr>
        <w:t>se inadmitió la demanda para que el apoderado de la parte actora aclarara unos puntos</w:t>
      </w:r>
      <w:r w:rsidRPr="00BA0995">
        <w:rPr>
          <w:rStyle w:val="Refdenotaalpie"/>
          <w:rFonts w:ascii="Tahoma" w:hAnsi="Tahoma" w:cs="Tahoma"/>
          <w:sz w:val="16"/>
          <w:szCs w:val="16"/>
        </w:rPr>
        <w:footnoteReference w:id="1"/>
      </w:r>
    </w:p>
    <w:p w:rsidR="00BA0995" w:rsidRPr="00BA0995" w:rsidRDefault="00BA0995" w:rsidP="00BA0995">
      <w:pPr>
        <w:jc w:val="both"/>
        <w:rPr>
          <w:rFonts w:ascii="Tahoma" w:hAnsi="Tahoma" w:cs="Tahoma"/>
          <w:sz w:val="16"/>
          <w:szCs w:val="16"/>
        </w:rPr>
      </w:pPr>
    </w:p>
    <w:p w:rsidR="00420DD6" w:rsidRPr="00BA0995" w:rsidRDefault="00420DD6" w:rsidP="00BA0995">
      <w:pPr>
        <w:jc w:val="both"/>
        <w:rPr>
          <w:rFonts w:ascii="Tahoma" w:hAnsi="Tahoma" w:cs="Tahoma"/>
          <w:sz w:val="16"/>
          <w:szCs w:val="16"/>
        </w:rPr>
      </w:pPr>
      <w:r w:rsidRPr="00BA0995">
        <w:rPr>
          <w:rFonts w:ascii="Tahoma" w:hAnsi="Tahoma" w:cs="Tahoma"/>
          <w:sz w:val="16"/>
          <w:szCs w:val="16"/>
        </w:rPr>
        <w:t>En informe secretarial del 30 de enero de 2015 se anotó: “</w:t>
      </w:r>
      <w:r w:rsidR="00F33D74" w:rsidRPr="00BA0995">
        <w:rPr>
          <w:rFonts w:ascii="Tahoma" w:hAnsi="Tahoma" w:cs="Tahoma"/>
          <w:i/>
          <w:sz w:val="16"/>
          <w:szCs w:val="16"/>
        </w:rPr>
        <w:t>RECURSO DE REPOSICIÓN OPORTUNAMENTE INTERPUESTO (ENERO 20 DE 2015) Y DEBIDAMENTE TRAMITADO CONTRA PROVIDENCIA DE 16 DE OCTUBRE DE 2014; ESCRITO DE CORRECCIÓN DE LA DEMANDA ALLEGADO EN LA MISMA FECHA. SÍRVASE PROVEER</w:t>
      </w:r>
      <w:r w:rsidRPr="00BA0995">
        <w:rPr>
          <w:rFonts w:ascii="Tahoma" w:hAnsi="Tahoma" w:cs="Tahoma"/>
          <w:sz w:val="16"/>
          <w:szCs w:val="16"/>
        </w:rPr>
        <w:t>”</w:t>
      </w:r>
    </w:p>
    <w:p w:rsidR="00420DD6" w:rsidRPr="00BA0995" w:rsidRDefault="00420DD6" w:rsidP="00BA0995">
      <w:pPr>
        <w:jc w:val="both"/>
        <w:rPr>
          <w:rFonts w:ascii="Tahoma" w:hAnsi="Tahoma" w:cs="Tahoma"/>
          <w:b/>
          <w:sz w:val="16"/>
          <w:szCs w:val="16"/>
        </w:rPr>
      </w:pPr>
    </w:p>
    <w:p w:rsidR="00420DD6" w:rsidRPr="00BA0995" w:rsidRDefault="00420DD6" w:rsidP="00BA0995">
      <w:pPr>
        <w:rPr>
          <w:rFonts w:ascii="Tahoma" w:hAnsi="Tahoma" w:cs="Tahoma"/>
          <w:sz w:val="16"/>
          <w:szCs w:val="16"/>
        </w:rPr>
      </w:pPr>
      <w:r w:rsidRPr="00BA0995">
        <w:rPr>
          <w:rFonts w:ascii="Tahoma" w:hAnsi="Tahoma" w:cs="Tahoma"/>
          <w:sz w:val="16"/>
          <w:szCs w:val="16"/>
        </w:rPr>
        <w:t>Procede el Despacho a pronunciarse sobre lo anotado.</w:t>
      </w:r>
    </w:p>
    <w:p w:rsidR="00420DD6" w:rsidRPr="00BA0995" w:rsidRDefault="00420DD6" w:rsidP="00BA0995">
      <w:pPr>
        <w:rPr>
          <w:rFonts w:ascii="Tahoma" w:hAnsi="Tahoma" w:cs="Tahoma"/>
          <w:sz w:val="16"/>
          <w:szCs w:val="16"/>
        </w:rPr>
      </w:pPr>
    </w:p>
    <w:p w:rsidR="00420DD6" w:rsidRPr="00BA0995" w:rsidRDefault="00420DD6" w:rsidP="00BA0995">
      <w:pPr>
        <w:jc w:val="center"/>
        <w:rPr>
          <w:rFonts w:ascii="Tahoma" w:hAnsi="Tahoma" w:cs="Tahoma"/>
          <w:b/>
          <w:sz w:val="16"/>
          <w:szCs w:val="16"/>
        </w:rPr>
      </w:pPr>
      <w:r w:rsidRPr="00BA0995">
        <w:rPr>
          <w:rFonts w:ascii="Tahoma" w:hAnsi="Tahoma" w:cs="Tahoma"/>
          <w:b/>
          <w:sz w:val="16"/>
          <w:szCs w:val="16"/>
        </w:rPr>
        <w:t>CONSIDERACIONES</w:t>
      </w:r>
    </w:p>
    <w:p w:rsidR="00420DD6" w:rsidRPr="00BA0995" w:rsidRDefault="00420DD6" w:rsidP="00BA0995">
      <w:pPr>
        <w:rPr>
          <w:rFonts w:ascii="Tahoma" w:hAnsi="Tahoma" w:cs="Tahoma"/>
          <w:b/>
          <w:sz w:val="16"/>
          <w:szCs w:val="16"/>
        </w:rPr>
      </w:pPr>
    </w:p>
    <w:p w:rsidR="00420DD6" w:rsidRPr="00BA0995" w:rsidRDefault="00420DD6" w:rsidP="00BA0995">
      <w:pPr>
        <w:rPr>
          <w:rFonts w:ascii="Tahoma" w:hAnsi="Tahoma" w:cs="Tahoma"/>
          <w:sz w:val="16"/>
          <w:szCs w:val="16"/>
        </w:rPr>
      </w:pPr>
      <w:r w:rsidRPr="00BA0995">
        <w:rPr>
          <w:rFonts w:ascii="Tahoma" w:hAnsi="Tahoma" w:cs="Tahoma"/>
          <w:b/>
          <w:sz w:val="16"/>
          <w:szCs w:val="16"/>
        </w:rPr>
        <w:t>1. Del recurso de reposición, oportunidad y procedencia.</w:t>
      </w:r>
      <w:bookmarkStart w:id="1" w:name="180"/>
      <w:bookmarkEnd w:id="1"/>
    </w:p>
    <w:p w:rsidR="00420DD6" w:rsidRPr="00BA0995" w:rsidRDefault="00420DD6" w:rsidP="00BA0995">
      <w:pPr>
        <w:jc w:val="both"/>
        <w:rPr>
          <w:rFonts w:ascii="Tahoma" w:hAnsi="Tahoma" w:cs="Tahoma"/>
          <w:sz w:val="16"/>
          <w:szCs w:val="16"/>
        </w:rPr>
      </w:pPr>
    </w:p>
    <w:p w:rsidR="00420DD6" w:rsidRPr="00BA0995" w:rsidRDefault="00420DD6" w:rsidP="00BA0995">
      <w:pPr>
        <w:jc w:val="both"/>
        <w:rPr>
          <w:rFonts w:ascii="Tahoma" w:hAnsi="Tahoma" w:cs="Tahoma"/>
          <w:sz w:val="16"/>
          <w:szCs w:val="16"/>
        </w:rPr>
      </w:pPr>
      <w:r w:rsidRPr="00BA0995">
        <w:rPr>
          <w:rFonts w:ascii="Tahoma" w:hAnsi="Tahoma" w:cs="Tahoma"/>
          <w:sz w:val="16"/>
          <w:szCs w:val="16"/>
        </w:rPr>
        <w:t xml:space="preserve">El artículo 242 del código de procedimiento administrativo y de lo contencioso administrativo señala que el recurso de reposición procede, entre otros, contra los autos que </w:t>
      </w:r>
      <w:r w:rsidRPr="00BA0995">
        <w:rPr>
          <w:rFonts w:ascii="Tahoma" w:hAnsi="Tahoma" w:cs="Tahoma"/>
          <w:b/>
          <w:sz w:val="16"/>
          <w:szCs w:val="16"/>
        </w:rPr>
        <w:t>no sean susceptibles de recurso de apelación</w:t>
      </w:r>
      <w:r w:rsidRPr="00BA0995">
        <w:rPr>
          <w:rFonts w:ascii="Tahoma" w:hAnsi="Tahoma" w:cs="Tahoma"/>
          <w:sz w:val="16"/>
          <w:szCs w:val="16"/>
        </w:rPr>
        <w:t>.</w:t>
      </w:r>
    </w:p>
    <w:p w:rsidR="00420DD6" w:rsidRPr="00BA0995" w:rsidRDefault="00420DD6" w:rsidP="00BA0995">
      <w:pPr>
        <w:jc w:val="both"/>
        <w:rPr>
          <w:rFonts w:ascii="Tahoma" w:hAnsi="Tahoma" w:cs="Tahoma"/>
          <w:sz w:val="16"/>
          <w:szCs w:val="16"/>
        </w:rPr>
      </w:pPr>
    </w:p>
    <w:p w:rsidR="00420DD6" w:rsidRPr="00BA0995" w:rsidRDefault="00420DD6" w:rsidP="00BA0995">
      <w:pPr>
        <w:jc w:val="both"/>
        <w:rPr>
          <w:rFonts w:ascii="Tahoma" w:hAnsi="Tahoma" w:cs="Tahoma"/>
          <w:sz w:val="16"/>
          <w:szCs w:val="16"/>
        </w:rPr>
      </w:pPr>
      <w:r w:rsidRPr="00BA0995">
        <w:rPr>
          <w:rFonts w:ascii="Tahoma" w:hAnsi="Tahoma" w:cs="Tahoma"/>
          <w:sz w:val="16"/>
          <w:szCs w:val="16"/>
        </w:rPr>
        <w:t xml:space="preserve">A su vez, el artículo 243 ibídem señala que los </w:t>
      </w:r>
      <w:r w:rsidRPr="00BA0995">
        <w:rPr>
          <w:rFonts w:ascii="Tahoma" w:hAnsi="Tahoma" w:cs="Tahoma"/>
          <w:b/>
          <w:sz w:val="16"/>
          <w:szCs w:val="16"/>
        </w:rPr>
        <w:t>autos susceptibles de apelación y proferidos en la misma instancia por los jueces administrativos son</w:t>
      </w:r>
      <w:r w:rsidRPr="00BA0995">
        <w:rPr>
          <w:rFonts w:ascii="Tahoma" w:hAnsi="Tahoma" w:cs="Tahoma"/>
          <w:sz w:val="16"/>
          <w:szCs w:val="16"/>
        </w:rPr>
        <w:t>:</w:t>
      </w:r>
    </w:p>
    <w:p w:rsidR="00420DD6" w:rsidRPr="00BA0995" w:rsidRDefault="00420DD6" w:rsidP="00BA0995">
      <w:pPr>
        <w:jc w:val="both"/>
        <w:rPr>
          <w:rFonts w:ascii="Tahoma" w:hAnsi="Tahoma" w:cs="Tahoma"/>
          <w:sz w:val="16"/>
          <w:szCs w:val="16"/>
        </w:rPr>
      </w:pPr>
    </w:p>
    <w:p w:rsidR="00420DD6" w:rsidRPr="00BA0995" w:rsidRDefault="00420DD6" w:rsidP="00BA0995">
      <w:pPr>
        <w:jc w:val="both"/>
        <w:rPr>
          <w:rFonts w:ascii="Tahoma" w:hAnsi="Tahoma" w:cs="Tahoma"/>
          <w:i/>
          <w:sz w:val="16"/>
          <w:szCs w:val="16"/>
        </w:rPr>
      </w:pPr>
      <w:r w:rsidRPr="00BA0995">
        <w:rPr>
          <w:rFonts w:ascii="Tahoma" w:hAnsi="Tahoma" w:cs="Tahoma"/>
          <w:i/>
          <w:sz w:val="16"/>
          <w:szCs w:val="16"/>
        </w:rPr>
        <w:t>“1. El que rechace la demanda.</w:t>
      </w:r>
    </w:p>
    <w:p w:rsidR="00420DD6" w:rsidRPr="00BA0995" w:rsidRDefault="00420DD6" w:rsidP="00BA0995">
      <w:pPr>
        <w:jc w:val="both"/>
        <w:rPr>
          <w:rFonts w:ascii="Tahoma" w:hAnsi="Tahoma" w:cs="Tahoma"/>
          <w:i/>
          <w:sz w:val="16"/>
          <w:szCs w:val="16"/>
        </w:rPr>
      </w:pPr>
      <w:r w:rsidRPr="00BA0995">
        <w:rPr>
          <w:rFonts w:ascii="Tahoma" w:hAnsi="Tahoma" w:cs="Tahoma"/>
          <w:i/>
          <w:sz w:val="16"/>
          <w:szCs w:val="16"/>
        </w:rPr>
        <w:t>2. El que decrete una medida cautelar y el que resuelva los incidentes de responsabilidad y desacato en ese mismo trámite.</w:t>
      </w:r>
    </w:p>
    <w:p w:rsidR="00420DD6" w:rsidRPr="00BA0995" w:rsidRDefault="00420DD6" w:rsidP="00BA0995">
      <w:pPr>
        <w:jc w:val="both"/>
        <w:rPr>
          <w:rFonts w:ascii="Tahoma" w:hAnsi="Tahoma" w:cs="Tahoma"/>
          <w:i/>
          <w:sz w:val="16"/>
          <w:szCs w:val="16"/>
        </w:rPr>
      </w:pPr>
      <w:r w:rsidRPr="00BA0995">
        <w:rPr>
          <w:rFonts w:ascii="Tahoma" w:hAnsi="Tahoma" w:cs="Tahoma"/>
          <w:i/>
          <w:sz w:val="16"/>
          <w:szCs w:val="16"/>
        </w:rPr>
        <w:t>3. El que ponga fin al proceso.</w:t>
      </w:r>
    </w:p>
    <w:p w:rsidR="00420DD6" w:rsidRPr="00BA0995" w:rsidRDefault="00420DD6" w:rsidP="00BA0995">
      <w:pPr>
        <w:jc w:val="both"/>
        <w:rPr>
          <w:rFonts w:ascii="Tahoma" w:hAnsi="Tahoma" w:cs="Tahoma"/>
          <w:i/>
          <w:sz w:val="16"/>
          <w:szCs w:val="16"/>
        </w:rPr>
      </w:pPr>
      <w:r w:rsidRPr="00BA0995">
        <w:rPr>
          <w:rFonts w:ascii="Tahoma" w:hAnsi="Tahoma" w:cs="Tahoma"/>
          <w:i/>
          <w:sz w:val="16"/>
          <w:szCs w:val="16"/>
        </w:rPr>
        <w:t>4. El que apruebe conciliaciones extrajudiciales o judiciales, recurso que solo podrá ser interpuesto por el Ministerio Público.</w:t>
      </w:r>
    </w:p>
    <w:p w:rsidR="00420DD6" w:rsidRPr="00BA0995" w:rsidRDefault="00420DD6" w:rsidP="00BA0995">
      <w:pPr>
        <w:jc w:val="both"/>
        <w:rPr>
          <w:rFonts w:ascii="Tahoma" w:hAnsi="Tahoma" w:cs="Tahoma"/>
          <w:i/>
          <w:sz w:val="16"/>
          <w:szCs w:val="16"/>
        </w:rPr>
      </w:pPr>
      <w:r w:rsidRPr="00BA0995">
        <w:rPr>
          <w:rFonts w:ascii="Tahoma" w:hAnsi="Tahoma" w:cs="Tahoma"/>
          <w:i/>
          <w:sz w:val="16"/>
          <w:szCs w:val="16"/>
        </w:rPr>
        <w:t>5. El que resuelva la liquidación de la condena o de los perjuicios.</w:t>
      </w:r>
    </w:p>
    <w:p w:rsidR="00420DD6" w:rsidRPr="00BA0995" w:rsidRDefault="00420DD6" w:rsidP="00BA0995">
      <w:pPr>
        <w:jc w:val="both"/>
        <w:rPr>
          <w:rFonts w:ascii="Tahoma" w:hAnsi="Tahoma" w:cs="Tahoma"/>
          <w:i/>
          <w:sz w:val="16"/>
          <w:szCs w:val="16"/>
        </w:rPr>
      </w:pPr>
      <w:r w:rsidRPr="00BA0995">
        <w:rPr>
          <w:rFonts w:ascii="Tahoma" w:hAnsi="Tahoma" w:cs="Tahoma"/>
          <w:i/>
          <w:sz w:val="16"/>
          <w:szCs w:val="16"/>
        </w:rPr>
        <w:t>6. El que decreta las nulidades procesales.</w:t>
      </w:r>
    </w:p>
    <w:p w:rsidR="00420DD6" w:rsidRPr="00BA0995" w:rsidRDefault="00420DD6" w:rsidP="00BA0995">
      <w:pPr>
        <w:jc w:val="both"/>
        <w:rPr>
          <w:rFonts w:ascii="Tahoma" w:hAnsi="Tahoma" w:cs="Tahoma"/>
          <w:i/>
          <w:sz w:val="16"/>
          <w:szCs w:val="16"/>
        </w:rPr>
      </w:pPr>
      <w:r w:rsidRPr="00BA0995">
        <w:rPr>
          <w:rFonts w:ascii="Tahoma" w:hAnsi="Tahoma" w:cs="Tahoma"/>
          <w:i/>
          <w:sz w:val="16"/>
          <w:szCs w:val="16"/>
        </w:rPr>
        <w:t>7. El que niega la intervención de terceros.</w:t>
      </w:r>
    </w:p>
    <w:p w:rsidR="00420DD6" w:rsidRPr="00BA0995" w:rsidRDefault="00420DD6" w:rsidP="00BA0995">
      <w:pPr>
        <w:jc w:val="both"/>
        <w:rPr>
          <w:rFonts w:ascii="Tahoma" w:hAnsi="Tahoma" w:cs="Tahoma"/>
          <w:i/>
          <w:sz w:val="16"/>
          <w:szCs w:val="16"/>
        </w:rPr>
      </w:pPr>
      <w:r w:rsidRPr="00BA0995">
        <w:rPr>
          <w:rFonts w:ascii="Tahoma" w:hAnsi="Tahoma" w:cs="Tahoma"/>
          <w:i/>
          <w:sz w:val="16"/>
          <w:szCs w:val="16"/>
        </w:rPr>
        <w:t>8. El que prescinda de la audiencia de pruebas.</w:t>
      </w:r>
    </w:p>
    <w:p w:rsidR="00420DD6" w:rsidRPr="00BA0995" w:rsidRDefault="00420DD6" w:rsidP="00BA0995">
      <w:pPr>
        <w:jc w:val="both"/>
        <w:rPr>
          <w:rFonts w:ascii="Tahoma" w:hAnsi="Tahoma" w:cs="Tahoma"/>
          <w:i/>
          <w:sz w:val="16"/>
          <w:szCs w:val="16"/>
        </w:rPr>
      </w:pPr>
      <w:r w:rsidRPr="00BA0995">
        <w:rPr>
          <w:rFonts w:ascii="Tahoma" w:hAnsi="Tahoma" w:cs="Tahoma"/>
          <w:i/>
          <w:sz w:val="16"/>
          <w:szCs w:val="16"/>
        </w:rPr>
        <w:t>9. El que deniegue el decreto o práctica de alguna prueba pedida oportunamente”</w:t>
      </w:r>
    </w:p>
    <w:p w:rsidR="00420DD6" w:rsidRPr="00BA0995" w:rsidRDefault="00420DD6" w:rsidP="00BA0995">
      <w:pPr>
        <w:jc w:val="both"/>
        <w:rPr>
          <w:rFonts w:ascii="Tahoma" w:hAnsi="Tahoma" w:cs="Tahoma"/>
          <w:i/>
          <w:sz w:val="16"/>
          <w:szCs w:val="16"/>
        </w:rPr>
      </w:pPr>
    </w:p>
    <w:p w:rsidR="00420DD6" w:rsidRDefault="00420DD6" w:rsidP="00BA0995">
      <w:pPr>
        <w:jc w:val="both"/>
        <w:rPr>
          <w:rFonts w:ascii="Tahoma" w:hAnsi="Tahoma" w:cs="Tahoma"/>
          <w:sz w:val="16"/>
          <w:szCs w:val="16"/>
        </w:rPr>
      </w:pPr>
      <w:r w:rsidRPr="00BA0995">
        <w:rPr>
          <w:rFonts w:ascii="Tahoma" w:hAnsi="Tahoma" w:cs="Tahoma"/>
          <w:sz w:val="16"/>
          <w:szCs w:val="16"/>
        </w:rPr>
        <w:t xml:space="preserve">En el caso bajo estudio la providencia recurrida solo es susceptible del recurso de reposición, razón por la cual se procederá a su estudio. </w:t>
      </w:r>
    </w:p>
    <w:p w:rsidR="00FA018E" w:rsidRPr="00BA0995" w:rsidRDefault="00FA018E" w:rsidP="00BA0995">
      <w:pPr>
        <w:jc w:val="both"/>
        <w:rPr>
          <w:rFonts w:ascii="Tahoma" w:hAnsi="Tahoma" w:cs="Tahoma"/>
          <w:sz w:val="16"/>
          <w:szCs w:val="16"/>
        </w:rPr>
      </w:pPr>
    </w:p>
    <w:p w:rsidR="00420DD6" w:rsidRDefault="00420DD6" w:rsidP="00BA0995">
      <w:pPr>
        <w:pStyle w:val="nueve-"/>
        <w:spacing w:before="0" w:after="0"/>
        <w:ind w:firstLine="0"/>
        <w:rPr>
          <w:rFonts w:ascii="Tahoma" w:hAnsi="Tahoma" w:cs="Tahoma"/>
          <w:sz w:val="16"/>
          <w:szCs w:val="16"/>
        </w:rPr>
      </w:pPr>
      <w:r w:rsidRPr="00BA0995">
        <w:rPr>
          <w:rFonts w:ascii="Tahoma" w:hAnsi="Tahoma" w:cs="Tahoma"/>
          <w:sz w:val="16"/>
          <w:szCs w:val="16"/>
        </w:rPr>
        <w:t xml:space="preserve">Dicho recurso debe interponerse dentro de los </w:t>
      </w:r>
      <w:r w:rsidRPr="00BA0995">
        <w:rPr>
          <w:rFonts w:ascii="Tahoma" w:hAnsi="Tahoma" w:cs="Tahoma"/>
          <w:b/>
          <w:sz w:val="16"/>
          <w:szCs w:val="16"/>
        </w:rPr>
        <w:t>tres (3)</w:t>
      </w:r>
      <w:r w:rsidRPr="00BA0995">
        <w:rPr>
          <w:rFonts w:ascii="Tahoma" w:hAnsi="Tahoma" w:cs="Tahoma"/>
          <w:sz w:val="16"/>
          <w:szCs w:val="16"/>
        </w:rPr>
        <w:t xml:space="preserve"> días siguientes al de la notificación del auto, excepto cuando éste se haya dictado en una audiencia o diligencia, caso en el cual debe interponerse en forma verbal inmediatamente se pronuncie el auto (Artículo 349 Código de Procedimiento Civil).</w:t>
      </w:r>
    </w:p>
    <w:p w:rsidR="00FA018E" w:rsidRPr="00BA0995" w:rsidRDefault="00FA018E" w:rsidP="00BA0995">
      <w:pPr>
        <w:pStyle w:val="nueve-"/>
        <w:spacing w:before="0" w:after="0"/>
        <w:ind w:firstLine="0"/>
        <w:rPr>
          <w:rFonts w:ascii="Tahoma" w:hAnsi="Tahoma" w:cs="Tahoma"/>
          <w:sz w:val="16"/>
          <w:szCs w:val="16"/>
        </w:rPr>
      </w:pPr>
    </w:p>
    <w:p w:rsidR="00420DD6" w:rsidRPr="00BA0995" w:rsidRDefault="00420DD6" w:rsidP="00BA0995">
      <w:pPr>
        <w:jc w:val="both"/>
        <w:rPr>
          <w:rFonts w:ascii="Tahoma" w:hAnsi="Tahoma" w:cs="Tahoma"/>
          <w:sz w:val="16"/>
          <w:szCs w:val="16"/>
        </w:rPr>
      </w:pPr>
      <w:r w:rsidRPr="00BA0995">
        <w:rPr>
          <w:rFonts w:ascii="Tahoma" w:hAnsi="Tahoma" w:cs="Tahoma"/>
          <w:sz w:val="16"/>
          <w:szCs w:val="16"/>
        </w:rPr>
        <w:t xml:space="preserve">El auto recurrido fue notificado por estado el 15 de enero de 2015, por lo que el actor tenía hasta el 20 de enero de la misma anualidad para presentar el recurso de reposición y como quiera que el mismo </w:t>
      </w:r>
      <w:proofErr w:type="gramStart"/>
      <w:r w:rsidRPr="00BA0995">
        <w:rPr>
          <w:rFonts w:ascii="Tahoma" w:hAnsi="Tahoma" w:cs="Tahoma"/>
          <w:sz w:val="16"/>
          <w:szCs w:val="16"/>
        </w:rPr>
        <w:t>fue</w:t>
      </w:r>
      <w:proofErr w:type="gramEnd"/>
      <w:r w:rsidRPr="00BA0995">
        <w:rPr>
          <w:rFonts w:ascii="Tahoma" w:hAnsi="Tahoma" w:cs="Tahoma"/>
          <w:sz w:val="16"/>
          <w:szCs w:val="16"/>
        </w:rPr>
        <w:t xml:space="preserve"> interpuesto este mismo día, encuentra el Despacho que fue presentado en tiempo.</w:t>
      </w:r>
    </w:p>
    <w:p w:rsidR="00420DD6" w:rsidRPr="00BA0995" w:rsidRDefault="00420DD6" w:rsidP="00BA0995">
      <w:pPr>
        <w:jc w:val="both"/>
        <w:rPr>
          <w:rFonts w:ascii="Tahoma" w:hAnsi="Tahoma" w:cs="Tahoma"/>
          <w:sz w:val="16"/>
          <w:szCs w:val="16"/>
        </w:rPr>
      </w:pPr>
    </w:p>
    <w:p w:rsidR="00420DD6" w:rsidRPr="00BA0995" w:rsidRDefault="00420DD6" w:rsidP="00BA0995">
      <w:pPr>
        <w:rPr>
          <w:rFonts w:ascii="Tahoma" w:hAnsi="Tahoma" w:cs="Tahoma"/>
          <w:b/>
          <w:sz w:val="16"/>
          <w:szCs w:val="16"/>
        </w:rPr>
      </w:pPr>
      <w:r w:rsidRPr="00BA0995">
        <w:rPr>
          <w:rFonts w:ascii="Tahoma" w:hAnsi="Tahoma" w:cs="Tahoma"/>
          <w:b/>
          <w:sz w:val="16"/>
          <w:szCs w:val="16"/>
        </w:rPr>
        <w:t>2. Estudio del recurso</w:t>
      </w:r>
    </w:p>
    <w:p w:rsidR="00420DD6" w:rsidRPr="00BA0995" w:rsidRDefault="00420DD6" w:rsidP="00BA0995">
      <w:pPr>
        <w:rPr>
          <w:rFonts w:ascii="Tahoma" w:hAnsi="Tahoma" w:cs="Tahoma"/>
          <w:sz w:val="16"/>
          <w:szCs w:val="16"/>
        </w:rPr>
      </w:pPr>
    </w:p>
    <w:p w:rsidR="00420DD6" w:rsidRPr="00BA0995" w:rsidRDefault="00420DD6" w:rsidP="00BA0995">
      <w:pPr>
        <w:ind w:right="-1"/>
        <w:jc w:val="both"/>
        <w:rPr>
          <w:rFonts w:ascii="Tahoma" w:hAnsi="Tahoma" w:cs="Tahoma"/>
          <w:sz w:val="16"/>
          <w:szCs w:val="16"/>
        </w:rPr>
      </w:pPr>
      <w:r w:rsidRPr="00BA0995">
        <w:rPr>
          <w:rFonts w:ascii="Tahoma" w:hAnsi="Tahoma" w:cs="Tahoma"/>
          <w:sz w:val="16"/>
          <w:szCs w:val="16"/>
        </w:rPr>
        <w:t>Argumenta el recurrente en síntesis lo siguiente:</w:t>
      </w:r>
    </w:p>
    <w:p w:rsidR="00420DD6" w:rsidRPr="00BA0995" w:rsidRDefault="00420DD6" w:rsidP="00BA0995">
      <w:pPr>
        <w:jc w:val="both"/>
        <w:rPr>
          <w:rFonts w:ascii="Tahoma" w:hAnsi="Tahoma" w:cs="Tahoma"/>
          <w:sz w:val="16"/>
          <w:szCs w:val="16"/>
        </w:rPr>
      </w:pPr>
    </w:p>
    <w:p w:rsidR="0037220F" w:rsidRPr="00765F66" w:rsidRDefault="00BA0995" w:rsidP="00BA0995">
      <w:pPr>
        <w:pStyle w:val="Style3"/>
        <w:widowControl/>
        <w:spacing w:line="240" w:lineRule="auto"/>
        <w:rPr>
          <w:rStyle w:val="FontStyle19"/>
          <w:rFonts w:ascii="Gill Sans MT" w:hAnsi="Gill Sans MT" w:cs="Tahoma"/>
          <w:i w:val="0"/>
          <w:sz w:val="16"/>
          <w:szCs w:val="16"/>
          <w:lang w:val="es-ES_tradnl" w:eastAsia="es-ES_tradnl"/>
        </w:rPr>
      </w:pPr>
      <w:r w:rsidRPr="00765F66">
        <w:rPr>
          <w:rStyle w:val="FontStyle15"/>
          <w:rFonts w:ascii="Gill Sans MT" w:hAnsi="Gill Sans MT" w:cs="Tahoma"/>
          <w:i/>
          <w:sz w:val="16"/>
          <w:szCs w:val="16"/>
          <w:lang w:val="es-ES_tradnl" w:eastAsia="es-ES_tradnl"/>
        </w:rPr>
        <w:t>“Considera</w:t>
      </w:r>
      <w:r w:rsidR="0037220F" w:rsidRPr="00765F66">
        <w:rPr>
          <w:rStyle w:val="FontStyle15"/>
          <w:rFonts w:ascii="Gill Sans MT" w:hAnsi="Gill Sans MT" w:cs="Tahoma"/>
          <w:i/>
          <w:sz w:val="16"/>
          <w:szCs w:val="16"/>
          <w:lang w:val="es-ES_tradnl" w:eastAsia="es-ES_tradnl"/>
        </w:rPr>
        <w:t xml:space="preserve"> el Despacho que no existe relación en las pretensiones "... </w:t>
      </w:r>
      <w:r w:rsidR="0037220F" w:rsidRPr="00765F66">
        <w:rPr>
          <w:rStyle w:val="FontStyle19"/>
          <w:rFonts w:ascii="Gill Sans MT" w:hAnsi="Gill Sans MT" w:cs="Tahoma"/>
          <w:i w:val="0"/>
          <w:sz w:val="16"/>
          <w:szCs w:val="16"/>
          <w:lang w:val="es-ES_tradnl" w:eastAsia="es-ES_tradnl"/>
        </w:rPr>
        <w:t>puesto que el contrato TT-11-2012 fue liquidado bilateralmente, es decir, no hubo objeciones entre las partes según como lo prueba en su acta de liquidación para realizar una transacción después de 9 meses de terminación".</w:t>
      </w:r>
    </w:p>
    <w:p w:rsidR="0037220F" w:rsidRPr="00765F66" w:rsidRDefault="0037220F" w:rsidP="00BA0995">
      <w:pPr>
        <w:pStyle w:val="Style9"/>
        <w:widowControl/>
        <w:spacing w:line="240" w:lineRule="auto"/>
        <w:rPr>
          <w:rFonts w:ascii="Gill Sans MT" w:hAnsi="Gill Sans MT" w:cs="Tahoma"/>
          <w:i/>
          <w:sz w:val="16"/>
          <w:szCs w:val="16"/>
        </w:rPr>
      </w:pPr>
    </w:p>
    <w:p w:rsidR="0037220F" w:rsidRPr="00765F66" w:rsidRDefault="0037220F" w:rsidP="00BA0995">
      <w:pPr>
        <w:pStyle w:val="Style9"/>
        <w:widowControl/>
        <w:spacing w:line="240" w:lineRule="auto"/>
        <w:rPr>
          <w:rStyle w:val="FontStyle15"/>
          <w:rFonts w:ascii="Gill Sans MT" w:hAnsi="Gill Sans MT" w:cs="Tahoma"/>
          <w:i/>
          <w:sz w:val="16"/>
          <w:szCs w:val="16"/>
          <w:lang w:val="es-ES_tradnl" w:eastAsia="es-ES_tradnl"/>
        </w:rPr>
      </w:pPr>
      <w:r w:rsidRPr="00765F66">
        <w:rPr>
          <w:rStyle w:val="FontStyle15"/>
          <w:rFonts w:ascii="Gill Sans MT" w:hAnsi="Gill Sans MT" w:cs="Tahoma"/>
          <w:i/>
          <w:sz w:val="16"/>
          <w:szCs w:val="16"/>
          <w:lang w:val="es-ES_tradnl" w:eastAsia="es-ES_tradnl"/>
        </w:rPr>
        <w:t>Al respecto, es menester advertir que si bien es cierto que el referido Contrato No. TT-11-2012 fue objeto de liquidación bilateral, oportunidad en la cual no se manifestó observación o constancia alguna en cuanto al contenido de la respectiva acta, debe tenerse en cuenta que las pretensiones de la demanda NO están referidas a obtener declaración alguna en relación con el mencionado Contrato No. TT-11-2012, pues como acertadamente lo indica el Despacho, dicha relación contractual quedó saldada al suscribirse el acta de liquidación bilateral sin manifestarse observación o constancia alguna respecto de su contenido.</w:t>
      </w:r>
    </w:p>
    <w:p w:rsidR="0037220F" w:rsidRPr="00765F66" w:rsidRDefault="0037220F" w:rsidP="00BA0995">
      <w:pPr>
        <w:pStyle w:val="Style9"/>
        <w:widowControl/>
        <w:spacing w:line="240" w:lineRule="auto"/>
        <w:rPr>
          <w:rFonts w:ascii="Gill Sans MT" w:hAnsi="Gill Sans MT" w:cs="Tahoma"/>
          <w:i/>
          <w:sz w:val="16"/>
          <w:szCs w:val="16"/>
        </w:rPr>
      </w:pPr>
    </w:p>
    <w:p w:rsidR="0037220F" w:rsidRPr="00765F66" w:rsidRDefault="0037220F" w:rsidP="00BA0995">
      <w:pPr>
        <w:pStyle w:val="Style9"/>
        <w:widowControl/>
        <w:spacing w:line="240" w:lineRule="auto"/>
        <w:rPr>
          <w:rStyle w:val="FontStyle15"/>
          <w:rFonts w:ascii="Gill Sans MT" w:hAnsi="Gill Sans MT" w:cs="Tahoma"/>
          <w:i/>
          <w:sz w:val="16"/>
          <w:szCs w:val="16"/>
          <w:lang w:val="es-ES_tradnl" w:eastAsia="es-ES_tradnl"/>
        </w:rPr>
      </w:pPr>
      <w:r w:rsidRPr="00765F66">
        <w:rPr>
          <w:rStyle w:val="FontStyle15"/>
          <w:rFonts w:ascii="Gill Sans MT" w:hAnsi="Gill Sans MT" w:cs="Tahoma"/>
          <w:i/>
          <w:sz w:val="16"/>
          <w:szCs w:val="16"/>
          <w:lang w:val="es-ES_tradnl" w:eastAsia="es-ES_tradnl"/>
        </w:rPr>
        <w:t xml:space="preserve">Precisamente, esta especial circunstancia constituye uno de los argumentos expuestos en la demanda para sustentar las pretensiones de inexistencia y/o nulidad del supuesto </w:t>
      </w:r>
      <w:r w:rsidRPr="00765F66">
        <w:rPr>
          <w:rStyle w:val="FontStyle19"/>
          <w:rFonts w:ascii="Gill Sans MT" w:hAnsi="Gill Sans MT" w:cs="Tahoma"/>
          <w:i w:val="0"/>
          <w:sz w:val="16"/>
          <w:szCs w:val="16"/>
          <w:lang w:val="es-ES_tradnl" w:eastAsia="es-ES_tradnl"/>
        </w:rPr>
        <w:t xml:space="preserve">"contrato de transacción" </w:t>
      </w:r>
      <w:r w:rsidRPr="00765F66">
        <w:rPr>
          <w:rStyle w:val="FontStyle15"/>
          <w:rFonts w:ascii="Gill Sans MT" w:hAnsi="Gill Sans MT" w:cs="Tahoma"/>
          <w:i/>
          <w:sz w:val="16"/>
          <w:szCs w:val="16"/>
          <w:lang w:val="es-ES_tradnl" w:eastAsia="es-ES_tradnl"/>
        </w:rPr>
        <w:t xml:space="preserve">de cinco (5) de junio de 2013, como quiera que al haberse liquidado bilateralmente el Contrato No. TT-11-2012 sin que los contratantes hubieren dejado alguna observación o constancia, no había lugar a discutir circunstancias atinentes a dicha relación contractual y mucho menos a suscribir un supuesto </w:t>
      </w:r>
      <w:r w:rsidRPr="00765F66">
        <w:rPr>
          <w:rStyle w:val="FontStyle19"/>
          <w:rFonts w:ascii="Gill Sans MT" w:hAnsi="Gill Sans MT" w:cs="Tahoma"/>
          <w:i w:val="0"/>
          <w:sz w:val="16"/>
          <w:szCs w:val="16"/>
          <w:lang w:val="es-ES_tradnl" w:eastAsia="es-ES_tradnl"/>
        </w:rPr>
        <w:t xml:space="preserve">"contrato de transacción" </w:t>
      </w:r>
      <w:r w:rsidRPr="00765F66">
        <w:rPr>
          <w:rStyle w:val="FontStyle15"/>
          <w:rFonts w:ascii="Gill Sans MT" w:hAnsi="Gill Sans MT" w:cs="Tahoma"/>
          <w:i/>
          <w:sz w:val="16"/>
          <w:szCs w:val="16"/>
          <w:lang w:val="es-ES_tradnl" w:eastAsia="es-ES_tradnl"/>
        </w:rPr>
        <w:t>pretendiendo revivir lo acontecido en el contrato anterior.</w:t>
      </w:r>
    </w:p>
    <w:p w:rsidR="0037220F" w:rsidRPr="00765F66" w:rsidRDefault="0037220F" w:rsidP="00BA0995">
      <w:pPr>
        <w:pStyle w:val="Style9"/>
        <w:widowControl/>
        <w:spacing w:line="240" w:lineRule="auto"/>
        <w:ind w:right="48"/>
        <w:rPr>
          <w:rFonts w:ascii="Gill Sans MT" w:hAnsi="Gill Sans MT" w:cs="Tahoma"/>
          <w:i/>
          <w:sz w:val="16"/>
          <w:szCs w:val="16"/>
        </w:rPr>
      </w:pPr>
    </w:p>
    <w:p w:rsidR="0037220F" w:rsidRPr="00765F66" w:rsidRDefault="0037220F" w:rsidP="00BA0995">
      <w:pPr>
        <w:pStyle w:val="Style9"/>
        <w:widowControl/>
        <w:spacing w:line="240" w:lineRule="auto"/>
        <w:ind w:right="48"/>
        <w:rPr>
          <w:rStyle w:val="FontStyle15"/>
          <w:rFonts w:ascii="Gill Sans MT" w:hAnsi="Gill Sans MT" w:cs="Tahoma"/>
          <w:i/>
          <w:sz w:val="16"/>
          <w:szCs w:val="16"/>
          <w:lang w:val="es-ES_tradnl" w:eastAsia="es-ES_tradnl"/>
        </w:rPr>
      </w:pPr>
      <w:r w:rsidRPr="00765F66">
        <w:rPr>
          <w:rStyle w:val="FontStyle15"/>
          <w:rFonts w:ascii="Gill Sans MT" w:hAnsi="Gill Sans MT" w:cs="Tahoma"/>
          <w:i/>
          <w:sz w:val="16"/>
          <w:szCs w:val="16"/>
          <w:lang w:val="es-ES_tradnl" w:eastAsia="es-ES_tradnl"/>
        </w:rPr>
        <w:lastRenderedPageBreak/>
        <w:t xml:space="preserve">Es con ocasión de lo anterior que se solicita al Despacho declarar la inexistencia del </w:t>
      </w:r>
      <w:r w:rsidRPr="00765F66">
        <w:rPr>
          <w:rStyle w:val="FontStyle19"/>
          <w:rFonts w:ascii="Gill Sans MT" w:hAnsi="Gill Sans MT" w:cs="Tahoma"/>
          <w:i w:val="0"/>
          <w:sz w:val="16"/>
          <w:szCs w:val="16"/>
          <w:lang w:val="es-ES_tradnl" w:eastAsia="es-ES_tradnl"/>
        </w:rPr>
        <w:t xml:space="preserve">"supuesto contrato de transacción" </w:t>
      </w:r>
      <w:r w:rsidRPr="00765F66">
        <w:rPr>
          <w:rStyle w:val="FontStyle15"/>
          <w:rFonts w:ascii="Gill Sans MT" w:hAnsi="Gill Sans MT" w:cs="Tahoma"/>
          <w:i/>
          <w:sz w:val="16"/>
          <w:szCs w:val="16"/>
          <w:lang w:val="es-ES_tradnl" w:eastAsia="es-ES_tradnl"/>
        </w:rPr>
        <w:t xml:space="preserve">y subsidiariamente la nulidad del mismo, destacando en este sentido que dicha </w:t>
      </w:r>
      <w:r w:rsidRPr="00765F66">
        <w:rPr>
          <w:rStyle w:val="FontStyle19"/>
          <w:rFonts w:ascii="Gill Sans MT" w:hAnsi="Gill Sans MT" w:cs="Tahoma"/>
          <w:i w:val="0"/>
          <w:sz w:val="16"/>
          <w:szCs w:val="16"/>
          <w:lang w:val="es-ES_tradnl" w:eastAsia="es-ES_tradnl"/>
        </w:rPr>
        <w:t xml:space="preserve">"relación contractual </w:t>
      </w:r>
      <w:r w:rsidRPr="00765F66">
        <w:rPr>
          <w:rStyle w:val="FontStyle15"/>
          <w:rFonts w:ascii="Gill Sans MT" w:hAnsi="Gill Sans MT" w:cs="Tahoma"/>
          <w:i/>
          <w:sz w:val="16"/>
          <w:szCs w:val="16"/>
          <w:lang w:val="es-ES_tradnl" w:eastAsia="es-ES_tradnl"/>
        </w:rPr>
        <w:t>no se ha dado por terminada y mucho menos ha sido objeto de liquidación. Con fundamento en ello, se pide igualmente la nulidad de las Resoluciones No. 06 y 08 de 2014 proferidas por la Terminal de Transporte, habida cuenta que las mismas se fundamentan en el</w:t>
      </w:r>
      <w:r w:rsidR="00BA0995" w:rsidRPr="00765F66">
        <w:rPr>
          <w:rStyle w:val="FontStyle15"/>
          <w:rFonts w:ascii="Gill Sans MT" w:hAnsi="Gill Sans MT" w:cs="Tahoma"/>
          <w:i/>
          <w:sz w:val="16"/>
          <w:szCs w:val="16"/>
          <w:lang w:val="es-ES_tradnl" w:eastAsia="es-ES_tradnl"/>
        </w:rPr>
        <w:t xml:space="preserve"> </w:t>
      </w:r>
      <w:r w:rsidRPr="00765F66">
        <w:rPr>
          <w:rStyle w:val="FontStyle15"/>
          <w:rFonts w:ascii="Gill Sans MT" w:hAnsi="Gill Sans MT" w:cs="Tahoma"/>
          <w:i/>
          <w:sz w:val="16"/>
          <w:szCs w:val="16"/>
          <w:lang w:val="es-ES_tradnl" w:eastAsia="es-ES_tradnl"/>
        </w:rPr>
        <w:t xml:space="preserve">supuesto </w:t>
      </w:r>
      <w:r w:rsidRPr="00765F66">
        <w:rPr>
          <w:rStyle w:val="FontStyle19"/>
          <w:rFonts w:ascii="Gill Sans MT" w:hAnsi="Gill Sans MT" w:cs="Tahoma"/>
          <w:i w:val="0"/>
          <w:sz w:val="16"/>
          <w:szCs w:val="16"/>
          <w:lang w:val="es-ES_tradnl" w:eastAsia="es-ES_tradnl"/>
        </w:rPr>
        <w:t xml:space="preserve">"contrato de transacción" </w:t>
      </w:r>
      <w:r w:rsidRPr="00765F66">
        <w:rPr>
          <w:rStyle w:val="FontStyle15"/>
          <w:rFonts w:ascii="Gill Sans MT" w:hAnsi="Gill Sans MT" w:cs="Tahoma"/>
          <w:i/>
          <w:sz w:val="16"/>
          <w:szCs w:val="16"/>
          <w:lang w:val="es-ES_tradnl" w:eastAsia="es-ES_tradnl"/>
        </w:rPr>
        <w:t>que a juicio de la parte demandante es inexistente o nulo subsidiariamente de acuerdo con lo expresado en la demanda.</w:t>
      </w:r>
    </w:p>
    <w:p w:rsidR="0037220F" w:rsidRPr="00765F66" w:rsidRDefault="0037220F" w:rsidP="00BA0995">
      <w:pPr>
        <w:pStyle w:val="Style9"/>
        <w:widowControl/>
        <w:spacing w:line="240" w:lineRule="auto"/>
        <w:rPr>
          <w:rFonts w:ascii="Gill Sans MT" w:hAnsi="Gill Sans MT" w:cs="Tahoma"/>
          <w:i/>
          <w:sz w:val="16"/>
          <w:szCs w:val="16"/>
        </w:rPr>
      </w:pPr>
    </w:p>
    <w:p w:rsidR="0037220F" w:rsidRPr="00765F66" w:rsidRDefault="0037220F" w:rsidP="00BA0995">
      <w:pPr>
        <w:pStyle w:val="Style9"/>
        <w:widowControl/>
        <w:spacing w:line="240" w:lineRule="auto"/>
        <w:rPr>
          <w:rStyle w:val="FontStyle15"/>
          <w:rFonts w:ascii="Gill Sans MT" w:hAnsi="Gill Sans MT" w:cs="Tahoma"/>
          <w:i/>
          <w:sz w:val="16"/>
          <w:szCs w:val="16"/>
          <w:lang w:val="es-ES_tradnl" w:eastAsia="es-ES_tradnl"/>
        </w:rPr>
      </w:pPr>
      <w:r w:rsidRPr="00765F66">
        <w:rPr>
          <w:rStyle w:val="FontStyle15"/>
          <w:rFonts w:ascii="Gill Sans MT" w:hAnsi="Gill Sans MT" w:cs="Tahoma"/>
          <w:i/>
          <w:sz w:val="16"/>
          <w:szCs w:val="16"/>
          <w:lang w:val="es-ES_tradnl" w:eastAsia="es-ES_tradnl"/>
        </w:rPr>
        <w:t xml:space="preserve">En otras palabras, considerando que ninguna pretensión se formuló respecto del Contrato No. TT-11-2012, habida cuenta que el mismo fue cumplido a satisfacción y se liquidó de manera bilateral sin observación o constancia alguna, debe tenerse en cuenta que las pretensiones formuladas en la demanda se refieren única y exclusivamente al supuesto </w:t>
      </w:r>
      <w:r w:rsidRPr="00765F66">
        <w:rPr>
          <w:rStyle w:val="FontStyle19"/>
          <w:rFonts w:ascii="Gill Sans MT" w:hAnsi="Gill Sans MT" w:cs="Tahoma"/>
          <w:i w:val="0"/>
          <w:sz w:val="16"/>
          <w:szCs w:val="16"/>
          <w:lang w:val="es-ES_tradnl" w:eastAsia="es-ES_tradnl"/>
        </w:rPr>
        <w:t xml:space="preserve">"contrato de transacción" </w:t>
      </w:r>
      <w:r w:rsidRPr="00765F66">
        <w:rPr>
          <w:rStyle w:val="FontStyle15"/>
          <w:rFonts w:ascii="Gill Sans MT" w:hAnsi="Gill Sans MT" w:cs="Tahoma"/>
          <w:i/>
          <w:sz w:val="16"/>
          <w:szCs w:val="16"/>
          <w:lang w:val="es-ES_tradnl" w:eastAsia="es-ES_tradnl"/>
        </w:rPr>
        <w:t>de cinco (5) de junio de 2013, mediante el cual la entidad pública contratante pretendió revivir la relación contractual ya fenecida.</w:t>
      </w:r>
    </w:p>
    <w:p w:rsidR="0037220F" w:rsidRPr="00765F66" w:rsidRDefault="0037220F" w:rsidP="00BA0995">
      <w:pPr>
        <w:pStyle w:val="Style9"/>
        <w:widowControl/>
        <w:spacing w:line="240" w:lineRule="auto"/>
        <w:rPr>
          <w:rFonts w:ascii="Gill Sans MT" w:hAnsi="Gill Sans MT" w:cs="Tahoma"/>
          <w:i/>
          <w:sz w:val="16"/>
          <w:szCs w:val="16"/>
        </w:rPr>
      </w:pPr>
    </w:p>
    <w:p w:rsidR="0037220F" w:rsidRPr="00765F66" w:rsidRDefault="0037220F" w:rsidP="00BA0995">
      <w:pPr>
        <w:pStyle w:val="Style9"/>
        <w:widowControl/>
        <w:spacing w:line="240" w:lineRule="auto"/>
        <w:rPr>
          <w:rStyle w:val="FontStyle15"/>
          <w:rFonts w:ascii="Gill Sans MT" w:hAnsi="Gill Sans MT" w:cs="Tahoma"/>
          <w:i/>
          <w:sz w:val="16"/>
          <w:szCs w:val="16"/>
          <w:lang w:val="es-ES_tradnl" w:eastAsia="es-ES_tradnl"/>
        </w:rPr>
      </w:pPr>
      <w:r w:rsidRPr="00765F66">
        <w:rPr>
          <w:rStyle w:val="FontStyle15"/>
          <w:rFonts w:ascii="Gill Sans MT" w:hAnsi="Gill Sans MT" w:cs="Tahoma"/>
          <w:i/>
          <w:sz w:val="16"/>
          <w:szCs w:val="16"/>
          <w:lang w:val="es-ES_tradnl" w:eastAsia="es-ES_tradnl"/>
        </w:rPr>
        <w:t xml:space="preserve">Por lo anterior, no se formula pretensión alguna respecto del Contrato No. TT-11-2012, pues la controversia planteada en la demanda </w:t>
      </w:r>
      <w:r w:rsidRPr="00765F66">
        <w:rPr>
          <w:rStyle w:val="FontStyle19"/>
          <w:rFonts w:ascii="Gill Sans MT" w:hAnsi="Gill Sans MT" w:cs="Tahoma"/>
          <w:i w:val="0"/>
          <w:sz w:val="16"/>
          <w:szCs w:val="16"/>
          <w:lang w:val="es-ES_tradnl" w:eastAsia="es-ES_tradnl"/>
        </w:rPr>
        <w:t xml:space="preserve">sub examine </w:t>
      </w:r>
      <w:r w:rsidRPr="00765F66">
        <w:rPr>
          <w:rStyle w:val="FontStyle15"/>
          <w:rFonts w:ascii="Gill Sans MT" w:hAnsi="Gill Sans MT" w:cs="Tahoma"/>
          <w:i/>
          <w:sz w:val="16"/>
          <w:szCs w:val="16"/>
          <w:lang w:val="es-ES_tradnl" w:eastAsia="es-ES_tradnl"/>
        </w:rPr>
        <w:t xml:space="preserve">corresponde al supuesto </w:t>
      </w:r>
      <w:r w:rsidRPr="00765F66">
        <w:rPr>
          <w:rStyle w:val="FontStyle19"/>
          <w:rFonts w:ascii="Gill Sans MT" w:hAnsi="Gill Sans MT" w:cs="Tahoma"/>
          <w:i w:val="0"/>
          <w:sz w:val="16"/>
          <w:szCs w:val="16"/>
          <w:lang w:val="es-ES_tradnl" w:eastAsia="es-ES_tradnl"/>
        </w:rPr>
        <w:t xml:space="preserve">"contrato de transacción" </w:t>
      </w:r>
      <w:r w:rsidRPr="00765F66">
        <w:rPr>
          <w:rStyle w:val="FontStyle15"/>
          <w:rFonts w:ascii="Gill Sans MT" w:hAnsi="Gill Sans MT" w:cs="Tahoma"/>
          <w:i/>
          <w:sz w:val="16"/>
          <w:szCs w:val="16"/>
          <w:lang w:val="es-ES_tradnl" w:eastAsia="es-ES_tradnl"/>
        </w:rPr>
        <w:t xml:space="preserve">de cinco (5) de junio de 2013, el cual quiso celebrar la entidad pública contratante para revivir lo acontecido en el Contrato No. TT-11-2012, desconociendo que dicha relación contractual se encontraba terminada, liquidada bilateralmente y sin constancias u observaciones en cuanto al cumplimiento de la misma. Ningún reproche merece para el demandante el Contrato No, TT-11-2012 y mucho menos lo concerniente a la liquidación bilateral del mismo, razón por la cual la presente controversia se dirige al supuesto </w:t>
      </w:r>
      <w:r w:rsidRPr="00765F66">
        <w:rPr>
          <w:rStyle w:val="FontStyle19"/>
          <w:rFonts w:ascii="Gill Sans MT" w:hAnsi="Gill Sans MT" w:cs="Tahoma"/>
          <w:i w:val="0"/>
          <w:sz w:val="16"/>
          <w:szCs w:val="16"/>
          <w:lang w:val="es-ES_tradnl" w:eastAsia="es-ES_tradnl"/>
        </w:rPr>
        <w:t xml:space="preserve">"contrato de transacción" </w:t>
      </w:r>
      <w:r w:rsidRPr="00765F66">
        <w:rPr>
          <w:rStyle w:val="FontStyle15"/>
          <w:rFonts w:ascii="Gill Sans MT" w:hAnsi="Gill Sans MT" w:cs="Tahoma"/>
          <w:i/>
          <w:sz w:val="16"/>
          <w:szCs w:val="16"/>
          <w:lang w:val="es-ES_tradnl" w:eastAsia="es-ES_tradnl"/>
        </w:rPr>
        <w:t>de cinco (5) de junio de 2013.</w:t>
      </w:r>
    </w:p>
    <w:p w:rsidR="0037220F" w:rsidRPr="00765F66" w:rsidRDefault="0037220F" w:rsidP="00BA0995">
      <w:pPr>
        <w:pStyle w:val="Style9"/>
        <w:widowControl/>
        <w:spacing w:line="240" w:lineRule="auto"/>
        <w:ind w:right="34"/>
        <w:rPr>
          <w:rFonts w:ascii="Gill Sans MT" w:hAnsi="Gill Sans MT" w:cs="Tahoma"/>
          <w:i/>
          <w:sz w:val="16"/>
          <w:szCs w:val="16"/>
        </w:rPr>
      </w:pPr>
    </w:p>
    <w:p w:rsidR="0037220F" w:rsidRPr="00765F66" w:rsidRDefault="0037220F" w:rsidP="00BA0995">
      <w:pPr>
        <w:pStyle w:val="Style9"/>
        <w:widowControl/>
        <w:spacing w:line="240" w:lineRule="auto"/>
        <w:ind w:right="34"/>
        <w:rPr>
          <w:rStyle w:val="FontStyle15"/>
          <w:rFonts w:ascii="Gill Sans MT" w:hAnsi="Gill Sans MT" w:cs="Tahoma"/>
          <w:i/>
          <w:sz w:val="16"/>
          <w:szCs w:val="16"/>
          <w:lang w:val="es-ES_tradnl" w:eastAsia="es-ES_tradnl"/>
        </w:rPr>
      </w:pPr>
      <w:r w:rsidRPr="00765F66">
        <w:rPr>
          <w:rStyle w:val="FontStyle15"/>
          <w:rFonts w:ascii="Gill Sans MT" w:hAnsi="Gill Sans MT" w:cs="Tahoma"/>
          <w:i/>
          <w:sz w:val="16"/>
          <w:szCs w:val="16"/>
          <w:lang w:val="es-ES_tradnl" w:eastAsia="es-ES_tradnl"/>
        </w:rPr>
        <w:t xml:space="preserve">Bajo este entendimiento, al formular la pretensión de inexistencia del supuesto </w:t>
      </w:r>
      <w:r w:rsidRPr="00765F66">
        <w:rPr>
          <w:rStyle w:val="FontStyle19"/>
          <w:rFonts w:ascii="Gill Sans MT" w:hAnsi="Gill Sans MT" w:cs="Tahoma"/>
          <w:i w:val="0"/>
          <w:sz w:val="16"/>
          <w:szCs w:val="16"/>
          <w:lang w:val="es-ES_tradnl" w:eastAsia="es-ES_tradnl"/>
        </w:rPr>
        <w:t xml:space="preserve">"contrato de transacción" </w:t>
      </w:r>
      <w:r w:rsidRPr="00765F66">
        <w:rPr>
          <w:rStyle w:val="FontStyle15"/>
          <w:rFonts w:ascii="Gill Sans MT" w:hAnsi="Gill Sans MT" w:cs="Tahoma"/>
          <w:i/>
          <w:sz w:val="16"/>
          <w:szCs w:val="16"/>
          <w:lang w:val="es-ES_tradnl" w:eastAsia="es-ES_tradnl"/>
        </w:rPr>
        <w:t>y subsidiariamente la nulidad del mismo, así como al pretenderse la nulidad de las Resolución No. 06 y 08 de 2014 proferidas por la Terminal de Transporte y la consecuencial indemnización de perjuicios, se dio cabal cumplimiento a lo exigido al respecto por el numeral 2</w:t>
      </w:r>
      <w:r w:rsidRPr="00765F66">
        <w:rPr>
          <w:rStyle w:val="FontStyle15"/>
          <w:rFonts w:ascii="Gill Sans MT" w:hAnsi="Gill Sans MT" w:cs="Tahoma"/>
          <w:i/>
          <w:sz w:val="16"/>
          <w:szCs w:val="16"/>
          <w:vertAlign w:val="superscript"/>
          <w:lang w:val="es-ES_tradnl" w:eastAsia="es-ES_tradnl"/>
        </w:rPr>
        <w:t>o</w:t>
      </w:r>
      <w:r w:rsidRPr="00765F66">
        <w:rPr>
          <w:rStyle w:val="FontStyle15"/>
          <w:rFonts w:ascii="Gill Sans MT" w:hAnsi="Gill Sans MT" w:cs="Tahoma"/>
          <w:i/>
          <w:sz w:val="16"/>
          <w:szCs w:val="16"/>
          <w:lang w:val="es-ES_tradnl" w:eastAsia="es-ES_tradnl"/>
        </w:rPr>
        <w:t xml:space="preserve"> del artículo 162 del CPACA, de ahí que no hay lugar a la inadmisión de la demanda </w:t>
      </w:r>
      <w:r w:rsidR="00BA0995" w:rsidRPr="00765F66">
        <w:rPr>
          <w:rStyle w:val="FontStyle15"/>
          <w:rFonts w:ascii="Gill Sans MT" w:hAnsi="Gill Sans MT" w:cs="Tahoma"/>
          <w:i/>
          <w:sz w:val="16"/>
          <w:szCs w:val="16"/>
          <w:lang w:val="es-ES_tradnl" w:eastAsia="es-ES_tradnl"/>
        </w:rPr>
        <w:t>por esta especial circunstancia”</w:t>
      </w:r>
    </w:p>
    <w:p w:rsidR="0037220F" w:rsidRPr="00BA0995" w:rsidRDefault="0037220F" w:rsidP="00BA0995">
      <w:pPr>
        <w:jc w:val="both"/>
        <w:rPr>
          <w:rFonts w:ascii="Tahoma" w:hAnsi="Tahoma" w:cs="Tahoma"/>
          <w:sz w:val="16"/>
          <w:szCs w:val="16"/>
          <w:lang w:val="es-ES_tradnl"/>
        </w:rPr>
      </w:pPr>
    </w:p>
    <w:p w:rsidR="00420DD6" w:rsidRDefault="00420DD6" w:rsidP="00BA0995">
      <w:pPr>
        <w:jc w:val="both"/>
        <w:rPr>
          <w:rFonts w:ascii="Tahoma" w:hAnsi="Tahoma" w:cs="Tahoma"/>
          <w:sz w:val="16"/>
          <w:szCs w:val="16"/>
        </w:rPr>
      </w:pPr>
      <w:r w:rsidRPr="00BA0995">
        <w:rPr>
          <w:rFonts w:ascii="Tahoma" w:hAnsi="Tahoma" w:cs="Tahoma"/>
          <w:sz w:val="16"/>
          <w:szCs w:val="16"/>
        </w:rPr>
        <w:t xml:space="preserve">Este Despacho considera </w:t>
      </w:r>
      <w:r w:rsidR="00337C40">
        <w:rPr>
          <w:rFonts w:ascii="Tahoma" w:hAnsi="Tahoma" w:cs="Tahoma"/>
          <w:sz w:val="16"/>
          <w:szCs w:val="16"/>
        </w:rPr>
        <w:t>que</w:t>
      </w:r>
      <w:r w:rsidR="00765F66">
        <w:rPr>
          <w:rFonts w:ascii="Tahoma" w:hAnsi="Tahoma" w:cs="Tahoma"/>
          <w:sz w:val="16"/>
          <w:szCs w:val="16"/>
        </w:rPr>
        <w:t xml:space="preserve"> sí era</w:t>
      </w:r>
      <w:r w:rsidR="00337C40">
        <w:rPr>
          <w:rFonts w:ascii="Tahoma" w:hAnsi="Tahoma" w:cs="Tahoma"/>
          <w:sz w:val="16"/>
          <w:szCs w:val="16"/>
        </w:rPr>
        <w:t xml:space="preserve"> necesaria la aclaración que se le solicit</w:t>
      </w:r>
      <w:r w:rsidR="00765F66">
        <w:rPr>
          <w:rFonts w:ascii="Tahoma" w:hAnsi="Tahoma" w:cs="Tahoma"/>
          <w:sz w:val="16"/>
          <w:szCs w:val="16"/>
        </w:rPr>
        <w:t>ó a la parte actora</w:t>
      </w:r>
      <w:r w:rsidR="00337C40">
        <w:rPr>
          <w:rFonts w:ascii="Tahoma" w:hAnsi="Tahoma" w:cs="Tahoma"/>
          <w:sz w:val="16"/>
          <w:szCs w:val="16"/>
        </w:rPr>
        <w:t xml:space="preserve"> en la inadmisión de la demanda, para tener claridad de manera cronológica en la que sucedieron los hechos, explicación que suministra precisamente con este escrito y el que acompaña como subsanación.</w:t>
      </w:r>
    </w:p>
    <w:p w:rsidR="00420DD6" w:rsidRPr="00BA0995" w:rsidRDefault="00420DD6" w:rsidP="00BA0995">
      <w:pPr>
        <w:jc w:val="both"/>
        <w:rPr>
          <w:rFonts w:ascii="Tahoma" w:hAnsi="Tahoma" w:cs="Tahoma"/>
          <w:sz w:val="16"/>
          <w:szCs w:val="16"/>
          <w:lang w:val="es-CO"/>
        </w:rPr>
      </w:pPr>
    </w:p>
    <w:p w:rsidR="00420DD6" w:rsidRPr="00BA0995" w:rsidRDefault="00420DD6" w:rsidP="00BA0995">
      <w:pPr>
        <w:jc w:val="both"/>
        <w:rPr>
          <w:rFonts w:ascii="Tahoma" w:hAnsi="Tahoma" w:cs="Tahoma"/>
          <w:sz w:val="16"/>
          <w:szCs w:val="16"/>
        </w:rPr>
      </w:pPr>
      <w:r w:rsidRPr="00BA0995">
        <w:rPr>
          <w:rFonts w:ascii="Tahoma" w:hAnsi="Tahoma" w:cs="Tahoma"/>
          <w:sz w:val="16"/>
          <w:szCs w:val="16"/>
        </w:rPr>
        <w:t xml:space="preserve">En consecuencia, este Despacho procederá a confirmar el auto del </w:t>
      </w:r>
      <w:r w:rsidR="00BE0018">
        <w:rPr>
          <w:rFonts w:ascii="Tahoma" w:hAnsi="Tahoma" w:cs="Tahoma"/>
          <w:sz w:val="16"/>
          <w:szCs w:val="16"/>
        </w:rPr>
        <w:t>16 de octubre de 2014</w:t>
      </w:r>
      <w:r w:rsidRPr="00BA0995">
        <w:rPr>
          <w:rFonts w:ascii="Tahoma" w:hAnsi="Tahoma" w:cs="Tahoma"/>
          <w:sz w:val="16"/>
          <w:szCs w:val="16"/>
        </w:rPr>
        <w:t xml:space="preserve">, por medio del cual se </w:t>
      </w:r>
      <w:r w:rsidR="00FA018E">
        <w:rPr>
          <w:rFonts w:ascii="Tahoma" w:hAnsi="Tahoma" w:cs="Tahoma"/>
          <w:sz w:val="16"/>
          <w:szCs w:val="16"/>
        </w:rPr>
        <w:t>inadmitió la demanda</w:t>
      </w:r>
      <w:r w:rsidRPr="00BA0995">
        <w:rPr>
          <w:rFonts w:ascii="Tahoma" w:hAnsi="Tahoma" w:cs="Tahoma"/>
          <w:sz w:val="16"/>
          <w:szCs w:val="16"/>
        </w:rPr>
        <w:t xml:space="preserve">  </w:t>
      </w:r>
      <w:r w:rsidR="00337C40">
        <w:rPr>
          <w:rFonts w:ascii="Tahoma" w:hAnsi="Tahoma" w:cs="Tahoma"/>
          <w:sz w:val="16"/>
          <w:szCs w:val="16"/>
        </w:rPr>
        <w:t>y a estudiar la admisión en auto separado.</w:t>
      </w:r>
    </w:p>
    <w:p w:rsidR="00420DD6" w:rsidRPr="00BA0995" w:rsidRDefault="00420DD6" w:rsidP="00BA0995">
      <w:pPr>
        <w:jc w:val="both"/>
        <w:rPr>
          <w:rFonts w:ascii="Tahoma" w:hAnsi="Tahoma" w:cs="Tahoma"/>
          <w:sz w:val="16"/>
          <w:szCs w:val="16"/>
          <w:lang w:val="es-MX"/>
        </w:rPr>
      </w:pPr>
    </w:p>
    <w:p w:rsidR="00420DD6" w:rsidRPr="00BA0995" w:rsidRDefault="00420DD6" w:rsidP="00BA0995">
      <w:pPr>
        <w:rPr>
          <w:rFonts w:ascii="Tahoma" w:hAnsi="Tahoma" w:cs="Tahoma"/>
          <w:b/>
          <w:bCs/>
          <w:sz w:val="16"/>
          <w:szCs w:val="16"/>
        </w:rPr>
      </w:pPr>
      <w:r w:rsidRPr="00BA0995">
        <w:rPr>
          <w:rFonts w:ascii="Tahoma" w:hAnsi="Tahoma" w:cs="Tahoma"/>
          <w:sz w:val="16"/>
          <w:szCs w:val="16"/>
        </w:rPr>
        <w:t xml:space="preserve">Por lo brevemente expuesto, se </w:t>
      </w:r>
      <w:r w:rsidRPr="00BA0995">
        <w:rPr>
          <w:rFonts w:ascii="Tahoma" w:hAnsi="Tahoma" w:cs="Tahoma"/>
          <w:b/>
          <w:bCs/>
          <w:sz w:val="16"/>
          <w:szCs w:val="16"/>
        </w:rPr>
        <w:t>RESUELVE:</w:t>
      </w:r>
    </w:p>
    <w:p w:rsidR="00420DD6" w:rsidRPr="00BA0995" w:rsidRDefault="00420DD6" w:rsidP="00BA0995">
      <w:pPr>
        <w:rPr>
          <w:rFonts w:ascii="Tahoma" w:hAnsi="Tahoma" w:cs="Tahoma"/>
          <w:sz w:val="16"/>
          <w:szCs w:val="16"/>
        </w:rPr>
      </w:pPr>
    </w:p>
    <w:p w:rsidR="00420DD6" w:rsidRPr="00BA0995" w:rsidRDefault="00420DD6" w:rsidP="00BA0995">
      <w:pPr>
        <w:jc w:val="both"/>
        <w:rPr>
          <w:rFonts w:ascii="Tahoma" w:hAnsi="Tahoma" w:cs="Tahoma"/>
          <w:bCs/>
          <w:sz w:val="16"/>
          <w:szCs w:val="16"/>
          <w:lang w:val="es-MX"/>
        </w:rPr>
      </w:pPr>
      <w:r w:rsidRPr="00BA0995">
        <w:rPr>
          <w:rFonts w:ascii="Tahoma" w:hAnsi="Tahoma" w:cs="Tahoma"/>
          <w:b/>
          <w:bCs/>
          <w:sz w:val="16"/>
          <w:szCs w:val="16"/>
          <w:lang w:val="es-MX"/>
        </w:rPr>
        <w:t>Confírmese</w:t>
      </w:r>
      <w:r w:rsidRPr="00BA0995">
        <w:rPr>
          <w:rFonts w:ascii="Tahoma" w:hAnsi="Tahoma" w:cs="Tahoma"/>
          <w:bCs/>
          <w:noProof/>
          <w:color w:val="000000"/>
          <w:sz w:val="16"/>
          <w:szCs w:val="16"/>
          <w:lang w:val="es-MX"/>
        </w:rPr>
        <w:t xml:space="preserve"> </w:t>
      </w:r>
      <w:r w:rsidRPr="00BA0995">
        <w:rPr>
          <w:rFonts w:ascii="Tahoma" w:hAnsi="Tahoma" w:cs="Tahoma"/>
          <w:bCs/>
          <w:sz w:val="16"/>
          <w:szCs w:val="16"/>
          <w:lang w:val="es-MX"/>
        </w:rPr>
        <w:t xml:space="preserve">la providencia del </w:t>
      </w:r>
      <w:r w:rsidR="00BE0018">
        <w:rPr>
          <w:rFonts w:ascii="Tahoma" w:hAnsi="Tahoma" w:cs="Tahoma"/>
          <w:sz w:val="16"/>
          <w:szCs w:val="16"/>
        </w:rPr>
        <w:t>16 de octubre de 2014</w:t>
      </w:r>
      <w:r w:rsidRPr="00BA0995">
        <w:rPr>
          <w:rFonts w:ascii="Tahoma" w:hAnsi="Tahoma" w:cs="Tahoma"/>
          <w:bCs/>
          <w:sz w:val="16"/>
          <w:szCs w:val="16"/>
          <w:lang w:val="es-MX"/>
        </w:rPr>
        <w:t xml:space="preserve">, por las razones expuestas en la parte motiva de esta providencia. </w:t>
      </w:r>
    </w:p>
    <w:p w:rsidR="00420DD6" w:rsidRPr="00BA0995" w:rsidRDefault="00420DD6" w:rsidP="00BA0995">
      <w:pPr>
        <w:jc w:val="both"/>
        <w:rPr>
          <w:rFonts w:ascii="Tahoma" w:hAnsi="Tahoma" w:cs="Tahoma"/>
          <w:b/>
          <w:i/>
          <w:sz w:val="16"/>
          <w:szCs w:val="16"/>
          <w:lang w:val="es-MX"/>
        </w:rPr>
      </w:pPr>
    </w:p>
    <w:p w:rsidR="00420DD6" w:rsidRPr="00BA0995" w:rsidRDefault="00420DD6" w:rsidP="00BA0995">
      <w:pPr>
        <w:jc w:val="both"/>
        <w:rPr>
          <w:rFonts w:ascii="Tahoma" w:hAnsi="Tahoma" w:cs="Tahoma"/>
          <w:b/>
          <w:bCs/>
          <w:sz w:val="16"/>
          <w:szCs w:val="16"/>
        </w:rPr>
      </w:pPr>
      <w:r w:rsidRPr="00BA0995">
        <w:rPr>
          <w:rFonts w:ascii="Tahoma" w:hAnsi="Tahoma" w:cs="Tahoma"/>
          <w:b/>
          <w:bCs/>
          <w:sz w:val="16"/>
          <w:szCs w:val="16"/>
        </w:rPr>
        <w:t>NOTIFÍQUESE Y CUMPLASE</w:t>
      </w:r>
    </w:p>
    <w:p w:rsidR="00420DD6" w:rsidRPr="00BA0995" w:rsidRDefault="00420DD6" w:rsidP="00BA0995">
      <w:pPr>
        <w:jc w:val="both"/>
        <w:rPr>
          <w:rFonts w:ascii="Tahoma" w:hAnsi="Tahoma" w:cs="Tahoma"/>
          <w:b/>
          <w:bCs/>
          <w:sz w:val="16"/>
          <w:szCs w:val="16"/>
        </w:rPr>
      </w:pPr>
    </w:p>
    <w:p w:rsidR="00420DD6" w:rsidRPr="00BA0995" w:rsidRDefault="00420DD6" w:rsidP="00BA0995">
      <w:pPr>
        <w:jc w:val="both"/>
        <w:rPr>
          <w:rFonts w:ascii="Tahoma" w:hAnsi="Tahoma" w:cs="Tahoma"/>
          <w:b/>
          <w:bCs/>
          <w:sz w:val="16"/>
          <w:szCs w:val="16"/>
        </w:rPr>
      </w:pPr>
    </w:p>
    <w:p w:rsidR="00420DD6" w:rsidRPr="00BA0995" w:rsidRDefault="00420DD6" w:rsidP="00BA0995">
      <w:pPr>
        <w:ind w:left="360"/>
        <w:jc w:val="center"/>
        <w:rPr>
          <w:rFonts w:ascii="Tahoma" w:hAnsi="Tahoma" w:cs="Tahoma"/>
          <w:b/>
          <w:bCs/>
          <w:sz w:val="16"/>
          <w:szCs w:val="16"/>
        </w:rPr>
      </w:pPr>
      <w:r w:rsidRPr="00BA0995">
        <w:rPr>
          <w:rFonts w:ascii="Tahoma" w:hAnsi="Tahoma" w:cs="Tahoma"/>
          <w:b/>
          <w:bCs/>
          <w:sz w:val="16"/>
          <w:szCs w:val="16"/>
        </w:rPr>
        <w:t>OLGA CECILIA HENAO MARÍN</w:t>
      </w:r>
    </w:p>
    <w:p w:rsidR="00420DD6" w:rsidRPr="00BA0995" w:rsidRDefault="00420DD6" w:rsidP="00BA0995">
      <w:pPr>
        <w:ind w:left="360"/>
        <w:jc w:val="center"/>
        <w:rPr>
          <w:rFonts w:ascii="Tahoma" w:hAnsi="Tahoma" w:cs="Tahoma"/>
          <w:bCs/>
          <w:sz w:val="16"/>
          <w:szCs w:val="16"/>
        </w:rPr>
      </w:pPr>
      <w:r w:rsidRPr="00BA0995">
        <w:rPr>
          <w:rFonts w:ascii="Tahoma" w:hAnsi="Tahoma" w:cs="Tahoma"/>
          <w:bCs/>
          <w:sz w:val="16"/>
          <w:szCs w:val="16"/>
        </w:rPr>
        <w:t>Juez</w:t>
      </w:r>
    </w:p>
    <w:p w:rsidR="00420DD6" w:rsidRPr="00765F66" w:rsidRDefault="00FA018E" w:rsidP="00BA0995">
      <w:pPr>
        <w:rPr>
          <w:rFonts w:ascii="Tahoma" w:hAnsi="Tahoma" w:cs="Tahoma"/>
          <w:sz w:val="13"/>
          <w:szCs w:val="13"/>
        </w:rPr>
      </w:pPr>
      <w:r w:rsidRPr="00765F66">
        <w:rPr>
          <w:rFonts w:ascii="Tahoma" w:hAnsi="Tahoma" w:cs="Tahoma"/>
          <w:bCs/>
          <w:sz w:val="13"/>
          <w:szCs w:val="13"/>
        </w:rPr>
        <w:t>JMN/</w:t>
      </w:r>
      <w:r w:rsidR="00420DD6" w:rsidRPr="00765F66">
        <w:rPr>
          <w:rFonts w:ascii="Tahoma" w:hAnsi="Tahoma" w:cs="Tahoma"/>
          <w:bCs/>
          <w:sz w:val="13"/>
          <w:szCs w:val="13"/>
        </w:rPr>
        <w:t>NNC</w:t>
      </w:r>
    </w:p>
    <w:p w:rsidR="00527BF4" w:rsidRPr="00765F66" w:rsidRDefault="003C6C6C" w:rsidP="00BA0995">
      <w:pPr>
        <w:rPr>
          <w:rFonts w:ascii="Tahoma" w:hAnsi="Tahoma" w:cs="Tahoma"/>
          <w:sz w:val="13"/>
          <w:szCs w:val="13"/>
        </w:rPr>
      </w:pPr>
    </w:p>
    <w:sectPr w:rsidR="00527BF4" w:rsidRPr="00765F66" w:rsidSect="00E76BA5">
      <w:headerReference w:type="default" r:id="rId9"/>
      <w:headerReference w:type="first" r:id="rId10"/>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6C" w:rsidRDefault="003C6C6C" w:rsidP="00420DD6">
      <w:r>
        <w:separator/>
      </w:r>
    </w:p>
  </w:endnote>
  <w:endnote w:type="continuationSeparator" w:id="0">
    <w:p w:rsidR="003C6C6C" w:rsidRDefault="003C6C6C" w:rsidP="0042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6C" w:rsidRDefault="003C6C6C" w:rsidP="00420DD6">
      <w:r>
        <w:separator/>
      </w:r>
    </w:p>
  </w:footnote>
  <w:footnote w:type="continuationSeparator" w:id="0">
    <w:p w:rsidR="003C6C6C" w:rsidRDefault="003C6C6C" w:rsidP="00420DD6">
      <w:r>
        <w:continuationSeparator/>
      </w:r>
    </w:p>
  </w:footnote>
  <w:footnote w:id="1">
    <w:p w:rsidR="00BA0995" w:rsidRPr="00BA0995" w:rsidRDefault="00BA0995" w:rsidP="00BA0995">
      <w:pPr>
        <w:pStyle w:val="Prrafodelista"/>
        <w:tabs>
          <w:tab w:val="left" w:pos="426"/>
        </w:tabs>
        <w:ind w:left="0"/>
        <w:jc w:val="both"/>
        <w:rPr>
          <w:rFonts w:ascii="Tahoma" w:hAnsi="Tahoma" w:cs="Tahoma"/>
          <w:color w:val="auto"/>
          <w:spacing w:val="1"/>
          <w:sz w:val="12"/>
          <w:szCs w:val="12"/>
          <w:lang w:val="es-ES_tradnl"/>
        </w:rPr>
      </w:pPr>
      <w:r w:rsidRPr="00BA0995">
        <w:rPr>
          <w:rStyle w:val="Refdenotaalpie"/>
          <w:rFonts w:ascii="Tahoma" w:hAnsi="Tahoma" w:cs="Tahoma"/>
          <w:sz w:val="12"/>
          <w:szCs w:val="12"/>
        </w:rPr>
        <w:footnoteRef/>
      </w:r>
      <w:r w:rsidRPr="00BA0995">
        <w:rPr>
          <w:rFonts w:ascii="Tahoma" w:hAnsi="Tahoma" w:cs="Tahoma"/>
          <w:sz w:val="12"/>
          <w:szCs w:val="12"/>
        </w:rPr>
        <w:t xml:space="preserve"> </w:t>
      </w:r>
      <w:r w:rsidRPr="00BA0995">
        <w:rPr>
          <w:rFonts w:ascii="Tahoma" w:hAnsi="Tahoma" w:cs="Tahoma"/>
          <w:color w:val="auto"/>
          <w:sz w:val="12"/>
          <w:szCs w:val="12"/>
        </w:rPr>
        <w:t xml:space="preserve">No hay relación en las pretensones puesto que el contrato </w:t>
      </w:r>
      <w:r w:rsidRPr="00BA0995">
        <w:rPr>
          <w:rFonts w:ascii="Tahoma" w:hAnsi="Tahoma" w:cs="Tahoma"/>
          <w:color w:val="auto"/>
          <w:spacing w:val="1"/>
          <w:sz w:val="12"/>
          <w:szCs w:val="12"/>
          <w:lang w:val="es-ES_tradnl"/>
        </w:rPr>
        <w:t xml:space="preserve">TT-11-2012 fue liquidado bilateralmente , es decir, no hubo objeciones entre las partes según como lo prueba en su acta de liquidación </w:t>
      </w:r>
      <w:r w:rsidRPr="00BA0995">
        <w:rPr>
          <w:rStyle w:val="FontStyle25"/>
          <w:rFonts w:ascii="Tahoma" w:hAnsi="Tahoma" w:cs="Tahoma"/>
          <w:sz w:val="12"/>
          <w:szCs w:val="12"/>
          <w:lang w:val="es-ES_tradnl" w:eastAsia="es-ES_tradnl"/>
        </w:rPr>
        <w:t xml:space="preserve">para realizar una transacción después de 9 meses de terminación. </w:t>
      </w:r>
    </w:p>
    <w:p w:rsidR="00BA0995" w:rsidRPr="00BA0995" w:rsidRDefault="00BA0995" w:rsidP="00BA0995">
      <w:pPr>
        <w:pStyle w:val="Prrafodelista"/>
        <w:rPr>
          <w:rFonts w:ascii="Tahoma" w:hAnsi="Tahoma" w:cs="Tahoma"/>
          <w:color w:val="auto"/>
          <w:spacing w:val="1"/>
          <w:sz w:val="12"/>
          <w:szCs w:val="12"/>
          <w:lang w:val="es-ES_tradnl"/>
        </w:rPr>
      </w:pPr>
    </w:p>
    <w:p w:rsidR="00BA0995" w:rsidRPr="00BA0995" w:rsidRDefault="00BA0995" w:rsidP="00BA0995">
      <w:pPr>
        <w:pStyle w:val="Prrafodelista"/>
        <w:tabs>
          <w:tab w:val="left" w:pos="426"/>
        </w:tabs>
        <w:ind w:left="0"/>
        <w:jc w:val="both"/>
        <w:rPr>
          <w:rFonts w:ascii="Tahoma" w:hAnsi="Tahoma" w:cs="Tahoma"/>
          <w:color w:val="auto"/>
          <w:sz w:val="12"/>
          <w:szCs w:val="12"/>
        </w:rPr>
      </w:pPr>
      <w:r w:rsidRPr="00BA0995">
        <w:rPr>
          <w:rFonts w:ascii="Tahoma" w:hAnsi="Tahoma" w:cs="Tahoma"/>
          <w:color w:val="auto"/>
          <w:sz w:val="12"/>
          <w:szCs w:val="12"/>
        </w:rPr>
        <w:t xml:space="preserve">No hay coherencia de modo, tiempo y lugar de los hechos  8,9 y 12, en cuanto a la fecha en que se suscribió el acta de terminación y la fecha en que se suscribió acta de liquidación. </w:t>
      </w:r>
    </w:p>
    <w:p w:rsidR="00BA0995" w:rsidRPr="00BA0995" w:rsidRDefault="00BA0995">
      <w:pPr>
        <w:pStyle w:val="Textonotapie"/>
        <w:rPr>
          <w:rFonts w:ascii="Tahoma" w:hAnsi="Tahoma" w:cs="Tahoma"/>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5B" w:rsidRPr="0037220F" w:rsidRDefault="0037220F" w:rsidP="00B12637">
    <w:pPr>
      <w:pStyle w:val="Encabezado"/>
      <w:jc w:val="right"/>
      <w:rPr>
        <w:rFonts w:ascii="Tahoma" w:hAnsi="Tahoma" w:cs="Tahoma"/>
        <w:sz w:val="12"/>
        <w:szCs w:val="12"/>
      </w:rPr>
    </w:pPr>
    <w:r w:rsidRPr="0037220F">
      <w:rPr>
        <w:rFonts w:ascii="Tahoma" w:hAnsi="Tahoma" w:cs="Tahoma"/>
        <w:sz w:val="12"/>
        <w:szCs w:val="12"/>
      </w:rPr>
      <w:t>Expediente 2014-0547</w:t>
    </w:r>
  </w:p>
  <w:p w:rsidR="0037220F" w:rsidRPr="0037220F" w:rsidRDefault="0037220F" w:rsidP="00B12637">
    <w:pPr>
      <w:pStyle w:val="Encabezado"/>
      <w:jc w:val="right"/>
      <w:rPr>
        <w:rFonts w:ascii="Tahoma" w:hAnsi="Tahoma" w:cs="Tahoma"/>
        <w:sz w:val="12"/>
        <w:szCs w:val="12"/>
      </w:rPr>
    </w:pPr>
    <w:r w:rsidRPr="0037220F">
      <w:rPr>
        <w:rFonts w:ascii="Tahoma" w:hAnsi="Tahoma" w:cs="Tahoma"/>
        <w:sz w:val="12"/>
        <w:szCs w:val="12"/>
        <w:lang w:val="es-MX"/>
      </w:rPr>
      <w:t>DECIDE RECURSO DE REPOSICION CONTRA AUTO QUE INADMITE DEMANDA</w:t>
    </w:r>
    <w:r w:rsidRPr="0037220F">
      <w:rPr>
        <w:rFonts w:ascii="Tahoma" w:hAnsi="Tahoma" w:cs="Tahoma"/>
        <w:sz w:val="12"/>
        <w:szCs w:val="12"/>
      </w:rPr>
      <w:t xml:space="preserve"> </w:t>
    </w:r>
  </w:p>
  <w:p w:rsidR="00CA095B" w:rsidRPr="0037220F" w:rsidRDefault="00045741" w:rsidP="00B12637">
    <w:pPr>
      <w:pStyle w:val="Encabezado"/>
      <w:jc w:val="right"/>
      <w:rPr>
        <w:rFonts w:ascii="Tahoma" w:hAnsi="Tahoma" w:cs="Tahoma"/>
        <w:sz w:val="12"/>
        <w:szCs w:val="12"/>
      </w:rPr>
    </w:pPr>
    <w:r w:rsidRPr="0037220F">
      <w:rPr>
        <w:rFonts w:ascii="Tahoma" w:hAnsi="Tahoma" w:cs="Tahoma"/>
        <w:sz w:val="12"/>
        <w:szCs w:val="12"/>
      </w:rPr>
      <w:t xml:space="preserve">Página </w:t>
    </w:r>
    <w:r w:rsidRPr="0037220F">
      <w:rPr>
        <w:rFonts w:ascii="Tahoma" w:hAnsi="Tahoma" w:cs="Tahoma"/>
        <w:sz w:val="12"/>
        <w:szCs w:val="12"/>
      </w:rPr>
      <w:fldChar w:fldCharType="begin"/>
    </w:r>
    <w:r w:rsidRPr="0037220F">
      <w:rPr>
        <w:rFonts w:ascii="Tahoma" w:hAnsi="Tahoma" w:cs="Tahoma"/>
        <w:sz w:val="12"/>
        <w:szCs w:val="12"/>
      </w:rPr>
      <w:instrText xml:space="preserve"> PAGE  \* Arabic  \* MERGEFORMAT </w:instrText>
    </w:r>
    <w:r w:rsidRPr="0037220F">
      <w:rPr>
        <w:rFonts w:ascii="Tahoma" w:hAnsi="Tahoma" w:cs="Tahoma"/>
        <w:sz w:val="12"/>
        <w:szCs w:val="12"/>
      </w:rPr>
      <w:fldChar w:fldCharType="separate"/>
    </w:r>
    <w:r w:rsidR="00A37DC0">
      <w:rPr>
        <w:rFonts w:ascii="Tahoma" w:hAnsi="Tahoma" w:cs="Tahoma"/>
        <w:noProof/>
        <w:sz w:val="12"/>
        <w:szCs w:val="12"/>
      </w:rPr>
      <w:t>2</w:t>
    </w:r>
    <w:r w:rsidRPr="0037220F">
      <w:rPr>
        <w:rFonts w:ascii="Tahoma" w:hAnsi="Tahoma" w:cs="Tahoma"/>
        <w:sz w:val="12"/>
        <w:szCs w:val="12"/>
      </w:rPr>
      <w:fldChar w:fldCharType="end"/>
    </w:r>
    <w:r w:rsidRPr="0037220F">
      <w:rPr>
        <w:rFonts w:ascii="Tahoma" w:hAnsi="Tahoma" w:cs="Tahoma"/>
        <w:sz w:val="12"/>
        <w:szCs w:val="12"/>
      </w:rPr>
      <w:t xml:space="preserve"> de </w:t>
    </w:r>
    <w:r w:rsidRPr="0037220F">
      <w:rPr>
        <w:rFonts w:ascii="Tahoma" w:hAnsi="Tahoma" w:cs="Tahoma"/>
        <w:sz w:val="12"/>
        <w:szCs w:val="12"/>
      </w:rPr>
      <w:fldChar w:fldCharType="begin"/>
    </w:r>
    <w:r w:rsidRPr="0037220F">
      <w:rPr>
        <w:rFonts w:ascii="Tahoma" w:hAnsi="Tahoma" w:cs="Tahoma"/>
        <w:sz w:val="12"/>
        <w:szCs w:val="12"/>
      </w:rPr>
      <w:instrText xml:space="preserve"> NUMPAGES  \* Arabic  \* MERGEFORMAT </w:instrText>
    </w:r>
    <w:r w:rsidRPr="0037220F">
      <w:rPr>
        <w:rFonts w:ascii="Tahoma" w:hAnsi="Tahoma" w:cs="Tahoma"/>
        <w:sz w:val="12"/>
        <w:szCs w:val="12"/>
      </w:rPr>
      <w:fldChar w:fldCharType="separate"/>
    </w:r>
    <w:r w:rsidR="00A37DC0">
      <w:rPr>
        <w:rFonts w:ascii="Tahoma" w:hAnsi="Tahoma" w:cs="Tahoma"/>
        <w:noProof/>
        <w:sz w:val="12"/>
        <w:szCs w:val="12"/>
      </w:rPr>
      <w:t>2</w:t>
    </w:r>
    <w:r w:rsidRPr="0037220F">
      <w:rPr>
        <w:rFonts w:ascii="Tahoma" w:hAnsi="Tahoma" w:cs="Tahoma"/>
        <w:sz w:val="12"/>
        <w:szCs w:val="12"/>
      </w:rPr>
      <w:fldChar w:fldCharType="end"/>
    </w:r>
  </w:p>
  <w:p w:rsidR="00BD0A7E" w:rsidRPr="00395F71" w:rsidRDefault="003C6C6C" w:rsidP="00B12637">
    <w:pPr>
      <w:pStyle w:val="Encabezado"/>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5B" w:rsidRPr="00346C7B" w:rsidRDefault="00045741" w:rsidP="00B12637">
    <w:pPr>
      <w:pStyle w:val="Encabezado"/>
      <w:jc w:val="center"/>
      <w:rPr>
        <w:rFonts w:ascii="Arial" w:hAnsi="Arial" w:cs="Arial"/>
        <w:b/>
        <w:i/>
        <w:sz w:val="13"/>
        <w:szCs w:val="13"/>
      </w:rPr>
    </w:pPr>
    <w:r w:rsidRPr="00346C7B">
      <w:rPr>
        <w:rFonts w:ascii="Arial" w:hAnsi="Arial" w:cs="Arial"/>
        <w:b/>
        <w:i/>
        <w:noProof/>
        <w:sz w:val="13"/>
        <w:szCs w:val="13"/>
        <w:lang w:val="es-CO" w:eastAsia="es-CO"/>
      </w:rPr>
      <w:drawing>
        <wp:inline distT="0" distB="0" distL="0" distR="0" wp14:anchorId="01A784ED" wp14:editId="12A33A7D">
          <wp:extent cx="666750" cy="64770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CA095B" w:rsidRPr="00346C7B" w:rsidRDefault="00045741" w:rsidP="00B12637">
    <w:pPr>
      <w:pStyle w:val="Encabezado"/>
      <w:jc w:val="center"/>
      <w:rPr>
        <w:rFonts w:ascii="Tahoma" w:hAnsi="Tahoma" w:cs="Tahoma"/>
        <w:b/>
        <w:sz w:val="13"/>
        <w:szCs w:val="13"/>
        <w:lang w:val="es-MX"/>
      </w:rPr>
    </w:pPr>
    <w:r w:rsidRPr="00346C7B">
      <w:rPr>
        <w:rFonts w:ascii="Tahoma" w:hAnsi="Tahoma" w:cs="Tahoma"/>
        <w:b/>
        <w:sz w:val="13"/>
        <w:szCs w:val="13"/>
        <w:lang w:val="es-MX"/>
      </w:rPr>
      <w:t>JUZGADO TREINTA Y CUATRO ADMINISTRATIVO</w:t>
    </w:r>
  </w:p>
  <w:p w:rsidR="00CA095B" w:rsidRPr="00346C7B" w:rsidRDefault="00045741" w:rsidP="00B12637">
    <w:pPr>
      <w:pStyle w:val="Encabezado"/>
      <w:jc w:val="center"/>
      <w:rPr>
        <w:rFonts w:ascii="Tahoma" w:hAnsi="Tahoma" w:cs="Tahoma"/>
        <w:b/>
        <w:sz w:val="13"/>
        <w:szCs w:val="13"/>
        <w:lang w:val="es-MX"/>
      </w:rPr>
    </w:pPr>
    <w:r w:rsidRPr="00346C7B">
      <w:rPr>
        <w:rFonts w:ascii="Tahoma" w:hAnsi="Tahoma" w:cs="Tahoma"/>
        <w:b/>
        <w:sz w:val="13"/>
        <w:szCs w:val="13"/>
        <w:lang w:val="es-MX"/>
      </w:rPr>
      <w:t>ORAL DE BOGOTÁ</w:t>
    </w:r>
  </w:p>
  <w:p w:rsidR="00CA095B" w:rsidRPr="00346C7B" w:rsidRDefault="00045741" w:rsidP="00B12637">
    <w:pPr>
      <w:pStyle w:val="Encabezado"/>
      <w:jc w:val="center"/>
      <w:rPr>
        <w:rFonts w:ascii="Tahoma" w:hAnsi="Tahoma" w:cs="Tahoma"/>
        <w:b/>
        <w:sz w:val="13"/>
        <w:szCs w:val="13"/>
        <w:lang w:val="es-MX"/>
      </w:rPr>
    </w:pPr>
    <w:r w:rsidRPr="00346C7B">
      <w:rPr>
        <w:rFonts w:ascii="Tahoma" w:hAnsi="Tahoma" w:cs="Tahoma"/>
        <w:b/>
        <w:sz w:val="13"/>
        <w:szCs w:val="13"/>
        <w:lang w:val="es-MX"/>
      </w:rPr>
      <w:t>Sección Tercera</w:t>
    </w:r>
  </w:p>
  <w:p w:rsidR="00CA095B" w:rsidRDefault="003C6C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A2857"/>
    <w:multiLevelType w:val="hybridMultilevel"/>
    <w:tmpl w:val="B718B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D6"/>
    <w:rsid w:val="00000D2B"/>
    <w:rsid w:val="00000DF2"/>
    <w:rsid w:val="00022D36"/>
    <w:rsid w:val="00036E39"/>
    <w:rsid w:val="00042199"/>
    <w:rsid w:val="00045741"/>
    <w:rsid w:val="00066A91"/>
    <w:rsid w:val="000F39E6"/>
    <w:rsid w:val="000F64E7"/>
    <w:rsid w:val="00132B7B"/>
    <w:rsid w:val="001549AA"/>
    <w:rsid w:val="0019169D"/>
    <w:rsid w:val="0019170C"/>
    <w:rsid w:val="001921D3"/>
    <w:rsid w:val="001A0776"/>
    <w:rsid w:val="00257960"/>
    <w:rsid w:val="002952B5"/>
    <w:rsid w:val="00297B2B"/>
    <w:rsid w:val="002A6D59"/>
    <w:rsid w:val="002B76E8"/>
    <w:rsid w:val="002C5AEA"/>
    <w:rsid w:val="002E588C"/>
    <w:rsid w:val="002F16F3"/>
    <w:rsid w:val="00326395"/>
    <w:rsid w:val="00334792"/>
    <w:rsid w:val="00337C40"/>
    <w:rsid w:val="00350AF1"/>
    <w:rsid w:val="00362CC7"/>
    <w:rsid w:val="0036729E"/>
    <w:rsid w:val="0037220F"/>
    <w:rsid w:val="003806E6"/>
    <w:rsid w:val="00392A6C"/>
    <w:rsid w:val="00395226"/>
    <w:rsid w:val="003B6F7A"/>
    <w:rsid w:val="003C6C6C"/>
    <w:rsid w:val="003F454E"/>
    <w:rsid w:val="00420DD6"/>
    <w:rsid w:val="00465E86"/>
    <w:rsid w:val="0048331D"/>
    <w:rsid w:val="00487FA6"/>
    <w:rsid w:val="00490EFC"/>
    <w:rsid w:val="004967AE"/>
    <w:rsid w:val="004A6885"/>
    <w:rsid w:val="004F54D3"/>
    <w:rsid w:val="004F7EEA"/>
    <w:rsid w:val="0050747C"/>
    <w:rsid w:val="005C6DC7"/>
    <w:rsid w:val="005C718B"/>
    <w:rsid w:val="005E152C"/>
    <w:rsid w:val="005E48DF"/>
    <w:rsid w:val="006006D2"/>
    <w:rsid w:val="00602156"/>
    <w:rsid w:val="00614901"/>
    <w:rsid w:val="00624646"/>
    <w:rsid w:val="00640524"/>
    <w:rsid w:val="00647A9D"/>
    <w:rsid w:val="0065761F"/>
    <w:rsid w:val="006A63F7"/>
    <w:rsid w:val="006E6753"/>
    <w:rsid w:val="006E7A77"/>
    <w:rsid w:val="006E7BDD"/>
    <w:rsid w:val="00700E47"/>
    <w:rsid w:val="00722C4B"/>
    <w:rsid w:val="007273C9"/>
    <w:rsid w:val="0073348F"/>
    <w:rsid w:val="0073626D"/>
    <w:rsid w:val="00752EDC"/>
    <w:rsid w:val="007543C3"/>
    <w:rsid w:val="00765F66"/>
    <w:rsid w:val="00782144"/>
    <w:rsid w:val="007C3F4F"/>
    <w:rsid w:val="007D3B03"/>
    <w:rsid w:val="007F62A8"/>
    <w:rsid w:val="00803E8E"/>
    <w:rsid w:val="00820FB7"/>
    <w:rsid w:val="00823F14"/>
    <w:rsid w:val="00832241"/>
    <w:rsid w:val="00845790"/>
    <w:rsid w:val="00862288"/>
    <w:rsid w:val="008711F6"/>
    <w:rsid w:val="0087259C"/>
    <w:rsid w:val="008A6CA6"/>
    <w:rsid w:val="008B6016"/>
    <w:rsid w:val="009149E6"/>
    <w:rsid w:val="009205C6"/>
    <w:rsid w:val="00921010"/>
    <w:rsid w:val="00934A99"/>
    <w:rsid w:val="0094277A"/>
    <w:rsid w:val="009E2850"/>
    <w:rsid w:val="00A00FCE"/>
    <w:rsid w:val="00A1153B"/>
    <w:rsid w:val="00A37DC0"/>
    <w:rsid w:val="00A42C86"/>
    <w:rsid w:val="00A45B17"/>
    <w:rsid w:val="00A5722F"/>
    <w:rsid w:val="00A63921"/>
    <w:rsid w:val="00AA5E70"/>
    <w:rsid w:val="00AE24F9"/>
    <w:rsid w:val="00AE584D"/>
    <w:rsid w:val="00AF6097"/>
    <w:rsid w:val="00B17E3F"/>
    <w:rsid w:val="00B476AB"/>
    <w:rsid w:val="00B5038C"/>
    <w:rsid w:val="00B504F1"/>
    <w:rsid w:val="00B514E2"/>
    <w:rsid w:val="00B558FD"/>
    <w:rsid w:val="00B9419C"/>
    <w:rsid w:val="00BA0995"/>
    <w:rsid w:val="00BB5083"/>
    <w:rsid w:val="00BD404F"/>
    <w:rsid w:val="00BE0018"/>
    <w:rsid w:val="00C335D8"/>
    <w:rsid w:val="00C70F2A"/>
    <w:rsid w:val="00C83C97"/>
    <w:rsid w:val="00C87121"/>
    <w:rsid w:val="00C952E5"/>
    <w:rsid w:val="00CE11B9"/>
    <w:rsid w:val="00D03FBE"/>
    <w:rsid w:val="00D10E77"/>
    <w:rsid w:val="00D15A71"/>
    <w:rsid w:val="00D43F06"/>
    <w:rsid w:val="00DB209C"/>
    <w:rsid w:val="00DE644E"/>
    <w:rsid w:val="00E13206"/>
    <w:rsid w:val="00E54675"/>
    <w:rsid w:val="00EA1D63"/>
    <w:rsid w:val="00EB0AE4"/>
    <w:rsid w:val="00ED027F"/>
    <w:rsid w:val="00EE202D"/>
    <w:rsid w:val="00EF1DE4"/>
    <w:rsid w:val="00F07DEB"/>
    <w:rsid w:val="00F31A6F"/>
    <w:rsid w:val="00F33D74"/>
    <w:rsid w:val="00F9054B"/>
    <w:rsid w:val="00FA018E"/>
    <w:rsid w:val="00FD2823"/>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D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0DD6"/>
    <w:pPr>
      <w:tabs>
        <w:tab w:val="center" w:pos="4419"/>
        <w:tab w:val="right" w:pos="8838"/>
      </w:tabs>
    </w:pPr>
  </w:style>
  <w:style w:type="character" w:customStyle="1" w:styleId="EncabezadoCar">
    <w:name w:val="Encabezado Car"/>
    <w:basedOn w:val="Fuentedeprrafopredeter"/>
    <w:link w:val="Encabezado"/>
    <w:rsid w:val="00420DD6"/>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rsid w:val="00420DD6"/>
    <w:pPr>
      <w:spacing w:after="120" w:line="480" w:lineRule="auto"/>
    </w:pPr>
    <w:rPr>
      <w:rFonts w:eastAsia="Times New Roman"/>
    </w:rPr>
  </w:style>
  <w:style w:type="character" w:customStyle="1" w:styleId="Textoindependiente2Car">
    <w:name w:val="Texto independiente 2 Car"/>
    <w:basedOn w:val="Fuentedeprrafopredeter"/>
    <w:link w:val="Textoindependiente2"/>
    <w:rsid w:val="00420DD6"/>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20DD6"/>
  </w:style>
  <w:style w:type="paragraph" w:styleId="Textoindependiente">
    <w:name w:val="Body Text"/>
    <w:basedOn w:val="Normal"/>
    <w:link w:val="TextoindependienteCar"/>
    <w:uiPriority w:val="99"/>
    <w:semiHidden/>
    <w:unhideWhenUsed/>
    <w:rsid w:val="00420DD6"/>
    <w:pPr>
      <w:spacing w:after="120"/>
    </w:pPr>
    <w:rPr>
      <w:rFonts w:ascii="Arial" w:eastAsia="Times New Roman" w:hAnsi="Arial" w:cs="Arial"/>
      <w:noProof/>
      <w:color w:val="000000"/>
      <w:lang w:val="es-CO"/>
    </w:rPr>
  </w:style>
  <w:style w:type="character" w:customStyle="1" w:styleId="TextoindependienteCar">
    <w:name w:val="Texto independiente Car"/>
    <w:basedOn w:val="Fuentedeprrafopredeter"/>
    <w:link w:val="Textoindependiente"/>
    <w:uiPriority w:val="99"/>
    <w:semiHidden/>
    <w:rsid w:val="00420DD6"/>
    <w:rPr>
      <w:rFonts w:ascii="Arial" w:eastAsia="Times New Roman" w:hAnsi="Arial" w:cs="Arial"/>
      <w:noProof/>
      <w:color w:val="000000"/>
      <w:sz w:val="24"/>
      <w:szCs w:val="24"/>
      <w:lang w:eastAsia="es-ES"/>
    </w:rPr>
  </w:style>
  <w:style w:type="paragraph" w:styleId="Textonotapie">
    <w:name w:val="footnote text"/>
    <w:basedOn w:val="Normal"/>
    <w:link w:val="TextonotapieCar"/>
    <w:uiPriority w:val="99"/>
    <w:semiHidden/>
    <w:unhideWhenUsed/>
    <w:rsid w:val="00420DD6"/>
    <w:rPr>
      <w:sz w:val="20"/>
      <w:szCs w:val="20"/>
    </w:rPr>
  </w:style>
  <w:style w:type="character" w:customStyle="1" w:styleId="TextonotapieCar">
    <w:name w:val="Texto nota pie Car"/>
    <w:basedOn w:val="Fuentedeprrafopredeter"/>
    <w:link w:val="Textonotapie"/>
    <w:uiPriority w:val="99"/>
    <w:semiHidden/>
    <w:rsid w:val="00420DD6"/>
    <w:rPr>
      <w:rFonts w:ascii="Times New Roman" w:eastAsia="Calibri" w:hAnsi="Times New Roman" w:cs="Times New Roman"/>
      <w:sz w:val="20"/>
      <w:szCs w:val="20"/>
      <w:lang w:val="es-ES" w:eastAsia="es-ES"/>
    </w:rPr>
  </w:style>
  <w:style w:type="character" w:styleId="Refdenotaalpie">
    <w:name w:val="footnote reference"/>
    <w:basedOn w:val="Fuentedeprrafopredeter"/>
    <w:uiPriority w:val="99"/>
    <w:semiHidden/>
    <w:unhideWhenUsed/>
    <w:rsid w:val="00420DD6"/>
    <w:rPr>
      <w:vertAlign w:val="superscript"/>
    </w:rPr>
  </w:style>
  <w:style w:type="paragraph" w:customStyle="1" w:styleId="nueve-">
    <w:name w:val="nueve-"/>
    <w:rsid w:val="00420DD6"/>
    <w:pPr>
      <w:spacing w:before="216" w:after="216" w:line="240" w:lineRule="auto"/>
      <w:ind w:firstLine="432"/>
      <w:jc w:val="both"/>
    </w:pPr>
    <w:rPr>
      <w:rFonts w:ascii="Arial" w:eastAsia="Calibri" w:hAnsi="Arial" w:cs="Arial"/>
      <w:sz w:val="24"/>
      <w:szCs w:val="24"/>
      <w:lang w:val="es-ES" w:eastAsia="es-ES"/>
    </w:rPr>
  </w:style>
  <w:style w:type="paragraph" w:styleId="NormalWeb">
    <w:name w:val="Normal (Web)"/>
    <w:basedOn w:val="Normal"/>
    <w:uiPriority w:val="99"/>
    <w:unhideWhenUsed/>
    <w:rsid w:val="00420DD6"/>
    <w:pPr>
      <w:spacing w:before="100" w:beforeAutospacing="1" w:after="100" w:afterAutospacing="1"/>
    </w:pPr>
    <w:rPr>
      <w:rFonts w:eastAsia="Times New Roman"/>
      <w:lang w:val="es-CO" w:eastAsia="es-CO"/>
    </w:rPr>
  </w:style>
  <w:style w:type="character" w:styleId="Hipervnculo">
    <w:name w:val="Hyperlink"/>
    <w:basedOn w:val="Fuentedeprrafopredeter"/>
    <w:uiPriority w:val="99"/>
    <w:semiHidden/>
    <w:unhideWhenUsed/>
    <w:rsid w:val="00420DD6"/>
    <w:rPr>
      <w:color w:val="0000FF"/>
      <w:u w:val="single"/>
    </w:rPr>
  </w:style>
  <w:style w:type="paragraph" w:styleId="Textodeglobo">
    <w:name w:val="Balloon Text"/>
    <w:basedOn w:val="Normal"/>
    <w:link w:val="TextodegloboCar"/>
    <w:uiPriority w:val="99"/>
    <w:semiHidden/>
    <w:unhideWhenUsed/>
    <w:rsid w:val="00420DD6"/>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DD6"/>
    <w:rPr>
      <w:rFonts w:ascii="Tahoma" w:eastAsia="Calibri" w:hAnsi="Tahoma" w:cs="Tahoma"/>
      <w:sz w:val="16"/>
      <w:szCs w:val="16"/>
      <w:lang w:val="es-ES" w:eastAsia="es-ES"/>
    </w:rPr>
  </w:style>
  <w:style w:type="paragraph" w:customStyle="1" w:styleId="Style3">
    <w:name w:val="Style3"/>
    <w:basedOn w:val="Normal"/>
    <w:uiPriority w:val="99"/>
    <w:rsid w:val="0037220F"/>
    <w:pPr>
      <w:widowControl w:val="0"/>
      <w:autoSpaceDE w:val="0"/>
      <w:autoSpaceDN w:val="0"/>
      <w:adjustRightInd w:val="0"/>
      <w:spacing w:line="371" w:lineRule="exact"/>
      <w:jc w:val="both"/>
    </w:pPr>
    <w:rPr>
      <w:rFonts w:ascii="Trebuchet MS" w:eastAsiaTheme="minorEastAsia" w:hAnsi="Trebuchet MS" w:cstheme="minorBidi"/>
      <w:lang w:val="es-CO" w:eastAsia="es-CO"/>
    </w:rPr>
  </w:style>
  <w:style w:type="paragraph" w:customStyle="1" w:styleId="Style9">
    <w:name w:val="Style9"/>
    <w:basedOn w:val="Normal"/>
    <w:uiPriority w:val="99"/>
    <w:rsid w:val="0037220F"/>
    <w:pPr>
      <w:widowControl w:val="0"/>
      <w:autoSpaceDE w:val="0"/>
      <w:autoSpaceDN w:val="0"/>
      <w:adjustRightInd w:val="0"/>
      <w:spacing w:line="369" w:lineRule="exact"/>
      <w:jc w:val="both"/>
    </w:pPr>
    <w:rPr>
      <w:rFonts w:ascii="Trebuchet MS" w:eastAsiaTheme="minorEastAsia" w:hAnsi="Trebuchet MS" w:cstheme="minorBidi"/>
      <w:lang w:val="es-CO" w:eastAsia="es-CO"/>
    </w:rPr>
  </w:style>
  <w:style w:type="character" w:customStyle="1" w:styleId="FontStyle15">
    <w:name w:val="Font Style15"/>
    <w:basedOn w:val="Fuentedeprrafopredeter"/>
    <w:uiPriority w:val="99"/>
    <w:rsid w:val="0037220F"/>
    <w:rPr>
      <w:rFonts w:ascii="Arial Narrow" w:hAnsi="Arial Narrow" w:cs="Arial Narrow"/>
      <w:sz w:val="28"/>
      <w:szCs w:val="28"/>
    </w:rPr>
  </w:style>
  <w:style w:type="character" w:customStyle="1" w:styleId="FontStyle19">
    <w:name w:val="Font Style19"/>
    <w:basedOn w:val="Fuentedeprrafopredeter"/>
    <w:uiPriority w:val="99"/>
    <w:rsid w:val="0037220F"/>
    <w:rPr>
      <w:rFonts w:ascii="Arial Narrow" w:hAnsi="Arial Narrow" w:cs="Arial Narrow"/>
      <w:i/>
      <w:iCs/>
      <w:sz w:val="28"/>
      <w:szCs w:val="28"/>
    </w:rPr>
  </w:style>
  <w:style w:type="paragraph" w:styleId="Piedepgina">
    <w:name w:val="footer"/>
    <w:basedOn w:val="Normal"/>
    <w:link w:val="PiedepginaCar"/>
    <w:uiPriority w:val="99"/>
    <w:unhideWhenUsed/>
    <w:rsid w:val="0037220F"/>
    <w:pPr>
      <w:tabs>
        <w:tab w:val="center" w:pos="4419"/>
        <w:tab w:val="right" w:pos="8838"/>
      </w:tabs>
    </w:pPr>
  </w:style>
  <w:style w:type="character" w:customStyle="1" w:styleId="PiedepginaCar">
    <w:name w:val="Pie de página Car"/>
    <w:basedOn w:val="Fuentedeprrafopredeter"/>
    <w:link w:val="Piedepgina"/>
    <w:uiPriority w:val="99"/>
    <w:rsid w:val="0037220F"/>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BA0995"/>
    <w:pPr>
      <w:ind w:left="720"/>
      <w:contextualSpacing/>
    </w:pPr>
    <w:rPr>
      <w:rFonts w:ascii="Arial" w:eastAsia="Times New Roman" w:hAnsi="Arial" w:cs="Arial"/>
      <w:noProof/>
      <w:color w:val="000000"/>
      <w:lang w:val="es-CO"/>
    </w:rPr>
  </w:style>
  <w:style w:type="character" w:customStyle="1" w:styleId="FontStyle25">
    <w:name w:val="Font Style25"/>
    <w:basedOn w:val="Fuentedeprrafopredeter"/>
    <w:uiPriority w:val="99"/>
    <w:rsid w:val="00BA0995"/>
    <w:rPr>
      <w:rFonts w:ascii="Arial Narrow" w:hAnsi="Arial Narrow" w:cs="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D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0DD6"/>
    <w:pPr>
      <w:tabs>
        <w:tab w:val="center" w:pos="4419"/>
        <w:tab w:val="right" w:pos="8838"/>
      </w:tabs>
    </w:pPr>
  </w:style>
  <w:style w:type="character" w:customStyle="1" w:styleId="EncabezadoCar">
    <w:name w:val="Encabezado Car"/>
    <w:basedOn w:val="Fuentedeprrafopredeter"/>
    <w:link w:val="Encabezado"/>
    <w:rsid w:val="00420DD6"/>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rsid w:val="00420DD6"/>
    <w:pPr>
      <w:spacing w:after="120" w:line="480" w:lineRule="auto"/>
    </w:pPr>
    <w:rPr>
      <w:rFonts w:eastAsia="Times New Roman"/>
    </w:rPr>
  </w:style>
  <w:style w:type="character" w:customStyle="1" w:styleId="Textoindependiente2Car">
    <w:name w:val="Texto independiente 2 Car"/>
    <w:basedOn w:val="Fuentedeprrafopredeter"/>
    <w:link w:val="Textoindependiente2"/>
    <w:rsid w:val="00420DD6"/>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20DD6"/>
  </w:style>
  <w:style w:type="paragraph" w:styleId="Textoindependiente">
    <w:name w:val="Body Text"/>
    <w:basedOn w:val="Normal"/>
    <w:link w:val="TextoindependienteCar"/>
    <w:uiPriority w:val="99"/>
    <w:semiHidden/>
    <w:unhideWhenUsed/>
    <w:rsid w:val="00420DD6"/>
    <w:pPr>
      <w:spacing w:after="120"/>
    </w:pPr>
    <w:rPr>
      <w:rFonts w:ascii="Arial" w:eastAsia="Times New Roman" w:hAnsi="Arial" w:cs="Arial"/>
      <w:noProof/>
      <w:color w:val="000000"/>
      <w:lang w:val="es-CO"/>
    </w:rPr>
  </w:style>
  <w:style w:type="character" w:customStyle="1" w:styleId="TextoindependienteCar">
    <w:name w:val="Texto independiente Car"/>
    <w:basedOn w:val="Fuentedeprrafopredeter"/>
    <w:link w:val="Textoindependiente"/>
    <w:uiPriority w:val="99"/>
    <w:semiHidden/>
    <w:rsid w:val="00420DD6"/>
    <w:rPr>
      <w:rFonts w:ascii="Arial" w:eastAsia="Times New Roman" w:hAnsi="Arial" w:cs="Arial"/>
      <w:noProof/>
      <w:color w:val="000000"/>
      <w:sz w:val="24"/>
      <w:szCs w:val="24"/>
      <w:lang w:eastAsia="es-ES"/>
    </w:rPr>
  </w:style>
  <w:style w:type="paragraph" w:styleId="Textonotapie">
    <w:name w:val="footnote text"/>
    <w:basedOn w:val="Normal"/>
    <w:link w:val="TextonotapieCar"/>
    <w:uiPriority w:val="99"/>
    <w:semiHidden/>
    <w:unhideWhenUsed/>
    <w:rsid w:val="00420DD6"/>
    <w:rPr>
      <w:sz w:val="20"/>
      <w:szCs w:val="20"/>
    </w:rPr>
  </w:style>
  <w:style w:type="character" w:customStyle="1" w:styleId="TextonotapieCar">
    <w:name w:val="Texto nota pie Car"/>
    <w:basedOn w:val="Fuentedeprrafopredeter"/>
    <w:link w:val="Textonotapie"/>
    <w:uiPriority w:val="99"/>
    <w:semiHidden/>
    <w:rsid w:val="00420DD6"/>
    <w:rPr>
      <w:rFonts w:ascii="Times New Roman" w:eastAsia="Calibri" w:hAnsi="Times New Roman" w:cs="Times New Roman"/>
      <w:sz w:val="20"/>
      <w:szCs w:val="20"/>
      <w:lang w:val="es-ES" w:eastAsia="es-ES"/>
    </w:rPr>
  </w:style>
  <w:style w:type="character" w:styleId="Refdenotaalpie">
    <w:name w:val="footnote reference"/>
    <w:basedOn w:val="Fuentedeprrafopredeter"/>
    <w:uiPriority w:val="99"/>
    <w:semiHidden/>
    <w:unhideWhenUsed/>
    <w:rsid w:val="00420DD6"/>
    <w:rPr>
      <w:vertAlign w:val="superscript"/>
    </w:rPr>
  </w:style>
  <w:style w:type="paragraph" w:customStyle="1" w:styleId="nueve-">
    <w:name w:val="nueve-"/>
    <w:rsid w:val="00420DD6"/>
    <w:pPr>
      <w:spacing w:before="216" w:after="216" w:line="240" w:lineRule="auto"/>
      <w:ind w:firstLine="432"/>
      <w:jc w:val="both"/>
    </w:pPr>
    <w:rPr>
      <w:rFonts w:ascii="Arial" w:eastAsia="Calibri" w:hAnsi="Arial" w:cs="Arial"/>
      <w:sz w:val="24"/>
      <w:szCs w:val="24"/>
      <w:lang w:val="es-ES" w:eastAsia="es-ES"/>
    </w:rPr>
  </w:style>
  <w:style w:type="paragraph" w:styleId="NormalWeb">
    <w:name w:val="Normal (Web)"/>
    <w:basedOn w:val="Normal"/>
    <w:uiPriority w:val="99"/>
    <w:unhideWhenUsed/>
    <w:rsid w:val="00420DD6"/>
    <w:pPr>
      <w:spacing w:before="100" w:beforeAutospacing="1" w:after="100" w:afterAutospacing="1"/>
    </w:pPr>
    <w:rPr>
      <w:rFonts w:eastAsia="Times New Roman"/>
      <w:lang w:val="es-CO" w:eastAsia="es-CO"/>
    </w:rPr>
  </w:style>
  <w:style w:type="character" w:styleId="Hipervnculo">
    <w:name w:val="Hyperlink"/>
    <w:basedOn w:val="Fuentedeprrafopredeter"/>
    <w:uiPriority w:val="99"/>
    <w:semiHidden/>
    <w:unhideWhenUsed/>
    <w:rsid w:val="00420DD6"/>
    <w:rPr>
      <w:color w:val="0000FF"/>
      <w:u w:val="single"/>
    </w:rPr>
  </w:style>
  <w:style w:type="paragraph" w:styleId="Textodeglobo">
    <w:name w:val="Balloon Text"/>
    <w:basedOn w:val="Normal"/>
    <w:link w:val="TextodegloboCar"/>
    <w:uiPriority w:val="99"/>
    <w:semiHidden/>
    <w:unhideWhenUsed/>
    <w:rsid w:val="00420DD6"/>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DD6"/>
    <w:rPr>
      <w:rFonts w:ascii="Tahoma" w:eastAsia="Calibri" w:hAnsi="Tahoma" w:cs="Tahoma"/>
      <w:sz w:val="16"/>
      <w:szCs w:val="16"/>
      <w:lang w:val="es-ES" w:eastAsia="es-ES"/>
    </w:rPr>
  </w:style>
  <w:style w:type="paragraph" w:customStyle="1" w:styleId="Style3">
    <w:name w:val="Style3"/>
    <w:basedOn w:val="Normal"/>
    <w:uiPriority w:val="99"/>
    <w:rsid w:val="0037220F"/>
    <w:pPr>
      <w:widowControl w:val="0"/>
      <w:autoSpaceDE w:val="0"/>
      <w:autoSpaceDN w:val="0"/>
      <w:adjustRightInd w:val="0"/>
      <w:spacing w:line="371" w:lineRule="exact"/>
      <w:jc w:val="both"/>
    </w:pPr>
    <w:rPr>
      <w:rFonts w:ascii="Trebuchet MS" w:eastAsiaTheme="minorEastAsia" w:hAnsi="Trebuchet MS" w:cstheme="minorBidi"/>
      <w:lang w:val="es-CO" w:eastAsia="es-CO"/>
    </w:rPr>
  </w:style>
  <w:style w:type="paragraph" w:customStyle="1" w:styleId="Style9">
    <w:name w:val="Style9"/>
    <w:basedOn w:val="Normal"/>
    <w:uiPriority w:val="99"/>
    <w:rsid w:val="0037220F"/>
    <w:pPr>
      <w:widowControl w:val="0"/>
      <w:autoSpaceDE w:val="0"/>
      <w:autoSpaceDN w:val="0"/>
      <w:adjustRightInd w:val="0"/>
      <w:spacing w:line="369" w:lineRule="exact"/>
      <w:jc w:val="both"/>
    </w:pPr>
    <w:rPr>
      <w:rFonts w:ascii="Trebuchet MS" w:eastAsiaTheme="minorEastAsia" w:hAnsi="Trebuchet MS" w:cstheme="minorBidi"/>
      <w:lang w:val="es-CO" w:eastAsia="es-CO"/>
    </w:rPr>
  </w:style>
  <w:style w:type="character" w:customStyle="1" w:styleId="FontStyle15">
    <w:name w:val="Font Style15"/>
    <w:basedOn w:val="Fuentedeprrafopredeter"/>
    <w:uiPriority w:val="99"/>
    <w:rsid w:val="0037220F"/>
    <w:rPr>
      <w:rFonts w:ascii="Arial Narrow" w:hAnsi="Arial Narrow" w:cs="Arial Narrow"/>
      <w:sz w:val="28"/>
      <w:szCs w:val="28"/>
    </w:rPr>
  </w:style>
  <w:style w:type="character" w:customStyle="1" w:styleId="FontStyle19">
    <w:name w:val="Font Style19"/>
    <w:basedOn w:val="Fuentedeprrafopredeter"/>
    <w:uiPriority w:val="99"/>
    <w:rsid w:val="0037220F"/>
    <w:rPr>
      <w:rFonts w:ascii="Arial Narrow" w:hAnsi="Arial Narrow" w:cs="Arial Narrow"/>
      <w:i/>
      <w:iCs/>
      <w:sz w:val="28"/>
      <w:szCs w:val="28"/>
    </w:rPr>
  </w:style>
  <w:style w:type="paragraph" w:styleId="Piedepgina">
    <w:name w:val="footer"/>
    <w:basedOn w:val="Normal"/>
    <w:link w:val="PiedepginaCar"/>
    <w:uiPriority w:val="99"/>
    <w:unhideWhenUsed/>
    <w:rsid w:val="0037220F"/>
    <w:pPr>
      <w:tabs>
        <w:tab w:val="center" w:pos="4419"/>
        <w:tab w:val="right" w:pos="8838"/>
      </w:tabs>
    </w:pPr>
  </w:style>
  <w:style w:type="character" w:customStyle="1" w:styleId="PiedepginaCar">
    <w:name w:val="Pie de página Car"/>
    <w:basedOn w:val="Fuentedeprrafopredeter"/>
    <w:link w:val="Piedepgina"/>
    <w:uiPriority w:val="99"/>
    <w:rsid w:val="0037220F"/>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BA0995"/>
    <w:pPr>
      <w:ind w:left="720"/>
      <w:contextualSpacing/>
    </w:pPr>
    <w:rPr>
      <w:rFonts w:ascii="Arial" w:eastAsia="Times New Roman" w:hAnsi="Arial" w:cs="Arial"/>
      <w:noProof/>
      <w:color w:val="000000"/>
      <w:lang w:val="es-CO"/>
    </w:rPr>
  </w:style>
  <w:style w:type="character" w:customStyle="1" w:styleId="FontStyle25">
    <w:name w:val="Font Style25"/>
    <w:basedOn w:val="Fuentedeprrafopredeter"/>
    <w:uiPriority w:val="99"/>
    <w:rsid w:val="00BA0995"/>
    <w:rPr>
      <w:rFonts w:ascii="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625C-4A01-425F-9DA6-A63F8BF1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1152</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4</cp:revision>
  <cp:lastPrinted>2015-05-29T15:00:00Z</cp:lastPrinted>
  <dcterms:created xsi:type="dcterms:W3CDTF">2015-05-29T13:07:00Z</dcterms:created>
  <dcterms:modified xsi:type="dcterms:W3CDTF">2015-05-29T15:08:00Z</dcterms:modified>
</cp:coreProperties>
</file>