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EB3590" w:rsidRPr="00F24FE8" w:rsidTr="00094A21">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EB3590" w:rsidRPr="00094A21" w:rsidRDefault="00EB3590" w:rsidP="00576B6F">
            <w:pPr>
              <w:jc w:val="both"/>
              <w:rPr>
                <w:rFonts w:ascii="Tahoma" w:hAnsi="Tahoma" w:cs="Tahoma"/>
                <w:b/>
                <w:color w:val="auto"/>
                <w:sz w:val="16"/>
                <w:szCs w:val="16"/>
              </w:rPr>
            </w:pPr>
            <w:r w:rsidRPr="00094A21">
              <w:rPr>
                <w:rFonts w:ascii="Tahoma" w:hAnsi="Tahoma" w:cs="Tahoma"/>
                <w:b/>
                <w:color w:val="auto"/>
                <w:sz w:val="16"/>
                <w:szCs w:val="16"/>
              </w:rPr>
              <w:t>CIUDAD Y FECHA</w:t>
            </w:r>
          </w:p>
        </w:tc>
        <w:tc>
          <w:tcPr>
            <w:tcW w:w="6835" w:type="dxa"/>
            <w:tcBorders>
              <w:top w:val="single" w:sz="4" w:space="0" w:color="auto"/>
              <w:left w:val="single" w:sz="4" w:space="0" w:color="auto"/>
              <w:bottom w:val="single" w:sz="4" w:space="0" w:color="auto"/>
              <w:right w:val="single" w:sz="4" w:space="0" w:color="auto"/>
            </w:tcBorders>
          </w:tcPr>
          <w:p w:rsidR="00EB3590" w:rsidRPr="00094A21" w:rsidRDefault="00684D01" w:rsidP="00A76202">
            <w:pPr>
              <w:jc w:val="both"/>
              <w:rPr>
                <w:rFonts w:ascii="Tahoma" w:hAnsi="Tahoma" w:cs="Tahoma"/>
                <w:b/>
                <w:color w:val="auto"/>
                <w:sz w:val="16"/>
                <w:szCs w:val="16"/>
              </w:rPr>
            </w:pPr>
            <w:r w:rsidRPr="00094A21">
              <w:rPr>
                <w:rFonts w:ascii="Tahoma" w:hAnsi="Tahoma" w:cs="Tahoma"/>
                <w:b/>
                <w:sz w:val="16"/>
                <w:szCs w:val="16"/>
              </w:rPr>
              <w:t xml:space="preserve">Bogotá D.C., </w:t>
            </w:r>
            <w:r w:rsidR="00A76202">
              <w:rPr>
                <w:rFonts w:ascii="Tahoma" w:hAnsi="Tahoma" w:cs="Tahoma"/>
                <w:b/>
                <w:sz w:val="16"/>
                <w:szCs w:val="16"/>
              </w:rPr>
              <w:t>veintiséis (26)</w:t>
            </w:r>
            <w:r w:rsidRPr="00094A21">
              <w:rPr>
                <w:rFonts w:ascii="Tahoma" w:hAnsi="Tahoma" w:cs="Tahoma"/>
                <w:b/>
                <w:sz w:val="16"/>
                <w:szCs w:val="16"/>
              </w:rPr>
              <w:t xml:space="preserve"> de junio de dos mil quince (2015)</w:t>
            </w:r>
          </w:p>
        </w:tc>
      </w:tr>
      <w:tr w:rsidR="00EB3590" w:rsidRPr="00F24FE8" w:rsidTr="00094A21">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EB3590" w:rsidRPr="00094A21" w:rsidRDefault="00EB3590" w:rsidP="00576B6F">
            <w:pPr>
              <w:jc w:val="both"/>
              <w:rPr>
                <w:rFonts w:ascii="Tahoma" w:hAnsi="Tahoma" w:cs="Tahoma"/>
                <w:b/>
                <w:color w:val="auto"/>
                <w:sz w:val="16"/>
                <w:szCs w:val="16"/>
              </w:rPr>
            </w:pPr>
            <w:r w:rsidRPr="00094A21">
              <w:rPr>
                <w:rFonts w:ascii="Tahoma" w:hAnsi="Tahoma" w:cs="Tahoma"/>
                <w:b/>
                <w:color w:val="auto"/>
                <w:sz w:val="16"/>
                <w:szCs w:val="16"/>
              </w:rPr>
              <w:t>REFERENCIA</w:t>
            </w:r>
          </w:p>
        </w:tc>
        <w:tc>
          <w:tcPr>
            <w:tcW w:w="6835" w:type="dxa"/>
            <w:tcBorders>
              <w:top w:val="single" w:sz="4" w:space="0" w:color="auto"/>
              <w:left w:val="single" w:sz="4" w:space="0" w:color="auto"/>
              <w:bottom w:val="single" w:sz="4" w:space="0" w:color="auto"/>
              <w:right w:val="single" w:sz="4" w:space="0" w:color="auto"/>
            </w:tcBorders>
          </w:tcPr>
          <w:p w:rsidR="00EB3590" w:rsidRPr="00094A21" w:rsidRDefault="00684D01" w:rsidP="00576B6F">
            <w:pPr>
              <w:jc w:val="both"/>
              <w:rPr>
                <w:rFonts w:ascii="Tahoma" w:hAnsi="Tahoma" w:cs="Tahoma"/>
                <w:b/>
                <w:color w:val="auto"/>
                <w:sz w:val="16"/>
                <w:szCs w:val="16"/>
              </w:rPr>
            </w:pPr>
            <w:r w:rsidRPr="00094A21">
              <w:rPr>
                <w:rFonts w:ascii="Tahoma" w:hAnsi="Tahoma" w:cs="Tahoma"/>
                <w:b/>
                <w:sz w:val="16"/>
                <w:szCs w:val="16"/>
              </w:rPr>
              <w:t>Expediente No. 11001333603420140010400</w:t>
            </w:r>
          </w:p>
        </w:tc>
      </w:tr>
      <w:tr w:rsidR="00EB3590" w:rsidRPr="00F24FE8" w:rsidTr="00094A21">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EB3590" w:rsidRPr="00094A21" w:rsidRDefault="00EB3590" w:rsidP="00576B6F">
            <w:pPr>
              <w:jc w:val="both"/>
              <w:rPr>
                <w:rFonts w:ascii="Tahoma" w:hAnsi="Tahoma" w:cs="Tahoma"/>
                <w:b/>
                <w:color w:val="auto"/>
                <w:sz w:val="16"/>
                <w:szCs w:val="16"/>
              </w:rPr>
            </w:pPr>
            <w:r w:rsidRPr="00094A21">
              <w:rPr>
                <w:rFonts w:ascii="Tahoma" w:hAnsi="Tahoma" w:cs="Tahoma"/>
                <w:b/>
                <w:color w:val="auto"/>
                <w:sz w:val="16"/>
                <w:szCs w:val="16"/>
              </w:rPr>
              <w:t>DEMANDANTE</w:t>
            </w:r>
          </w:p>
        </w:tc>
        <w:tc>
          <w:tcPr>
            <w:tcW w:w="6835" w:type="dxa"/>
            <w:tcBorders>
              <w:top w:val="single" w:sz="4" w:space="0" w:color="auto"/>
              <w:left w:val="single" w:sz="4" w:space="0" w:color="auto"/>
              <w:bottom w:val="single" w:sz="4" w:space="0" w:color="auto"/>
              <w:right w:val="single" w:sz="4" w:space="0" w:color="auto"/>
            </w:tcBorders>
          </w:tcPr>
          <w:p w:rsidR="00EB3590" w:rsidRPr="00094A21" w:rsidRDefault="00684D01" w:rsidP="00576B6F">
            <w:pPr>
              <w:jc w:val="both"/>
              <w:rPr>
                <w:rFonts w:ascii="Tahoma" w:hAnsi="Tahoma" w:cs="Tahoma"/>
                <w:b/>
                <w:color w:val="auto"/>
                <w:sz w:val="16"/>
                <w:szCs w:val="16"/>
              </w:rPr>
            </w:pPr>
            <w:r w:rsidRPr="00094A21">
              <w:rPr>
                <w:rFonts w:ascii="Tahoma" w:hAnsi="Tahoma" w:cs="Tahoma"/>
                <w:b/>
                <w:sz w:val="16"/>
                <w:szCs w:val="16"/>
              </w:rPr>
              <w:t>MARIQUITA VARGAS QUIROGA Y OTRO</w:t>
            </w:r>
            <w:r w:rsidR="00EB3590" w:rsidRPr="00094A21">
              <w:rPr>
                <w:rFonts w:ascii="Tahoma" w:hAnsi="Tahoma" w:cs="Tahoma"/>
                <w:b/>
                <w:sz w:val="16"/>
                <w:szCs w:val="16"/>
              </w:rPr>
              <w:t>.</w:t>
            </w:r>
          </w:p>
        </w:tc>
      </w:tr>
      <w:tr w:rsidR="00EB3590" w:rsidRPr="00F24FE8" w:rsidTr="00094A21">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EB3590" w:rsidRPr="00094A21" w:rsidRDefault="00EB3590" w:rsidP="00576B6F">
            <w:pPr>
              <w:jc w:val="both"/>
              <w:rPr>
                <w:rFonts w:ascii="Tahoma" w:hAnsi="Tahoma" w:cs="Tahoma"/>
                <w:b/>
                <w:color w:val="auto"/>
                <w:sz w:val="16"/>
                <w:szCs w:val="16"/>
              </w:rPr>
            </w:pPr>
            <w:r w:rsidRPr="00094A21">
              <w:rPr>
                <w:rFonts w:ascii="Tahoma" w:hAnsi="Tahoma" w:cs="Tahoma"/>
                <w:b/>
                <w:color w:val="auto"/>
                <w:sz w:val="16"/>
                <w:szCs w:val="16"/>
              </w:rPr>
              <w:t>DEMANDADO</w:t>
            </w:r>
          </w:p>
        </w:tc>
        <w:tc>
          <w:tcPr>
            <w:tcW w:w="6835" w:type="dxa"/>
            <w:tcBorders>
              <w:top w:val="single" w:sz="4" w:space="0" w:color="auto"/>
              <w:left w:val="single" w:sz="4" w:space="0" w:color="auto"/>
              <w:bottom w:val="single" w:sz="4" w:space="0" w:color="auto"/>
              <w:right w:val="single" w:sz="4" w:space="0" w:color="auto"/>
            </w:tcBorders>
          </w:tcPr>
          <w:p w:rsidR="00EB3590" w:rsidRPr="00094A21" w:rsidRDefault="00684D01" w:rsidP="00576B6F">
            <w:pPr>
              <w:jc w:val="both"/>
              <w:rPr>
                <w:rFonts w:ascii="Tahoma" w:hAnsi="Tahoma" w:cs="Tahoma"/>
                <w:b/>
                <w:color w:val="auto"/>
                <w:sz w:val="16"/>
                <w:szCs w:val="16"/>
              </w:rPr>
            </w:pPr>
            <w:r w:rsidRPr="00094A21">
              <w:rPr>
                <w:rFonts w:ascii="Tahoma" w:hAnsi="Tahoma" w:cs="Tahoma"/>
                <w:b/>
                <w:sz w:val="16"/>
                <w:szCs w:val="16"/>
              </w:rPr>
              <w:t>RAMA JUDICIAL – DIRECCION EJECUTIVA DE ADMINISTRACION JUDICIAL</w:t>
            </w:r>
          </w:p>
        </w:tc>
      </w:tr>
      <w:tr w:rsidR="00EB3590" w:rsidRPr="00F24FE8" w:rsidTr="00094A21">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EB3590" w:rsidRPr="00094A21" w:rsidRDefault="00684D01" w:rsidP="00576B6F">
            <w:pPr>
              <w:jc w:val="both"/>
              <w:rPr>
                <w:rFonts w:ascii="Tahoma" w:hAnsi="Tahoma" w:cs="Tahoma"/>
                <w:b/>
                <w:color w:val="auto"/>
                <w:sz w:val="16"/>
                <w:szCs w:val="16"/>
              </w:rPr>
            </w:pPr>
            <w:r w:rsidRPr="00094A21">
              <w:rPr>
                <w:rFonts w:ascii="Tahoma" w:hAnsi="Tahoma" w:cs="Tahoma"/>
                <w:b/>
                <w:color w:val="auto"/>
                <w:sz w:val="16"/>
                <w:szCs w:val="16"/>
              </w:rPr>
              <w:t>MEDIO DE CONTROL</w:t>
            </w:r>
          </w:p>
        </w:tc>
        <w:tc>
          <w:tcPr>
            <w:tcW w:w="6835" w:type="dxa"/>
            <w:tcBorders>
              <w:top w:val="single" w:sz="4" w:space="0" w:color="auto"/>
              <w:left w:val="single" w:sz="4" w:space="0" w:color="auto"/>
              <w:bottom w:val="single" w:sz="4" w:space="0" w:color="auto"/>
              <w:right w:val="single" w:sz="4" w:space="0" w:color="auto"/>
            </w:tcBorders>
          </w:tcPr>
          <w:p w:rsidR="00EB3590" w:rsidRPr="00094A21" w:rsidRDefault="00684D01" w:rsidP="00576B6F">
            <w:pPr>
              <w:jc w:val="both"/>
              <w:rPr>
                <w:rFonts w:ascii="Tahoma" w:hAnsi="Tahoma" w:cs="Tahoma"/>
                <w:b/>
                <w:color w:val="auto"/>
                <w:sz w:val="16"/>
                <w:szCs w:val="16"/>
              </w:rPr>
            </w:pPr>
            <w:r w:rsidRPr="00094A21">
              <w:rPr>
                <w:rFonts w:ascii="Tahoma" w:hAnsi="Tahoma" w:cs="Tahoma"/>
                <w:b/>
                <w:sz w:val="16"/>
                <w:szCs w:val="16"/>
              </w:rPr>
              <w:t>REPARACIÓN DIRECTA</w:t>
            </w:r>
            <w:r w:rsidRPr="00094A21">
              <w:rPr>
                <w:rFonts w:ascii="Tahoma" w:hAnsi="Tahoma" w:cs="Tahoma"/>
                <w:b/>
                <w:color w:val="auto"/>
                <w:sz w:val="16"/>
                <w:szCs w:val="16"/>
              </w:rPr>
              <w:t xml:space="preserve"> </w:t>
            </w:r>
            <w:r w:rsidR="00EB3590" w:rsidRPr="00094A21">
              <w:rPr>
                <w:rFonts w:ascii="Tahoma" w:hAnsi="Tahoma" w:cs="Tahoma"/>
                <w:b/>
                <w:color w:val="auto"/>
                <w:sz w:val="16"/>
                <w:szCs w:val="16"/>
              </w:rPr>
              <w:fldChar w:fldCharType="begin"/>
            </w:r>
            <w:r w:rsidR="00EB3590" w:rsidRPr="00094A21">
              <w:rPr>
                <w:rFonts w:ascii="Tahoma" w:hAnsi="Tahoma" w:cs="Tahoma"/>
                <w:b/>
                <w:color w:val="auto"/>
                <w:sz w:val="16"/>
                <w:szCs w:val="16"/>
              </w:rPr>
              <w:instrText xml:space="preserve"> MERGEFIELD "ACCION_" </w:instrText>
            </w:r>
            <w:r w:rsidR="00EB3590" w:rsidRPr="00094A21">
              <w:rPr>
                <w:rFonts w:ascii="Tahoma" w:hAnsi="Tahoma" w:cs="Tahoma"/>
                <w:b/>
                <w:color w:val="auto"/>
                <w:sz w:val="16"/>
                <w:szCs w:val="16"/>
              </w:rPr>
              <w:fldChar w:fldCharType="end"/>
            </w:r>
          </w:p>
        </w:tc>
      </w:tr>
      <w:tr w:rsidR="00EB3590" w:rsidRPr="00F24FE8" w:rsidTr="00094A21">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EB3590" w:rsidRPr="00094A21" w:rsidRDefault="00EB3590" w:rsidP="00576B6F">
            <w:pPr>
              <w:jc w:val="both"/>
              <w:rPr>
                <w:rFonts w:ascii="Tahoma" w:hAnsi="Tahoma" w:cs="Tahoma"/>
                <w:b/>
                <w:color w:val="auto"/>
                <w:sz w:val="16"/>
                <w:szCs w:val="16"/>
              </w:rPr>
            </w:pPr>
            <w:r w:rsidRPr="00094A21">
              <w:rPr>
                <w:rFonts w:ascii="Tahoma" w:hAnsi="Tahoma" w:cs="Tahoma"/>
                <w:b/>
                <w:color w:val="auto"/>
                <w:sz w:val="16"/>
                <w:szCs w:val="16"/>
              </w:rPr>
              <w:t>ASUNTO</w:t>
            </w:r>
          </w:p>
        </w:tc>
        <w:tc>
          <w:tcPr>
            <w:tcW w:w="6835" w:type="dxa"/>
            <w:tcBorders>
              <w:top w:val="single" w:sz="4" w:space="0" w:color="auto"/>
              <w:left w:val="single" w:sz="4" w:space="0" w:color="auto"/>
              <w:bottom w:val="single" w:sz="4" w:space="0" w:color="auto"/>
              <w:right w:val="single" w:sz="4" w:space="0" w:color="auto"/>
            </w:tcBorders>
          </w:tcPr>
          <w:p w:rsidR="00EB3590" w:rsidRPr="00094A21" w:rsidRDefault="00EB3590" w:rsidP="00F24FE8">
            <w:pPr>
              <w:jc w:val="both"/>
              <w:rPr>
                <w:rFonts w:ascii="Tahoma" w:hAnsi="Tahoma" w:cs="Tahoma"/>
                <w:b/>
                <w:color w:val="auto"/>
                <w:sz w:val="16"/>
                <w:szCs w:val="16"/>
              </w:rPr>
            </w:pPr>
            <w:bookmarkStart w:id="0" w:name="_GoBack"/>
            <w:r w:rsidRPr="00094A21">
              <w:rPr>
                <w:rFonts w:ascii="Tahoma" w:hAnsi="Tahoma" w:cs="Tahoma"/>
                <w:b/>
                <w:color w:val="auto"/>
                <w:sz w:val="16"/>
                <w:szCs w:val="16"/>
              </w:rPr>
              <w:t>NIEGA LLAMAMIENTO EN GARANTÍA CON FINES DE R</w:t>
            </w:r>
            <w:r w:rsidR="00684D01" w:rsidRPr="00094A21">
              <w:rPr>
                <w:rFonts w:ascii="Tahoma" w:hAnsi="Tahoma" w:cs="Tahoma"/>
                <w:b/>
                <w:color w:val="auto"/>
                <w:sz w:val="16"/>
                <w:szCs w:val="16"/>
              </w:rPr>
              <w:t xml:space="preserve">EPETICIÓN – RECONOCE PERSONERIA </w:t>
            </w:r>
            <w:bookmarkEnd w:id="0"/>
          </w:p>
        </w:tc>
      </w:tr>
    </w:tbl>
    <w:p w:rsidR="00EB3590" w:rsidRPr="00F24FE8" w:rsidRDefault="00EB3590" w:rsidP="00EB3590">
      <w:pPr>
        <w:jc w:val="both"/>
        <w:rPr>
          <w:rFonts w:ascii="Tahoma" w:hAnsi="Tahoma" w:cs="Tahoma"/>
          <w:color w:val="auto"/>
          <w:sz w:val="18"/>
          <w:szCs w:val="18"/>
        </w:rPr>
      </w:pPr>
    </w:p>
    <w:p w:rsidR="00EB3590" w:rsidRPr="00F24FE8" w:rsidRDefault="00EB3590" w:rsidP="00EB3590">
      <w:pPr>
        <w:jc w:val="both"/>
        <w:rPr>
          <w:rFonts w:ascii="Tahoma" w:hAnsi="Tahoma" w:cs="Tahoma"/>
          <w:sz w:val="18"/>
          <w:szCs w:val="18"/>
        </w:rPr>
      </w:pPr>
      <w:r w:rsidRPr="00F24FE8">
        <w:rPr>
          <w:rFonts w:ascii="Tahoma" w:hAnsi="Tahoma" w:cs="Tahoma"/>
          <w:sz w:val="18"/>
          <w:szCs w:val="18"/>
        </w:rPr>
        <w:t xml:space="preserve">Con la presente demanda se pretende que se declare la responsabilidad contractual del MUNICIPIO DE SOACHA por la existencia de mayores cantidades de obra ejecutadas por el contratista durante la ejecución del contrato Nº 666 del 06 de </w:t>
      </w:r>
      <w:r w:rsidR="00071F33">
        <w:rPr>
          <w:rFonts w:ascii="Tahoma" w:hAnsi="Tahoma" w:cs="Tahoma"/>
          <w:sz w:val="18"/>
          <w:szCs w:val="18"/>
        </w:rPr>
        <w:t>o</w:t>
      </w:r>
      <w:r w:rsidRPr="00F24FE8">
        <w:rPr>
          <w:rFonts w:ascii="Tahoma" w:hAnsi="Tahoma" w:cs="Tahoma"/>
          <w:sz w:val="18"/>
          <w:szCs w:val="18"/>
        </w:rPr>
        <w:t xml:space="preserve">ctubre de 2010, suscrito entre el MUNICIPIO DE SOACHA CUNDINAMARCA- Y VR CONSTRUCCIONES Y SERVICIOS LTDA. </w:t>
      </w:r>
    </w:p>
    <w:p w:rsidR="00EB3590" w:rsidRPr="00F24FE8" w:rsidRDefault="00EB3590" w:rsidP="00EB3590">
      <w:pPr>
        <w:jc w:val="both"/>
        <w:rPr>
          <w:rFonts w:ascii="Tahoma" w:hAnsi="Tahoma" w:cs="Tahoma"/>
          <w:sz w:val="18"/>
          <w:szCs w:val="18"/>
        </w:rPr>
      </w:pPr>
    </w:p>
    <w:p w:rsidR="00684D01" w:rsidRPr="00F24FE8" w:rsidRDefault="00684D01" w:rsidP="00684D01">
      <w:pPr>
        <w:jc w:val="both"/>
        <w:rPr>
          <w:rFonts w:ascii="Tahoma" w:hAnsi="Tahoma" w:cs="Tahoma"/>
          <w:noProof/>
          <w:sz w:val="18"/>
          <w:szCs w:val="18"/>
        </w:rPr>
      </w:pPr>
      <w:r w:rsidRPr="00F24FE8">
        <w:rPr>
          <w:rFonts w:ascii="Tahoma" w:hAnsi="Tahoma" w:cs="Tahoma"/>
          <w:noProof/>
          <w:sz w:val="18"/>
          <w:szCs w:val="18"/>
        </w:rPr>
        <w:t>Con auto del 16 de octubre de 2014 se admitió la demanda</w:t>
      </w:r>
      <w:r w:rsidRPr="00F24FE8">
        <w:rPr>
          <w:rStyle w:val="Refdenotaalpie"/>
          <w:rFonts w:ascii="Tahoma" w:hAnsi="Tahoma" w:cs="Tahoma"/>
          <w:noProof/>
          <w:sz w:val="18"/>
          <w:szCs w:val="18"/>
        </w:rPr>
        <w:footnoteReference w:id="1"/>
      </w:r>
      <w:r w:rsidRPr="00F24FE8">
        <w:rPr>
          <w:rFonts w:ascii="Tahoma" w:hAnsi="Tahoma" w:cs="Tahoma"/>
          <w:noProof/>
          <w:sz w:val="18"/>
          <w:szCs w:val="18"/>
        </w:rPr>
        <w:t xml:space="preserve">. </w:t>
      </w:r>
    </w:p>
    <w:p w:rsidR="00EB3590" w:rsidRPr="00F24FE8" w:rsidRDefault="00EB3590" w:rsidP="00EB3590">
      <w:pPr>
        <w:jc w:val="both"/>
        <w:rPr>
          <w:rFonts w:ascii="Tahoma" w:hAnsi="Tahoma" w:cs="Tahoma"/>
          <w:color w:val="auto"/>
          <w:sz w:val="18"/>
          <w:szCs w:val="18"/>
        </w:rPr>
      </w:pPr>
    </w:p>
    <w:p w:rsidR="00EB3590" w:rsidRPr="00F24FE8" w:rsidRDefault="00EB3590" w:rsidP="00EB3590">
      <w:pPr>
        <w:jc w:val="center"/>
        <w:rPr>
          <w:rFonts w:ascii="Tahoma" w:hAnsi="Tahoma" w:cs="Tahoma"/>
          <w:b/>
          <w:color w:val="auto"/>
          <w:sz w:val="18"/>
          <w:szCs w:val="18"/>
        </w:rPr>
      </w:pPr>
      <w:r w:rsidRPr="00F24FE8">
        <w:rPr>
          <w:rFonts w:ascii="Tahoma" w:hAnsi="Tahoma" w:cs="Tahoma"/>
          <w:b/>
          <w:color w:val="auto"/>
          <w:sz w:val="18"/>
          <w:szCs w:val="18"/>
        </w:rPr>
        <w:t>CONSIDERACIONES</w:t>
      </w:r>
    </w:p>
    <w:p w:rsidR="00EB3590" w:rsidRPr="00F24FE8" w:rsidRDefault="00EB3590" w:rsidP="00EB3590">
      <w:pPr>
        <w:jc w:val="center"/>
        <w:rPr>
          <w:rFonts w:ascii="Tahoma" w:hAnsi="Tahoma" w:cs="Tahoma"/>
          <w:b/>
          <w:color w:val="auto"/>
          <w:sz w:val="18"/>
          <w:szCs w:val="18"/>
        </w:rPr>
      </w:pPr>
    </w:p>
    <w:p w:rsidR="00EB3590" w:rsidRPr="00F24FE8" w:rsidRDefault="00EB3590" w:rsidP="00EB3590">
      <w:pPr>
        <w:numPr>
          <w:ilvl w:val="0"/>
          <w:numId w:val="2"/>
        </w:numPr>
        <w:jc w:val="both"/>
        <w:rPr>
          <w:rFonts w:ascii="Tahoma" w:hAnsi="Tahoma" w:cs="Tahoma"/>
          <w:b/>
          <w:sz w:val="18"/>
          <w:szCs w:val="18"/>
        </w:rPr>
      </w:pPr>
      <w:r w:rsidRPr="00F24FE8">
        <w:rPr>
          <w:rFonts w:ascii="Tahoma" w:hAnsi="Tahoma" w:cs="Tahoma"/>
          <w:b/>
          <w:sz w:val="18"/>
          <w:szCs w:val="18"/>
        </w:rPr>
        <w:t xml:space="preserve">Del llamamiento en garantía </w:t>
      </w:r>
    </w:p>
    <w:p w:rsidR="00EB3590" w:rsidRPr="00F24FE8" w:rsidRDefault="00EB3590" w:rsidP="00EB3590">
      <w:pPr>
        <w:ind w:left="720"/>
        <w:jc w:val="both"/>
        <w:rPr>
          <w:rFonts w:ascii="Tahoma" w:hAnsi="Tahoma" w:cs="Tahoma"/>
          <w:sz w:val="18"/>
          <w:szCs w:val="18"/>
        </w:rPr>
      </w:pPr>
    </w:p>
    <w:p w:rsidR="00EB3590" w:rsidRPr="00F24FE8" w:rsidRDefault="00B84A62" w:rsidP="00EB3590">
      <w:pPr>
        <w:jc w:val="both"/>
        <w:rPr>
          <w:rFonts w:ascii="Tahoma" w:hAnsi="Tahoma" w:cs="Tahoma"/>
          <w:color w:val="auto"/>
          <w:sz w:val="18"/>
          <w:szCs w:val="18"/>
        </w:rPr>
      </w:pPr>
      <w:r w:rsidRPr="00F24FE8">
        <w:rPr>
          <w:rFonts w:ascii="Tahoma" w:hAnsi="Tahoma" w:cs="Tahoma"/>
          <w:sz w:val="18"/>
          <w:szCs w:val="18"/>
        </w:rPr>
        <w:t xml:space="preserve">El apoderado de LA NACION – RAMA JUDICIAL – DIRECCION EJECUTIVA DE ADMNISTRACION JUDICIAL </w:t>
      </w:r>
      <w:r w:rsidR="00EB3590" w:rsidRPr="00F24FE8">
        <w:rPr>
          <w:rFonts w:ascii="Tahoma" w:hAnsi="Tahoma" w:cs="Tahoma"/>
          <w:color w:val="auto"/>
          <w:sz w:val="18"/>
          <w:szCs w:val="18"/>
        </w:rPr>
        <w:t xml:space="preserve">solicitó llamar en garantía a </w:t>
      </w:r>
      <w:r w:rsidRPr="00F24FE8">
        <w:rPr>
          <w:rFonts w:ascii="Tahoma" w:hAnsi="Tahoma" w:cs="Tahoma"/>
          <w:color w:val="auto"/>
          <w:sz w:val="18"/>
          <w:szCs w:val="18"/>
        </w:rPr>
        <w:t>la señora MARBY ANGELA GUERRERO BERNAL en consideración a que aquella</w:t>
      </w:r>
      <w:r w:rsidR="00EB3590" w:rsidRPr="00F24FE8">
        <w:rPr>
          <w:rFonts w:ascii="Tahoma" w:hAnsi="Tahoma" w:cs="Tahoma"/>
          <w:color w:val="auto"/>
          <w:sz w:val="18"/>
          <w:szCs w:val="18"/>
        </w:rPr>
        <w:t xml:space="preserve"> ejercía funciones de </w:t>
      </w:r>
      <w:r w:rsidRPr="00F24FE8">
        <w:rPr>
          <w:rFonts w:ascii="Tahoma" w:hAnsi="Tahoma" w:cs="Tahoma"/>
          <w:color w:val="auto"/>
          <w:sz w:val="18"/>
          <w:szCs w:val="18"/>
        </w:rPr>
        <w:t>SECUESTRE durante el proceso ejecutivo llevado ante el Juez Octavo Civil del Circuito</w:t>
      </w:r>
      <w:r w:rsidR="00EB3590" w:rsidRPr="00F24FE8">
        <w:rPr>
          <w:rFonts w:ascii="Tahoma" w:hAnsi="Tahoma" w:cs="Tahoma"/>
          <w:color w:val="auto"/>
          <w:sz w:val="18"/>
          <w:szCs w:val="18"/>
        </w:rPr>
        <w:t>.</w:t>
      </w:r>
      <w:r w:rsidR="00AD3194" w:rsidRPr="00F24FE8">
        <w:rPr>
          <w:rFonts w:ascii="Tahoma" w:hAnsi="Tahoma" w:cs="Tahoma"/>
          <w:color w:val="auto"/>
          <w:sz w:val="18"/>
          <w:szCs w:val="18"/>
        </w:rPr>
        <w:t xml:space="preserve"> Dentro de dicho proceso el juez decretó una medida cautelar de embargo y secuestro contra el vehículo de propiedad de los demandados, el cual en la diligencia de secuestro le fue entregado a la auxiliar de la justicia MARBY ANGELA GUERRERO BERNAL, quien retiró el vehículo del parqueadero que se había designado en el acta de la diligencia, con el fin de abaratar costos de parqueo, quien luego suscribió contrato de depósito con la señora AMANTINA </w:t>
      </w:r>
      <w:r w:rsidR="00094A21">
        <w:rPr>
          <w:rFonts w:ascii="Tahoma" w:hAnsi="Tahoma" w:cs="Tahoma"/>
          <w:color w:val="auto"/>
          <w:sz w:val="18"/>
          <w:szCs w:val="18"/>
        </w:rPr>
        <w:t>C</w:t>
      </w:r>
      <w:r w:rsidR="00AD3194" w:rsidRPr="00F24FE8">
        <w:rPr>
          <w:rFonts w:ascii="Tahoma" w:hAnsi="Tahoma" w:cs="Tahoma"/>
          <w:color w:val="auto"/>
          <w:sz w:val="18"/>
          <w:szCs w:val="18"/>
        </w:rPr>
        <w:t>ARDONA RODRIGUEZ, comprometiéndose a custodiar dicho vehículo y a devolver el b</w:t>
      </w:r>
      <w:r w:rsidR="00094A21">
        <w:rPr>
          <w:rFonts w:ascii="Tahoma" w:hAnsi="Tahoma" w:cs="Tahoma"/>
          <w:color w:val="auto"/>
          <w:sz w:val="18"/>
          <w:szCs w:val="18"/>
        </w:rPr>
        <w:t>ien cuando el despacho lo ordenara, pero la depositaria dio una</w:t>
      </w:r>
      <w:r w:rsidR="00AD3194" w:rsidRPr="00F24FE8">
        <w:rPr>
          <w:rFonts w:ascii="Tahoma" w:hAnsi="Tahoma" w:cs="Tahoma"/>
          <w:color w:val="auto"/>
          <w:sz w:val="18"/>
          <w:szCs w:val="18"/>
        </w:rPr>
        <w:t xml:space="preserve"> destinación contraria a lo convenido en el contrato, entregando el vehículo a un tercero quien lo traslad</w:t>
      </w:r>
      <w:r w:rsidR="00094A21">
        <w:rPr>
          <w:rFonts w:ascii="Tahoma" w:hAnsi="Tahoma" w:cs="Tahoma"/>
          <w:color w:val="auto"/>
          <w:sz w:val="18"/>
          <w:szCs w:val="18"/>
        </w:rPr>
        <w:t>ó</w:t>
      </w:r>
      <w:r w:rsidR="00AD3194" w:rsidRPr="00F24FE8">
        <w:rPr>
          <w:rFonts w:ascii="Tahoma" w:hAnsi="Tahoma" w:cs="Tahoma"/>
          <w:color w:val="auto"/>
          <w:sz w:val="18"/>
          <w:szCs w:val="18"/>
        </w:rPr>
        <w:t xml:space="preserve"> a la ciudad de Medellín y fue objeto de varios comparendos. </w:t>
      </w:r>
    </w:p>
    <w:p w:rsidR="00EB3590" w:rsidRPr="00F24FE8" w:rsidRDefault="00EB3590" w:rsidP="00EB3590">
      <w:pPr>
        <w:pStyle w:val="Prrafodelista1"/>
        <w:ind w:left="360"/>
        <w:jc w:val="both"/>
        <w:rPr>
          <w:rFonts w:ascii="Tahoma" w:hAnsi="Tahoma" w:cs="Tahoma"/>
          <w:b/>
          <w:sz w:val="18"/>
          <w:szCs w:val="18"/>
          <w:lang w:val="es-CO"/>
        </w:rPr>
      </w:pPr>
    </w:p>
    <w:p w:rsidR="00EB3590" w:rsidRPr="00F24FE8" w:rsidRDefault="00EB3590" w:rsidP="00EB3590">
      <w:pPr>
        <w:jc w:val="both"/>
        <w:rPr>
          <w:rFonts w:ascii="Tahoma" w:hAnsi="Tahoma" w:cs="Tahoma"/>
          <w:sz w:val="18"/>
          <w:szCs w:val="18"/>
        </w:rPr>
      </w:pPr>
      <w:r w:rsidRPr="00F24FE8">
        <w:rPr>
          <w:rFonts w:ascii="Tahoma" w:hAnsi="Tahoma" w:cs="Tahoma"/>
          <w:sz w:val="18"/>
          <w:szCs w:val="18"/>
        </w:rPr>
        <w:t>El Código de Procedimiento Administrativo y de lo Contencioso Administrativo prevé sobre el llamamiento en garantía entre otras reglas lo siguiente:</w:t>
      </w:r>
    </w:p>
    <w:p w:rsidR="00EB3590" w:rsidRPr="00F24FE8" w:rsidRDefault="00EB3590" w:rsidP="00EB3590">
      <w:pPr>
        <w:jc w:val="both"/>
        <w:rPr>
          <w:rFonts w:ascii="Tahoma" w:hAnsi="Tahoma" w:cs="Tahoma"/>
          <w:sz w:val="18"/>
          <w:szCs w:val="18"/>
        </w:rPr>
      </w:pPr>
    </w:p>
    <w:p w:rsidR="00EB3590" w:rsidRPr="00094A21" w:rsidRDefault="00EB3590" w:rsidP="00EB3590">
      <w:pPr>
        <w:numPr>
          <w:ilvl w:val="0"/>
          <w:numId w:val="3"/>
        </w:numPr>
        <w:tabs>
          <w:tab w:val="left" w:pos="284"/>
        </w:tabs>
        <w:ind w:left="0" w:firstLine="0"/>
        <w:jc w:val="both"/>
        <w:rPr>
          <w:rFonts w:ascii="Times New Roman" w:hAnsi="Times New Roman" w:cs="Times New Roman"/>
          <w:i/>
          <w:sz w:val="18"/>
          <w:szCs w:val="18"/>
        </w:rPr>
      </w:pPr>
      <w:r w:rsidRPr="00F24FE8">
        <w:rPr>
          <w:rFonts w:ascii="Tahoma" w:hAnsi="Tahoma" w:cs="Tahoma"/>
          <w:sz w:val="18"/>
          <w:szCs w:val="18"/>
        </w:rPr>
        <w:t xml:space="preserve">El artículo 225 que: </w:t>
      </w:r>
      <w:r w:rsidRPr="00094A21">
        <w:rPr>
          <w:rFonts w:ascii="Times New Roman" w:hAnsi="Times New Roman" w:cs="Times New Roman"/>
          <w:sz w:val="18"/>
          <w:szCs w:val="18"/>
        </w:rPr>
        <w:t xml:space="preserve">“(…) </w:t>
      </w:r>
      <w:r w:rsidRPr="00094A21">
        <w:rPr>
          <w:rFonts w:ascii="Times New Roman" w:hAnsi="Times New Roman" w:cs="Times New Roman"/>
          <w:b/>
          <w:i/>
          <w:sz w:val="18"/>
          <w:szCs w:val="18"/>
        </w:rPr>
        <w:t>quien afirme tener derecho</w:t>
      </w:r>
      <w:r w:rsidRPr="00094A21">
        <w:rPr>
          <w:rFonts w:ascii="Times New Roman" w:hAnsi="Times New Roman" w:cs="Times New Roman"/>
          <w:i/>
          <w:sz w:val="18"/>
          <w:szCs w:val="18"/>
        </w:rPr>
        <w:t xml:space="preserve"> legal o </w:t>
      </w:r>
      <w:r w:rsidRPr="00094A21">
        <w:rPr>
          <w:rFonts w:ascii="Times New Roman" w:hAnsi="Times New Roman" w:cs="Times New Roman"/>
          <w:b/>
          <w:i/>
          <w:sz w:val="18"/>
          <w:szCs w:val="18"/>
        </w:rPr>
        <w:t>contractual de exigir a un tercero la reparación integral del perjuicio que llegare a sufrir</w:t>
      </w:r>
      <w:r w:rsidRPr="00094A21">
        <w:rPr>
          <w:rFonts w:ascii="Times New Roman" w:hAnsi="Times New Roman" w:cs="Times New Roman"/>
          <w:i/>
          <w:sz w:val="18"/>
          <w:szCs w:val="18"/>
        </w:rPr>
        <w:t xml:space="preserve">, </w:t>
      </w:r>
      <w:r w:rsidRPr="00094A21">
        <w:rPr>
          <w:rFonts w:ascii="Times New Roman" w:hAnsi="Times New Roman" w:cs="Times New Roman"/>
          <w:b/>
          <w:i/>
          <w:sz w:val="18"/>
          <w:szCs w:val="18"/>
        </w:rPr>
        <w:t>o el reembolso total o parcial del pago que tuviere que hacer como resultado de la sentencia</w:t>
      </w:r>
      <w:r w:rsidRPr="00094A21">
        <w:rPr>
          <w:rFonts w:ascii="Times New Roman" w:hAnsi="Times New Roman" w:cs="Times New Roman"/>
          <w:i/>
          <w:sz w:val="18"/>
          <w:szCs w:val="18"/>
        </w:rPr>
        <w:t>, podrá pedir la citación de aquel, para que en el mismo proceso se resuelva sobre tal relación.</w:t>
      </w:r>
    </w:p>
    <w:p w:rsidR="00EB3590" w:rsidRPr="00094A21" w:rsidRDefault="00EB3590" w:rsidP="00EB3590">
      <w:pPr>
        <w:jc w:val="both"/>
        <w:rPr>
          <w:rFonts w:ascii="Times New Roman" w:hAnsi="Times New Roman" w:cs="Times New Roman"/>
          <w:i/>
          <w:sz w:val="18"/>
          <w:szCs w:val="18"/>
        </w:rPr>
      </w:pPr>
    </w:p>
    <w:p w:rsidR="00EB3590" w:rsidRPr="00094A21" w:rsidRDefault="00EB3590" w:rsidP="00EB3590">
      <w:pPr>
        <w:jc w:val="both"/>
        <w:rPr>
          <w:rFonts w:ascii="Times New Roman" w:hAnsi="Times New Roman" w:cs="Times New Roman"/>
          <w:i/>
          <w:sz w:val="18"/>
          <w:szCs w:val="18"/>
        </w:rPr>
      </w:pPr>
      <w:r w:rsidRPr="00094A21">
        <w:rPr>
          <w:rFonts w:ascii="Times New Roman" w:hAnsi="Times New Roman" w:cs="Times New Roman"/>
          <w:i/>
          <w:sz w:val="18"/>
          <w:szCs w:val="18"/>
        </w:rPr>
        <w:t xml:space="preserve">El llamado en tal término que disponga para responder el </w:t>
      </w:r>
      <w:r w:rsidRPr="00094A21">
        <w:rPr>
          <w:rFonts w:ascii="Times New Roman" w:hAnsi="Times New Roman" w:cs="Times New Roman"/>
          <w:b/>
          <w:i/>
          <w:sz w:val="18"/>
          <w:szCs w:val="18"/>
        </w:rPr>
        <w:t>llamamiento que será de 15 días,</w:t>
      </w:r>
      <w:r w:rsidRPr="00094A21">
        <w:rPr>
          <w:rFonts w:ascii="Times New Roman" w:hAnsi="Times New Roman" w:cs="Times New Roman"/>
          <w:i/>
          <w:sz w:val="18"/>
          <w:szCs w:val="18"/>
        </w:rPr>
        <w:t xml:space="preserve"> podrá a su vez pedir la citación de un tercero en la misma forma que el demandante o demandado.</w:t>
      </w:r>
    </w:p>
    <w:p w:rsidR="00EB3590" w:rsidRPr="00094A21" w:rsidRDefault="00EB3590" w:rsidP="00EB3590">
      <w:pPr>
        <w:jc w:val="both"/>
        <w:rPr>
          <w:rFonts w:ascii="Times New Roman" w:hAnsi="Times New Roman" w:cs="Times New Roman"/>
          <w:i/>
          <w:sz w:val="18"/>
          <w:szCs w:val="18"/>
        </w:rPr>
      </w:pPr>
    </w:p>
    <w:p w:rsidR="00EB3590" w:rsidRPr="00094A21" w:rsidRDefault="00EB3590" w:rsidP="00EB3590">
      <w:pPr>
        <w:jc w:val="both"/>
        <w:rPr>
          <w:rFonts w:ascii="Times New Roman" w:hAnsi="Times New Roman" w:cs="Times New Roman"/>
          <w:i/>
          <w:sz w:val="18"/>
          <w:szCs w:val="18"/>
        </w:rPr>
      </w:pPr>
      <w:r w:rsidRPr="00094A21">
        <w:rPr>
          <w:rFonts w:ascii="Times New Roman" w:hAnsi="Times New Roman" w:cs="Times New Roman"/>
          <w:i/>
          <w:sz w:val="18"/>
          <w:szCs w:val="18"/>
        </w:rPr>
        <w:t xml:space="preserve">El escrito de llamamiento deberá contener los siguientes </w:t>
      </w:r>
      <w:r w:rsidRPr="00094A21">
        <w:rPr>
          <w:rFonts w:ascii="Times New Roman" w:hAnsi="Times New Roman" w:cs="Times New Roman"/>
          <w:b/>
          <w:i/>
          <w:sz w:val="18"/>
          <w:szCs w:val="18"/>
        </w:rPr>
        <w:t>requisitos</w:t>
      </w:r>
      <w:r w:rsidRPr="00094A21">
        <w:rPr>
          <w:rFonts w:ascii="Times New Roman" w:hAnsi="Times New Roman" w:cs="Times New Roman"/>
          <w:i/>
          <w:sz w:val="18"/>
          <w:szCs w:val="18"/>
        </w:rPr>
        <w:t>:</w:t>
      </w:r>
    </w:p>
    <w:p w:rsidR="00EB3590" w:rsidRPr="00094A21" w:rsidRDefault="00EB3590" w:rsidP="00EB3590">
      <w:pPr>
        <w:jc w:val="both"/>
        <w:rPr>
          <w:rFonts w:ascii="Times New Roman" w:hAnsi="Times New Roman" w:cs="Times New Roman"/>
          <w:i/>
          <w:sz w:val="18"/>
          <w:szCs w:val="18"/>
        </w:rPr>
      </w:pPr>
    </w:p>
    <w:p w:rsidR="00EB3590" w:rsidRPr="00094A21" w:rsidRDefault="00EB3590" w:rsidP="00EB3590">
      <w:pPr>
        <w:numPr>
          <w:ilvl w:val="0"/>
          <w:numId w:val="1"/>
        </w:numPr>
        <w:jc w:val="both"/>
        <w:rPr>
          <w:rFonts w:ascii="Times New Roman" w:hAnsi="Times New Roman" w:cs="Times New Roman"/>
          <w:i/>
          <w:sz w:val="18"/>
          <w:szCs w:val="18"/>
        </w:rPr>
      </w:pPr>
      <w:r w:rsidRPr="00094A21">
        <w:rPr>
          <w:rFonts w:ascii="Times New Roman" w:hAnsi="Times New Roman" w:cs="Times New Roman"/>
          <w:i/>
          <w:sz w:val="18"/>
          <w:szCs w:val="18"/>
        </w:rPr>
        <w:t>El nombre del llamado y el de su representante si aquel no puede comparecer por si al proceso.</w:t>
      </w:r>
    </w:p>
    <w:p w:rsidR="00EB3590" w:rsidRPr="00094A21" w:rsidRDefault="00EB3590" w:rsidP="00EB3590">
      <w:pPr>
        <w:numPr>
          <w:ilvl w:val="0"/>
          <w:numId w:val="1"/>
        </w:numPr>
        <w:jc w:val="both"/>
        <w:rPr>
          <w:rFonts w:ascii="Times New Roman" w:hAnsi="Times New Roman" w:cs="Times New Roman"/>
          <w:i/>
          <w:sz w:val="18"/>
          <w:szCs w:val="18"/>
        </w:rPr>
      </w:pPr>
      <w:r w:rsidRPr="00094A21">
        <w:rPr>
          <w:rFonts w:ascii="Times New Roman" w:hAnsi="Times New Roman" w:cs="Times New Roman"/>
          <w:i/>
          <w:sz w:val="18"/>
          <w:szCs w:val="18"/>
        </w:rPr>
        <w:t>La indicación del domicilio del llamado, o en su defecto, de su residencia, y la de su habitación u oficina y los de su representante, según fuere el caso, o la manifestación de que se ignora, lo último bajo juramento, que se entiende prestado por la sola prestación del escrito.</w:t>
      </w:r>
    </w:p>
    <w:p w:rsidR="00EB3590" w:rsidRPr="00094A21" w:rsidRDefault="00EB3590" w:rsidP="00EB3590">
      <w:pPr>
        <w:numPr>
          <w:ilvl w:val="0"/>
          <w:numId w:val="1"/>
        </w:numPr>
        <w:jc w:val="both"/>
        <w:rPr>
          <w:rFonts w:ascii="Times New Roman" w:hAnsi="Times New Roman" w:cs="Times New Roman"/>
          <w:i/>
          <w:sz w:val="18"/>
          <w:szCs w:val="18"/>
        </w:rPr>
      </w:pPr>
      <w:r w:rsidRPr="00094A21">
        <w:rPr>
          <w:rFonts w:ascii="Times New Roman" w:hAnsi="Times New Roman" w:cs="Times New Roman"/>
          <w:i/>
          <w:sz w:val="18"/>
          <w:szCs w:val="18"/>
        </w:rPr>
        <w:t>Los hechos en que se basa el llamamiento y los fundamentos de derecho que se invoquen</w:t>
      </w:r>
    </w:p>
    <w:p w:rsidR="00EB3590" w:rsidRPr="00094A21" w:rsidRDefault="00EB3590" w:rsidP="00EB3590">
      <w:pPr>
        <w:numPr>
          <w:ilvl w:val="0"/>
          <w:numId w:val="1"/>
        </w:numPr>
        <w:jc w:val="both"/>
        <w:rPr>
          <w:rFonts w:ascii="Times New Roman" w:hAnsi="Times New Roman" w:cs="Times New Roman"/>
          <w:i/>
          <w:sz w:val="18"/>
          <w:szCs w:val="18"/>
        </w:rPr>
      </w:pPr>
      <w:r w:rsidRPr="00094A21">
        <w:rPr>
          <w:rFonts w:ascii="Times New Roman" w:hAnsi="Times New Roman" w:cs="Times New Roman"/>
          <w:i/>
          <w:sz w:val="18"/>
          <w:szCs w:val="18"/>
        </w:rPr>
        <w:t>La dirección de la oficina o habitación donde quien hace el llamamiento y su apoderado recibirán notificaciones personales</w:t>
      </w:r>
    </w:p>
    <w:p w:rsidR="00EB3590" w:rsidRPr="00094A21" w:rsidRDefault="00EB3590" w:rsidP="00EB3590">
      <w:pPr>
        <w:jc w:val="both"/>
        <w:rPr>
          <w:rFonts w:ascii="Times New Roman" w:hAnsi="Times New Roman" w:cs="Times New Roman"/>
          <w:b/>
          <w:i/>
          <w:sz w:val="18"/>
          <w:szCs w:val="18"/>
        </w:rPr>
      </w:pPr>
    </w:p>
    <w:p w:rsidR="00EB3590" w:rsidRPr="00094A21" w:rsidRDefault="00EB3590" w:rsidP="00EB3590">
      <w:pPr>
        <w:jc w:val="both"/>
        <w:rPr>
          <w:rFonts w:ascii="Times New Roman" w:hAnsi="Times New Roman" w:cs="Times New Roman"/>
          <w:sz w:val="18"/>
          <w:szCs w:val="18"/>
        </w:rPr>
      </w:pPr>
      <w:r w:rsidRPr="00094A21">
        <w:rPr>
          <w:rFonts w:ascii="Times New Roman" w:hAnsi="Times New Roman" w:cs="Times New Roman"/>
          <w:b/>
          <w:i/>
          <w:sz w:val="18"/>
          <w:szCs w:val="18"/>
        </w:rPr>
        <w:t>El llamamiento en garantía con fines de repetición se regirá por las normas de la ley 678 de 2001</w:t>
      </w:r>
      <w:r w:rsidRPr="00094A21">
        <w:rPr>
          <w:rStyle w:val="Refdenotaalpie"/>
          <w:rFonts w:ascii="Times New Roman" w:hAnsi="Times New Roman" w:cs="Times New Roman"/>
          <w:b/>
          <w:i/>
          <w:sz w:val="18"/>
          <w:szCs w:val="18"/>
        </w:rPr>
        <w:footnoteReference w:id="2"/>
      </w:r>
      <w:r w:rsidRPr="00094A21">
        <w:rPr>
          <w:rFonts w:ascii="Times New Roman" w:hAnsi="Times New Roman" w:cs="Times New Roman"/>
          <w:i/>
          <w:sz w:val="18"/>
          <w:szCs w:val="18"/>
        </w:rPr>
        <w:t xml:space="preserve"> o por aquellas que la reformen o adicionen (…)”</w:t>
      </w:r>
    </w:p>
    <w:p w:rsidR="00EB3590" w:rsidRPr="00F24FE8" w:rsidRDefault="00EB3590" w:rsidP="00EB3590">
      <w:pPr>
        <w:jc w:val="both"/>
        <w:rPr>
          <w:rFonts w:ascii="Tahoma" w:hAnsi="Tahoma" w:cs="Tahoma"/>
          <w:sz w:val="18"/>
          <w:szCs w:val="18"/>
        </w:rPr>
      </w:pPr>
    </w:p>
    <w:p w:rsidR="00EB3590" w:rsidRPr="00F24FE8" w:rsidRDefault="00EB3590" w:rsidP="00EB3590">
      <w:pPr>
        <w:numPr>
          <w:ilvl w:val="0"/>
          <w:numId w:val="3"/>
        </w:numPr>
        <w:tabs>
          <w:tab w:val="left" w:pos="284"/>
        </w:tabs>
        <w:ind w:left="0" w:firstLine="0"/>
        <w:jc w:val="both"/>
        <w:rPr>
          <w:rFonts w:ascii="Tahoma" w:hAnsi="Tahoma" w:cs="Tahoma"/>
          <w:bCs/>
          <w:sz w:val="18"/>
          <w:szCs w:val="18"/>
        </w:rPr>
      </w:pPr>
      <w:r w:rsidRPr="00F24FE8">
        <w:rPr>
          <w:rFonts w:ascii="Tahoma" w:hAnsi="Tahoma" w:cs="Tahoma"/>
          <w:sz w:val="18"/>
          <w:szCs w:val="18"/>
        </w:rPr>
        <w:t xml:space="preserve">El artículo 227 que: </w:t>
      </w:r>
      <w:r w:rsidRPr="00094A21">
        <w:rPr>
          <w:rFonts w:ascii="Times New Roman" w:hAnsi="Times New Roman" w:cs="Times New Roman"/>
          <w:i/>
          <w:sz w:val="18"/>
          <w:szCs w:val="18"/>
        </w:rPr>
        <w:t xml:space="preserve">“(…) </w:t>
      </w:r>
      <w:r w:rsidRPr="00094A21">
        <w:rPr>
          <w:rFonts w:ascii="Times New Roman" w:hAnsi="Times New Roman" w:cs="Times New Roman"/>
          <w:b/>
          <w:i/>
          <w:sz w:val="18"/>
          <w:szCs w:val="18"/>
        </w:rPr>
        <w:t>En lo no regulado en este código sobre la intervención de terceros se aplicaran las normas del Código de Procedimiento Civil</w:t>
      </w:r>
      <w:r w:rsidRPr="00094A21">
        <w:rPr>
          <w:rFonts w:ascii="Times New Roman" w:hAnsi="Times New Roman" w:cs="Times New Roman"/>
          <w:i/>
          <w:sz w:val="18"/>
          <w:szCs w:val="18"/>
        </w:rPr>
        <w:t>”.</w:t>
      </w:r>
      <w:r w:rsidRPr="00F24FE8">
        <w:rPr>
          <w:rFonts w:ascii="Tahoma" w:hAnsi="Tahoma" w:cs="Tahoma"/>
          <w:i/>
          <w:sz w:val="18"/>
          <w:szCs w:val="18"/>
        </w:rPr>
        <w:t xml:space="preserve">  </w:t>
      </w:r>
      <w:r w:rsidRPr="00F24FE8">
        <w:rPr>
          <w:rFonts w:ascii="Tahoma" w:hAnsi="Tahoma" w:cs="Tahoma"/>
          <w:bCs/>
          <w:sz w:val="18"/>
          <w:szCs w:val="18"/>
        </w:rPr>
        <w:t>Dicho Código fue reemplazado por el Código General del Proceso a partir de enero de 2014.</w:t>
      </w:r>
    </w:p>
    <w:p w:rsidR="00EB3590" w:rsidRPr="00F24FE8" w:rsidRDefault="00EB3590" w:rsidP="00EB3590">
      <w:pPr>
        <w:jc w:val="both"/>
        <w:rPr>
          <w:rFonts w:ascii="Tahoma" w:hAnsi="Tahoma" w:cs="Tahoma"/>
          <w:sz w:val="18"/>
          <w:szCs w:val="18"/>
        </w:rPr>
      </w:pPr>
    </w:p>
    <w:p w:rsidR="00EB3590" w:rsidRPr="00F24FE8" w:rsidRDefault="00EB3590" w:rsidP="00EB3590">
      <w:pPr>
        <w:jc w:val="both"/>
        <w:rPr>
          <w:rFonts w:ascii="Tahoma" w:hAnsi="Tahoma" w:cs="Tahoma"/>
          <w:sz w:val="18"/>
          <w:szCs w:val="18"/>
        </w:rPr>
      </w:pPr>
      <w:r w:rsidRPr="00F24FE8">
        <w:rPr>
          <w:rFonts w:ascii="Tahoma" w:hAnsi="Tahoma" w:cs="Tahoma"/>
          <w:sz w:val="18"/>
          <w:szCs w:val="18"/>
        </w:rPr>
        <w:t>El Código General del Proceso señala sobre este punto lo siguiente:</w:t>
      </w:r>
    </w:p>
    <w:p w:rsidR="00EB3590" w:rsidRPr="00F24FE8" w:rsidRDefault="00EB3590" w:rsidP="00EB3590">
      <w:pPr>
        <w:jc w:val="both"/>
        <w:rPr>
          <w:rFonts w:ascii="Tahoma" w:hAnsi="Tahoma" w:cs="Tahoma"/>
          <w:sz w:val="18"/>
          <w:szCs w:val="18"/>
        </w:rPr>
      </w:pPr>
    </w:p>
    <w:p w:rsidR="00EB3590" w:rsidRPr="00F24FE8" w:rsidRDefault="00EB3590" w:rsidP="00EB3590">
      <w:pPr>
        <w:numPr>
          <w:ilvl w:val="0"/>
          <w:numId w:val="3"/>
        </w:numPr>
        <w:tabs>
          <w:tab w:val="left" w:pos="284"/>
        </w:tabs>
        <w:ind w:left="0" w:firstLine="0"/>
        <w:jc w:val="both"/>
        <w:rPr>
          <w:rFonts w:ascii="Tahoma" w:hAnsi="Tahoma" w:cs="Tahoma"/>
          <w:sz w:val="18"/>
          <w:szCs w:val="18"/>
        </w:rPr>
      </w:pPr>
      <w:r w:rsidRPr="00F24FE8">
        <w:rPr>
          <w:rFonts w:ascii="Tahoma" w:hAnsi="Tahoma" w:cs="Tahoma"/>
          <w:sz w:val="18"/>
          <w:szCs w:val="18"/>
        </w:rPr>
        <w:t xml:space="preserve">El artículo 64 que, </w:t>
      </w:r>
      <w:r w:rsidRPr="00094A21">
        <w:rPr>
          <w:rFonts w:ascii="Times New Roman" w:hAnsi="Times New Roman" w:cs="Times New Roman"/>
          <w:i/>
          <w:sz w:val="18"/>
          <w:szCs w:val="18"/>
        </w:rPr>
        <w:t>“(…) quien afirme tener derecho legal o contractual a exigir de otro la indemnización del perjuicio que llegare a sufrir o el reembolso total o parcial del pago que tuviere que hacer como resultado de la sentencia”… “podrá pedir, en la demanda o dentro del término para contestarla, que en el mismo proceso se resuelva sobre tal relación”.</w:t>
      </w:r>
    </w:p>
    <w:p w:rsidR="00EB3590" w:rsidRPr="00F24FE8" w:rsidRDefault="00EB3590" w:rsidP="00EB3590">
      <w:pPr>
        <w:jc w:val="both"/>
        <w:rPr>
          <w:rFonts w:ascii="Tahoma" w:hAnsi="Tahoma" w:cs="Tahoma"/>
          <w:sz w:val="18"/>
          <w:szCs w:val="18"/>
        </w:rPr>
      </w:pPr>
    </w:p>
    <w:p w:rsidR="00EB3590" w:rsidRPr="00094A21" w:rsidRDefault="00EB3590" w:rsidP="00EB3590">
      <w:pPr>
        <w:numPr>
          <w:ilvl w:val="0"/>
          <w:numId w:val="3"/>
        </w:numPr>
        <w:tabs>
          <w:tab w:val="left" w:pos="284"/>
        </w:tabs>
        <w:ind w:left="0" w:firstLine="0"/>
        <w:jc w:val="both"/>
        <w:rPr>
          <w:rFonts w:ascii="Times New Roman" w:hAnsi="Times New Roman" w:cs="Times New Roman"/>
          <w:i/>
          <w:sz w:val="18"/>
          <w:szCs w:val="18"/>
        </w:rPr>
      </w:pPr>
      <w:r w:rsidRPr="00F24FE8">
        <w:rPr>
          <w:rFonts w:ascii="Tahoma" w:hAnsi="Tahoma" w:cs="Tahoma"/>
          <w:sz w:val="18"/>
          <w:szCs w:val="18"/>
        </w:rPr>
        <w:t xml:space="preserve">El artículo 65 que </w:t>
      </w:r>
      <w:r w:rsidRPr="00094A21">
        <w:rPr>
          <w:rFonts w:ascii="Times New Roman" w:hAnsi="Times New Roman" w:cs="Times New Roman"/>
          <w:i/>
          <w:sz w:val="18"/>
          <w:szCs w:val="18"/>
        </w:rPr>
        <w:t>“(…) la demanda por medio de la cual se llame en garantía deberá cumplir con los mismos requisitos exigidos en el artículo 82 y demás normas aplicables (…) el convocado podrá a su vez llamar en garantía”.</w:t>
      </w:r>
    </w:p>
    <w:p w:rsidR="00EB3590" w:rsidRPr="00F24FE8" w:rsidRDefault="00EB3590" w:rsidP="00EB3590">
      <w:pPr>
        <w:jc w:val="both"/>
        <w:rPr>
          <w:rFonts w:ascii="Tahoma" w:hAnsi="Tahoma" w:cs="Tahoma"/>
          <w:i/>
          <w:sz w:val="18"/>
          <w:szCs w:val="18"/>
        </w:rPr>
      </w:pPr>
    </w:p>
    <w:p w:rsidR="00EB3590" w:rsidRPr="00F24FE8" w:rsidRDefault="00EB3590" w:rsidP="00EB3590">
      <w:pPr>
        <w:jc w:val="both"/>
        <w:rPr>
          <w:rFonts w:ascii="Tahoma" w:hAnsi="Tahoma" w:cs="Tahoma"/>
          <w:sz w:val="18"/>
          <w:szCs w:val="18"/>
        </w:rPr>
      </w:pPr>
    </w:p>
    <w:p w:rsidR="00EB3590" w:rsidRPr="00F24FE8" w:rsidRDefault="00EB3590" w:rsidP="00EB3590">
      <w:pPr>
        <w:jc w:val="both"/>
        <w:rPr>
          <w:rFonts w:ascii="Tahoma" w:hAnsi="Tahoma" w:cs="Tahoma"/>
          <w:sz w:val="18"/>
          <w:szCs w:val="18"/>
        </w:rPr>
      </w:pPr>
      <w:r w:rsidRPr="00F24FE8">
        <w:rPr>
          <w:rFonts w:ascii="Tahoma" w:hAnsi="Tahoma" w:cs="Tahoma"/>
          <w:sz w:val="18"/>
          <w:szCs w:val="18"/>
        </w:rPr>
        <w:t>La ley 678 de 2011 establece sobre esta materia lo siguiente:</w:t>
      </w:r>
    </w:p>
    <w:p w:rsidR="00EB3590" w:rsidRPr="00F24FE8" w:rsidRDefault="00EB3590" w:rsidP="00EB3590">
      <w:pPr>
        <w:jc w:val="both"/>
        <w:rPr>
          <w:rFonts w:ascii="Tahoma" w:hAnsi="Tahoma" w:cs="Tahoma"/>
          <w:sz w:val="18"/>
          <w:szCs w:val="18"/>
        </w:rPr>
      </w:pPr>
    </w:p>
    <w:p w:rsidR="00EB3590" w:rsidRPr="00094A21" w:rsidRDefault="00EB3590" w:rsidP="00EB3590">
      <w:pPr>
        <w:jc w:val="both"/>
        <w:rPr>
          <w:rFonts w:ascii="Times New Roman" w:hAnsi="Times New Roman" w:cs="Times New Roman"/>
          <w:sz w:val="18"/>
          <w:szCs w:val="18"/>
        </w:rPr>
      </w:pPr>
      <w:r w:rsidRPr="00094A21">
        <w:rPr>
          <w:rFonts w:ascii="Times New Roman" w:hAnsi="Times New Roman" w:cs="Times New Roman"/>
          <w:sz w:val="18"/>
          <w:szCs w:val="18"/>
        </w:rPr>
        <w:t>“</w:t>
      </w:r>
      <w:r w:rsidRPr="00094A21">
        <w:rPr>
          <w:rFonts w:ascii="Times New Roman" w:hAnsi="Times New Roman" w:cs="Times New Roman"/>
          <w:i/>
          <w:sz w:val="18"/>
          <w:szCs w:val="18"/>
        </w:rPr>
        <w:t xml:space="preserve">Articulo 2. Acción de repetición. La acción de repetición en es una acción civil de carácter patrimonial que deberá ejercerse en contra del servidor o ex servidor público que como consecuencia de su conducta dolosa o gravemente culposa haya dado reconocimiento indemnizatorio por parte del estado, proveniente de una condena, conciliación u otra forma de terminación de un conflicto. La misma acción se ejercitara contra el particular que investido de una función pública haya ocasionado en forma dolosa o gravemente culposa la reparación patrimonial. </w:t>
      </w:r>
      <w:r w:rsidRPr="00094A21">
        <w:rPr>
          <w:rFonts w:ascii="Times New Roman" w:hAnsi="Times New Roman" w:cs="Times New Roman"/>
          <w:b/>
          <w:i/>
          <w:sz w:val="18"/>
          <w:szCs w:val="18"/>
        </w:rPr>
        <w:t xml:space="preserve">No obstante, en los términos de esta ley, el servidor o ex servidor público o el particular investido de funciones públicas podrán ser </w:t>
      </w:r>
      <w:proofErr w:type="gramStart"/>
      <w:r w:rsidRPr="00094A21">
        <w:rPr>
          <w:rFonts w:ascii="Times New Roman" w:hAnsi="Times New Roman" w:cs="Times New Roman"/>
          <w:b/>
          <w:i/>
          <w:sz w:val="18"/>
          <w:szCs w:val="18"/>
        </w:rPr>
        <w:t>llamado</w:t>
      </w:r>
      <w:proofErr w:type="gramEnd"/>
      <w:r w:rsidRPr="00094A21">
        <w:rPr>
          <w:rFonts w:ascii="Times New Roman" w:hAnsi="Times New Roman" w:cs="Times New Roman"/>
          <w:b/>
          <w:i/>
          <w:sz w:val="18"/>
          <w:szCs w:val="18"/>
        </w:rPr>
        <w:t xml:space="preserve"> en garantía dentro del proceso de responsabilidad contra la entidad pública, con los mismos fines de la acción de repetición.  Parágrafo 1</w:t>
      </w:r>
      <w:r w:rsidRPr="00094A21">
        <w:rPr>
          <w:rFonts w:ascii="Times New Roman" w:hAnsi="Times New Roman" w:cs="Times New Roman"/>
          <w:i/>
          <w:sz w:val="18"/>
          <w:szCs w:val="18"/>
        </w:rPr>
        <w:t xml:space="preserve"> para efectos de repetición, el contratista, </w:t>
      </w:r>
      <w:r w:rsidRPr="00094A21">
        <w:rPr>
          <w:rFonts w:ascii="Times New Roman" w:hAnsi="Times New Roman" w:cs="Times New Roman"/>
          <w:b/>
          <w:i/>
          <w:sz w:val="18"/>
          <w:szCs w:val="18"/>
        </w:rPr>
        <w:t>el interventor</w:t>
      </w:r>
      <w:r w:rsidRPr="00094A21">
        <w:rPr>
          <w:rFonts w:ascii="Times New Roman" w:hAnsi="Times New Roman" w:cs="Times New Roman"/>
          <w:i/>
          <w:sz w:val="18"/>
          <w:szCs w:val="18"/>
        </w:rPr>
        <w:t xml:space="preserve">, el consultor y el asesor </w:t>
      </w:r>
      <w:r w:rsidRPr="00094A21">
        <w:rPr>
          <w:rFonts w:ascii="Times New Roman" w:hAnsi="Times New Roman" w:cs="Times New Roman"/>
          <w:b/>
          <w:i/>
          <w:sz w:val="18"/>
          <w:szCs w:val="18"/>
        </w:rPr>
        <w:t xml:space="preserve">se consideran particulares que cumplen funciones públicas en todo lo concerniente a </w:t>
      </w:r>
      <w:r w:rsidRPr="00094A21">
        <w:rPr>
          <w:rFonts w:ascii="Times New Roman" w:hAnsi="Times New Roman" w:cs="Times New Roman"/>
          <w:i/>
          <w:sz w:val="18"/>
          <w:szCs w:val="18"/>
        </w:rPr>
        <w:t>la celebración</w:t>
      </w:r>
      <w:r w:rsidRPr="00094A21">
        <w:rPr>
          <w:rFonts w:ascii="Times New Roman" w:hAnsi="Times New Roman" w:cs="Times New Roman"/>
          <w:b/>
          <w:i/>
          <w:sz w:val="18"/>
          <w:szCs w:val="18"/>
        </w:rPr>
        <w:t xml:space="preserve">, ejecución y liquidación de los contratos que celebren con las entidades estatales, por lo tanto estarán sujetos a lo contemplado en esta ley </w:t>
      </w:r>
      <w:r w:rsidRPr="00094A21">
        <w:rPr>
          <w:rFonts w:ascii="Times New Roman" w:hAnsi="Times New Roman" w:cs="Times New Roman"/>
          <w:i/>
          <w:sz w:val="18"/>
          <w:szCs w:val="18"/>
        </w:rPr>
        <w:t xml:space="preserve">  </w:t>
      </w:r>
      <w:r w:rsidRPr="00094A21">
        <w:rPr>
          <w:rFonts w:ascii="Times New Roman" w:hAnsi="Times New Roman" w:cs="Times New Roman"/>
          <w:sz w:val="18"/>
          <w:szCs w:val="18"/>
        </w:rPr>
        <w:t>”</w:t>
      </w:r>
    </w:p>
    <w:p w:rsidR="00EB3590" w:rsidRPr="00094A21" w:rsidRDefault="00EB3590" w:rsidP="00EB3590">
      <w:pPr>
        <w:jc w:val="both"/>
        <w:rPr>
          <w:rFonts w:ascii="Times New Roman" w:hAnsi="Times New Roman" w:cs="Times New Roman"/>
          <w:sz w:val="18"/>
          <w:szCs w:val="18"/>
        </w:rPr>
      </w:pPr>
    </w:p>
    <w:p w:rsidR="00EB3590" w:rsidRPr="00094A21" w:rsidRDefault="00EB3590" w:rsidP="00EB3590">
      <w:pPr>
        <w:ind w:right="49"/>
        <w:jc w:val="both"/>
        <w:rPr>
          <w:rFonts w:ascii="Times New Roman" w:hAnsi="Times New Roman" w:cs="Times New Roman"/>
          <w:i/>
          <w:sz w:val="18"/>
          <w:szCs w:val="18"/>
        </w:rPr>
      </w:pPr>
      <w:r w:rsidRPr="00094A21">
        <w:rPr>
          <w:rFonts w:ascii="Times New Roman" w:hAnsi="Times New Roman" w:cs="Times New Roman"/>
          <w:i/>
          <w:sz w:val="18"/>
          <w:szCs w:val="18"/>
        </w:rPr>
        <w:t xml:space="preserve">“Artículo 19. Llamamiento en garantía. Dentro de los procesos de responsabilidad en contra del Estado relativos a controversias contractuales, reparación directa y nulidad y restablecimiento del derecho, la entidad pública directamente perjudicada o el Ministerio Público, </w:t>
      </w:r>
      <w:r w:rsidRPr="00094A21">
        <w:rPr>
          <w:rFonts w:ascii="Times New Roman" w:hAnsi="Times New Roman" w:cs="Times New Roman"/>
          <w:b/>
          <w:i/>
          <w:sz w:val="18"/>
          <w:szCs w:val="18"/>
        </w:rPr>
        <w:t>podrán solicitar el llamamiento en garantía del agente frente al que aparezca prueba sumaria de su responsabilidad al haber actuado con dolo o culpa grave, para que en el mismo proceso se decida la responsabilidad de la administración y la del funcionario</w:t>
      </w:r>
      <w:r w:rsidRPr="00094A21">
        <w:rPr>
          <w:rFonts w:ascii="Times New Roman" w:hAnsi="Times New Roman" w:cs="Times New Roman"/>
          <w:i/>
          <w:sz w:val="18"/>
          <w:szCs w:val="18"/>
        </w:rPr>
        <w:t>. Parágrafo. La entidad pública no podrá llamar en garantía al agente si dentro de la contestación de la demanda propuso excepciones de culpa exclusiva de la víctima, hecho de un tercero, caso fortuito o fuerza mayor”.</w:t>
      </w:r>
    </w:p>
    <w:p w:rsidR="00B16006" w:rsidRPr="00F24FE8" w:rsidRDefault="00B16006" w:rsidP="00D04DAA">
      <w:pPr>
        <w:ind w:right="49"/>
        <w:jc w:val="both"/>
        <w:rPr>
          <w:rFonts w:ascii="Tahoma" w:hAnsi="Tahoma" w:cs="Tahoma"/>
          <w:sz w:val="18"/>
          <w:szCs w:val="18"/>
        </w:rPr>
      </w:pPr>
    </w:p>
    <w:p w:rsidR="00EB3590" w:rsidRPr="00F24FE8" w:rsidRDefault="00EB3590" w:rsidP="00EB3590">
      <w:pPr>
        <w:jc w:val="both"/>
        <w:rPr>
          <w:rFonts w:ascii="Tahoma" w:hAnsi="Tahoma" w:cs="Tahoma"/>
          <w:sz w:val="18"/>
          <w:szCs w:val="18"/>
        </w:rPr>
      </w:pPr>
      <w:r w:rsidRPr="00F24FE8">
        <w:rPr>
          <w:rFonts w:ascii="Tahoma" w:hAnsi="Tahoma" w:cs="Tahoma"/>
          <w:sz w:val="18"/>
          <w:szCs w:val="18"/>
        </w:rPr>
        <w:t>Estudiado el expediente encuentr</w:t>
      </w:r>
      <w:r w:rsidR="00D04DAA" w:rsidRPr="00F24FE8">
        <w:rPr>
          <w:rFonts w:ascii="Tahoma" w:hAnsi="Tahoma" w:cs="Tahoma"/>
          <w:sz w:val="18"/>
          <w:szCs w:val="18"/>
        </w:rPr>
        <w:t xml:space="preserve">a el despacho que en la contestación de la demanda el apoderado de la Rama Judicial al proponer las excepciones hace referencia a una de las causales que eximen de responsabilidad, </w:t>
      </w:r>
      <w:r w:rsidR="00094A21">
        <w:rPr>
          <w:rFonts w:ascii="Tahoma" w:hAnsi="Tahoma" w:cs="Tahoma"/>
          <w:sz w:val="18"/>
          <w:szCs w:val="18"/>
        </w:rPr>
        <w:t>esto es, el</w:t>
      </w:r>
      <w:r w:rsidR="00D04DAA" w:rsidRPr="00F24FE8">
        <w:rPr>
          <w:rFonts w:ascii="Tahoma" w:hAnsi="Tahoma" w:cs="Tahoma"/>
          <w:sz w:val="18"/>
          <w:szCs w:val="18"/>
        </w:rPr>
        <w:t xml:space="preserve"> hecho de un tercero</w:t>
      </w:r>
      <w:r w:rsidR="00D04DAA" w:rsidRPr="00F24FE8">
        <w:rPr>
          <w:rStyle w:val="Refdenotaalpie"/>
          <w:rFonts w:ascii="Tahoma" w:hAnsi="Tahoma" w:cs="Tahoma"/>
          <w:sz w:val="18"/>
          <w:szCs w:val="18"/>
        </w:rPr>
        <w:footnoteReference w:id="3"/>
      </w:r>
      <w:r w:rsidRPr="00F24FE8">
        <w:rPr>
          <w:rFonts w:ascii="Tahoma" w:hAnsi="Tahoma" w:cs="Tahoma"/>
          <w:sz w:val="18"/>
          <w:szCs w:val="18"/>
        </w:rPr>
        <w:t xml:space="preserve">, es decir </w:t>
      </w:r>
      <w:r w:rsidR="00D04DAA" w:rsidRPr="00F24FE8">
        <w:rPr>
          <w:rFonts w:ascii="Tahoma" w:hAnsi="Tahoma" w:cs="Tahoma"/>
          <w:sz w:val="18"/>
          <w:szCs w:val="18"/>
        </w:rPr>
        <w:t>parece que exime a la secuestre</w:t>
      </w:r>
      <w:r w:rsidRPr="00F24FE8">
        <w:rPr>
          <w:rFonts w:ascii="Tahoma" w:hAnsi="Tahoma" w:cs="Tahoma"/>
          <w:sz w:val="18"/>
          <w:szCs w:val="18"/>
        </w:rPr>
        <w:t xml:space="preserve"> de cualquier supuesto del cual se evidencie responsabilidad con fines de repetición.  </w:t>
      </w:r>
    </w:p>
    <w:p w:rsidR="00EB3590" w:rsidRPr="00F24FE8" w:rsidRDefault="00EB3590" w:rsidP="00EB3590">
      <w:pPr>
        <w:jc w:val="both"/>
        <w:rPr>
          <w:rFonts w:ascii="Tahoma" w:hAnsi="Tahoma" w:cs="Tahoma"/>
          <w:sz w:val="18"/>
          <w:szCs w:val="18"/>
        </w:rPr>
      </w:pPr>
    </w:p>
    <w:p w:rsidR="00EB3590" w:rsidRPr="00F24FE8" w:rsidRDefault="00EB3590" w:rsidP="00EB3590">
      <w:pPr>
        <w:jc w:val="both"/>
        <w:rPr>
          <w:rFonts w:ascii="Tahoma" w:hAnsi="Tahoma" w:cs="Tahoma"/>
          <w:b/>
          <w:sz w:val="18"/>
          <w:szCs w:val="18"/>
        </w:rPr>
      </w:pPr>
      <w:r w:rsidRPr="00F24FE8">
        <w:rPr>
          <w:rFonts w:ascii="Tahoma" w:hAnsi="Tahoma" w:cs="Tahoma"/>
          <w:sz w:val="18"/>
          <w:szCs w:val="18"/>
        </w:rPr>
        <w:t>Por lo anterior, en el caso bajo estudio</w:t>
      </w:r>
      <w:r w:rsidRPr="00F24FE8">
        <w:rPr>
          <w:rFonts w:ascii="Tahoma" w:hAnsi="Tahoma" w:cs="Tahoma"/>
          <w:b/>
          <w:sz w:val="18"/>
          <w:szCs w:val="18"/>
        </w:rPr>
        <w:t xml:space="preserve"> </w:t>
      </w:r>
      <w:r w:rsidRPr="00F24FE8">
        <w:rPr>
          <w:rFonts w:ascii="Tahoma" w:hAnsi="Tahoma" w:cs="Tahoma"/>
          <w:sz w:val="18"/>
          <w:szCs w:val="18"/>
        </w:rPr>
        <w:t xml:space="preserve">el Despacho encuentra que de acuerdo con lo dispuesto por el artículo 65 y 82 del Código General del Proceso, no reúne los requisitos procesales para realizar llamamiento en garantía, en consecuencia, </w:t>
      </w:r>
      <w:r w:rsidRPr="00F24FE8">
        <w:rPr>
          <w:rFonts w:ascii="Tahoma" w:hAnsi="Tahoma" w:cs="Tahoma"/>
          <w:b/>
          <w:sz w:val="18"/>
          <w:szCs w:val="18"/>
        </w:rPr>
        <w:t>se negará.</w:t>
      </w:r>
    </w:p>
    <w:p w:rsidR="00EB3590" w:rsidRPr="00F24FE8" w:rsidRDefault="00EB3590" w:rsidP="00EB3590">
      <w:pPr>
        <w:jc w:val="both"/>
        <w:rPr>
          <w:rFonts w:ascii="Tahoma" w:hAnsi="Tahoma" w:cs="Tahoma"/>
          <w:color w:val="auto"/>
          <w:sz w:val="18"/>
          <w:szCs w:val="18"/>
        </w:rPr>
      </w:pPr>
    </w:p>
    <w:p w:rsidR="00EB3590" w:rsidRPr="00F24FE8" w:rsidRDefault="00EB3590" w:rsidP="00EB3590">
      <w:pPr>
        <w:numPr>
          <w:ilvl w:val="0"/>
          <w:numId w:val="2"/>
        </w:numPr>
        <w:jc w:val="both"/>
        <w:rPr>
          <w:rFonts w:ascii="Tahoma" w:hAnsi="Tahoma" w:cs="Tahoma"/>
          <w:b/>
          <w:color w:val="auto"/>
          <w:sz w:val="18"/>
          <w:szCs w:val="18"/>
        </w:rPr>
      </w:pPr>
      <w:r w:rsidRPr="00F24FE8">
        <w:rPr>
          <w:rFonts w:ascii="Tahoma" w:hAnsi="Tahoma" w:cs="Tahoma"/>
          <w:b/>
          <w:color w:val="auto"/>
          <w:sz w:val="18"/>
          <w:szCs w:val="18"/>
        </w:rPr>
        <w:t>De la representación de las partes</w:t>
      </w:r>
    </w:p>
    <w:p w:rsidR="00EB3590" w:rsidRPr="00F24FE8" w:rsidRDefault="00EB3590" w:rsidP="00EB3590">
      <w:pPr>
        <w:jc w:val="both"/>
        <w:rPr>
          <w:rFonts w:ascii="Tahoma" w:hAnsi="Tahoma" w:cs="Tahoma"/>
          <w:b/>
          <w:color w:val="auto"/>
          <w:sz w:val="18"/>
          <w:szCs w:val="18"/>
        </w:rPr>
      </w:pPr>
    </w:p>
    <w:p w:rsidR="00EB3590" w:rsidRPr="00F24FE8" w:rsidRDefault="00EB3590" w:rsidP="00EB3590">
      <w:pPr>
        <w:jc w:val="both"/>
        <w:rPr>
          <w:rFonts w:ascii="Tahoma" w:hAnsi="Tahoma" w:cs="Tahoma"/>
          <w:color w:val="auto"/>
          <w:sz w:val="18"/>
          <w:szCs w:val="18"/>
        </w:rPr>
      </w:pPr>
      <w:r w:rsidRPr="00F24FE8">
        <w:rPr>
          <w:rFonts w:ascii="Tahoma" w:hAnsi="Tahoma" w:cs="Tahoma"/>
          <w:color w:val="auto"/>
          <w:sz w:val="18"/>
          <w:szCs w:val="18"/>
        </w:rPr>
        <w:t xml:space="preserve">Como está pendiente reconocerle personería al abogado </w:t>
      </w:r>
      <w:r w:rsidR="00B97890" w:rsidRPr="00F24FE8">
        <w:rPr>
          <w:rFonts w:ascii="Tahoma" w:hAnsi="Tahoma" w:cs="Tahoma"/>
          <w:color w:val="auto"/>
          <w:sz w:val="18"/>
          <w:szCs w:val="18"/>
        </w:rPr>
        <w:t xml:space="preserve">JESUS GERARDO DAZA TIMANA </w:t>
      </w:r>
      <w:r w:rsidRPr="00F24FE8">
        <w:rPr>
          <w:rFonts w:ascii="Tahoma" w:hAnsi="Tahoma" w:cs="Tahoma"/>
          <w:color w:val="auto"/>
          <w:sz w:val="18"/>
          <w:szCs w:val="18"/>
        </w:rPr>
        <w:t xml:space="preserve">como apoderado de la parte demandada </w:t>
      </w:r>
      <w:r w:rsidR="00B97890" w:rsidRPr="00F24FE8">
        <w:rPr>
          <w:rFonts w:ascii="Tahoma" w:hAnsi="Tahoma" w:cs="Tahoma"/>
          <w:color w:val="auto"/>
          <w:sz w:val="18"/>
          <w:szCs w:val="18"/>
        </w:rPr>
        <w:t>RAMA JUDICIAL – DIRECCION EJECUTIVA DE ADMINISTRACION JUDICIAL</w:t>
      </w:r>
      <w:r w:rsidRPr="00F24FE8">
        <w:rPr>
          <w:rFonts w:ascii="Tahoma" w:hAnsi="Tahoma" w:cs="Tahoma"/>
          <w:color w:val="auto"/>
          <w:sz w:val="18"/>
          <w:szCs w:val="18"/>
        </w:rPr>
        <w:t>, procederá el despacho a ello.</w:t>
      </w:r>
    </w:p>
    <w:p w:rsidR="00EB3590" w:rsidRPr="00F24FE8" w:rsidRDefault="00EB3590" w:rsidP="00EB3590">
      <w:pPr>
        <w:jc w:val="both"/>
        <w:rPr>
          <w:rFonts w:ascii="Tahoma" w:hAnsi="Tahoma" w:cs="Tahoma"/>
          <w:color w:val="auto"/>
          <w:sz w:val="18"/>
          <w:szCs w:val="18"/>
        </w:rPr>
      </w:pPr>
    </w:p>
    <w:p w:rsidR="00EB3590" w:rsidRPr="00F24FE8" w:rsidRDefault="00EB3590" w:rsidP="00EB3590">
      <w:pPr>
        <w:jc w:val="both"/>
        <w:rPr>
          <w:rFonts w:ascii="Tahoma" w:hAnsi="Tahoma" w:cs="Tahoma"/>
          <w:color w:val="auto"/>
          <w:sz w:val="18"/>
          <w:szCs w:val="18"/>
        </w:rPr>
      </w:pPr>
      <w:r w:rsidRPr="00F24FE8">
        <w:rPr>
          <w:rFonts w:ascii="Tahoma" w:hAnsi="Tahoma" w:cs="Tahoma"/>
          <w:color w:val="auto"/>
          <w:sz w:val="18"/>
          <w:szCs w:val="18"/>
        </w:rPr>
        <w:t xml:space="preserve">Por lo brevemente expuesto, </w:t>
      </w:r>
      <w:r w:rsidRPr="00F24FE8">
        <w:rPr>
          <w:rFonts w:ascii="Tahoma" w:hAnsi="Tahoma" w:cs="Tahoma"/>
          <w:b/>
          <w:color w:val="auto"/>
          <w:sz w:val="18"/>
          <w:szCs w:val="18"/>
        </w:rPr>
        <w:t>SE DISPONE</w:t>
      </w:r>
      <w:r w:rsidRPr="00F24FE8">
        <w:rPr>
          <w:rFonts w:ascii="Tahoma" w:hAnsi="Tahoma" w:cs="Tahoma"/>
          <w:color w:val="auto"/>
          <w:sz w:val="18"/>
          <w:szCs w:val="18"/>
        </w:rPr>
        <w:t>:</w:t>
      </w:r>
    </w:p>
    <w:p w:rsidR="00EB3590" w:rsidRPr="00F24FE8" w:rsidRDefault="00EB3590" w:rsidP="00EB3590">
      <w:pPr>
        <w:jc w:val="both"/>
        <w:rPr>
          <w:rFonts w:ascii="Tahoma" w:hAnsi="Tahoma" w:cs="Tahoma"/>
          <w:color w:val="auto"/>
          <w:sz w:val="18"/>
          <w:szCs w:val="18"/>
        </w:rPr>
      </w:pPr>
    </w:p>
    <w:p w:rsidR="00EB3590" w:rsidRPr="00F24FE8" w:rsidRDefault="00EB3590" w:rsidP="00EB3590">
      <w:pPr>
        <w:jc w:val="both"/>
        <w:rPr>
          <w:rFonts w:ascii="Tahoma" w:hAnsi="Tahoma" w:cs="Tahoma"/>
          <w:sz w:val="18"/>
          <w:szCs w:val="18"/>
        </w:rPr>
      </w:pPr>
      <w:r w:rsidRPr="00F24FE8">
        <w:rPr>
          <w:rFonts w:ascii="Tahoma" w:hAnsi="Tahoma" w:cs="Tahoma"/>
          <w:b/>
          <w:sz w:val="18"/>
          <w:szCs w:val="18"/>
        </w:rPr>
        <w:t>Primero: Niéguese</w:t>
      </w:r>
      <w:r w:rsidRPr="00F24FE8">
        <w:rPr>
          <w:rFonts w:ascii="Tahoma" w:hAnsi="Tahoma" w:cs="Tahoma"/>
          <w:sz w:val="18"/>
          <w:szCs w:val="18"/>
        </w:rPr>
        <w:t xml:space="preserve"> el llamamiento en garantía solicitado por el </w:t>
      </w:r>
      <w:r w:rsidR="00CE3FC1" w:rsidRPr="00F24FE8">
        <w:rPr>
          <w:rFonts w:ascii="Tahoma" w:hAnsi="Tahoma" w:cs="Tahoma"/>
          <w:sz w:val="18"/>
          <w:szCs w:val="18"/>
        </w:rPr>
        <w:t>LA RAMA JUDICIAL – DIRECCION EJECUTIVA DE ADMINISTRACION JUDICIAL</w:t>
      </w:r>
      <w:r w:rsidRPr="00F24FE8">
        <w:rPr>
          <w:rFonts w:ascii="Tahoma" w:hAnsi="Tahoma" w:cs="Tahoma"/>
          <w:sz w:val="18"/>
          <w:szCs w:val="18"/>
        </w:rPr>
        <w:t>, por las razones expuestas en la parte motiva de la presente providencia.</w:t>
      </w:r>
    </w:p>
    <w:p w:rsidR="00EB3590" w:rsidRPr="00F24FE8" w:rsidRDefault="00EB3590" w:rsidP="00EB3590">
      <w:pPr>
        <w:jc w:val="both"/>
        <w:rPr>
          <w:rFonts w:ascii="Tahoma" w:hAnsi="Tahoma" w:cs="Tahoma"/>
          <w:b/>
          <w:color w:val="auto"/>
          <w:sz w:val="18"/>
          <w:szCs w:val="18"/>
        </w:rPr>
      </w:pPr>
    </w:p>
    <w:p w:rsidR="00EB3590" w:rsidRPr="00F24FE8" w:rsidRDefault="00EB3590" w:rsidP="00EB3590">
      <w:pPr>
        <w:jc w:val="both"/>
        <w:rPr>
          <w:rFonts w:ascii="Tahoma" w:hAnsi="Tahoma" w:cs="Tahoma"/>
          <w:color w:val="auto"/>
          <w:sz w:val="18"/>
          <w:szCs w:val="18"/>
        </w:rPr>
      </w:pPr>
      <w:r w:rsidRPr="00F24FE8">
        <w:rPr>
          <w:rFonts w:ascii="Tahoma" w:hAnsi="Tahoma" w:cs="Tahoma"/>
          <w:b/>
          <w:color w:val="auto"/>
          <w:sz w:val="18"/>
          <w:szCs w:val="18"/>
        </w:rPr>
        <w:t>Segundo:</w:t>
      </w:r>
      <w:r w:rsidRPr="00F24FE8">
        <w:rPr>
          <w:rFonts w:ascii="Tahoma" w:hAnsi="Tahoma" w:cs="Tahoma"/>
          <w:color w:val="auto"/>
          <w:sz w:val="18"/>
          <w:szCs w:val="18"/>
        </w:rPr>
        <w:t xml:space="preserve"> Téngase como apoderado de</w:t>
      </w:r>
      <w:r w:rsidR="004F3B82" w:rsidRPr="00F24FE8">
        <w:rPr>
          <w:rFonts w:ascii="Tahoma" w:hAnsi="Tahoma" w:cs="Tahoma"/>
          <w:color w:val="auto"/>
          <w:sz w:val="18"/>
          <w:szCs w:val="18"/>
        </w:rPr>
        <w:t xml:space="preserve"> </w:t>
      </w:r>
      <w:r w:rsidRPr="00F24FE8">
        <w:rPr>
          <w:rFonts w:ascii="Tahoma" w:hAnsi="Tahoma" w:cs="Tahoma"/>
          <w:color w:val="auto"/>
          <w:sz w:val="18"/>
          <w:szCs w:val="18"/>
        </w:rPr>
        <w:t>l</w:t>
      </w:r>
      <w:r w:rsidR="004F3B82" w:rsidRPr="00F24FE8">
        <w:rPr>
          <w:rFonts w:ascii="Tahoma" w:hAnsi="Tahoma" w:cs="Tahoma"/>
          <w:color w:val="auto"/>
          <w:sz w:val="18"/>
          <w:szCs w:val="18"/>
        </w:rPr>
        <w:t>a</w:t>
      </w:r>
      <w:r w:rsidRPr="00F24FE8">
        <w:rPr>
          <w:rFonts w:ascii="Tahoma" w:hAnsi="Tahoma" w:cs="Tahoma"/>
          <w:color w:val="auto"/>
          <w:sz w:val="18"/>
          <w:szCs w:val="18"/>
        </w:rPr>
        <w:t xml:space="preserve"> </w:t>
      </w:r>
      <w:r w:rsidR="004F3B82" w:rsidRPr="00F24FE8">
        <w:rPr>
          <w:rFonts w:ascii="Tahoma" w:hAnsi="Tahoma" w:cs="Tahoma"/>
          <w:color w:val="auto"/>
          <w:sz w:val="18"/>
          <w:szCs w:val="18"/>
        </w:rPr>
        <w:t xml:space="preserve">RAMA JUDICIAL – DIRECCION EJECUTIVA DE ADMINISTRACION JUDICIAL </w:t>
      </w:r>
      <w:r w:rsidRPr="00F24FE8">
        <w:rPr>
          <w:rFonts w:ascii="Tahoma" w:hAnsi="Tahoma" w:cs="Tahoma"/>
          <w:color w:val="auto"/>
          <w:sz w:val="18"/>
          <w:szCs w:val="18"/>
        </w:rPr>
        <w:t xml:space="preserve">al abogado </w:t>
      </w:r>
      <w:r w:rsidR="004F3B82" w:rsidRPr="00F24FE8">
        <w:rPr>
          <w:rFonts w:ascii="Tahoma" w:hAnsi="Tahoma" w:cs="Tahoma"/>
          <w:color w:val="auto"/>
          <w:sz w:val="18"/>
          <w:szCs w:val="18"/>
        </w:rPr>
        <w:t xml:space="preserve">JESUS GERARDO DAZA TIMANA </w:t>
      </w:r>
      <w:r w:rsidRPr="00F24FE8">
        <w:rPr>
          <w:rFonts w:ascii="Tahoma" w:hAnsi="Tahoma" w:cs="Tahoma"/>
          <w:color w:val="auto"/>
          <w:sz w:val="18"/>
          <w:szCs w:val="18"/>
        </w:rPr>
        <w:t>identificado con Cédula de</w:t>
      </w:r>
      <w:r w:rsidR="004F3B82" w:rsidRPr="00F24FE8">
        <w:rPr>
          <w:rFonts w:ascii="Tahoma" w:hAnsi="Tahoma" w:cs="Tahoma"/>
          <w:color w:val="auto"/>
          <w:sz w:val="18"/>
          <w:szCs w:val="18"/>
        </w:rPr>
        <w:t xml:space="preserve"> Ciudadanía N° 10.539.319</w:t>
      </w:r>
      <w:r w:rsidRPr="00F24FE8">
        <w:rPr>
          <w:rFonts w:ascii="Tahoma" w:hAnsi="Tahoma" w:cs="Tahoma"/>
          <w:color w:val="auto"/>
          <w:sz w:val="18"/>
          <w:szCs w:val="18"/>
        </w:rPr>
        <w:t xml:space="preserve"> de Bogotá y T</w:t>
      </w:r>
      <w:r w:rsidR="004F3B82" w:rsidRPr="00F24FE8">
        <w:rPr>
          <w:rFonts w:ascii="Tahoma" w:hAnsi="Tahoma" w:cs="Tahoma"/>
          <w:color w:val="auto"/>
          <w:sz w:val="18"/>
          <w:szCs w:val="18"/>
        </w:rPr>
        <w:t>. P. 43.870</w:t>
      </w:r>
      <w:r w:rsidRPr="00F24FE8">
        <w:rPr>
          <w:rFonts w:ascii="Tahoma" w:hAnsi="Tahoma" w:cs="Tahoma"/>
          <w:color w:val="auto"/>
          <w:sz w:val="18"/>
          <w:szCs w:val="18"/>
        </w:rPr>
        <w:t xml:space="preserve"> del C. S. de la Judicatura en la forma y térmi</w:t>
      </w:r>
      <w:r w:rsidR="004F3B82" w:rsidRPr="00F24FE8">
        <w:rPr>
          <w:rFonts w:ascii="Tahoma" w:hAnsi="Tahoma" w:cs="Tahoma"/>
          <w:color w:val="auto"/>
          <w:sz w:val="18"/>
          <w:szCs w:val="18"/>
        </w:rPr>
        <w:t>nos del poder visible a folio 95</w:t>
      </w:r>
      <w:r w:rsidRPr="00F24FE8">
        <w:rPr>
          <w:rFonts w:ascii="Tahoma" w:hAnsi="Tahoma" w:cs="Tahoma"/>
          <w:color w:val="auto"/>
          <w:sz w:val="18"/>
          <w:szCs w:val="18"/>
        </w:rPr>
        <w:t xml:space="preserve"> del cuaderno principal.</w:t>
      </w:r>
    </w:p>
    <w:p w:rsidR="00EB3590" w:rsidRPr="00F24FE8" w:rsidRDefault="00EB3590" w:rsidP="00EB3590">
      <w:pPr>
        <w:jc w:val="both"/>
        <w:rPr>
          <w:rFonts w:ascii="Tahoma" w:hAnsi="Tahoma" w:cs="Tahoma"/>
          <w:color w:val="auto"/>
          <w:sz w:val="18"/>
          <w:szCs w:val="18"/>
        </w:rPr>
      </w:pPr>
    </w:p>
    <w:p w:rsidR="00EB3590" w:rsidRPr="00F24FE8" w:rsidRDefault="00EB3590" w:rsidP="00EB3590">
      <w:pPr>
        <w:widowControl w:val="0"/>
        <w:jc w:val="both"/>
        <w:rPr>
          <w:rFonts w:ascii="Tahoma" w:hAnsi="Tahoma" w:cs="Tahoma"/>
          <w:b/>
          <w:color w:val="auto"/>
          <w:sz w:val="18"/>
          <w:szCs w:val="18"/>
        </w:rPr>
      </w:pPr>
      <w:r w:rsidRPr="00F24FE8">
        <w:rPr>
          <w:rFonts w:ascii="Tahoma" w:hAnsi="Tahoma" w:cs="Tahoma"/>
          <w:b/>
          <w:color w:val="auto"/>
          <w:sz w:val="18"/>
          <w:szCs w:val="18"/>
        </w:rPr>
        <w:t>NOTIFÍQUESE Y CÚMPLASE,</w:t>
      </w:r>
    </w:p>
    <w:p w:rsidR="00EB3590" w:rsidRPr="00F24FE8" w:rsidRDefault="00EB3590" w:rsidP="00EB3590">
      <w:pPr>
        <w:jc w:val="center"/>
        <w:rPr>
          <w:rFonts w:ascii="Tahoma" w:hAnsi="Tahoma" w:cs="Tahoma"/>
          <w:b/>
          <w:color w:val="auto"/>
          <w:sz w:val="18"/>
          <w:szCs w:val="18"/>
        </w:rPr>
      </w:pPr>
    </w:p>
    <w:p w:rsidR="00EB3590" w:rsidRPr="00F24FE8" w:rsidRDefault="00EB3590" w:rsidP="00EB3590">
      <w:pPr>
        <w:jc w:val="center"/>
        <w:rPr>
          <w:rFonts w:ascii="Tahoma" w:hAnsi="Tahoma" w:cs="Tahoma"/>
          <w:b/>
          <w:color w:val="auto"/>
          <w:sz w:val="18"/>
          <w:szCs w:val="18"/>
        </w:rPr>
      </w:pPr>
      <w:r w:rsidRPr="00F24FE8">
        <w:rPr>
          <w:rFonts w:ascii="Tahoma" w:hAnsi="Tahoma" w:cs="Tahoma"/>
          <w:b/>
          <w:color w:val="auto"/>
          <w:sz w:val="18"/>
          <w:szCs w:val="18"/>
        </w:rPr>
        <w:t>OLGA CECILIA HENAO MARÍN</w:t>
      </w:r>
    </w:p>
    <w:p w:rsidR="00EB3590" w:rsidRPr="00F24FE8" w:rsidRDefault="00EB3590" w:rsidP="00EB3590">
      <w:pPr>
        <w:jc w:val="center"/>
        <w:rPr>
          <w:rFonts w:ascii="Tahoma" w:hAnsi="Tahoma" w:cs="Tahoma"/>
          <w:color w:val="auto"/>
          <w:sz w:val="18"/>
          <w:szCs w:val="18"/>
        </w:rPr>
      </w:pPr>
      <w:r w:rsidRPr="00F24FE8">
        <w:rPr>
          <w:rFonts w:ascii="Tahoma" w:hAnsi="Tahoma" w:cs="Tahoma"/>
          <w:color w:val="auto"/>
          <w:sz w:val="18"/>
          <w:szCs w:val="18"/>
        </w:rPr>
        <w:t>Juez</w:t>
      </w:r>
    </w:p>
    <w:p w:rsidR="00EB3590" w:rsidRPr="00F24FE8" w:rsidRDefault="00EB3590" w:rsidP="00EB3590">
      <w:pPr>
        <w:jc w:val="center"/>
        <w:rPr>
          <w:rFonts w:ascii="Tahoma" w:hAnsi="Tahoma" w:cs="Tahoma"/>
          <w:color w:val="auto"/>
          <w:sz w:val="18"/>
          <w:szCs w:val="18"/>
        </w:rPr>
      </w:pPr>
    </w:p>
    <w:p w:rsidR="00527BF4" w:rsidRPr="00094A21" w:rsidRDefault="00BA3209">
      <w:pPr>
        <w:rPr>
          <w:rFonts w:ascii="Tahoma" w:hAnsi="Tahoma" w:cs="Tahoma"/>
          <w:sz w:val="14"/>
          <w:szCs w:val="14"/>
        </w:rPr>
      </w:pPr>
      <w:r w:rsidRPr="00094A21">
        <w:rPr>
          <w:rFonts w:ascii="Tahoma" w:hAnsi="Tahoma" w:cs="Tahoma"/>
          <w:sz w:val="14"/>
          <w:szCs w:val="14"/>
        </w:rPr>
        <w:t>LDLO</w:t>
      </w:r>
      <w:r w:rsidR="00EB3590" w:rsidRPr="00094A21">
        <w:rPr>
          <w:rFonts w:ascii="Tahoma" w:hAnsi="Tahoma" w:cs="Tahoma"/>
          <w:sz w:val="14"/>
          <w:szCs w:val="14"/>
        </w:rPr>
        <w:t>/ NNC</w:t>
      </w:r>
    </w:p>
    <w:sectPr w:rsidR="00527BF4" w:rsidRPr="00094A21" w:rsidSect="00D26EC0">
      <w:headerReference w:type="even" r:id="rId9"/>
      <w:headerReference w:type="default" r:id="rId10"/>
      <w:footerReference w:type="even"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D8" w:rsidRDefault="004106D8" w:rsidP="00EB3590">
      <w:r>
        <w:separator/>
      </w:r>
    </w:p>
  </w:endnote>
  <w:endnote w:type="continuationSeparator" w:id="0">
    <w:p w:rsidR="004106D8" w:rsidRDefault="004106D8" w:rsidP="00EB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Default="00C14B0B">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D8" w:rsidRDefault="004106D8" w:rsidP="00EB3590">
      <w:r>
        <w:separator/>
      </w:r>
    </w:p>
  </w:footnote>
  <w:footnote w:type="continuationSeparator" w:id="0">
    <w:p w:rsidR="004106D8" w:rsidRDefault="004106D8" w:rsidP="00EB3590">
      <w:r>
        <w:continuationSeparator/>
      </w:r>
    </w:p>
  </w:footnote>
  <w:footnote w:id="1">
    <w:p w:rsidR="00684D01" w:rsidRDefault="00684D01" w:rsidP="00684D01">
      <w:pPr>
        <w:pStyle w:val="Textonotapie"/>
        <w:rPr>
          <w:rFonts w:ascii="Tahoma" w:hAnsi="Tahoma" w:cs="Tahoma"/>
          <w:sz w:val="12"/>
          <w:szCs w:val="12"/>
        </w:rPr>
      </w:pPr>
      <w:r w:rsidRPr="0031599E">
        <w:rPr>
          <w:rStyle w:val="Refdenotaalpie"/>
          <w:sz w:val="12"/>
          <w:szCs w:val="12"/>
        </w:rPr>
        <w:footnoteRef/>
      </w:r>
      <w:r w:rsidRPr="0031599E">
        <w:rPr>
          <w:sz w:val="12"/>
          <w:szCs w:val="12"/>
        </w:rPr>
        <w:t xml:space="preserve"> </w:t>
      </w:r>
      <w:r w:rsidRPr="0031599E">
        <w:rPr>
          <w:rFonts w:ascii="Tahoma" w:hAnsi="Tahoma" w:cs="Tahoma"/>
          <w:sz w:val="12"/>
          <w:szCs w:val="12"/>
        </w:rPr>
        <w:t xml:space="preserve">Folio 28, Cuaderno 1. </w:t>
      </w:r>
    </w:p>
    <w:p w:rsidR="00094A21" w:rsidRDefault="00094A21" w:rsidP="00684D01">
      <w:pPr>
        <w:pStyle w:val="Textonotapie"/>
      </w:pPr>
    </w:p>
  </w:footnote>
  <w:footnote w:id="2">
    <w:p w:rsidR="00EB3590" w:rsidRPr="00D2627C" w:rsidRDefault="00EB3590" w:rsidP="00EB3590">
      <w:pPr>
        <w:pStyle w:val="Textonotapie"/>
        <w:rPr>
          <w:rFonts w:ascii="Tahoma" w:hAnsi="Tahoma" w:cs="Tahoma"/>
          <w:sz w:val="11"/>
          <w:szCs w:val="11"/>
        </w:rPr>
      </w:pPr>
      <w:r w:rsidRPr="00D2627C">
        <w:rPr>
          <w:rStyle w:val="Refdenotaalpie"/>
          <w:rFonts w:ascii="Tahoma" w:hAnsi="Tahoma" w:cs="Tahoma"/>
          <w:sz w:val="11"/>
          <w:szCs w:val="11"/>
        </w:rPr>
        <w:footnoteRef/>
      </w:r>
      <w:r w:rsidRPr="00D2627C">
        <w:rPr>
          <w:rFonts w:ascii="Tahoma" w:hAnsi="Tahoma" w:cs="Tahoma"/>
          <w:sz w:val="11"/>
          <w:szCs w:val="11"/>
        </w:rPr>
        <w:t xml:space="preserve"> Ley por medio de la cual se reglamente la determinación de responsabilidad patrimonial de los agentes del estado a través del ejercicio de la acción de repetición o de llamamiento en garantía con fines de repetición.</w:t>
      </w:r>
    </w:p>
  </w:footnote>
  <w:footnote w:id="3">
    <w:p w:rsidR="00D04DAA" w:rsidRPr="00D04DAA" w:rsidRDefault="00D04DAA">
      <w:pPr>
        <w:pStyle w:val="Textonotapie"/>
        <w:rPr>
          <w:rFonts w:ascii="Tahoma" w:hAnsi="Tahoma" w:cs="Tahoma"/>
          <w:sz w:val="11"/>
          <w:szCs w:val="11"/>
        </w:rPr>
      </w:pPr>
      <w:r w:rsidRPr="00D04DAA">
        <w:rPr>
          <w:rStyle w:val="Refdenotaalpie"/>
          <w:rFonts w:ascii="Tahoma" w:hAnsi="Tahoma" w:cs="Tahoma"/>
          <w:sz w:val="11"/>
          <w:szCs w:val="11"/>
        </w:rPr>
        <w:footnoteRef/>
      </w:r>
      <w:r w:rsidRPr="00D04DAA">
        <w:rPr>
          <w:rFonts w:ascii="Tahoma" w:hAnsi="Tahoma" w:cs="Tahoma"/>
          <w:sz w:val="11"/>
          <w:szCs w:val="11"/>
        </w:rPr>
        <w:t xml:space="preserve"> Folio 87, cuaderno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Default="00C14B0B">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sidR="000113D9">
      <w:rPr>
        <w:rFonts w:ascii="Tahoma" w:hAnsi="Tahoma" w:cs="Tahoma"/>
        <w:bCs/>
        <w:noProof/>
        <w:sz w:val="18"/>
        <w:szCs w:val="18"/>
      </w:rPr>
      <w:t>«No_DE_EXPEDIENTE»</w:t>
    </w:r>
    <w:r>
      <w:rPr>
        <w:rFonts w:ascii="Tahoma" w:hAnsi="Tahoma" w:cs="Tahoma"/>
        <w:bCs/>
        <w:sz w:val="18"/>
        <w:szCs w:val="18"/>
      </w:rPr>
      <w:fldChar w:fldCharType="end"/>
    </w:r>
  </w:p>
  <w:p w:rsidR="00DC7C40" w:rsidRDefault="00C14B0B">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sidR="000113D9">
      <w:rPr>
        <w:rStyle w:val="Nmerodepgina"/>
        <w:rFonts w:ascii="Tahoma" w:hAnsi="Tahoma" w:cs="Tahoma"/>
        <w:noProof/>
        <w:sz w:val="18"/>
        <w:szCs w:val="18"/>
      </w:rPr>
      <w:t>2</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Pr="009719D9" w:rsidRDefault="00C14B0B" w:rsidP="00EC60D0">
    <w:pPr>
      <w:pStyle w:val="Encabezado"/>
      <w:jc w:val="right"/>
      <w:rPr>
        <w:rFonts w:ascii="Tahoma" w:hAnsi="Tahoma" w:cs="Tahoma"/>
        <w:sz w:val="12"/>
        <w:szCs w:val="12"/>
        <w:lang w:val="es-MX"/>
      </w:rPr>
    </w:pPr>
    <w:r w:rsidRPr="009719D9">
      <w:rPr>
        <w:rFonts w:ascii="Tahoma" w:hAnsi="Tahoma" w:cs="Tahoma"/>
        <w:sz w:val="12"/>
        <w:szCs w:val="12"/>
        <w:lang w:val="es-MX"/>
      </w:rPr>
      <w:t>Expediente No. 2013- 0354</w:t>
    </w:r>
  </w:p>
  <w:p w:rsidR="00DC7C40" w:rsidRPr="009719D9" w:rsidRDefault="00C14B0B" w:rsidP="00EC60D0">
    <w:pPr>
      <w:pStyle w:val="Encabezado"/>
      <w:jc w:val="right"/>
      <w:rPr>
        <w:rFonts w:ascii="Tahoma" w:hAnsi="Tahoma" w:cs="Tahoma"/>
        <w:sz w:val="11"/>
        <w:szCs w:val="11"/>
        <w:lang w:val="es-MX"/>
      </w:rPr>
    </w:pPr>
    <w:r w:rsidRPr="009719D9">
      <w:rPr>
        <w:rFonts w:ascii="Tahoma" w:hAnsi="Tahoma" w:cs="Tahoma"/>
        <w:sz w:val="11"/>
        <w:szCs w:val="11"/>
        <w:lang w:val="es-MX"/>
      </w:rPr>
      <w:t xml:space="preserve"> </w:t>
    </w:r>
    <w:r w:rsidRPr="009719D9">
      <w:rPr>
        <w:rFonts w:ascii="Tahoma" w:hAnsi="Tahoma" w:cs="Tahoma"/>
        <w:sz w:val="11"/>
        <w:szCs w:val="11"/>
      </w:rPr>
      <w:t>NIEGA LLAMAMIENTO EN GARANTÍA CON FINES DE REPETICIÓN – RECONOCE PERSONERIA</w:t>
    </w:r>
  </w:p>
  <w:p w:rsidR="00DC7C40" w:rsidRPr="009719D9" w:rsidRDefault="00C14B0B" w:rsidP="00EC60D0">
    <w:pPr>
      <w:pStyle w:val="Encabezado"/>
      <w:jc w:val="right"/>
      <w:rPr>
        <w:rStyle w:val="Nmerodepgina"/>
        <w:rFonts w:ascii="Tahoma" w:hAnsi="Tahoma" w:cs="Tahoma"/>
        <w:sz w:val="12"/>
        <w:szCs w:val="12"/>
      </w:rPr>
    </w:pPr>
    <w:r w:rsidRPr="009719D9">
      <w:rPr>
        <w:rFonts w:ascii="Tahoma" w:hAnsi="Tahoma" w:cs="Tahoma"/>
        <w:sz w:val="12"/>
        <w:szCs w:val="12"/>
        <w:lang w:val="es-MX"/>
      </w:rPr>
      <w:t xml:space="preserve"> Páginas </w:t>
    </w:r>
    <w:r w:rsidRPr="009719D9">
      <w:rPr>
        <w:rStyle w:val="Nmerodepgina"/>
        <w:rFonts w:ascii="Tahoma" w:hAnsi="Tahoma" w:cs="Tahoma"/>
        <w:sz w:val="12"/>
        <w:szCs w:val="12"/>
      </w:rPr>
      <w:fldChar w:fldCharType="begin"/>
    </w:r>
    <w:r w:rsidRPr="009719D9">
      <w:rPr>
        <w:rStyle w:val="Nmerodepgina"/>
        <w:rFonts w:ascii="Tahoma" w:hAnsi="Tahoma" w:cs="Tahoma"/>
        <w:sz w:val="12"/>
        <w:szCs w:val="12"/>
      </w:rPr>
      <w:instrText xml:space="preserve"> PAGE  \* Arabic  \* MERGEFORMAT </w:instrText>
    </w:r>
    <w:r w:rsidRPr="009719D9">
      <w:rPr>
        <w:rStyle w:val="Nmerodepgina"/>
        <w:rFonts w:ascii="Tahoma" w:hAnsi="Tahoma" w:cs="Tahoma"/>
        <w:sz w:val="12"/>
        <w:szCs w:val="12"/>
      </w:rPr>
      <w:fldChar w:fldCharType="separate"/>
    </w:r>
    <w:r w:rsidR="000113D9">
      <w:rPr>
        <w:rStyle w:val="Nmerodepgina"/>
        <w:rFonts w:ascii="Tahoma" w:hAnsi="Tahoma" w:cs="Tahoma"/>
        <w:noProof/>
        <w:sz w:val="12"/>
        <w:szCs w:val="12"/>
      </w:rPr>
      <w:t>2</w:t>
    </w:r>
    <w:r w:rsidRPr="009719D9">
      <w:rPr>
        <w:rStyle w:val="Nmerodepgina"/>
        <w:rFonts w:ascii="Tahoma" w:hAnsi="Tahoma" w:cs="Tahoma"/>
        <w:sz w:val="12"/>
        <w:szCs w:val="12"/>
      </w:rPr>
      <w:fldChar w:fldCharType="end"/>
    </w:r>
    <w:r w:rsidRPr="009719D9">
      <w:rPr>
        <w:rStyle w:val="Nmerodepgina"/>
        <w:rFonts w:ascii="Tahoma" w:hAnsi="Tahoma" w:cs="Tahoma"/>
        <w:sz w:val="12"/>
        <w:szCs w:val="12"/>
      </w:rPr>
      <w:t xml:space="preserve"> de </w:t>
    </w:r>
    <w:r w:rsidRPr="009719D9">
      <w:rPr>
        <w:rStyle w:val="Nmerodepgina"/>
        <w:rFonts w:ascii="Tahoma" w:hAnsi="Tahoma" w:cs="Tahoma"/>
        <w:sz w:val="12"/>
        <w:szCs w:val="12"/>
      </w:rPr>
      <w:fldChar w:fldCharType="begin"/>
    </w:r>
    <w:r w:rsidRPr="009719D9">
      <w:rPr>
        <w:rStyle w:val="Nmerodepgina"/>
        <w:rFonts w:ascii="Tahoma" w:hAnsi="Tahoma" w:cs="Tahoma"/>
        <w:sz w:val="12"/>
        <w:szCs w:val="12"/>
      </w:rPr>
      <w:instrText xml:space="preserve"> NUMPAGES  \* Arabic  \* MERGEFORMAT </w:instrText>
    </w:r>
    <w:r w:rsidRPr="009719D9">
      <w:rPr>
        <w:rStyle w:val="Nmerodepgina"/>
        <w:rFonts w:ascii="Tahoma" w:hAnsi="Tahoma" w:cs="Tahoma"/>
        <w:sz w:val="12"/>
        <w:szCs w:val="12"/>
      </w:rPr>
      <w:fldChar w:fldCharType="separate"/>
    </w:r>
    <w:r w:rsidR="000113D9">
      <w:rPr>
        <w:rStyle w:val="Nmerodepgina"/>
        <w:rFonts w:ascii="Tahoma" w:hAnsi="Tahoma" w:cs="Tahoma"/>
        <w:noProof/>
        <w:sz w:val="12"/>
        <w:szCs w:val="12"/>
      </w:rPr>
      <w:t>2</w:t>
    </w:r>
    <w:r w:rsidRPr="009719D9">
      <w:rPr>
        <w:rStyle w:val="Nmerodepgina"/>
        <w:rFonts w:ascii="Tahoma" w:hAnsi="Tahoma" w:cs="Tahoma"/>
        <w:sz w:val="12"/>
        <w:szCs w:val="12"/>
      </w:rPr>
      <w:fldChar w:fldCharType="end"/>
    </w:r>
  </w:p>
  <w:p w:rsidR="00DC7C40" w:rsidRPr="00E87BB4" w:rsidRDefault="004106D8" w:rsidP="00EC60D0">
    <w:pPr>
      <w:pStyle w:val="Encabezado"/>
      <w:rPr>
        <w:rFonts w:ascii="Tahoma" w:hAnsi="Tahoma" w:cs="Tahoma"/>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Pr="009719D9" w:rsidRDefault="00EB3590">
    <w:pPr>
      <w:pStyle w:val="Encabezado"/>
      <w:jc w:val="center"/>
      <w:rPr>
        <w:rFonts w:ascii="Arial" w:hAnsi="Arial" w:cs="Arial"/>
        <w:b/>
        <w:i/>
        <w:sz w:val="12"/>
        <w:szCs w:val="12"/>
      </w:rPr>
    </w:pPr>
    <w:r>
      <w:rPr>
        <w:rFonts w:ascii="Arial" w:hAnsi="Arial" w:cs="Arial"/>
        <w:b/>
        <w:i/>
        <w:noProof/>
        <w:sz w:val="12"/>
        <w:szCs w:val="12"/>
        <w:lang w:val="es-CO" w:eastAsia="es-CO"/>
      </w:rPr>
      <w:drawing>
        <wp:inline distT="0" distB="0" distL="0" distR="0">
          <wp:extent cx="664210" cy="655320"/>
          <wp:effectExtent l="0" t="0" r="254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55320"/>
                  </a:xfrm>
                  <a:prstGeom prst="rect">
                    <a:avLst/>
                  </a:prstGeom>
                  <a:noFill/>
                  <a:ln>
                    <a:noFill/>
                  </a:ln>
                </pic:spPr>
              </pic:pic>
            </a:graphicData>
          </a:graphic>
        </wp:inline>
      </w:drawing>
    </w:r>
  </w:p>
  <w:p w:rsidR="00DC7C40" w:rsidRPr="009719D9" w:rsidRDefault="00C14B0B">
    <w:pPr>
      <w:pStyle w:val="Encabezado"/>
      <w:jc w:val="center"/>
      <w:rPr>
        <w:rFonts w:ascii="Tahoma" w:hAnsi="Tahoma" w:cs="Tahoma"/>
        <w:b/>
        <w:sz w:val="12"/>
        <w:szCs w:val="12"/>
        <w:lang w:val="es-MX"/>
      </w:rPr>
    </w:pPr>
    <w:r w:rsidRPr="009719D9">
      <w:rPr>
        <w:rFonts w:ascii="Tahoma" w:hAnsi="Tahoma" w:cs="Tahoma"/>
        <w:b/>
        <w:sz w:val="12"/>
        <w:szCs w:val="12"/>
        <w:lang w:val="es-MX"/>
      </w:rPr>
      <w:t>JUZGADO TREINTA Y CUATRO ADMINISTRATIVO</w:t>
    </w:r>
  </w:p>
  <w:p w:rsidR="00DC7C40" w:rsidRPr="009719D9" w:rsidRDefault="00C14B0B">
    <w:pPr>
      <w:pStyle w:val="Encabezado"/>
      <w:jc w:val="center"/>
      <w:rPr>
        <w:rFonts w:ascii="Tahoma" w:hAnsi="Tahoma" w:cs="Tahoma"/>
        <w:b/>
        <w:sz w:val="12"/>
        <w:szCs w:val="12"/>
        <w:lang w:val="es-MX"/>
      </w:rPr>
    </w:pPr>
    <w:r w:rsidRPr="009719D9">
      <w:rPr>
        <w:rFonts w:ascii="Tahoma" w:hAnsi="Tahoma" w:cs="Tahoma"/>
        <w:b/>
        <w:sz w:val="12"/>
        <w:szCs w:val="12"/>
        <w:lang w:val="es-MX"/>
      </w:rPr>
      <w:t>CIRCUITO DE BOGOTÁ</w:t>
    </w:r>
  </w:p>
  <w:p w:rsidR="00DC7C40" w:rsidRPr="009719D9" w:rsidRDefault="00C14B0B">
    <w:pPr>
      <w:pStyle w:val="Encabezado"/>
      <w:jc w:val="center"/>
      <w:rPr>
        <w:rFonts w:ascii="Tahoma" w:hAnsi="Tahoma" w:cs="Tahoma"/>
        <w:b/>
        <w:sz w:val="12"/>
        <w:szCs w:val="12"/>
        <w:lang w:val="es-MX"/>
      </w:rPr>
    </w:pPr>
    <w:r w:rsidRPr="009719D9">
      <w:rPr>
        <w:rFonts w:ascii="Tahoma" w:hAnsi="Tahoma" w:cs="Tahoma"/>
        <w:b/>
        <w:sz w:val="12"/>
        <w:szCs w:val="12"/>
        <w:lang w:val="es-MX"/>
      </w:rPr>
      <w:t>Sección Tercera</w:t>
    </w:r>
  </w:p>
  <w:p w:rsidR="00DC7C40" w:rsidRDefault="004106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69F"/>
    <w:multiLevelType w:val="hybridMultilevel"/>
    <w:tmpl w:val="7F72C0A2"/>
    <w:lvl w:ilvl="0" w:tplc="F5FE9F66">
      <w:numFmt w:val="bullet"/>
      <w:lvlText w:val="-"/>
      <w:lvlJc w:val="left"/>
      <w:pPr>
        <w:ind w:left="720" w:hanging="360"/>
      </w:pPr>
      <w:rPr>
        <w:rFonts w:ascii="Tahoma" w:eastAsia="Times New Roman" w:hAnsi="Tahoma" w:cs="Tahoma"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2CA3594"/>
    <w:multiLevelType w:val="hybridMultilevel"/>
    <w:tmpl w:val="FB2435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7C9C4710"/>
    <w:multiLevelType w:val="hybridMultilevel"/>
    <w:tmpl w:val="3DAC6E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90"/>
    <w:rsid w:val="00000D2B"/>
    <w:rsid w:val="00000DF2"/>
    <w:rsid w:val="000113D9"/>
    <w:rsid w:val="00022D36"/>
    <w:rsid w:val="00036E39"/>
    <w:rsid w:val="00042199"/>
    <w:rsid w:val="00066A91"/>
    <w:rsid w:val="00071F33"/>
    <w:rsid w:val="00094A21"/>
    <w:rsid w:val="000F39E6"/>
    <w:rsid w:val="000F64E7"/>
    <w:rsid w:val="00132B7B"/>
    <w:rsid w:val="0014184D"/>
    <w:rsid w:val="001549AA"/>
    <w:rsid w:val="0019170C"/>
    <w:rsid w:val="001921D3"/>
    <w:rsid w:val="001A0776"/>
    <w:rsid w:val="00257960"/>
    <w:rsid w:val="002952B5"/>
    <w:rsid w:val="00297B2B"/>
    <w:rsid w:val="002A6D59"/>
    <w:rsid w:val="002B76E8"/>
    <w:rsid w:val="002C5AEA"/>
    <w:rsid w:val="002E588C"/>
    <w:rsid w:val="002F16F3"/>
    <w:rsid w:val="00326395"/>
    <w:rsid w:val="00334792"/>
    <w:rsid w:val="00336A99"/>
    <w:rsid w:val="00350AF1"/>
    <w:rsid w:val="00362CC7"/>
    <w:rsid w:val="003806E6"/>
    <w:rsid w:val="00392A6C"/>
    <w:rsid w:val="00395226"/>
    <w:rsid w:val="003B6F7A"/>
    <w:rsid w:val="003F454E"/>
    <w:rsid w:val="004106D8"/>
    <w:rsid w:val="00465E86"/>
    <w:rsid w:val="0048331D"/>
    <w:rsid w:val="00487FA6"/>
    <w:rsid w:val="00490EFC"/>
    <w:rsid w:val="004967AE"/>
    <w:rsid w:val="004A6885"/>
    <w:rsid w:val="004F3B82"/>
    <w:rsid w:val="004F54D3"/>
    <w:rsid w:val="004F7EEA"/>
    <w:rsid w:val="0050747C"/>
    <w:rsid w:val="00535812"/>
    <w:rsid w:val="005C6DC7"/>
    <w:rsid w:val="005C718B"/>
    <w:rsid w:val="005D4FF9"/>
    <w:rsid w:val="005E152C"/>
    <w:rsid w:val="005E48DF"/>
    <w:rsid w:val="006006D2"/>
    <w:rsid w:val="00602156"/>
    <w:rsid w:val="0060605F"/>
    <w:rsid w:val="00614901"/>
    <w:rsid w:val="00624646"/>
    <w:rsid w:val="00640524"/>
    <w:rsid w:val="00647A9D"/>
    <w:rsid w:val="0065761F"/>
    <w:rsid w:val="00684984"/>
    <w:rsid w:val="00684D01"/>
    <w:rsid w:val="006A63F7"/>
    <w:rsid w:val="006E6753"/>
    <w:rsid w:val="006E7A77"/>
    <w:rsid w:val="006E7BDD"/>
    <w:rsid w:val="00700E47"/>
    <w:rsid w:val="00722C4B"/>
    <w:rsid w:val="007273C9"/>
    <w:rsid w:val="0073348F"/>
    <w:rsid w:val="0073626D"/>
    <w:rsid w:val="00752EDC"/>
    <w:rsid w:val="007543C3"/>
    <w:rsid w:val="00782144"/>
    <w:rsid w:val="007C3F4F"/>
    <w:rsid w:val="007D3B03"/>
    <w:rsid w:val="007F62A8"/>
    <w:rsid w:val="00803E8E"/>
    <w:rsid w:val="00820FB7"/>
    <w:rsid w:val="00823F14"/>
    <w:rsid w:val="00832241"/>
    <w:rsid w:val="00845790"/>
    <w:rsid w:val="00862288"/>
    <w:rsid w:val="008711F6"/>
    <w:rsid w:val="0087259C"/>
    <w:rsid w:val="008A6CA6"/>
    <w:rsid w:val="008B6016"/>
    <w:rsid w:val="009149E6"/>
    <w:rsid w:val="009205C6"/>
    <w:rsid w:val="00934A99"/>
    <w:rsid w:val="0094277A"/>
    <w:rsid w:val="009E2850"/>
    <w:rsid w:val="009F686E"/>
    <w:rsid w:val="00A00FCE"/>
    <w:rsid w:val="00A1153B"/>
    <w:rsid w:val="00A42C86"/>
    <w:rsid w:val="00A45B17"/>
    <w:rsid w:val="00A5722F"/>
    <w:rsid w:val="00A63921"/>
    <w:rsid w:val="00A76202"/>
    <w:rsid w:val="00AA5E70"/>
    <w:rsid w:val="00AD3194"/>
    <w:rsid w:val="00AE24F9"/>
    <w:rsid w:val="00AE584D"/>
    <w:rsid w:val="00AF6097"/>
    <w:rsid w:val="00B16006"/>
    <w:rsid w:val="00B17E3F"/>
    <w:rsid w:val="00B476AB"/>
    <w:rsid w:val="00B5038C"/>
    <w:rsid w:val="00B504F1"/>
    <w:rsid w:val="00B514E2"/>
    <w:rsid w:val="00B558FD"/>
    <w:rsid w:val="00B84A62"/>
    <w:rsid w:val="00B9419C"/>
    <w:rsid w:val="00B97890"/>
    <w:rsid w:val="00BA3209"/>
    <w:rsid w:val="00BB5083"/>
    <w:rsid w:val="00BD404F"/>
    <w:rsid w:val="00C14B0B"/>
    <w:rsid w:val="00C335D8"/>
    <w:rsid w:val="00C70F2A"/>
    <w:rsid w:val="00C83C97"/>
    <w:rsid w:val="00C87121"/>
    <w:rsid w:val="00C952E5"/>
    <w:rsid w:val="00CE11B9"/>
    <w:rsid w:val="00CE3FC1"/>
    <w:rsid w:val="00D03FBE"/>
    <w:rsid w:val="00D04DAA"/>
    <w:rsid w:val="00D10E77"/>
    <w:rsid w:val="00D15A71"/>
    <w:rsid w:val="00D43F06"/>
    <w:rsid w:val="00DB209C"/>
    <w:rsid w:val="00DE644E"/>
    <w:rsid w:val="00E13206"/>
    <w:rsid w:val="00E23BD5"/>
    <w:rsid w:val="00E54675"/>
    <w:rsid w:val="00EA1D63"/>
    <w:rsid w:val="00EB0AE4"/>
    <w:rsid w:val="00EB3590"/>
    <w:rsid w:val="00ED027F"/>
    <w:rsid w:val="00EE202D"/>
    <w:rsid w:val="00EF1DE4"/>
    <w:rsid w:val="00F07DEB"/>
    <w:rsid w:val="00F238C3"/>
    <w:rsid w:val="00F24FE8"/>
    <w:rsid w:val="00F31A6F"/>
    <w:rsid w:val="00F9054B"/>
    <w:rsid w:val="00FA1334"/>
    <w:rsid w:val="00FD2823"/>
    <w:rsid w:val="00FE5615"/>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90"/>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3590"/>
    <w:pPr>
      <w:tabs>
        <w:tab w:val="center" w:pos="4252"/>
        <w:tab w:val="right" w:pos="8504"/>
      </w:tabs>
    </w:pPr>
    <w:rPr>
      <w:rFonts w:ascii="Times New Roman" w:hAnsi="Times New Roman" w:cs="Times New Roman"/>
      <w:color w:val="auto"/>
      <w:lang w:val="es-ES"/>
    </w:rPr>
  </w:style>
  <w:style w:type="character" w:customStyle="1" w:styleId="EncabezadoCar">
    <w:name w:val="Encabezado Car"/>
    <w:basedOn w:val="Fuentedeprrafopredeter"/>
    <w:link w:val="Encabezado"/>
    <w:rsid w:val="00EB359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B3590"/>
    <w:pPr>
      <w:tabs>
        <w:tab w:val="center" w:pos="4252"/>
        <w:tab w:val="right" w:pos="8504"/>
      </w:tabs>
    </w:pPr>
    <w:rPr>
      <w:rFonts w:ascii="Times New Roman" w:hAnsi="Times New Roman" w:cs="Times New Roman"/>
      <w:color w:val="auto"/>
      <w:lang w:val="es-ES"/>
    </w:rPr>
  </w:style>
  <w:style w:type="character" w:customStyle="1" w:styleId="PiedepginaCar">
    <w:name w:val="Pie de página Car"/>
    <w:basedOn w:val="Fuentedeprrafopredeter"/>
    <w:link w:val="Piedepgina"/>
    <w:rsid w:val="00EB359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B3590"/>
  </w:style>
  <w:style w:type="paragraph" w:styleId="Textonotapie">
    <w:name w:val="footnote text"/>
    <w:basedOn w:val="Normal"/>
    <w:link w:val="TextonotapieCar"/>
    <w:uiPriority w:val="99"/>
    <w:semiHidden/>
    <w:rsid w:val="00EB3590"/>
    <w:rPr>
      <w:sz w:val="20"/>
      <w:szCs w:val="20"/>
    </w:rPr>
  </w:style>
  <w:style w:type="character" w:customStyle="1" w:styleId="TextonotapieCar">
    <w:name w:val="Texto nota pie Car"/>
    <w:basedOn w:val="Fuentedeprrafopredeter"/>
    <w:link w:val="Textonotapie"/>
    <w:uiPriority w:val="99"/>
    <w:semiHidden/>
    <w:rsid w:val="00EB3590"/>
    <w:rPr>
      <w:rFonts w:ascii="Arial" w:eastAsia="Times New Roman" w:hAnsi="Arial" w:cs="Arial"/>
      <w:color w:val="000000"/>
      <w:sz w:val="20"/>
      <w:szCs w:val="20"/>
      <w:lang w:eastAsia="es-ES"/>
    </w:rPr>
  </w:style>
  <w:style w:type="character" w:styleId="Refdenotaalpie">
    <w:name w:val="footnote reference"/>
    <w:uiPriority w:val="99"/>
    <w:rsid w:val="00EB3590"/>
    <w:rPr>
      <w:vertAlign w:val="superscript"/>
    </w:rPr>
  </w:style>
  <w:style w:type="paragraph" w:customStyle="1" w:styleId="Prrafodelista1">
    <w:name w:val="Párrafo de lista1"/>
    <w:basedOn w:val="Normal"/>
    <w:rsid w:val="00EB3590"/>
    <w:pPr>
      <w:ind w:left="720"/>
      <w:contextualSpacing/>
    </w:pPr>
    <w:rPr>
      <w:rFonts w:ascii="Times New Roman" w:eastAsia="Calibri" w:hAnsi="Times New Roman" w:cs="Times New Roman"/>
      <w:color w:val="auto"/>
      <w:lang w:val="es-ES"/>
    </w:rPr>
  </w:style>
  <w:style w:type="paragraph" w:styleId="Textodeglobo">
    <w:name w:val="Balloon Text"/>
    <w:basedOn w:val="Normal"/>
    <w:link w:val="TextodegloboCar"/>
    <w:uiPriority w:val="99"/>
    <w:semiHidden/>
    <w:unhideWhenUsed/>
    <w:rsid w:val="00EB359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590"/>
    <w:rPr>
      <w:rFonts w:ascii="Tahoma" w:eastAsia="Times New Roman" w:hAnsi="Tahoma" w:cs="Tahoma"/>
      <w:color w:val="000000"/>
      <w:sz w:val="16"/>
      <w:szCs w:val="16"/>
      <w:lang w:eastAsia="es-ES"/>
    </w:rPr>
  </w:style>
  <w:style w:type="paragraph" w:styleId="Prrafodelista">
    <w:name w:val="List Paragraph"/>
    <w:basedOn w:val="Normal"/>
    <w:uiPriority w:val="34"/>
    <w:qFormat/>
    <w:rsid w:val="00B16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90"/>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3590"/>
    <w:pPr>
      <w:tabs>
        <w:tab w:val="center" w:pos="4252"/>
        <w:tab w:val="right" w:pos="8504"/>
      </w:tabs>
    </w:pPr>
    <w:rPr>
      <w:rFonts w:ascii="Times New Roman" w:hAnsi="Times New Roman" w:cs="Times New Roman"/>
      <w:color w:val="auto"/>
      <w:lang w:val="es-ES"/>
    </w:rPr>
  </w:style>
  <w:style w:type="character" w:customStyle="1" w:styleId="EncabezadoCar">
    <w:name w:val="Encabezado Car"/>
    <w:basedOn w:val="Fuentedeprrafopredeter"/>
    <w:link w:val="Encabezado"/>
    <w:rsid w:val="00EB359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B3590"/>
    <w:pPr>
      <w:tabs>
        <w:tab w:val="center" w:pos="4252"/>
        <w:tab w:val="right" w:pos="8504"/>
      </w:tabs>
    </w:pPr>
    <w:rPr>
      <w:rFonts w:ascii="Times New Roman" w:hAnsi="Times New Roman" w:cs="Times New Roman"/>
      <w:color w:val="auto"/>
      <w:lang w:val="es-ES"/>
    </w:rPr>
  </w:style>
  <w:style w:type="character" w:customStyle="1" w:styleId="PiedepginaCar">
    <w:name w:val="Pie de página Car"/>
    <w:basedOn w:val="Fuentedeprrafopredeter"/>
    <w:link w:val="Piedepgina"/>
    <w:rsid w:val="00EB359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B3590"/>
  </w:style>
  <w:style w:type="paragraph" w:styleId="Textonotapie">
    <w:name w:val="footnote text"/>
    <w:basedOn w:val="Normal"/>
    <w:link w:val="TextonotapieCar"/>
    <w:uiPriority w:val="99"/>
    <w:semiHidden/>
    <w:rsid w:val="00EB3590"/>
    <w:rPr>
      <w:sz w:val="20"/>
      <w:szCs w:val="20"/>
    </w:rPr>
  </w:style>
  <w:style w:type="character" w:customStyle="1" w:styleId="TextonotapieCar">
    <w:name w:val="Texto nota pie Car"/>
    <w:basedOn w:val="Fuentedeprrafopredeter"/>
    <w:link w:val="Textonotapie"/>
    <w:uiPriority w:val="99"/>
    <w:semiHidden/>
    <w:rsid w:val="00EB3590"/>
    <w:rPr>
      <w:rFonts w:ascii="Arial" w:eastAsia="Times New Roman" w:hAnsi="Arial" w:cs="Arial"/>
      <w:color w:val="000000"/>
      <w:sz w:val="20"/>
      <w:szCs w:val="20"/>
      <w:lang w:eastAsia="es-ES"/>
    </w:rPr>
  </w:style>
  <w:style w:type="character" w:styleId="Refdenotaalpie">
    <w:name w:val="footnote reference"/>
    <w:uiPriority w:val="99"/>
    <w:rsid w:val="00EB3590"/>
    <w:rPr>
      <w:vertAlign w:val="superscript"/>
    </w:rPr>
  </w:style>
  <w:style w:type="paragraph" w:customStyle="1" w:styleId="Prrafodelista1">
    <w:name w:val="Párrafo de lista1"/>
    <w:basedOn w:val="Normal"/>
    <w:rsid w:val="00EB3590"/>
    <w:pPr>
      <w:ind w:left="720"/>
      <w:contextualSpacing/>
    </w:pPr>
    <w:rPr>
      <w:rFonts w:ascii="Times New Roman" w:eastAsia="Calibri" w:hAnsi="Times New Roman" w:cs="Times New Roman"/>
      <w:color w:val="auto"/>
      <w:lang w:val="es-ES"/>
    </w:rPr>
  </w:style>
  <w:style w:type="paragraph" w:styleId="Textodeglobo">
    <w:name w:val="Balloon Text"/>
    <w:basedOn w:val="Normal"/>
    <w:link w:val="TextodegloboCar"/>
    <w:uiPriority w:val="99"/>
    <w:semiHidden/>
    <w:unhideWhenUsed/>
    <w:rsid w:val="00EB359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590"/>
    <w:rPr>
      <w:rFonts w:ascii="Tahoma" w:eastAsia="Times New Roman" w:hAnsi="Tahoma" w:cs="Tahoma"/>
      <w:color w:val="000000"/>
      <w:sz w:val="16"/>
      <w:szCs w:val="16"/>
      <w:lang w:eastAsia="es-ES"/>
    </w:rPr>
  </w:style>
  <w:style w:type="paragraph" w:styleId="Prrafodelista">
    <w:name w:val="List Paragraph"/>
    <w:basedOn w:val="Normal"/>
    <w:uiPriority w:val="34"/>
    <w:qFormat/>
    <w:rsid w:val="00B16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3AFE-C5B8-4EFB-A086-DF1D2F49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1196</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2015-06-26T16:12:00Z</cp:lastPrinted>
  <dcterms:created xsi:type="dcterms:W3CDTF">2015-06-26T16:12:00Z</dcterms:created>
  <dcterms:modified xsi:type="dcterms:W3CDTF">2015-06-26T16:16:00Z</dcterms:modified>
</cp:coreProperties>
</file>