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735"/>
      </w:tblGrid>
      <w:tr w:rsidR="00E40455" w:rsidRPr="00C2156A" w14:paraId="08E3123D" w14:textId="77777777" w:rsidTr="00F9466C">
        <w:tc>
          <w:tcPr>
            <w:tcW w:w="1985" w:type="dxa"/>
          </w:tcPr>
          <w:p w14:paraId="5742442D" w14:textId="77777777" w:rsidR="00E40455" w:rsidRPr="00C2156A" w:rsidRDefault="00E40455" w:rsidP="00F9466C">
            <w:pPr>
              <w:jc w:val="both"/>
              <w:rPr>
                <w:rFonts w:ascii="Tahoma" w:hAnsi="Tahoma" w:cs="Tahoma"/>
                <w:sz w:val="16"/>
                <w:szCs w:val="16"/>
                <w:lang w:val="es-MX"/>
              </w:rPr>
            </w:pPr>
            <w:r w:rsidRPr="00C2156A">
              <w:rPr>
                <w:rFonts w:ascii="Tahoma" w:hAnsi="Tahoma" w:cs="Tahoma"/>
                <w:sz w:val="16"/>
                <w:szCs w:val="16"/>
                <w:lang w:val="es-MX"/>
              </w:rPr>
              <w:t>CIUDAD Y FECHA</w:t>
            </w:r>
          </w:p>
        </w:tc>
        <w:tc>
          <w:tcPr>
            <w:tcW w:w="6735" w:type="dxa"/>
          </w:tcPr>
          <w:p w14:paraId="243E6630" w14:textId="77777777" w:rsidR="00E40455" w:rsidRPr="00C2156A" w:rsidRDefault="00E40455" w:rsidP="008B67BA">
            <w:pPr>
              <w:jc w:val="both"/>
              <w:rPr>
                <w:rFonts w:ascii="Tahoma" w:hAnsi="Tahoma" w:cs="Tahoma"/>
                <w:b/>
                <w:sz w:val="16"/>
                <w:szCs w:val="16"/>
                <w:lang w:val="es-MX"/>
              </w:rPr>
            </w:pPr>
            <w:r w:rsidRPr="00C2156A">
              <w:rPr>
                <w:rFonts w:ascii="Tahoma" w:hAnsi="Tahoma" w:cs="Tahoma"/>
                <w:b/>
                <w:sz w:val="16"/>
                <w:szCs w:val="16"/>
                <w:lang w:val="es-MX"/>
              </w:rPr>
              <w:t xml:space="preserve">Bogotá D. C., </w:t>
            </w:r>
            <w:r w:rsidR="008B67BA">
              <w:rPr>
                <w:rFonts w:ascii="Tahoma" w:hAnsi="Tahoma" w:cs="Tahoma"/>
                <w:b/>
                <w:sz w:val="16"/>
                <w:szCs w:val="16"/>
                <w:lang w:val="es-MX"/>
              </w:rPr>
              <w:t>veintidós (22)</w:t>
            </w:r>
            <w:r w:rsidRPr="00C2156A">
              <w:rPr>
                <w:rFonts w:ascii="Tahoma" w:hAnsi="Tahoma" w:cs="Tahoma"/>
                <w:b/>
                <w:sz w:val="16"/>
                <w:szCs w:val="16"/>
                <w:lang w:val="es-MX"/>
              </w:rPr>
              <w:t xml:space="preserve"> de </w:t>
            </w:r>
            <w:r w:rsidR="00191C89" w:rsidRPr="00C2156A">
              <w:rPr>
                <w:rFonts w:ascii="Tahoma" w:hAnsi="Tahoma" w:cs="Tahoma"/>
                <w:b/>
                <w:sz w:val="16"/>
                <w:szCs w:val="16"/>
                <w:lang w:val="es-MX"/>
              </w:rPr>
              <w:t>abril</w:t>
            </w:r>
            <w:r w:rsidRPr="00C2156A">
              <w:rPr>
                <w:rFonts w:ascii="Tahoma" w:hAnsi="Tahoma" w:cs="Tahoma"/>
                <w:b/>
                <w:sz w:val="16"/>
                <w:szCs w:val="16"/>
                <w:lang w:val="es-MX"/>
              </w:rPr>
              <w:t xml:space="preserve"> de dos mil </w:t>
            </w:r>
            <w:r w:rsidR="00191C89" w:rsidRPr="00C2156A">
              <w:rPr>
                <w:rFonts w:ascii="Tahoma" w:hAnsi="Tahoma" w:cs="Tahoma"/>
                <w:b/>
                <w:sz w:val="16"/>
                <w:szCs w:val="16"/>
                <w:lang w:val="es-MX"/>
              </w:rPr>
              <w:t>dieciséis</w:t>
            </w:r>
            <w:r w:rsidRPr="00C2156A">
              <w:rPr>
                <w:rFonts w:ascii="Tahoma" w:hAnsi="Tahoma" w:cs="Tahoma"/>
                <w:b/>
                <w:sz w:val="16"/>
                <w:szCs w:val="16"/>
                <w:lang w:val="es-MX"/>
              </w:rPr>
              <w:t xml:space="preserve"> (201</w:t>
            </w:r>
            <w:r w:rsidR="00191C89" w:rsidRPr="00C2156A">
              <w:rPr>
                <w:rFonts w:ascii="Tahoma" w:hAnsi="Tahoma" w:cs="Tahoma"/>
                <w:b/>
                <w:sz w:val="16"/>
                <w:szCs w:val="16"/>
                <w:lang w:val="es-MX"/>
              </w:rPr>
              <w:t>6</w:t>
            </w:r>
            <w:r w:rsidRPr="00C2156A">
              <w:rPr>
                <w:rFonts w:ascii="Tahoma" w:hAnsi="Tahoma" w:cs="Tahoma"/>
                <w:b/>
                <w:sz w:val="16"/>
                <w:szCs w:val="16"/>
                <w:lang w:val="es-MX"/>
              </w:rPr>
              <w:t>)</w:t>
            </w:r>
          </w:p>
        </w:tc>
      </w:tr>
      <w:tr w:rsidR="00191C89" w:rsidRPr="00C2156A" w14:paraId="61DBBEED" w14:textId="77777777" w:rsidTr="00F9466C">
        <w:tc>
          <w:tcPr>
            <w:tcW w:w="1985" w:type="dxa"/>
          </w:tcPr>
          <w:p w14:paraId="0A3F56A0" w14:textId="77777777" w:rsidR="00191C89" w:rsidRPr="00C2156A" w:rsidRDefault="00191C89" w:rsidP="00191C89">
            <w:pPr>
              <w:jc w:val="both"/>
              <w:rPr>
                <w:rFonts w:ascii="Tahoma" w:hAnsi="Tahoma" w:cs="Tahoma"/>
                <w:sz w:val="16"/>
                <w:szCs w:val="16"/>
                <w:lang w:val="es-MX"/>
              </w:rPr>
            </w:pPr>
            <w:r w:rsidRPr="00C2156A">
              <w:rPr>
                <w:rFonts w:ascii="Tahoma" w:hAnsi="Tahoma" w:cs="Tahoma"/>
                <w:sz w:val="16"/>
                <w:szCs w:val="16"/>
                <w:lang w:val="es-MX"/>
              </w:rPr>
              <w:t>REFERENCIA</w:t>
            </w:r>
          </w:p>
        </w:tc>
        <w:tc>
          <w:tcPr>
            <w:tcW w:w="6735" w:type="dxa"/>
          </w:tcPr>
          <w:p w14:paraId="3AEAEEE6" w14:textId="77777777" w:rsidR="00191C89" w:rsidRPr="00C2156A" w:rsidRDefault="00191C89" w:rsidP="00191C89">
            <w:pPr>
              <w:rPr>
                <w:rFonts w:ascii="Tahoma" w:hAnsi="Tahoma" w:cs="Tahoma"/>
                <w:b/>
                <w:sz w:val="16"/>
                <w:szCs w:val="16"/>
              </w:rPr>
            </w:pPr>
            <w:r w:rsidRPr="00C2156A">
              <w:rPr>
                <w:rFonts w:ascii="Tahoma" w:hAnsi="Tahoma" w:cs="Tahoma"/>
                <w:b/>
                <w:color w:val="000000"/>
                <w:sz w:val="16"/>
                <w:szCs w:val="16"/>
              </w:rPr>
              <w:t>Expediente No. 11001333603420140020200</w:t>
            </w:r>
          </w:p>
        </w:tc>
      </w:tr>
      <w:tr w:rsidR="00191C89" w:rsidRPr="00C2156A" w14:paraId="12CEA1AA" w14:textId="77777777" w:rsidTr="00F9466C">
        <w:tc>
          <w:tcPr>
            <w:tcW w:w="1985" w:type="dxa"/>
          </w:tcPr>
          <w:p w14:paraId="46386DFA" w14:textId="77777777" w:rsidR="00191C89" w:rsidRPr="00C2156A" w:rsidRDefault="00191C89" w:rsidP="00191C89">
            <w:pPr>
              <w:jc w:val="both"/>
              <w:rPr>
                <w:rFonts w:ascii="Tahoma" w:hAnsi="Tahoma" w:cs="Tahoma"/>
                <w:sz w:val="16"/>
                <w:szCs w:val="16"/>
                <w:lang w:val="es-MX"/>
              </w:rPr>
            </w:pPr>
            <w:r w:rsidRPr="00C2156A">
              <w:rPr>
                <w:rFonts w:ascii="Tahoma" w:hAnsi="Tahoma" w:cs="Tahoma"/>
                <w:sz w:val="16"/>
                <w:szCs w:val="16"/>
                <w:lang w:val="es-MX"/>
              </w:rPr>
              <w:t>DEMANDANTE</w:t>
            </w:r>
          </w:p>
        </w:tc>
        <w:tc>
          <w:tcPr>
            <w:tcW w:w="6735" w:type="dxa"/>
          </w:tcPr>
          <w:p w14:paraId="7DDFEE87" w14:textId="77777777" w:rsidR="00191C89" w:rsidRPr="00C2156A" w:rsidRDefault="00191C89" w:rsidP="00191C89">
            <w:pPr>
              <w:rPr>
                <w:rFonts w:ascii="Tahoma" w:hAnsi="Tahoma" w:cs="Tahoma"/>
                <w:b/>
                <w:sz w:val="16"/>
                <w:szCs w:val="16"/>
              </w:rPr>
            </w:pPr>
            <w:r w:rsidRPr="00C2156A">
              <w:rPr>
                <w:rFonts w:ascii="Tahoma" w:hAnsi="Tahoma" w:cs="Tahoma"/>
                <w:b/>
                <w:sz w:val="16"/>
                <w:szCs w:val="16"/>
              </w:rPr>
              <w:t>SECRETARIA DE HACIENDA DE BOGOTA</w:t>
            </w:r>
          </w:p>
        </w:tc>
      </w:tr>
      <w:tr w:rsidR="00191C89" w:rsidRPr="00C2156A" w14:paraId="79E2298B" w14:textId="77777777" w:rsidTr="00F9466C">
        <w:tc>
          <w:tcPr>
            <w:tcW w:w="1985" w:type="dxa"/>
          </w:tcPr>
          <w:p w14:paraId="1C1CAA89" w14:textId="77777777" w:rsidR="00191C89" w:rsidRPr="00C2156A" w:rsidRDefault="00191C89" w:rsidP="00191C89">
            <w:pPr>
              <w:jc w:val="both"/>
              <w:rPr>
                <w:rFonts w:ascii="Tahoma" w:hAnsi="Tahoma" w:cs="Tahoma"/>
                <w:sz w:val="16"/>
                <w:szCs w:val="16"/>
                <w:lang w:val="es-MX"/>
              </w:rPr>
            </w:pPr>
            <w:r w:rsidRPr="00C2156A">
              <w:rPr>
                <w:rFonts w:ascii="Tahoma" w:hAnsi="Tahoma" w:cs="Tahoma"/>
                <w:sz w:val="16"/>
                <w:szCs w:val="16"/>
                <w:lang w:val="es-MX"/>
              </w:rPr>
              <w:t>DEMANDADO</w:t>
            </w:r>
          </w:p>
        </w:tc>
        <w:tc>
          <w:tcPr>
            <w:tcW w:w="6735" w:type="dxa"/>
          </w:tcPr>
          <w:p w14:paraId="12C710F4" w14:textId="77777777" w:rsidR="00191C89" w:rsidRPr="00C2156A" w:rsidRDefault="00191C89" w:rsidP="00191C89">
            <w:pPr>
              <w:jc w:val="both"/>
              <w:rPr>
                <w:rFonts w:ascii="Tahoma" w:hAnsi="Tahoma" w:cs="Tahoma"/>
                <w:b/>
                <w:sz w:val="16"/>
                <w:szCs w:val="16"/>
              </w:rPr>
            </w:pPr>
            <w:r w:rsidRPr="00C2156A">
              <w:rPr>
                <w:rFonts w:ascii="Tahoma" w:hAnsi="Tahoma" w:cs="Tahoma"/>
                <w:b/>
                <w:sz w:val="16"/>
                <w:szCs w:val="16"/>
              </w:rPr>
              <w:t>CARLOS ARTURO BEJARANO ECHEVERRI</w:t>
            </w:r>
          </w:p>
        </w:tc>
      </w:tr>
      <w:tr w:rsidR="00E40455" w:rsidRPr="00C2156A" w14:paraId="034AAA42" w14:textId="77777777" w:rsidTr="00F9466C">
        <w:tc>
          <w:tcPr>
            <w:tcW w:w="1985" w:type="dxa"/>
          </w:tcPr>
          <w:p w14:paraId="7460AF95" w14:textId="77777777" w:rsidR="00E40455" w:rsidRPr="00C2156A" w:rsidRDefault="00E40455" w:rsidP="00F9466C">
            <w:pPr>
              <w:jc w:val="both"/>
              <w:rPr>
                <w:rFonts w:ascii="Tahoma" w:hAnsi="Tahoma" w:cs="Tahoma"/>
                <w:sz w:val="16"/>
                <w:szCs w:val="16"/>
                <w:lang w:val="es-MX"/>
              </w:rPr>
            </w:pPr>
            <w:r w:rsidRPr="00C2156A">
              <w:rPr>
                <w:rFonts w:ascii="Tahoma" w:hAnsi="Tahoma" w:cs="Tahoma"/>
                <w:sz w:val="16"/>
                <w:szCs w:val="16"/>
                <w:lang w:val="es-MX"/>
              </w:rPr>
              <w:t>MEDIO DE CONTROL</w:t>
            </w:r>
          </w:p>
        </w:tc>
        <w:tc>
          <w:tcPr>
            <w:tcW w:w="6735" w:type="dxa"/>
          </w:tcPr>
          <w:p w14:paraId="3C3CCB29" w14:textId="77777777" w:rsidR="00E40455" w:rsidRPr="00C2156A" w:rsidRDefault="0004388E" w:rsidP="00F9466C">
            <w:pPr>
              <w:jc w:val="both"/>
              <w:rPr>
                <w:rFonts w:ascii="Tahoma" w:hAnsi="Tahoma" w:cs="Tahoma"/>
                <w:b/>
                <w:sz w:val="16"/>
                <w:szCs w:val="16"/>
                <w:lang w:val="es-MX"/>
              </w:rPr>
            </w:pPr>
            <w:r w:rsidRPr="00C2156A">
              <w:rPr>
                <w:rFonts w:ascii="Tahoma" w:hAnsi="Tahoma" w:cs="Tahoma"/>
                <w:b/>
                <w:sz w:val="16"/>
                <w:szCs w:val="16"/>
                <w:lang w:val="es-MX"/>
              </w:rPr>
              <w:t>CONTROVERSIAS  CONTRACTUALES</w:t>
            </w:r>
          </w:p>
        </w:tc>
      </w:tr>
      <w:tr w:rsidR="00E40455" w:rsidRPr="00C2156A" w14:paraId="2350728F" w14:textId="77777777" w:rsidTr="00F9466C">
        <w:tc>
          <w:tcPr>
            <w:tcW w:w="1985" w:type="dxa"/>
          </w:tcPr>
          <w:p w14:paraId="62724897" w14:textId="77777777" w:rsidR="00E40455" w:rsidRPr="00C2156A" w:rsidRDefault="00E40455" w:rsidP="00F9466C">
            <w:pPr>
              <w:jc w:val="both"/>
              <w:rPr>
                <w:rFonts w:ascii="Tahoma" w:hAnsi="Tahoma" w:cs="Tahoma"/>
                <w:sz w:val="16"/>
                <w:szCs w:val="16"/>
                <w:lang w:val="es-MX"/>
              </w:rPr>
            </w:pPr>
            <w:r w:rsidRPr="00C2156A">
              <w:rPr>
                <w:rFonts w:ascii="Tahoma" w:hAnsi="Tahoma" w:cs="Tahoma"/>
                <w:sz w:val="16"/>
                <w:szCs w:val="16"/>
                <w:lang w:val="es-MX"/>
              </w:rPr>
              <w:t>ASUNTO</w:t>
            </w:r>
          </w:p>
        </w:tc>
        <w:tc>
          <w:tcPr>
            <w:tcW w:w="6735" w:type="dxa"/>
          </w:tcPr>
          <w:p w14:paraId="5557C5EA" w14:textId="77777777" w:rsidR="00E40455" w:rsidRPr="00C2156A" w:rsidRDefault="00E40455" w:rsidP="00F9466C">
            <w:pPr>
              <w:jc w:val="both"/>
              <w:rPr>
                <w:rFonts w:ascii="Tahoma" w:hAnsi="Tahoma" w:cs="Tahoma"/>
                <w:b/>
                <w:sz w:val="16"/>
                <w:szCs w:val="16"/>
                <w:lang w:val="es-MX"/>
              </w:rPr>
            </w:pPr>
            <w:bookmarkStart w:id="0" w:name="_GoBack"/>
            <w:r w:rsidRPr="00C2156A">
              <w:rPr>
                <w:rFonts w:ascii="Tahoma" w:hAnsi="Tahoma" w:cs="Tahoma"/>
                <w:b/>
                <w:sz w:val="16"/>
                <w:szCs w:val="16"/>
                <w:lang w:val="es-MX"/>
              </w:rPr>
              <w:t xml:space="preserve">ADMITE DEMANDA DE RECONVENCION </w:t>
            </w:r>
            <w:r w:rsidR="0004388E" w:rsidRPr="00C2156A">
              <w:rPr>
                <w:rFonts w:ascii="Tahoma" w:hAnsi="Tahoma" w:cs="Tahoma"/>
                <w:b/>
                <w:sz w:val="16"/>
                <w:szCs w:val="16"/>
                <w:lang w:val="es-MX"/>
              </w:rPr>
              <w:t>– ACEPTA RENUNCIA- RECONOCE PERSONERIA</w:t>
            </w:r>
            <w:bookmarkEnd w:id="0"/>
          </w:p>
        </w:tc>
      </w:tr>
    </w:tbl>
    <w:p w14:paraId="6047958A" w14:textId="77777777" w:rsidR="00E40455" w:rsidRPr="00C2156A" w:rsidRDefault="00E40455" w:rsidP="00E40455">
      <w:pPr>
        <w:pStyle w:val="Textoindependiente2"/>
        <w:spacing w:after="0" w:line="240" w:lineRule="auto"/>
        <w:jc w:val="both"/>
        <w:rPr>
          <w:rFonts w:ascii="Tahoma" w:hAnsi="Tahoma" w:cs="Tahoma"/>
          <w:bCs/>
          <w:sz w:val="16"/>
          <w:szCs w:val="16"/>
        </w:rPr>
      </w:pPr>
    </w:p>
    <w:p w14:paraId="3540B4D0" w14:textId="77777777" w:rsidR="00191C89" w:rsidRPr="00C2156A" w:rsidRDefault="00191C89" w:rsidP="00191C89">
      <w:pPr>
        <w:jc w:val="both"/>
        <w:rPr>
          <w:rFonts w:ascii="Tahoma" w:hAnsi="Tahoma" w:cs="Tahoma"/>
          <w:bCs/>
          <w:sz w:val="16"/>
          <w:szCs w:val="16"/>
        </w:rPr>
      </w:pPr>
      <w:r w:rsidRPr="00C2156A">
        <w:rPr>
          <w:rFonts w:ascii="Tahoma" w:hAnsi="Tahoma" w:cs="Tahoma"/>
          <w:bCs/>
          <w:sz w:val="16"/>
          <w:szCs w:val="16"/>
        </w:rPr>
        <w:t>El presente asunto pretende la obtención del pago de bodegaje y almacenamiento de los vehículos adjudicados en el remate por el demandado además de los perjuicios ocasionados con el no retiro de los mismos dentro del término estipulado.</w:t>
      </w:r>
    </w:p>
    <w:p w14:paraId="0E6555B3" w14:textId="77777777" w:rsidR="00191C89" w:rsidRPr="00C2156A" w:rsidRDefault="00191C89" w:rsidP="00191C89">
      <w:pPr>
        <w:jc w:val="both"/>
        <w:rPr>
          <w:rFonts w:ascii="Tahoma" w:hAnsi="Tahoma" w:cs="Tahoma"/>
          <w:bCs/>
          <w:sz w:val="16"/>
          <w:szCs w:val="16"/>
        </w:rPr>
      </w:pPr>
    </w:p>
    <w:p w14:paraId="6095681A" w14:textId="77777777" w:rsidR="00191C89" w:rsidRPr="00C2156A" w:rsidRDefault="00191C89" w:rsidP="00191C89">
      <w:pPr>
        <w:jc w:val="both"/>
        <w:rPr>
          <w:rFonts w:ascii="Tahoma" w:hAnsi="Tahoma" w:cs="Tahoma"/>
          <w:bCs/>
          <w:sz w:val="16"/>
          <w:szCs w:val="16"/>
        </w:rPr>
      </w:pPr>
      <w:r w:rsidRPr="00C2156A">
        <w:rPr>
          <w:rFonts w:ascii="Tahoma" w:hAnsi="Tahoma" w:cs="Tahoma"/>
          <w:bCs/>
          <w:sz w:val="16"/>
          <w:szCs w:val="16"/>
        </w:rPr>
        <w:t>La demanda fue presentada y tramitada por la jurisdicción civil y cuando se surtía el recurso de apelación ante el TRIBUNAL SUPERIOR DEL DISTRITO JUDICIAL DE BOGOTÁ SALA CIVIL, MP LINA AIDA LIZARAZO VACA, mediante providencia del 17 de febrero de 2014 declaró la nulidad de todo lo actuado y remitió el proceso a los juzgados administrativos.</w:t>
      </w:r>
    </w:p>
    <w:p w14:paraId="5EC79080" w14:textId="77777777" w:rsidR="00E40455" w:rsidRPr="00C2156A" w:rsidRDefault="00E40455" w:rsidP="00E40455">
      <w:pPr>
        <w:pStyle w:val="Textoindependiente"/>
        <w:spacing w:after="0"/>
        <w:jc w:val="both"/>
        <w:rPr>
          <w:rFonts w:ascii="Tahoma" w:hAnsi="Tahoma" w:cs="Tahoma"/>
          <w:sz w:val="16"/>
          <w:szCs w:val="16"/>
          <w:lang w:val="es-CO"/>
        </w:rPr>
      </w:pPr>
    </w:p>
    <w:p w14:paraId="28FF5D49" w14:textId="77777777" w:rsidR="00191C89" w:rsidRPr="00C2156A" w:rsidRDefault="00191C89" w:rsidP="00E40455">
      <w:pPr>
        <w:pStyle w:val="Textoindependiente"/>
        <w:spacing w:after="0"/>
        <w:jc w:val="both"/>
        <w:rPr>
          <w:rFonts w:ascii="Tahoma" w:hAnsi="Tahoma" w:cs="Tahoma"/>
          <w:sz w:val="16"/>
          <w:szCs w:val="16"/>
          <w:lang w:val="es-CO"/>
        </w:rPr>
      </w:pPr>
      <w:r w:rsidRPr="00C2156A">
        <w:rPr>
          <w:rFonts w:ascii="Tahoma" w:hAnsi="Tahoma" w:cs="Tahoma"/>
          <w:sz w:val="16"/>
          <w:szCs w:val="16"/>
          <w:lang w:val="es-CO"/>
        </w:rPr>
        <w:t>En auto de 16 de octubre de 2014 se admitió la demanda.</w:t>
      </w:r>
    </w:p>
    <w:p w14:paraId="67AA8ABD" w14:textId="77777777" w:rsidR="00191C89" w:rsidRPr="00C2156A" w:rsidRDefault="00191C89" w:rsidP="00E40455">
      <w:pPr>
        <w:pStyle w:val="Textoindependiente"/>
        <w:spacing w:after="0"/>
        <w:jc w:val="both"/>
        <w:rPr>
          <w:rFonts w:ascii="Tahoma" w:hAnsi="Tahoma" w:cs="Tahoma"/>
          <w:sz w:val="16"/>
          <w:szCs w:val="16"/>
          <w:lang w:val="es-CO"/>
        </w:rPr>
      </w:pPr>
    </w:p>
    <w:p w14:paraId="149970F8" w14:textId="77777777" w:rsidR="00191C89" w:rsidRPr="00C2156A" w:rsidRDefault="00191C89" w:rsidP="00E40455">
      <w:pPr>
        <w:pStyle w:val="Textoindependiente"/>
        <w:spacing w:after="0"/>
        <w:jc w:val="both"/>
        <w:rPr>
          <w:rFonts w:ascii="Tahoma" w:hAnsi="Tahoma" w:cs="Tahoma"/>
          <w:i/>
          <w:sz w:val="16"/>
          <w:szCs w:val="16"/>
          <w:lang w:val="es-CO"/>
        </w:rPr>
      </w:pPr>
      <w:r w:rsidRPr="00C2156A">
        <w:rPr>
          <w:rFonts w:ascii="Tahoma" w:hAnsi="Tahoma" w:cs="Tahoma"/>
          <w:sz w:val="16"/>
          <w:szCs w:val="16"/>
          <w:lang w:val="es-CO"/>
        </w:rPr>
        <w:t xml:space="preserve">En informe secretarial de julio 17 de 2015, se anotó: </w:t>
      </w:r>
      <w:r w:rsidRPr="00C2156A">
        <w:rPr>
          <w:rFonts w:ascii="Tahoma" w:hAnsi="Tahoma" w:cs="Tahoma"/>
          <w:i/>
          <w:sz w:val="16"/>
          <w:szCs w:val="16"/>
          <w:lang w:val="es-CO"/>
        </w:rPr>
        <w:t>“CONTESTACION DE DEMANDA OPORTUNAMENTE ALLEGADA POR CARLOS BEJARANO (MAYO 22 DE 2015) CON FORMULACION DE EXCEPCIONES DEBIDAMENTE TRAMITADAS (CUADERNO 4). DEMANDA DE RECONVENCION VISIBLE A CUADERNO 5. MEMORIAL DE ACTOR DESCORRIENDO TRASLADO DE EXCEPCIONES (JULIO 2 DE 2015). SIRVASE PROVEER”</w:t>
      </w:r>
    </w:p>
    <w:p w14:paraId="5D8F9AAE" w14:textId="77777777" w:rsidR="00191C89" w:rsidRPr="00C2156A" w:rsidRDefault="00191C89" w:rsidP="00E40455">
      <w:pPr>
        <w:pStyle w:val="Textoindependiente"/>
        <w:spacing w:after="0"/>
        <w:jc w:val="both"/>
        <w:rPr>
          <w:rFonts w:ascii="Tahoma" w:hAnsi="Tahoma" w:cs="Tahoma"/>
          <w:sz w:val="16"/>
          <w:szCs w:val="16"/>
          <w:lang w:val="es-CO"/>
        </w:rPr>
      </w:pPr>
    </w:p>
    <w:p w14:paraId="692DF514" w14:textId="77777777" w:rsidR="00E40455" w:rsidRPr="00C2156A" w:rsidRDefault="00E40455" w:rsidP="0037740C">
      <w:pPr>
        <w:pStyle w:val="Textoindependiente"/>
        <w:spacing w:after="0"/>
        <w:jc w:val="both"/>
        <w:rPr>
          <w:rFonts w:ascii="Tahoma" w:hAnsi="Tahoma" w:cs="Tahoma"/>
          <w:color w:val="000000"/>
          <w:sz w:val="16"/>
          <w:szCs w:val="16"/>
          <w:lang w:val="es-ES_tradnl"/>
        </w:rPr>
      </w:pPr>
      <w:r w:rsidRPr="00C2156A">
        <w:rPr>
          <w:rFonts w:ascii="Tahoma" w:hAnsi="Tahoma" w:cs="Tahoma"/>
          <w:sz w:val="16"/>
          <w:szCs w:val="16"/>
        </w:rPr>
        <w:t xml:space="preserve">Procede el Despacho a pronunciarse </w:t>
      </w:r>
      <w:r w:rsidRPr="00C2156A">
        <w:rPr>
          <w:rFonts w:ascii="Tahoma" w:hAnsi="Tahoma" w:cs="Tahoma"/>
          <w:color w:val="000000"/>
          <w:sz w:val="16"/>
          <w:szCs w:val="16"/>
          <w:lang w:val="es-ES_tradnl"/>
        </w:rPr>
        <w:t>brevemente sobre su admisión en los siguientes términos:</w:t>
      </w:r>
    </w:p>
    <w:p w14:paraId="231FE160" w14:textId="77777777" w:rsidR="00E40455" w:rsidRPr="00C2156A" w:rsidRDefault="00E40455" w:rsidP="00E40455">
      <w:pPr>
        <w:jc w:val="both"/>
        <w:rPr>
          <w:rFonts w:ascii="Tahoma" w:hAnsi="Tahoma" w:cs="Tahoma"/>
          <w:noProof/>
          <w:sz w:val="16"/>
          <w:szCs w:val="16"/>
        </w:rPr>
      </w:pPr>
    </w:p>
    <w:p w14:paraId="1915E2F0" w14:textId="77777777" w:rsidR="00E40455" w:rsidRPr="00C2156A" w:rsidRDefault="00E40455" w:rsidP="0037740C">
      <w:pPr>
        <w:jc w:val="center"/>
        <w:rPr>
          <w:rFonts w:ascii="Tahoma" w:hAnsi="Tahoma" w:cs="Tahoma"/>
          <w:b/>
          <w:noProof/>
          <w:sz w:val="16"/>
          <w:szCs w:val="16"/>
        </w:rPr>
      </w:pPr>
      <w:r w:rsidRPr="00C2156A">
        <w:rPr>
          <w:rFonts w:ascii="Tahoma" w:hAnsi="Tahoma" w:cs="Tahoma"/>
          <w:b/>
          <w:noProof/>
          <w:sz w:val="16"/>
          <w:szCs w:val="16"/>
        </w:rPr>
        <w:t>CONSIDERACIONES</w:t>
      </w:r>
    </w:p>
    <w:p w14:paraId="77AFDA77" w14:textId="77777777" w:rsidR="00E40455" w:rsidRPr="00C2156A" w:rsidRDefault="00E40455" w:rsidP="00E40455">
      <w:pPr>
        <w:jc w:val="both"/>
        <w:rPr>
          <w:rFonts w:ascii="Tahoma" w:hAnsi="Tahoma" w:cs="Tahoma"/>
          <w:b/>
          <w:noProof/>
          <w:sz w:val="16"/>
          <w:szCs w:val="16"/>
        </w:rPr>
      </w:pPr>
    </w:p>
    <w:p w14:paraId="305CF9CC" w14:textId="77777777" w:rsidR="009207DF" w:rsidRPr="00C2156A" w:rsidRDefault="009207DF" w:rsidP="009207DF">
      <w:pPr>
        <w:jc w:val="both"/>
        <w:rPr>
          <w:rFonts w:ascii="Tahoma" w:hAnsi="Tahoma" w:cs="Tahoma"/>
          <w:b/>
          <w:noProof/>
          <w:sz w:val="16"/>
          <w:szCs w:val="16"/>
        </w:rPr>
      </w:pPr>
    </w:p>
    <w:p w14:paraId="79E7D69B" w14:textId="77777777" w:rsidR="009207DF" w:rsidRPr="00C2156A" w:rsidRDefault="009207DF" w:rsidP="009207DF">
      <w:pPr>
        <w:jc w:val="both"/>
        <w:rPr>
          <w:rFonts w:ascii="Tahoma" w:hAnsi="Tahoma" w:cs="Tahoma"/>
          <w:b/>
          <w:noProof/>
          <w:sz w:val="16"/>
          <w:szCs w:val="16"/>
        </w:rPr>
      </w:pPr>
      <w:r w:rsidRPr="00C2156A">
        <w:rPr>
          <w:rFonts w:ascii="Tahoma" w:hAnsi="Tahoma" w:cs="Tahoma"/>
          <w:b/>
          <w:noProof/>
          <w:sz w:val="16"/>
          <w:szCs w:val="16"/>
        </w:rPr>
        <w:t>1. De la  oportunidad de la demanda de reconvencion:</w:t>
      </w:r>
    </w:p>
    <w:p w14:paraId="4E20EDCC" w14:textId="77777777" w:rsidR="009207DF" w:rsidRPr="00C2156A" w:rsidRDefault="009207DF" w:rsidP="009207DF">
      <w:pPr>
        <w:pStyle w:val="Prrafodelista"/>
        <w:jc w:val="both"/>
        <w:rPr>
          <w:rFonts w:ascii="Tahoma" w:hAnsi="Tahoma" w:cs="Tahoma"/>
          <w:b/>
          <w:noProof/>
          <w:sz w:val="16"/>
          <w:szCs w:val="16"/>
        </w:rPr>
      </w:pPr>
    </w:p>
    <w:p w14:paraId="604F7DC1" w14:textId="77777777" w:rsidR="009207DF" w:rsidRPr="008B67BA" w:rsidRDefault="008B67BA" w:rsidP="009207DF">
      <w:pPr>
        <w:jc w:val="both"/>
        <w:rPr>
          <w:b/>
          <w:i/>
          <w:noProof/>
          <w:sz w:val="16"/>
          <w:szCs w:val="16"/>
        </w:rPr>
      </w:pPr>
      <w:r>
        <w:rPr>
          <w:rFonts w:ascii="Tahoma" w:hAnsi="Tahoma" w:cs="Tahoma"/>
          <w:noProof/>
          <w:sz w:val="16"/>
          <w:szCs w:val="16"/>
        </w:rPr>
        <w:t>El ar</w:t>
      </w:r>
      <w:r w:rsidR="009207DF" w:rsidRPr="00C2156A">
        <w:rPr>
          <w:rFonts w:ascii="Tahoma" w:hAnsi="Tahoma" w:cs="Tahoma"/>
          <w:noProof/>
          <w:sz w:val="16"/>
          <w:szCs w:val="16"/>
        </w:rPr>
        <w:t>tículo  177 del</w:t>
      </w:r>
      <w:r w:rsidR="009207DF" w:rsidRPr="00C2156A">
        <w:rPr>
          <w:rFonts w:ascii="Tahoma" w:hAnsi="Tahoma" w:cs="Tahoma"/>
          <w:b/>
          <w:noProof/>
          <w:sz w:val="16"/>
          <w:szCs w:val="16"/>
        </w:rPr>
        <w:t xml:space="preserve"> </w:t>
      </w:r>
      <w:r w:rsidR="009207DF" w:rsidRPr="00C2156A">
        <w:rPr>
          <w:rFonts w:ascii="Tahoma" w:hAnsi="Tahoma" w:cs="Tahoma"/>
          <w:noProof/>
          <w:sz w:val="16"/>
          <w:szCs w:val="16"/>
        </w:rPr>
        <w:t xml:space="preserve">Codigo </w:t>
      </w:r>
      <w:r>
        <w:rPr>
          <w:rFonts w:ascii="Tahoma" w:hAnsi="Tahoma" w:cs="Tahoma"/>
          <w:noProof/>
          <w:sz w:val="16"/>
          <w:szCs w:val="16"/>
        </w:rPr>
        <w:t>d</w:t>
      </w:r>
      <w:r w:rsidR="009207DF" w:rsidRPr="00C2156A">
        <w:rPr>
          <w:rFonts w:ascii="Tahoma" w:hAnsi="Tahoma" w:cs="Tahoma"/>
          <w:noProof/>
          <w:sz w:val="16"/>
          <w:szCs w:val="16"/>
        </w:rPr>
        <w:t xml:space="preserve">e Procedimiento Administrativo </w:t>
      </w:r>
      <w:r w:rsidRPr="00C2156A">
        <w:rPr>
          <w:rFonts w:ascii="Tahoma" w:hAnsi="Tahoma" w:cs="Tahoma"/>
          <w:noProof/>
          <w:sz w:val="16"/>
          <w:szCs w:val="16"/>
        </w:rPr>
        <w:t xml:space="preserve">y de lo </w:t>
      </w:r>
      <w:r w:rsidR="009207DF" w:rsidRPr="00C2156A">
        <w:rPr>
          <w:rFonts w:ascii="Tahoma" w:hAnsi="Tahoma" w:cs="Tahoma"/>
          <w:noProof/>
          <w:sz w:val="16"/>
          <w:szCs w:val="16"/>
        </w:rPr>
        <w:t>Contencioso Adminsitativo</w:t>
      </w:r>
      <w:r>
        <w:rPr>
          <w:rFonts w:ascii="Tahoma" w:hAnsi="Tahoma" w:cs="Tahoma"/>
          <w:noProof/>
          <w:sz w:val="16"/>
          <w:szCs w:val="16"/>
        </w:rPr>
        <w:t xml:space="preserve"> señala</w:t>
      </w:r>
      <w:r w:rsidR="009207DF" w:rsidRPr="00C2156A">
        <w:rPr>
          <w:rFonts w:ascii="Tahoma" w:hAnsi="Tahoma" w:cs="Tahoma"/>
          <w:i/>
          <w:noProof/>
          <w:sz w:val="16"/>
          <w:szCs w:val="16"/>
        </w:rPr>
        <w:t xml:space="preserve"> </w:t>
      </w:r>
      <w:r w:rsidR="009207DF" w:rsidRPr="008B67BA">
        <w:rPr>
          <w:i/>
          <w:noProof/>
          <w:sz w:val="16"/>
          <w:szCs w:val="16"/>
        </w:rPr>
        <w:t>“</w:t>
      </w:r>
      <w:r w:rsidRPr="008B67BA">
        <w:rPr>
          <w:i/>
          <w:noProof/>
          <w:sz w:val="16"/>
          <w:szCs w:val="16"/>
        </w:rPr>
        <w:t>(…)</w:t>
      </w:r>
      <w:r w:rsidR="009207DF" w:rsidRPr="008B67BA">
        <w:rPr>
          <w:i/>
          <w:noProof/>
          <w:sz w:val="16"/>
          <w:szCs w:val="16"/>
        </w:rPr>
        <w:t xml:space="preserve">Reconvención. Dentro del término de traslado de la admisión de la demanda o de su reforma, el demandado podrá proponer la de reconvención contra uno o varios de los demandantes, siempre que sea de competencia del mismo juez y no esté sometida a trámite especial. Sin embargo, se </w:t>
      </w:r>
      <w:r w:rsidR="009207DF" w:rsidRPr="008B67BA">
        <w:rPr>
          <w:b/>
          <w:i/>
          <w:noProof/>
          <w:sz w:val="16"/>
          <w:szCs w:val="16"/>
        </w:rPr>
        <w:t>podrá reconvenir sin consideración a la cuantía y al factor territorial.</w:t>
      </w:r>
    </w:p>
    <w:p w14:paraId="64983C5D" w14:textId="77777777" w:rsidR="009207DF" w:rsidRPr="008B67BA" w:rsidRDefault="009207DF" w:rsidP="009207DF">
      <w:pPr>
        <w:jc w:val="both"/>
        <w:rPr>
          <w:i/>
          <w:noProof/>
          <w:sz w:val="16"/>
          <w:szCs w:val="16"/>
        </w:rPr>
      </w:pPr>
    </w:p>
    <w:p w14:paraId="3F50A12A" w14:textId="77777777" w:rsidR="009207DF" w:rsidRPr="008B67BA" w:rsidRDefault="009207DF" w:rsidP="009207DF">
      <w:pPr>
        <w:jc w:val="both"/>
        <w:rPr>
          <w:i/>
          <w:noProof/>
          <w:sz w:val="16"/>
          <w:szCs w:val="16"/>
        </w:rPr>
      </w:pPr>
      <w:r w:rsidRPr="008B67BA">
        <w:rPr>
          <w:b/>
          <w:i/>
          <w:noProof/>
          <w:sz w:val="16"/>
          <w:szCs w:val="16"/>
        </w:rPr>
        <w:t>Vencido el término del traslado de la demanda inicial a todos los demandados, se correrá traslado de la admisión de la demanda de reconvención al demandante por el mismo término de la inicial</w:t>
      </w:r>
      <w:r w:rsidRPr="008B67BA">
        <w:rPr>
          <w:i/>
          <w:noProof/>
          <w:sz w:val="16"/>
          <w:szCs w:val="16"/>
        </w:rPr>
        <w:t>, mediante notificación por estado.</w:t>
      </w:r>
    </w:p>
    <w:p w14:paraId="134398E2" w14:textId="77777777" w:rsidR="009207DF" w:rsidRPr="008B67BA" w:rsidRDefault="009207DF" w:rsidP="009207DF">
      <w:pPr>
        <w:jc w:val="both"/>
        <w:rPr>
          <w:i/>
          <w:noProof/>
          <w:sz w:val="16"/>
          <w:szCs w:val="16"/>
        </w:rPr>
      </w:pPr>
    </w:p>
    <w:p w14:paraId="234CDAAA" w14:textId="77777777" w:rsidR="009207DF" w:rsidRPr="008B67BA" w:rsidRDefault="009207DF" w:rsidP="009207DF">
      <w:pPr>
        <w:jc w:val="both"/>
        <w:rPr>
          <w:rFonts w:ascii="Tahoma" w:hAnsi="Tahoma" w:cs="Tahoma"/>
          <w:noProof/>
          <w:sz w:val="16"/>
          <w:szCs w:val="16"/>
        </w:rPr>
      </w:pPr>
      <w:r w:rsidRPr="008B67BA">
        <w:rPr>
          <w:i/>
          <w:noProof/>
          <w:sz w:val="16"/>
          <w:szCs w:val="16"/>
        </w:rPr>
        <w:t>En lo sucesivo ambas demandas se sustanciarán conjuntamente y se decidirán en la misma sentencia.”</w:t>
      </w:r>
      <w:r w:rsidRPr="00C2156A">
        <w:rPr>
          <w:rFonts w:ascii="Tahoma" w:hAnsi="Tahoma" w:cs="Tahoma"/>
          <w:i/>
          <w:noProof/>
          <w:sz w:val="16"/>
          <w:szCs w:val="16"/>
        </w:rPr>
        <w:t xml:space="preserve"> </w:t>
      </w:r>
      <w:r w:rsidRPr="008B67BA">
        <w:rPr>
          <w:rFonts w:ascii="Tahoma" w:hAnsi="Tahoma" w:cs="Tahoma"/>
          <w:noProof/>
          <w:sz w:val="16"/>
          <w:szCs w:val="16"/>
        </w:rPr>
        <w:t>(negrita fuera de texto)</w:t>
      </w:r>
    </w:p>
    <w:p w14:paraId="566D66F3" w14:textId="77777777" w:rsidR="009207DF" w:rsidRPr="00C2156A" w:rsidRDefault="009207DF" w:rsidP="009207DF">
      <w:pPr>
        <w:jc w:val="both"/>
        <w:rPr>
          <w:rFonts w:ascii="Tahoma" w:hAnsi="Tahoma" w:cs="Tahoma"/>
          <w:b/>
          <w:noProof/>
          <w:sz w:val="16"/>
          <w:szCs w:val="16"/>
        </w:rPr>
      </w:pPr>
    </w:p>
    <w:p w14:paraId="3E136526" w14:textId="77777777" w:rsidR="00C2156A" w:rsidRPr="00C2156A" w:rsidRDefault="00C2156A" w:rsidP="009207DF">
      <w:pPr>
        <w:jc w:val="both"/>
        <w:rPr>
          <w:rFonts w:ascii="Tahoma" w:hAnsi="Tahoma" w:cs="Tahoma"/>
          <w:noProof/>
          <w:sz w:val="16"/>
          <w:szCs w:val="16"/>
        </w:rPr>
      </w:pPr>
      <w:r w:rsidRPr="00C2156A">
        <w:rPr>
          <w:rFonts w:ascii="Tahoma" w:hAnsi="Tahoma" w:cs="Tahoma"/>
          <w:noProof/>
          <w:sz w:val="16"/>
          <w:szCs w:val="16"/>
        </w:rPr>
        <w:t>Teniendo en cuenta qu</w:t>
      </w:r>
      <w:r w:rsidR="008B67BA">
        <w:rPr>
          <w:rFonts w:ascii="Tahoma" w:hAnsi="Tahoma" w:cs="Tahoma"/>
          <w:noProof/>
          <w:sz w:val="16"/>
          <w:szCs w:val="16"/>
        </w:rPr>
        <w:t>e la parte demandada se notificó</w:t>
      </w:r>
      <w:r w:rsidRPr="00C2156A">
        <w:rPr>
          <w:rFonts w:ascii="Tahoma" w:hAnsi="Tahoma" w:cs="Tahoma"/>
          <w:noProof/>
          <w:sz w:val="16"/>
          <w:szCs w:val="16"/>
        </w:rPr>
        <w:t xml:space="preserve"> de la manera prevista en el artículo 292 del Código General del Proceso, y de acuerdo a lo señalado en el articulo 172</w:t>
      </w:r>
      <w:r w:rsidRPr="00C2156A">
        <w:rPr>
          <w:rStyle w:val="Refdenotaalpie"/>
          <w:rFonts w:ascii="Tahoma" w:hAnsi="Tahoma" w:cs="Tahoma"/>
          <w:noProof/>
          <w:sz w:val="16"/>
          <w:szCs w:val="16"/>
        </w:rPr>
        <w:footnoteReference w:id="1"/>
      </w:r>
      <w:r w:rsidRPr="00C2156A">
        <w:rPr>
          <w:rFonts w:ascii="Tahoma" w:hAnsi="Tahoma" w:cs="Tahoma"/>
          <w:noProof/>
          <w:sz w:val="16"/>
          <w:szCs w:val="16"/>
        </w:rPr>
        <w:t xml:space="preserve"> del  Codigo </w:t>
      </w:r>
      <w:r w:rsidR="008B67BA">
        <w:rPr>
          <w:rFonts w:ascii="Tahoma" w:hAnsi="Tahoma" w:cs="Tahoma"/>
          <w:noProof/>
          <w:sz w:val="16"/>
          <w:szCs w:val="16"/>
        </w:rPr>
        <w:t>d</w:t>
      </w:r>
      <w:r w:rsidRPr="00C2156A">
        <w:rPr>
          <w:rFonts w:ascii="Tahoma" w:hAnsi="Tahoma" w:cs="Tahoma"/>
          <w:noProof/>
          <w:sz w:val="16"/>
          <w:szCs w:val="16"/>
        </w:rPr>
        <w:t xml:space="preserve">e Procedimiento Administrativo </w:t>
      </w:r>
      <w:r w:rsidR="008B67BA" w:rsidRPr="00C2156A">
        <w:rPr>
          <w:rFonts w:ascii="Tahoma" w:hAnsi="Tahoma" w:cs="Tahoma"/>
          <w:noProof/>
          <w:sz w:val="16"/>
          <w:szCs w:val="16"/>
        </w:rPr>
        <w:t xml:space="preserve">y de lo </w:t>
      </w:r>
      <w:r w:rsidRPr="00C2156A">
        <w:rPr>
          <w:rFonts w:ascii="Tahoma" w:hAnsi="Tahoma" w:cs="Tahoma"/>
          <w:noProof/>
          <w:sz w:val="16"/>
          <w:szCs w:val="16"/>
        </w:rPr>
        <w:t>Contencioso Administra</w:t>
      </w:r>
      <w:r w:rsidR="008B67BA">
        <w:rPr>
          <w:rFonts w:ascii="Tahoma" w:hAnsi="Tahoma" w:cs="Tahoma"/>
          <w:noProof/>
          <w:sz w:val="16"/>
          <w:szCs w:val="16"/>
        </w:rPr>
        <w:t>tivo, el té</w:t>
      </w:r>
      <w:r w:rsidRPr="00C2156A">
        <w:rPr>
          <w:rFonts w:ascii="Tahoma" w:hAnsi="Tahoma" w:cs="Tahoma"/>
          <w:noProof/>
          <w:sz w:val="16"/>
          <w:szCs w:val="16"/>
        </w:rPr>
        <w:t>rmino de traslado</w:t>
      </w:r>
      <w:r w:rsidR="008B67BA">
        <w:rPr>
          <w:rFonts w:ascii="Tahoma" w:hAnsi="Tahoma" w:cs="Tahoma"/>
          <w:noProof/>
          <w:sz w:val="16"/>
          <w:szCs w:val="16"/>
        </w:rPr>
        <w:t xml:space="preserve"> de la demanda de 30 días inició el 7 de mayo de 2015 y venció</w:t>
      </w:r>
      <w:r w:rsidRPr="00C2156A">
        <w:rPr>
          <w:rFonts w:ascii="Tahoma" w:hAnsi="Tahoma" w:cs="Tahoma"/>
          <w:noProof/>
          <w:sz w:val="16"/>
          <w:szCs w:val="16"/>
        </w:rPr>
        <w:t xml:space="preserve"> el 22 de junio de 2015</w:t>
      </w:r>
      <w:r w:rsidR="008B67BA">
        <w:rPr>
          <w:rFonts w:ascii="Tahoma" w:hAnsi="Tahoma" w:cs="Tahoma"/>
          <w:noProof/>
          <w:sz w:val="16"/>
          <w:szCs w:val="16"/>
        </w:rPr>
        <w:t>; como se presentó</w:t>
      </w:r>
      <w:r w:rsidRPr="00C2156A">
        <w:rPr>
          <w:rFonts w:ascii="Tahoma" w:hAnsi="Tahoma" w:cs="Tahoma"/>
          <w:noProof/>
          <w:sz w:val="16"/>
          <w:szCs w:val="16"/>
        </w:rPr>
        <w:t xml:space="preserve"> la </w:t>
      </w:r>
      <w:r w:rsidR="002014D9">
        <w:rPr>
          <w:rFonts w:ascii="Tahoma" w:hAnsi="Tahoma" w:cs="Tahoma"/>
          <w:noProof/>
          <w:sz w:val="16"/>
          <w:szCs w:val="16"/>
        </w:rPr>
        <w:t xml:space="preserve">demanda de reconvención </w:t>
      </w:r>
      <w:r w:rsidRPr="00C2156A">
        <w:rPr>
          <w:rFonts w:ascii="Tahoma" w:hAnsi="Tahoma" w:cs="Tahoma"/>
          <w:noProof/>
          <w:sz w:val="16"/>
          <w:szCs w:val="16"/>
        </w:rPr>
        <w:t>el 22 de mayo de 2015, encuentra el Despacho que está en término.</w:t>
      </w:r>
    </w:p>
    <w:p w14:paraId="091C39BA" w14:textId="77777777" w:rsidR="009207DF" w:rsidRPr="00C2156A" w:rsidRDefault="009207DF" w:rsidP="002B046D">
      <w:pPr>
        <w:jc w:val="both"/>
        <w:rPr>
          <w:rFonts w:ascii="Tahoma" w:hAnsi="Tahoma" w:cs="Tahoma"/>
          <w:b/>
          <w:noProof/>
          <w:sz w:val="16"/>
          <w:szCs w:val="16"/>
        </w:rPr>
      </w:pPr>
    </w:p>
    <w:p w14:paraId="1ADF3CA9" w14:textId="77777777" w:rsidR="009207DF" w:rsidRPr="00C2156A" w:rsidRDefault="009207DF" w:rsidP="009207DF">
      <w:pPr>
        <w:jc w:val="both"/>
        <w:rPr>
          <w:rFonts w:ascii="Tahoma" w:hAnsi="Tahoma" w:cs="Tahoma"/>
          <w:b/>
          <w:noProof/>
          <w:sz w:val="16"/>
          <w:szCs w:val="16"/>
        </w:rPr>
      </w:pPr>
      <w:r w:rsidRPr="00C2156A">
        <w:rPr>
          <w:rFonts w:ascii="Tahoma" w:hAnsi="Tahoma" w:cs="Tahoma"/>
          <w:b/>
          <w:noProof/>
          <w:sz w:val="16"/>
          <w:szCs w:val="16"/>
        </w:rPr>
        <w:t xml:space="preserve">2. De la demanda de reconvencion </w:t>
      </w:r>
    </w:p>
    <w:p w14:paraId="0126D9B1" w14:textId="77777777" w:rsidR="009207DF" w:rsidRPr="00C2156A" w:rsidRDefault="009207DF" w:rsidP="009207DF">
      <w:pPr>
        <w:jc w:val="both"/>
        <w:rPr>
          <w:rFonts w:ascii="Tahoma" w:hAnsi="Tahoma" w:cs="Tahoma"/>
          <w:b/>
          <w:noProof/>
          <w:sz w:val="16"/>
          <w:szCs w:val="16"/>
        </w:rPr>
      </w:pPr>
    </w:p>
    <w:p w14:paraId="4A7A1AEA" w14:textId="77777777" w:rsidR="009207DF" w:rsidRPr="00C2156A" w:rsidRDefault="009207DF" w:rsidP="009207DF">
      <w:pPr>
        <w:pStyle w:val="Textoindependiente31"/>
        <w:rPr>
          <w:rFonts w:ascii="Tahoma" w:hAnsi="Tahoma" w:cs="Tahoma"/>
          <w:b w:val="0"/>
          <w:noProof/>
          <w:sz w:val="16"/>
          <w:szCs w:val="16"/>
        </w:rPr>
      </w:pPr>
      <w:r w:rsidRPr="00C2156A">
        <w:rPr>
          <w:rFonts w:ascii="Tahoma" w:hAnsi="Tahoma" w:cs="Tahoma"/>
          <w:b w:val="0"/>
          <w:noProof/>
          <w:sz w:val="16"/>
          <w:szCs w:val="16"/>
        </w:rPr>
        <w:t>Por reconvención se entiende “</w:t>
      </w:r>
      <w:r w:rsidRPr="00C2156A">
        <w:rPr>
          <w:rFonts w:ascii="Tahoma" w:hAnsi="Tahoma" w:cs="Tahoma"/>
          <w:b w:val="0"/>
          <w:i/>
          <w:noProof/>
          <w:sz w:val="16"/>
          <w:szCs w:val="16"/>
        </w:rPr>
        <w:t>un acto procesal de petición mediante el cual el demandado deduce oportunamente contra el actor una acción propia, independiente o conexa con la acción que es materia de la demanda, a fin de que ambas sean sustanciadas y decididas simultáneamente en el mismo proceso</w:t>
      </w:r>
      <w:r w:rsidRPr="00C2156A">
        <w:rPr>
          <w:rFonts w:ascii="Tahoma" w:hAnsi="Tahoma" w:cs="Tahoma"/>
          <w:b w:val="0"/>
          <w:noProof/>
          <w:sz w:val="16"/>
          <w:szCs w:val="16"/>
        </w:rPr>
        <w:t>”</w:t>
      </w:r>
      <w:r w:rsidRPr="00C2156A">
        <w:rPr>
          <w:rFonts w:ascii="Tahoma" w:hAnsi="Tahoma" w:cs="Tahoma"/>
          <w:b w:val="0"/>
          <w:noProof/>
          <w:sz w:val="16"/>
          <w:szCs w:val="16"/>
          <w:vertAlign w:val="superscript"/>
        </w:rPr>
        <w:footnoteReference w:id="2"/>
      </w:r>
    </w:p>
    <w:p w14:paraId="49676504" w14:textId="77777777" w:rsidR="009207DF" w:rsidRPr="00C2156A" w:rsidRDefault="009207DF" w:rsidP="009207DF">
      <w:pPr>
        <w:pStyle w:val="Textoindependiente31"/>
        <w:rPr>
          <w:rFonts w:ascii="Tahoma" w:hAnsi="Tahoma" w:cs="Tahoma"/>
          <w:b w:val="0"/>
          <w:noProof/>
          <w:sz w:val="16"/>
          <w:szCs w:val="16"/>
        </w:rPr>
      </w:pPr>
    </w:p>
    <w:p w14:paraId="1E9B1FE0" w14:textId="77777777" w:rsidR="009207DF" w:rsidRPr="00C2156A" w:rsidRDefault="009207DF" w:rsidP="009207DF">
      <w:pPr>
        <w:pStyle w:val="Textoindependiente31"/>
        <w:rPr>
          <w:rFonts w:ascii="Tahoma" w:hAnsi="Tahoma" w:cs="Tahoma"/>
          <w:b w:val="0"/>
          <w:noProof/>
          <w:sz w:val="16"/>
          <w:szCs w:val="16"/>
        </w:rPr>
      </w:pPr>
      <w:r w:rsidRPr="00C2156A">
        <w:rPr>
          <w:rFonts w:ascii="Tahoma" w:hAnsi="Tahoma" w:cs="Tahoma"/>
          <w:b w:val="0"/>
          <w:noProof/>
          <w:sz w:val="16"/>
          <w:szCs w:val="16"/>
        </w:rPr>
        <w:t xml:space="preserve">Con la demanda de reconvención, la ley persigue evitar la proliferación de procesos, en aras del principio de economía procesal; no se dirige contra las pretensiones del demandante, sino que formula unas nuevas en su contra, quien, a partir de ese momento, también adquiere la calidad de demandado. </w:t>
      </w:r>
    </w:p>
    <w:p w14:paraId="40228A8C" w14:textId="77777777" w:rsidR="009207DF" w:rsidRPr="00C2156A" w:rsidRDefault="009207DF" w:rsidP="009207DF">
      <w:pPr>
        <w:jc w:val="both"/>
        <w:rPr>
          <w:rFonts w:ascii="Tahoma" w:hAnsi="Tahoma" w:cs="Tahoma"/>
          <w:b/>
          <w:noProof/>
          <w:sz w:val="16"/>
          <w:szCs w:val="16"/>
          <w:highlight w:val="yellow"/>
        </w:rPr>
      </w:pPr>
    </w:p>
    <w:p w14:paraId="082A0337" w14:textId="77777777" w:rsidR="009207DF" w:rsidRPr="00C2156A" w:rsidRDefault="009207DF" w:rsidP="009207DF">
      <w:pPr>
        <w:jc w:val="both"/>
        <w:rPr>
          <w:rFonts w:ascii="Tahoma" w:hAnsi="Tahoma" w:cs="Tahoma"/>
          <w:noProof/>
          <w:sz w:val="16"/>
          <w:szCs w:val="16"/>
        </w:rPr>
      </w:pPr>
      <w:r w:rsidRPr="00C2156A">
        <w:rPr>
          <w:rFonts w:ascii="Tahoma" w:hAnsi="Tahoma" w:cs="Tahoma"/>
          <w:noProof/>
          <w:sz w:val="16"/>
          <w:szCs w:val="16"/>
        </w:rPr>
        <w:t>Considera el Despac</w:t>
      </w:r>
      <w:r w:rsidR="008B67BA">
        <w:rPr>
          <w:rFonts w:ascii="Tahoma" w:hAnsi="Tahoma" w:cs="Tahoma"/>
          <w:noProof/>
          <w:sz w:val="16"/>
          <w:szCs w:val="16"/>
        </w:rPr>
        <w:t>ho que la demanda de reconvenció</w:t>
      </w:r>
      <w:r w:rsidRPr="00C2156A">
        <w:rPr>
          <w:rFonts w:ascii="Tahoma" w:hAnsi="Tahoma" w:cs="Tahoma"/>
          <w:noProof/>
          <w:sz w:val="16"/>
          <w:szCs w:val="16"/>
        </w:rPr>
        <w:t>n es procede</w:t>
      </w:r>
      <w:r w:rsidR="008B67BA">
        <w:rPr>
          <w:rFonts w:ascii="Tahoma" w:hAnsi="Tahoma" w:cs="Tahoma"/>
          <w:noProof/>
          <w:sz w:val="16"/>
          <w:szCs w:val="16"/>
        </w:rPr>
        <w:t>nte y en ese sentido se admitirá</w:t>
      </w:r>
      <w:r w:rsidRPr="00C2156A">
        <w:rPr>
          <w:rFonts w:ascii="Tahoma" w:hAnsi="Tahoma" w:cs="Tahoma"/>
          <w:noProof/>
          <w:sz w:val="16"/>
          <w:szCs w:val="16"/>
        </w:rPr>
        <w:t xml:space="preserve"> pues las pretensiones de la demanda de reconvencion, son bajo los mismos hechos. </w:t>
      </w:r>
    </w:p>
    <w:p w14:paraId="4ECA0D1A" w14:textId="77777777" w:rsidR="009207DF" w:rsidRPr="00C2156A" w:rsidRDefault="009207DF" w:rsidP="009207DF">
      <w:pPr>
        <w:jc w:val="both"/>
        <w:rPr>
          <w:rFonts w:ascii="Tahoma" w:hAnsi="Tahoma" w:cs="Tahoma"/>
          <w:b/>
          <w:noProof/>
          <w:sz w:val="16"/>
          <w:szCs w:val="16"/>
          <w:lang w:val="es-ES"/>
        </w:rPr>
      </w:pPr>
    </w:p>
    <w:p w14:paraId="38657A29" w14:textId="77777777" w:rsidR="009207DF" w:rsidRPr="00C2156A" w:rsidRDefault="009207DF" w:rsidP="009207DF">
      <w:pPr>
        <w:jc w:val="both"/>
        <w:rPr>
          <w:rFonts w:ascii="Tahoma" w:hAnsi="Tahoma" w:cs="Tahoma"/>
          <w:sz w:val="16"/>
          <w:szCs w:val="16"/>
        </w:rPr>
      </w:pPr>
      <w:r w:rsidRPr="00C2156A">
        <w:rPr>
          <w:rFonts w:ascii="Tahoma" w:hAnsi="Tahoma" w:cs="Tahoma"/>
          <w:sz w:val="16"/>
          <w:szCs w:val="16"/>
        </w:rPr>
        <w:t>Verificados los requisitos de oportunidad y forma contenidos en el capítulo III, artículo 162</w:t>
      </w:r>
      <w:r w:rsidRPr="00C2156A">
        <w:rPr>
          <w:rStyle w:val="Refdenotaalpie"/>
          <w:rFonts w:ascii="Tahoma" w:hAnsi="Tahoma" w:cs="Tahoma"/>
          <w:sz w:val="16"/>
          <w:szCs w:val="16"/>
        </w:rPr>
        <w:footnoteReference w:id="3"/>
      </w:r>
      <w:r w:rsidRPr="00C2156A">
        <w:rPr>
          <w:rFonts w:ascii="Tahoma" w:hAnsi="Tahoma" w:cs="Tahoma"/>
          <w:sz w:val="16"/>
          <w:szCs w:val="16"/>
        </w:rPr>
        <w:t xml:space="preserve"> y 172  de la ley 1437 de 18 de enero de 2011, por medio de la cual se adoptó el Código de Procedimiento Administrativo y de lo Contencioso Administrativo, </w:t>
      </w:r>
      <w:r w:rsidRPr="00C2156A">
        <w:rPr>
          <w:rFonts w:ascii="Tahoma" w:hAnsi="Tahoma" w:cs="Tahoma"/>
          <w:b/>
          <w:sz w:val="16"/>
          <w:szCs w:val="16"/>
        </w:rPr>
        <w:t>se admitirá la presente demanda de reconvención.</w:t>
      </w:r>
      <w:r w:rsidRPr="00C2156A">
        <w:rPr>
          <w:rFonts w:ascii="Tahoma" w:hAnsi="Tahoma" w:cs="Tahoma"/>
          <w:sz w:val="16"/>
          <w:szCs w:val="16"/>
        </w:rPr>
        <w:t xml:space="preserve"> </w:t>
      </w:r>
    </w:p>
    <w:p w14:paraId="280C36F6" w14:textId="77777777" w:rsidR="00E40455" w:rsidRPr="00C2156A" w:rsidRDefault="00E40455" w:rsidP="00E40455">
      <w:pPr>
        <w:jc w:val="both"/>
        <w:rPr>
          <w:rFonts w:ascii="Tahoma" w:hAnsi="Tahoma" w:cs="Tahoma"/>
          <w:sz w:val="16"/>
          <w:szCs w:val="16"/>
        </w:rPr>
      </w:pPr>
    </w:p>
    <w:p w14:paraId="77A53A74" w14:textId="77777777" w:rsidR="00E40455" w:rsidRPr="00C2156A" w:rsidRDefault="00E40455" w:rsidP="00E40455">
      <w:pPr>
        <w:jc w:val="both"/>
        <w:rPr>
          <w:rFonts w:ascii="Tahoma" w:hAnsi="Tahoma" w:cs="Tahoma"/>
          <w:b/>
          <w:sz w:val="16"/>
          <w:szCs w:val="16"/>
        </w:rPr>
      </w:pPr>
      <w:r w:rsidRPr="00C2156A">
        <w:rPr>
          <w:rFonts w:ascii="Tahoma" w:hAnsi="Tahoma" w:cs="Tahoma"/>
          <w:sz w:val="16"/>
          <w:szCs w:val="16"/>
        </w:rPr>
        <w:t>Por lo brevemente expuesto,</w:t>
      </w:r>
      <w:r w:rsidRPr="00C2156A">
        <w:rPr>
          <w:rFonts w:ascii="Tahoma" w:hAnsi="Tahoma" w:cs="Tahoma"/>
          <w:b/>
          <w:sz w:val="16"/>
          <w:szCs w:val="16"/>
        </w:rPr>
        <w:t xml:space="preserve"> SE DISPONE:</w:t>
      </w:r>
    </w:p>
    <w:p w14:paraId="18C07219" w14:textId="77777777" w:rsidR="00E40455" w:rsidRPr="00C2156A" w:rsidRDefault="00E40455" w:rsidP="00E40455">
      <w:pPr>
        <w:jc w:val="both"/>
        <w:rPr>
          <w:rFonts w:ascii="Tahoma" w:hAnsi="Tahoma" w:cs="Tahoma"/>
          <w:b/>
          <w:sz w:val="16"/>
          <w:szCs w:val="16"/>
          <w:lang w:val="es-MX"/>
        </w:rPr>
      </w:pPr>
    </w:p>
    <w:p w14:paraId="29E5E999" w14:textId="77777777" w:rsidR="00E40455" w:rsidRPr="00C2156A" w:rsidRDefault="00E40455" w:rsidP="00E40455">
      <w:pPr>
        <w:jc w:val="both"/>
        <w:rPr>
          <w:rFonts w:ascii="Tahoma" w:hAnsi="Tahoma" w:cs="Tahoma"/>
          <w:b/>
          <w:sz w:val="16"/>
          <w:szCs w:val="16"/>
        </w:rPr>
      </w:pPr>
      <w:r w:rsidRPr="00C2156A">
        <w:rPr>
          <w:rFonts w:ascii="Tahoma" w:hAnsi="Tahoma" w:cs="Tahoma"/>
          <w:b/>
          <w:sz w:val="16"/>
          <w:szCs w:val="16"/>
        </w:rPr>
        <w:lastRenderedPageBreak/>
        <w:t xml:space="preserve">Primero: </w:t>
      </w:r>
      <w:r w:rsidRPr="00C2156A">
        <w:rPr>
          <w:rFonts w:ascii="Tahoma" w:hAnsi="Tahoma" w:cs="Tahoma"/>
          <w:sz w:val="16"/>
          <w:szCs w:val="16"/>
        </w:rPr>
        <w:t>Admítase la demanda de reconvención que en ejercicio del medio de control de</w:t>
      </w:r>
      <w:r w:rsidRPr="00C2156A">
        <w:rPr>
          <w:rStyle w:val="nfasis"/>
          <w:rFonts w:ascii="Tahoma" w:hAnsi="Tahoma" w:cs="Tahoma"/>
          <w:sz w:val="16"/>
          <w:szCs w:val="16"/>
        </w:rPr>
        <w:t xml:space="preserve"> </w:t>
      </w:r>
      <w:r w:rsidRPr="00C2156A">
        <w:rPr>
          <w:rStyle w:val="nfasis"/>
          <w:rFonts w:ascii="Tahoma" w:hAnsi="Tahoma" w:cs="Tahoma"/>
          <w:i w:val="0"/>
          <w:sz w:val="16"/>
          <w:szCs w:val="16"/>
        </w:rPr>
        <w:t>controversias contractuales</w:t>
      </w:r>
      <w:r w:rsidRPr="00C2156A">
        <w:rPr>
          <w:rFonts w:ascii="Tahoma" w:hAnsi="Tahoma" w:cs="Tahoma"/>
          <w:sz w:val="16"/>
          <w:szCs w:val="16"/>
        </w:rPr>
        <w:t xml:space="preserve"> previsto en el artículo 138 del CPACA presentó </w:t>
      </w:r>
      <w:r w:rsidR="00191C89" w:rsidRPr="00C2156A">
        <w:rPr>
          <w:rFonts w:ascii="Tahoma" w:hAnsi="Tahoma" w:cs="Tahoma"/>
          <w:b/>
          <w:sz w:val="16"/>
          <w:szCs w:val="16"/>
        </w:rPr>
        <w:t>CARLOS ARTURO BEJARANO ECHEVERRI</w:t>
      </w:r>
      <w:r w:rsidR="00191C89" w:rsidRPr="00C2156A">
        <w:rPr>
          <w:rStyle w:val="nfasis"/>
          <w:rFonts w:ascii="Tahoma" w:hAnsi="Tahoma" w:cs="Tahoma"/>
          <w:sz w:val="16"/>
          <w:szCs w:val="16"/>
        </w:rPr>
        <w:t xml:space="preserve"> </w:t>
      </w:r>
      <w:r w:rsidRPr="00C2156A">
        <w:rPr>
          <w:rStyle w:val="nfasis"/>
          <w:rFonts w:ascii="Tahoma" w:hAnsi="Tahoma" w:cs="Tahoma"/>
          <w:i w:val="0"/>
          <w:sz w:val="16"/>
          <w:szCs w:val="16"/>
        </w:rPr>
        <w:t>en contra de</w:t>
      </w:r>
      <w:r w:rsidRPr="00C2156A">
        <w:rPr>
          <w:rStyle w:val="nfasis"/>
          <w:rFonts w:ascii="Tahoma" w:hAnsi="Tahoma" w:cs="Tahoma"/>
          <w:sz w:val="16"/>
          <w:szCs w:val="16"/>
        </w:rPr>
        <w:t xml:space="preserve"> </w:t>
      </w:r>
      <w:r w:rsidR="00191C89" w:rsidRPr="00C2156A">
        <w:rPr>
          <w:rFonts w:ascii="Tahoma" w:hAnsi="Tahoma" w:cs="Tahoma"/>
          <w:b/>
          <w:sz w:val="16"/>
          <w:szCs w:val="16"/>
        </w:rPr>
        <w:t>SECRETARIA DE HACIENDA DE BOGOTA.</w:t>
      </w:r>
    </w:p>
    <w:p w14:paraId="743F551E" w14:textId="77777777" w:rsidR="00191C89" w:rsidRPr="00C2156A" w:rsidRDefault="00191C89" w:rsidP="00E40455">
      <w:pPr>
        <w:jc w:val="both"/>
        <w:rPr>
          <w:rFonts w:ascii="Tahoma" w:hAnsi="Tahoma" w:cs="Tahoma"/>
          <w:sz w:val="16"/>
          <w:szCs w:val="16"/>
        </w:rPr>
      </w:pPr>
    </w:p>
    <w:p w14:paraId="3CB14521" w14:textId="77777777" w:rsidR="00E40455" w:rsidRDefault="00E40455" w:rsidP="00E40455">
      <w:pPr>
        <w:jc w:val="both"/>
        <w:rPr>
          <w:rFonts w:ascii="Tahoma" w:hAnsi="Tahoma" w:cs="Tahoma"/>
          <w:sz w:val="16"/>
          <w:szCs w:val="16"/>
        </w:rPr>
      </w:pPr>
      <w:r w:rsidRPr="00C2156A">
        <w:rPr>
          <w:rFonts w:ascii="Tahoma" w:hAnsi="Tahoma" w:cs="Tahoma"/>
          <w:b/>
          <w:bCs/>
          <w:sz w:val="16"/>
          <w:szCs w:val="16"/>
        </w:rPr>
        <w:t xml:space="preserve">Segundo: </w:t>
      </w:r>
      <w:r w:rsidRPr="00C2156A">
        <w:rPr>
          <w:rFonts w:ascii="Tahoma" w:hAnsi="Tahoma" w:cs="Tahoma"/>
          <w:sz w:val="16"/>
          <w:szCs w:val="16"/>
        </w:rPr>
        <w:t>Notifíquese por estado al apoderado de la parte actora (art. 171, numeral 1, art. 201 CPACA)</w:t>
      </w:r>
      <w:r w:rsidR="002014D9">
        <w:rPr>
          <w:rFonts w:ascii="Tahoma" w:hAnsi="Tahoma" w:cs="Tahoma"/>
          <w:sz w:val="16"/>
          <w:szCs w:val="16"/>
        </w:rPr>
        <w:t>.</w:t>
      </w:r>
    </w:p>
    <w:p w14:paraId="77B5C5BF" w14:textId="77777777" w:rsidR="002014D9" w:rsidRPr="00C2156A" w:rsidRDefault="002014D9" w:rsidP="00E40455">
      <w:pPr>
        <w:jc w:val="both"/>
        <w:rPr>
          <w:rFonts w:ascii="Tahoma" w:hAnsi="Tahoma" w:cs="Tahoma"/>
          <w:color w:val="000000"/>
          <w:spacing w:val="-1"/>
          <w:sz w:val="16"/>
          <w:szCs w:val="16"/>
        </w:rPr>
      </w:pPr>
    </w:p>
    <w:p w14:paraId="13702A86" w14:textId="77777777" w:rsidR="00E40455" w:rsidRPr="00C2156A" w:rsidRDefault="00E40455" w:rsidP="00E40455">
      <w:pPr>
        <w:jc w:val="both"/>
        <w:rPr>
          <w:rFonts w:ascii="Tahoma" w:hAnsi="Tahoma" w:cs="Tahoma"/>
          <w:color w:val="000000"/>
          <w:spacing w:val="-1"/>
          <w:sz w:val="16"/>
          <w:szCs w:val="16"/>
        </w:rPr>
      </w:pPr>
      <w:r w:rsidRPr="00C2156A">
        <w:rPr>
          <w:rFonts w:ascii="Tahoma" w:hAnsi="Tahoma" w:cs="Tahoma"/>
          <w:b/>
          <w:color w:val="000000"/>
          <w:spacing w:val="-1"/>
          <w:sz w:val="16"/>
          <w:szCs w:val="16"/>
        </w:rPr>
        <w:t>Tercero:</w:t>
      </w:r>
      <w:r w:rsidRPr="00C2156A">
        <w:rPr>
          <w:rFonts w:ascii="Tahoma" w:hAnsi="Tahoma" w:cs="Tahoma"/>
          <w:color w:val="000000"/>
          <w:spacing w:val="-1"/>
          <w:sz w:val="16"/>
          <w:szCs w:val="16"/>
        </w:rPr>
        <w:t xml:space="preserve"> </w:t>
      </w:r>
      <w:r w:rsidR="0004388E" w:rsidRPr="00C2156A">
        <w:rPr>
          <w:rFonts w:ascii="Tahoma" w:hAnsi="Tahoma" w:cs="Tahoma"/>
          <w:sz w:val="16"/>
          <w:szCs w:val="16"/>
        </w:rPr>
        <w:t xml:space="preserve">Notifíquese por estado al </w:t>
      </w:r>
      <w:r w:rsidR="0004388E" w:rsidRPr="00C2156A">
        <w:rPr>
          <w:rFonts w:ascii="Tahoma" w:hAnsi="Tahoma" w:cs="Tahoma"/>
          <w:b/>
          <w:sz w:val="16"/>
          <w:szCs w:val="16"/>
        </w:rPr>
        <w:t>SECRETARIO DE HACIENDA DE BOGOTA</w:t>
      </w:r>
      <w:r w:rsidR="0004388E" w:rsidRPr="00C2156A">
        <w:rPr>
          <w:rFonts w:ascii="Tahoma" w:hAnsi="Tahoma" w:cs="Tahoma"/>
          <w:sz w:val="16"/>
          <w:szCs w:val="16"/>
        </w:rPr>
        <w:t xml:space="preserve"> </w:t>
      </w:r>
      <w:r w:rsidRPr="00C2156A">
        <w:rPr>
          <w:rFonts w:ascii="Tahoma" w:hAnsi="Tahoma" w:cs="Tahoma"/>
          <w:sz w:val="16"/>
          <w:szCs w:val="16"/>
        </w:rPr>
        <w:t>(Art. 171, 177, numerales 1 y 3; 199 CPACA, modificado por el artículo 612 del Código General del Proceso)</w:t>
      </w:r>
      <w:r w:rsidRPr="00C2156A">
        <w:rPr>
          <w:rFonts w:ascii="Tahoma" w:hAnsi="Tahoma" w:cs="Tahoma"/>
          <w:color w:val="000000"/>
          <w:spacing w:val="-1"/>
          <w:sz w:val="16"/>
          <w:szCs w:val="16"/>
        </w:rPr>
        <w:t>.</w:t>
      </w:r>
    </w:p>
    <w:p w14:paraId="511C0D27" w14:textId="77777777" w:rsidR="00E40455" w:rsidRPr="00C2156A" w:rsidRDefault="00E40455" w:rsidP="00E40455">
      <w:pPr>
        <w:jc w:val="both"/>
        <w:rPr>
          <w:rFonts w:ascii="Tahoma" w:hAnsi="Tahoma" w:cs="Tahoma"/>
          <w:color w:val="000000"/>
          <w:spacing w:val="-1"/>
          <w:sz w:val="16"/>
          <w:szCs w:val="16"/>
        </w:rPr>
      </w:pPr>
    </w:p>
    <w:p w14:paraId="3C316D08" w14:textId="77777777" w:rsidR="00E40455" w:rsidRPr="00C2156A" w:rsidRDefault="00E40455" w:rsidP="00E40455">
      <w:pPr>
        <w:jc w:val="both"/>
        <w:rPr>
          <w:rFonts w:ascii="Tahoma" w:hAnsi="Tahoma" w:cs="Tahoma"/>
          <w:sz w:val="16"/>
          <w:szCs w:val="16"/>
        </w:rPr>
      </w:pPr>
      <w:r w:rsidRPr="00C2156A">
        <w:rPr>
          <w:rFonts w:ascii="Tahoma" w:hAnsi="Tahoma" w:cs="Tahoma"/>
          <w:b/>
          <w:color w:val="000000"/>
          <w:spacing w:val="-1"/>
          <w:sz w:val="16"/>
          <w:szCs w:val="16"/>
        </w:rPr>
        <w:t>Cuarto:</w:t>
      </w:r>
      <w:r w:rsidRPr="00C2156A">
        <w:rPr>
          <w:rFonts w:ascii="Tahoma" w:hAnsi="Tahoma" w:cs="Tahoma"/>
          <w:color w:val="000000"/>
          <w:spacing w:val="-1"/>
          <w:sz w:val="16"/>
          <w:szCs w:val="16"/>
        </w:rPr>
        <w:t xml:space="preserve"> </w:t>
      </w:r>
      <w:r w:rsidRPr="00C2156A">
        <w:rPr>
          <w:rFonts w:ascii="Tahoma" w:hAnsi="Tahoma" w:cs="Tahoma"/>
          <w:sz w:val="16"/>
          <w:szCs w:val="16"/>
        </w:rPr>
        <w:t>Córrase traslado de las demandas en reconvención en los términos del artículo 172 del Código de Procedimiento Administrativo y de lo Contencioso Administrativo teniéndose en cuenta la modificación introducida por el artículo 612 del Código General del Proceso.</w:t>
      </w:r>
    </w:p>
    <w:p w14:paraId="4F3099E8" w14:textId="77777777" w:rsidR="00E40455" w:rsidRPr="00C2156A" w:rsidRDefault="00E40455" w:rsidP="00E40455">
      <w:pPr>
        <w:jc w:val="both"/>
        <w:rPr>
          <w:rFonts w:ascii="Tahoma" w:hAnsi="Tahoma" w:cs="Tahoma"/>
          <w:sz w:val="16"/>
          <w:szCs w:val="16"/>
        </w:rPr>
      </w:pPr>
      <w:r w:rsidRPr="00C2156A">
        <w:rPr>
          <w:rFonts w:ascii="Tahoma" w:hAnsi="Tahoma" w:cs="Tahoma"/>
          <w:sz w:val="16"/>
          <w:szCs w:val="16"/>
        </w:rPr>
        <w:t xml:space="preserve"> </w:t>
      </w:r>
    </w:p>
    <w:p w14:paraId="168D367F" w14:textId="77777777" w:rsidR="00E40455" w:rsidRPr="00C2156A" w:rsidRDefault="00E40455" w:rsidP="00E40455">
      <w:pPr>
        <w:jc w:val="both"/>
        <w:rPr>
          <w:rFonts w:ascii="Tahoma" w:hAnsi="Tahoma" w:cs="Tahoma"/>
          <w:sz w:val="16"/>
          <w:szCs w:val="16"/>
        </w:rPr>
      </w:pPr>
      <w:r w:rsidRPr="00C2156A">
        <w:rPr>
          <w:rFonts w:ascii="Tahoma" w:hAnsi="Tahoma" w:cs="Tahoma"/>
          <w:b/>
          <w:sz w:val="16"/>
          <w:szCs w:val="16"/>
        </w:rPr>
        <w:t>Quinto:</w:t>
      </w:r>
      <w:r w:rsidRPr="00C2156A">
        <w:rPr>
          <w:rFonts w:ascii="Tahoma" w:hAnsi="Tahoma" w:cs="Tahoma"/>
          <w:sz w:val="16"/>
          <w:szCs w:val="16"/>
        </w:rPr>
        <w:t xml:space="preserve"> El demandado en reconvención deberá adjuntar todos los documentos que pretenda hacer valer y tenga en su poder</w:t>
      </w:r>
      <w:r w:rsidRPr="00C2156A">
        <w:rPr>
          <w:rFonts w:ascii="Tahoma" w:hAnsi="Tahoma" w:cs="Tahoma"/>
          <w:spacing w:val="1"/>
          <w:sz w:val="16"/>
          <w:szCs w:val="16"/>
          <w:lang w:val="es-ES_tradnl"/>
        </w:rPr>
        <w:t xml:space="preserve">. </w:t>
      </w:r>
      <w:r w:rsidRPr="00C2156A">
        <w:rPr>
          <w:rFonts w:ascii="Tahoma" w:hAnsi="Tahoma" w:cs="Tahoma"/>
          <w:sz w:val="16"/>
          <w:szCs w:val="16"/>
        </w:rPr>
        <w:t>Tanto la contestación como sus anexos deberán aportarse en medio digital, para los efectos previstos en el numeral parágrafo 1º del artículo 175 del CPACA.</w:t>
      </w:r>
    </w:p>
    <w:p w14:paraId="4270581D" w14:textId="77777777" w:rsidR="0004388E" w:rsidRPr="00C2156A" w:rsidRDefault="0004388E" w:rsidP="00E40455">
      <w:pPr>
        <w:jc w:val="both"/>
        <w:rPr>
          <w:rFonts w:ascii="Tahoma" w:hAnsi="Tahoma" w:cs="Tahoma"/>
          <w:sz w:val="16"/>
          <w:szCs w:val="16"/>
        </w:rPr>
      </w:pPr>
    </w:p>
    <w:p w14:paraId="6AF1304B" w14:textId="77777777" w:rsidR="0004388E" w:rsidRPr="00C2156A" w:rsidRDefault="0004388E" w:rsidP="00E40455">
      <w:pPr>
        <w:jc w:val="both"/>
        <w:rPr>
          <w:rFonts w:ascii="Tahoma" w:hAnsi="Tahoma" w:cs="Tahoma"/>
          <w:sz w:val="16"/>
          <w:szCs w:val="16"/>
        </w:rPr>
      </w:pPr>
      <w:r w:rsidRPr="00C2156A">
        <w:rPr>
          <w:rFonts w:ascii="Tahoma" w:hAnsi="Tahoma" w:cs="Tahoma"/>
          <w:b/>
          <w:sz w:val="16"/>
          <w:szCs w:val="16"/>
        </w:rPr>
        <w:t xml:space="preserve">Sexto: </w:t>
      </w:r>
      <w:r w:rsidRPr="00C2156A">
        <w:rPr>
          <w:rFonts w:ascii="Tahoma" w:hAnsi="Tahoma" w:cs="Tahoma"/>
          <w:sz w:val="16"/>
          <w:szCs w:val="16"/>
        </w:rPr>
        <w:t>Acéptese la renuncia del abogado NELSON JAVIER OTALORA VARGAS como apoderado de la parte demandante SECRETARIA DE HACIENDA DE BOGOTA, de conformidad con lo manifestado en memorial presentado el 18 de enero de 2016.</w:t>
      </w:r>
    </w:p>
    <w:p w14:paraId="41D68C55" w14:textId="77777777" w:rsidR="0004388E" w:rsidRPr="00C2156A" w:rsidRDefault="0004388E" w:rsidP="00E40455">
      <w:pPr>
        <w:jc w:val="both"/>
        <w:rPr>
          <w:rFonts w:ascii="Tahoma" w:hAnsi="Tahoma" w:cs="Tahoma"/>
          <w:sz w:val="16"/>
          <w:szCs w:val="16"/>
        </w:rPr>
      </w:pPr>
    </w:p>
    <w:p w14:paraId="5ED25FAF" w14:textId="77777777" w:rsidR="0004388E" w:rsidRPr="00C2156A" w:rsidRDefault="0004388E" w:rsidP="00E40455">
      <w:pPr>
        <w:jc w:val="both"/>
        <w:rPr>
          <w:rFonts w:ascii="Tahoma" w:hAnsi="Tahoma" w:cs="Tahoma"/>
          <w:sz w:val="16"/>
          <w:szCs w:val="16"/>
        </w:rPr>
      </w:pPr>
      <w:r w:rsidRPr="00C2156A">
        <w:rPr>
          <w:rFonts w:ascii="Tahoma" w:hAnsi="Tahoma" w:cs="Tahoma"/>
          <w:b/>
          <w:sz w:val="16"/>
          <w:szCs w:val="16"/>
        </w:rPr>
        <w:t xml:space="preserve">Séptimo: </w:t>
      </w:r>
      <w:r w:rsidRPr="00C2156A">
        <w:rPr>
          <w:rFonts w:ascii="Tahoma" w:hAnsi="Tahoma" w:cs="Tahoma"/>
          <w:sz w:val="16"/>
          <w:szCs w:val="16"/>
        </w:rPr>
        <w:t xml:space="preserve">Téngase como apoderado de la Secretaria de Hacienda de Bogotá al abogado PABLO ENRIQUE ORTIZ MURCIA identificado con cédula de ciudadanía No. 19.323.141 de Bogotá y tarjeta profesional No. 129.344 expedida por el C.S. de la J., en la forma y términos del poder visible a folio 110 del cuaderno principal. </w:t>
      </w:r>
    </w:p>
    <w:p w14:paraId="47ADAF5D" w14:textId="77777777" w:rsidR="0004388E" w:rsidRPr="00C2156A" w:rsidRDefault="0004388E" w:rsidP="00E40455">
      <w:pPr>
        <w:jc w:val="both"/>
        <w:rPr>
          <w:rFonts w:ascii="Tahoma" w:hAnsi="Tahoma" w:cs="Tahoma"/>
          <w:sz w:val="16"/>
          <w:szCs w:val="16"/>
        </w:rPr>
      </w:pPr>
    </w:p>
    <w:p w14:paraId="6D2D671D" w14:textId="77777777" w:rsidR="00E40455" w:rsidRPr="00C2156A" w:rsidRDefault="00E40455" w:rsidP="00E40455">
      <w:pPr>
        <w:widowControl w:val="0"/>
        <w:jc w:val="both"/>
        <w:rPr>
          <w:rFonts w:ascii="Tahoma" w:hAnsi="Tahoma" w:cs="Tahoma"/>
          <w:b/>
          <w:sz w:val="16"/>
          <w:szCs w:val="16"/>
        </w:rPr>
      </w:pPr>
      <w:r w:rsidRPr="00C2156A">
        <w:rPr>
          <w:rFonts w:ascii="Tahoma" w:hAnsi="Tahoma" w:cs="Tahoma"/>
          <w:b/>
          <w:sz w:val="16"/>
          <w:szCs w:val="16"/>
        </w:rPr>
        <w:t>NOTIFÍQUESE Y CÚMPLASE,</w:t>
      </w:r>
    </w:p>
    <w:p w14:paraId="01D9A5B2" w14:textId="77777777" w:rsidR="00E40455" w:rsidRPr="00C2156A" w:rsidRDefault="00E40455" w:rsidP="0004388E">
      <w:pPr>
        <w:rPr>
          <w:rFonts w:ascii="Tahoma" w:hAnsi="Tahoma" w:cs="Tahoma"/>
          <w:b/>
          <w:sz w:val="16"/>
          <w:szCs w:val="16"/>
        </w:rPr>
      </w:pPr>
    </w:p>
    <w:p w14:paraId="15B64F58" w14:textId="77777777" w:rsidR="00E40455" w:rsidRPr="00C2156A" w:rsidRDefault="00E40455" w:rsidP="00E40455">
      <w:pPr>
        <w:jc w:val="center"/>
        <w:rPr>
          <w:rFonts w:ascii="Tahoma" w:hAnsi="Tahoma" w:cs="Tahoma"/>
          <w:b/>
          <w:sz w:val="16"/>
          <w:szCs w:val="16"/>
        </w:rPr>
      </w:pPr>
      <w:r w:rsidRPr="00C2156A">
        <w:rPr>
          <w:rFonts w:ascii="Tahoma" w:hAnsi="Tahoma" w:cs="Tahoma"/>
          <w:b/>
          <w:sz w:val="16"/>
          <w:szCs w:val="16"/>
        </w:rPr>
        <w:t>OLGA CECILIA HENAO MARIN</w:t>
      </w:r>
    </w:p>
    <w:p w14:paraId="0E0EA6DC" w14:textId="77777777" w:rsidR="00E40455" w:rsidRPr="00C2156A" w:rsidRDefault="00E40455" w:rsidP="00E40455">
      <w:pPr>
        <w:jc w:val="center"/>
        <w:rPr>
          <w:rFonts w:ascii="Tahoma" w:hAnsi="Tahoma" w:cs="Tahoma"/>
          <w:sz w:val="16"/>
          <w:szCs w:val="16"/>
        </w:rPr>
      </w:pPr>
      <w:r w:rsidRPr="00C2156A">
        <w:rPr>
          <w:rFonts w:ascii="Tahoma" w:hAnsi="Tahoma" w:cs="Tahoma"/>
          <w:sz w:val="16"/>
          <w:szCs w:val="16"/>
        </w:rPr>
        <w:t>Juez</w:t>
      </w:r>
    </w:p>
    <w:p w14:paraId="6323FFC4" w14:textId="77777777" w:rsidR="00E40455" w:rsidRPr="00C2156A" w:rsidRDefault="00191C89" w:rsidP="00E40455">
      <w:pPr>
        <w:rPr>
          <w:rFonts w:ascii="Tahoma" w:hAnsi="Tahoma" w:cs="Tahoma"/>
          <w:sz w:val="10"/>
          <w:szCs w:val="10"/>
        </w:rPr>
      </w:pPr>
      <w:r w:rsidRPr="00C2156A">
        <w:rPr>
          <w:rFonts w:ascii="Tahoma" w:hAnsi="Tahoma" w:cs="Tahoma"/>
          <w:sz w:val="10"/>
          <w:szCs w:val="10"/>
        </w:rPr>
        <w:t>SLDR</w:t>
      </w:r>
    </w:p>
    <w:p w14:paraId="7717E4BB" w14:textId="77777777" w:rsidR="00E40455" w:rsidRPr="00C2156A" w:rsidRDefault="00E40455" w:rsidP="00E40455">
      <w:pPr>
        <w:rPr>
          <w:rFonts w:ascii="Tahoma" w:hAnsi="Tahoma" w:cs="Tahoma"/>
          <w:sz w:val="16"/>
          <w:szCs w:val="16"/>
        </w:rPr>
      </w:pPr>
    </w:p>
    <w:p w14:paraId="6AAED4AA" w14:textId="77777777" w:rsidR="00C23031" w:rsidRPr="00C2156A" w:rsidRDefault="00130732">
      <w:pPr>
        <w:rPr>
          <w:rFonts w:ascii="Tahoma" w:hAnsi="Tahoma" w:cs="Tahoma"/>
          <w:sz w:val="16"/>
          <w:szCs w:val="16"/>
        </w:rPr>
      </w:pPr>
    </w:p>
    <w:sectPr w:rsidR="00C23031" w:rsidRPr="00C2156A" w:rsidSect="0024475F">
      <w:headerReference w:type="even" r:id="rId9"/>
      <w:headerReference w:type="default" r:id="rId10"/>
      <w:headerReference w:type="first" r:id="rId11"/>
      <w:pgSz w:w="12240" w:h="18720" w:code="14"/>
      <w:pgMar w:top="1417" w:right="1701" w:bottom="1417"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CA1033" w15:done="0"/>
  <w15:commentEx w15:paraId="52D11C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FDF3F" w14:textId="77777777" w:rsidR="00130732" w:rsidRDefault="00130732" w:rsidP="00E40455">
      <w:r>
        <w:separator/>
      </w:r>
    </w:p>
  </w:endnote>
  <w:endnote w:type="continuationSeparator" w:id="0">
    <w:p w14:paraId="11AF7FC5" w14:textId="77777777" w:rsidR="00130732" w:rsidRDefault="00130732" w:rsidP="00E4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DAFFB" w14:textId="77777777" w:rsidR="00130732" w:rsidRDefault="00130732" w:rsidP="00E40455">
      <w:r>
        <w:separator/>
      </w:r>
    </w:p>
  </w:footnote>
  <w:footnote w:type="continuationSeparator" w:id="0">
    <w:p w14:paraId="67D5EBE6" w14:textId="77777777" w:rsidR="00130732" w:rsidRDefault="00130732" w:rsidP="00E40455">
      <w:r>
        <w:continuationSeparator/>
      </w:r>
    </w:p>
  </w:footnote>
  <w:footnote w:id="1">
    <w:p w14:paraId="6FB572D4" w14:textId="77777777" w:rsidR="00C2156A" w:rsidRPr="00B64D85" w:rsidRDefault="00C2156A" w:rsidP="00C2156A">
      <w:pPr>
        <w:pStyle w:val="Textonotapie"/>
        <w:jc w:val="both"/>
        <w:rPr>
          <w:rFonts w:ascii="Tahoma" w:hAnsi="Tahoma" w:cs="Tahoma"/>
          <w:sz w:val="10"/>
          <w:szCs w:val="10"/>
          <w:lang w:val="es-CO"/>
        </w:rPr>
      </w:pPr>
      <w:r w:rsidRPr="00B64D85">
        <w:rPr>
          <w:rStyle w:val="Refdenotaalpie"/>
          <w:rFonts w:ascii="Tahoma" w:hAnsi="Tahoma" w:cs="Tahoma"/>
          <w:sz w:val="10"/>
          <w:szCs w:val="10"/>
        </w:rPr>
        <w:footnoteRef/>
      </w:r>
      <w:r w:rsidRPr="00B64D85">
        <w:rPr>
          <w:rFonts w:ascii="Tahoma" w:hAnsi="Tahoma" w:cs="Tahoma"/>
          <w:sz w:val="10"/>
          <w:szCs w:val="10"/>
          <w:lang w:val="es-CO"/>
        </w:rPr>
        <w:t xml:space="preserve"> </w:t>
      </w:r>
      <w:r w:rsidRPr="00B64D85">
        <w:rPr>
          <w:rFonts w:ascii="Tahoma" w:hAnsi="Tahoma" w:cs="Tahoma"/>
          <w:b/>
          <w:bCs/>
          <w:color w:val="000000"/>
          <w:sz w:val="10"/>
          <w:szCs w:val="10"/>
          <w:shd w:val="clear" w:color="auto" w:fill="FFFFFF"/>
          <w:lang w:val="es-CO"/>
        </w:rPr>
        <w:t>Artículo 172.</w:t>
      </w:r>
      <w:r w:rsidRPr="00B64D85">
        <w:rPr>
          <w:rStyle w:val="apple-converted-space"/>
          <w:rFonts w:ascii="Tahoma" w:hAnsi="Tahoma" w:cs="Tahoma"/>
          <w:b/>
          <w:bCs/>
          <w:color w:val="000000"/>
          <w:sz w:val="10"/>
          <w:szCs w:val="10"/>
          <w:shd w:val="clear" w:color="auto" w:fill="FFFFFF"/>
          <w:lang w:val="es-CO"/>
        </w:rPr>
        <w:t> </w:t>
      </w:r>
      <w:r w:rsidRPr="00B64D85">
        <w:rPr>
          <w:rFonts w:ascii="Tahoma" w:hAnsi="Tahoma" w:cs="Tahoma"/>
          <w:b/>
          <w:bCs/>
          <w:i/>
          <w:iCs/>
          <w:color w:val="000000"/>
          <w:sz w:val="10"/>
          <w:szCs w:val="10"/>
          <w:shd w:val="clear" w:color="auto" w:fill="FFFFFF"/>
          <w:lang w:val="es-CO"/>
        </w:rPr>
        <w:t>Traslado de la demanda.</w:t>
      </w:r>
      <w:r w:rsidRPr="00B64D85">
        <w:rPr>
          <w:rStyle w:val="apple-converted-space"/>
          <w:rFonts w:ascii="Tahoma" w:hAnsi="Tahoma" w:cs="Tahoma"/>
          <w:i/>
          <w:iCs/>
          <w:color w:val="000000"/>
          <w:sz w:val="10"/>
          <w:szCs w:val="10"/>
          <w:shd w:val="clear" w:color="auto" w:fill="FFFFFF"/>
          <w:lang w:val="es-CO"/>
        </w:rPr>
        <w:t> </w:t>
      </w:r>
      <w:r w:rsidRPr="00B64D85">
        <w:rPr>
          <w:rFonts w:ascii="Tahoma" w:hAnsi="Tahoma" w:cs="Tahoma"/>
          <w:color w:val="000000"/>
          <w:sz w:val="10"/>
          <w:szCs w:val="10"/>
          <w:shd w:val="clear" w:color="auto" w:fill="FFFFFF"/>
          <w:lang w:val="es-CO"/>
        </w:rPr>
        <w:t>De la demanda se correrá traslado al demandado, al Ministerio Público y a los sujetos que, según la demanda o las actuaciones acusadas, tengan interés directo en el resultado del proceso, por el término de treinta (30) días, plazo que comenzará a correr de conformidad con lo previsto en los artículos 199 y 200 de este Código y dentro del cual deberán contestar la demanda, proponer excepciones, solicitar pruebas, llamar en garantía, y en su caso, presentar demanda de reconvención.</w:t>
      </w:r>
    </w:p>
  </w:footnote>
  <w:footnote w:id="2">
    <w:p w14:paraId="1F031D50" w14:textId="77777777" w:rsidR="009207DF" w:rsidRPr="00B64D85" w:rsidRDefault="009207DF" w:rsidP="009207DF">
      <w:pPr>
        <w:pStyle w:val="Textonotapie"/>
        <w:rPr>
          <w:rFonts w:ascii="Tahoma" w:hAnsi="Tahoma" w:cs="Tahoma"/>
          <w:sz w:val="10"/>
          <w:szCs w:val="10"/>
          <w:lang w:val="es-CO"/>
        </w:rPr>
      </w:pPr>
      <w:r w:rsidRPr="00B64D85">
        <w:rPr>
          <w:rStyle w:val="Refdenotaalpie"/>
          <w:rFonts w:ascii="Tahoma" w:hAnsi="Tahoma" w:cs="Tahoma"/>
          <w:b/>
          <w:sz w:val="10"/>
          <w:szCs w:val="10"/>
        </w:rPr>
        <w:footnoteRef/>
      </w:r>
      <w:r w:rsidRPr="00B64D85">
        <w:rPr>
          <w:rFonts w:ascii="Tahoma" w:hAnsi="Tahoma" w:cs="Tahoma"/>
          <w:sz w:val="10"/>
          <w:szCs w:val="10"/>
          <w:lang w:val="es-CO"/>
        </w:rPr>
        <w:t xml:space="preserve"> RICER ABRAHAM, “Reconvención”, en Enciclopedia Jurídica </w:t>
      </w:r>
      <w:proofErr w:type="spellStart"/>
      <w:r w:rsidRPr="00B64D85">
        <w:rPr>
          <w:rFonts w:ascii="Tahoma" w:hAnsi="Tahoma" w:cs="Tahoma"/>
          <w:sz w:val="10"/>
          <w:szCs w:val="10"/>
          <w:lang w:val="es-CO"/>
        </w:rPr>
        <w:t>Omeba</w:t>
      </w:r>
      <w:proofErr w:type="spellEnd"/>
      <w:r w:rsidRPr="00B64D85">
        <w:rPr>
          <w:rFonts w:ascii="Tahoma" w:hAnsi="Tahoma" w:cs="Tahoma"/>
          <w:sz w:val="10"/>
          <w:szCs w:val="10"/>
          <w:lang w:val="es-CO"/>
        </w:rPr>
        <w:t xml:space="preserve">, </w:t>
      </w:r>
      <w:proofErr w:type="spellStart"/>
      <w:r w:rsidRPr="00B64D85">
        <w:rPr>
          <w:rFonts w:ascii="Tahoma" w:hAnsi="Tahoma" w:cs="Tahoma"/>
          <w:sz w:val="10"/>
          <w:szCs w:val="10"/>
          <w:lang w:val="es-CO"/>
        </w:rPr>
        <w:t>t.XXIV</w:t>
      </w:r>
      <w:proofErr w:type="spellEnd"/>
      <w:r w:rsidRPr="00B64D85">
        <w:rPr>
          <w:rFonts w:ascii="Tahoma" w:hAnsi="Tahoma" w:cs="Tahoma"/>
          <w:sz w:val="10"/>
          <w:szCs w:val="10"/>
          <w:lang w:val="es-CO"/>
        </w:rPr>
        <w:t xml:space="preserve">, Buenos Aires, </w:t>
      </w:r>
      <w:proofErr w:type="spellStart"/>
      <w:r w:rsidRPr="00B64D85">
        <w:rPr>
          <w:rFonts w:ascii="Tahoma" w:hAnsi="Tahoma" w:cs="Tahoma"/>
          <w:sz w:val="10"/>
          <w:szCs w:val="10"/>
          <w:lang w:val="es-CO"/>
        </w:rPr>
        <w:t>Edic</w:t>
      </w:r>
      <w:proofErr w:type="spellEnd"/>
      <w:r w:rsidRPr="00B64D85">
        <w:rPr>
          <w:rFonts w:ascii="Tahoma" w:hAnsi="Tahoma" w:cs="Tahoma"/>
          <w:sz w:val="10"/>
          <w:szCs w:val="10"/>
          <w:lang w:val="es-CO"/>
        </w:rPr>
        <w:t xml:space="preserve">. </w:t>
      </w:r>
      <w:proofErr w:type="spellStart"/>
      <w:r w:rsidRPr="00B64D85">
        <w:rPr>
          <w:rFonts w:ascii="Tahoma" w:hAnsi="Tahoma" w:cs="Tahoma"/>
          <w:sz w:val="10"/>
          <w:szCs w:val="10"/>
          <w:lang w:val="es-CO"/>
        </w:rPr>
        <w:t>Omeba</w:t>
      </w:r>
      <w:proofErr w:type="spellEnd"/>
      <w:r w:rsidRPr="00B64D85">
        <w:rPr>
          <w:rFonts w:ascii="Tahoma" w:hAnsi="Tahoma" w:cs="Tahoma"/>
          <w:sz w:val="10"/>
          <w:szCs w:val="10"/>
          <w:lang w:val="es-CO"/>
        </w:rPr>
        <w:t xml:space="preserve">, 1967, </w:t>
      </w:r>
      <w:proofErr w:type="spellStart"/>
      <w:r w:rsidRPr="00B64D85">
        <w:rPr>
          <w:rFonts w:ascii="Tahoma" w:hAnsi="Tahoma" w:cs="Tahoma"/>
          <w:sz w:val="10"/>
          <w:szCs w:val="10"/>
          <w:lang w:val="es-CO"/>
        </w:rPr>
        <w:t>pag</w:t>
      </w:r>
      <w:proofErr w:type="spellEnd"/>
      <w:r w:rsidRPr="00B64D85">
        <w:rPr>
          <w:rFonts w:ascii="Tahoma" w:hAnsi="Tahoma" w:cs="Tahoma"/>
          <w:sz w:val="10"/>
          <w:szCs w:val="10"/>
          <w:lang w:val="es-CO"/>
        </w:rPr>
        <w:t>, 95.</w:t>
      </w:r>
    </w:p>
  </w:footnote>
  <w:footnote w:id="3">
    <w:p w14:paraId="558847EC" w14:textId="77777777" w:rsidR="009207DF" w:rsidRPr="00E101A9" w:rsidRDefault="009207DF" w:rsidP="009207DF">
      <w:pPr>
        <w:jc w:val="both"/>
        <w:rPr>
          <w:rFonts w:ascii="Tahoma" w:hAnsi="Tahoma" w:cs="Tahoma"/>
          <w:sz w:val="12"/>
          <w:szCs w:val="12"/>
          <w:lang w:eastAsia="en-US"/>
        </w:rPr>
      </w:pPr>
      <w:r w:rsidRPr="00E101A9">
        <w:rPr>
          <w:rStyle w:val="Refdenotaalpie"/>
          <w:rFonts w:ascii="Tahoma" w:hAnsi="Tahoma" w:cs="Tahoma"/>
          <w:sz w:val="12"/>
          <w:szCs w:val="12"/>
        </w:rPr>
        <w:footnoteRef/>
      </w:r>
      <w:r w:rsidRPr="00E101A9">
        <w:rPr>
          <w:rFonts w:ascii="Tahoma" w:hAnsi="Tahoma" w:cs="Tahoma"/>
          <w:sz w:val="12"/>
          <w:szCs w:val="12"/>
        </w:rPr>
        <w:t>“</w:t>
      </w:r>
      <w:r w:rsidRPr="00E101A9">
        <w:rPr>
          <w:rFonts w:ascii="Tahoma" w:hAnsi="Tahoma" w:cs="Tahoma"/>
          <w:sz w:val="12"/>
          <w:szCs w:val="12"/>
          <w:lang w:eastAsia="en-US"/>
        </w:rPr>
        <w:t xml:space="preserve">ARTÍCULO 162. </w:t>
      </w:r>
      <w:r w:rsidRPr="00E101A9">
        <w:rPr>
          <w:rFonts w:ascii="Tahoma" w:hAnsi="Tahoma" w:cs="Tahoma"/>
          <w:i/>
          <w:iCs/>
          <w:sz w:val="12"/>
          <w:szCs w:val="12"/>
          <w:lang w:eastAsia="en-US"/>
        </w:rPr>
        <w:t>CONTENIDO DE LA DEMANDA.</w:t>
      </w:r>
      <w:r w:rsidRPr="00E101A9">
        <w:rPr>
          <w:rFonts w:ascii="Tahoma" w:hAnsi="Tahoma" w:cs="Tahoma"/>
          <w:sz w:val="12"/>
          <w:szCs w:val="12"/>
          <w:lang w:eastAsia="en-US"/>
        </w:rPr>
        <w:t xml:space="preserve"> Toda demanda deberá dirigirse a quien sea competente y contendrá: </w:t>
      </w:r>
    </w:p>
    <w:p w14:paraId="683C1BF9"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1. La designación de las partes y de sus representantes.</w:t>
      </w:r>
    </w:p>
    <w:p w14:paraId="650A073B"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2. Lo que se pretenda, expresado con precisión y claridad. Las varias pretensiones se formularán por separado, con observancia de lo dispuesto en este mismo Código para la acumulación de pretensiones. </w:t>
      </w:r>
    </w:p>
    <w:p w14:paraId="4CC4523A"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3. Los hechos y omisiones que sirvan de fundamento a las pretensiones, debidamente determinados, clasificados y numerados. </w:t>
      </w:r>
    </w:p>
    <w:p w14:paraId="22935536"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4. Los fundamentos de derecho de las pretensiones. Cuando se trate de la impugnación de un acto administrativo deberán indicarse las normas violadas y explicarse el concepto de su violación. </w:t>
      </w:r>
    </w:p>
    <w:p w14:paraId="0938BFCE"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5. La petición de las pruebas que el demandante pretende hacer valer. En todo caso, este deberá aportar todas las documentales que se encuentren en su poder. </w:t>
      </w:r>
    </w:p>
    <w:p w14:paraId="6122E460"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6. La estimación razonada de la cuantía, cuando sea necesaria para determinar la competencia. </w:t>
      </w:r>
    </w:p>
    <w:p w14:paraId="12A02CF7" w14:textId="77777777" w:rsidR="009207DF" w:rsidRPr="00E101A9" w:rsidRDefault="009207DF" w:rsidP="009207DF">
      <w:pPr>
        <w:jc w:val="both"/>
        <w:rPr>
          <w:rFonts w:ascii="Tahoma" w:hAnsi="Tahoma" w:cs="Tahoma"/>
          <w:sz w:val="12"/>
          <w:szCs w:val="12"/>
          <w:lang w:eastAsia="en-US"/>
        </w:rPr>
      </w:pPr>
      <w:r w:rsidRPr="00E101A9">
        <w:rPr>
          <w:rFonts w:ascii="Tahoma" w:hAnsi="Tahoma" w:cs="Tahoma"/>
          <w:sz w:val="12"/>
          <w:szCs w:val="12"/>
          <w:lang w:eastAsia="en-US"/>
        </w:rPr>
        <w:t xml:space="preserve">7. El lugar y dirección donde las partes y el apoderado de quien demanda recibirán las notificaciones personales. Para tal efecto, podrán indicar también su dirección electrónica”.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5A313" w14:textId="77777777" w:rsidR="0038329B" w:rsidRDefault="003367CC" w:rsidP="0067006D">
    <w:pPr>
      <w:pStyle w:val="Encabezado"/>
      <w:jc w:val="right"/>
      <w:rPr>
        <w:sz w:val="20"/>
        <w:szCs w:val="20"/>
        <w:lang w:val="es-MX"/>
      </w:rPr>
    </w:pPr>
    <w:r w:rsidRPr="00C759AB">
      <w:rPr>
        <w:sz w:val="20"/>
        <w:szCs w:val="20"/>
        <w:lang w:val="es-MX"/>
      </w:rPr>
      <w:t>Auto que remite por competencia territorial</w:t>
    </w:r>
  </w:p>
  <w:p w14:paraId="7A8DE4A5" w14:textId="77777777" w:rsidR="0038329B" w:rsidRDefault="003367CC" w:rsidP="0067006D">
    <w:pPr>
      <w:pStyle w:val="Encabezado"/>
      <w:jc w:val="right"/>
      <w:rPr>
        <w:sz w:val="20"/>
        <w:szCs w:val="20"/>
        <w:lang w:val="es-MX"/>
      </w:rPr>
    </w:pPr>
    <w:r>
      <w:rPr>
        <w:sz w:val="20"/>
        <w:szCs w:val="20"/>
        <w:lang w:val="es-MX"/>
      </w:rPr>
      <w:t xml:space="preserve">Expediente No. </w:t>
    </w:r>
    <w:r>
      <w:rPr>
        <w:sz w:val="20"/>
        <w:szCs w:val="20"/>
        <w:lang w:val="es-MX"/>
      </w:rPr>
      <w:fldChar w:fldCharType="begin"/>
    </w:r>
    <w:r>
      <w:rPr>
        <w:sz w:val="20"/>
        <w:szCs w:val="20"/>
        <w:lang w:val="es-MX"/>
      </w:rPr>
      <w:instrText xml:space="preserve"> MERGEFIELD "No_DE_EXPEDIENTE" </w:instrText>
    </w:r>
    <w:r>
      <w:rPr>
        <w:sz w:val="20"/>
        <w:szCs w:val="20"/>
        <w:lang w:val="es-MX"/>
      </w:rPr>
      <w:fldChar w:fldCharType="separate"/>
    </w:r>
    <w:r w:rsidR="006E4D00">
      <w:rPr>
        <w:noProof/>
        <w:sz w:val="20"/>
        <w:szCs w:val="20"/>
        <w:lang w:val="es-MX"/>
      </w:rPr>
      <w:t>«No_DE_EXPEDIENTE»</w:t>
    </w:r>
    <w:r>
      <w:rPr>
        <w:sz w:val="20"/>
        <w:szCs w:val="20"/>
        <w:lang w:val="es-MX"/>
      </w:rPr>
      <w:fldChar w:fldCharType="end"/>
    </w:r>
  </w:p>
  <w:p w14:paraId="3089787E" w14:textId="77777777" w:rsidR="0038329B" w:rsidRPr="00C759AB" w:rsidRDefault="003367CC" w:rsidP="0067006D">
    <w:pPr>
      <w:pStyle w:val="Encabezado"/>
      <w:jc w:val="right"/>
      <w:rPr>
        <w:sz w:val="20"/>
        <w:szCs w:val="20"/>
        <w:lang w:val="es-MX"/>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6E4D00">
      <w:rPr>
        <w:rStyle w:val="Nmerodepgina"/>
        <w:noProof/>
      </w:rPr>
      <w:t>2</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AE44" w14:textId="77777777" w:rsidR="0038329B" w:rsidRPr="00EC35EF" w:rsidRDefault="00191C89" w:rsidP="0067006D">
    <w:pPr>
      <w:pStyle w:val="Encabezado"/>
      <w:jc w:val="right"/>
      <w:rPr>
        <w:rFonts w:ascii="Tahoma" w:hAnsi="Tahoma" w:cs="Tahoma"/>
        <w:sz w:val="13"/>
        <w:szCs w:val="13"/>
      </w:rPr>
    </w:pPr>
    <w:r>
      <w:rPr>
        <w:rFonts w:ascii="Tahoma" w:hAnsi="Tahoma" w:cs="Tahoma"/>
        <w:sz w:val="13"/>
        <w:szCs w:val="13"/>
      </w:rPr>
      <w:t>Expediente Nº 2014 - 0202</w:t>
    </w:r>
  </w:p>
  <w:p w14:paraId="47CF3381" w14:textId="77777777" w:rsidR="0038329B" w:rsidRPr="00EC35EF" w:rsidRDefault="003367CC" w:rsidP="0067006D">
    <w:pPr>
      <w:pStyle w:val="Encabezado"/>
      <w:jc w:val="right"/>
      <w:rPr>
        <w:rFonts w:ascii="Tahoma" w:hAnsi="Tahoma" w:cs="Tahoma"/>
        <w:sz w:val="13"/>
        <w:szCs w:val="13"/>
      </w:rPr>
    </w:pPr>
    <w:r w:rsidRPr="00EC35EF">
      <w:rPr>
        <w:rFonts w:ascii="Tahoma" w:hAnsi="Tahoma" w:cs="Tahoma"/>
        <w:sz w:val="13"/>
        <w:szCs w:val="13"/>
      </w:rPr>
      <w:t>ADMITE DEMANDA</w:t>
    </w:r>
    <w:r>
      <w:rPr>
        <w:rFonts w:ascii="Tahoma" w:hAnsi="Tahoma" w:cs="Tahoma"/>
        <w:sz w:val="13"/>
        <w:szCs w:val="13"/>
      </w:rPr>
      <w:t xml:space="preserve"> DE RECONVENCION</w:t>
    </w:r>
    <w:r w:rsidR="0004388E">
      <w:rPr>
        <w:rFonts w:ascii="Tahoma" w:hAnsi="Tahoma" w:cs="Tahoma"/>
        <w:sz w:val="13"/>
        <w:szCs w:val="13"/>
      </w:rPr>
      <w:t>- ACEPTA RENUNCIA-RECONOCE PERSONERIA</w:t>
    </w:r>
  </w:p>
  <w:p w14:paraId="72F7BCAB" w14:textId="77777777" w:rsidR="0038329B" w:rsidRPr="00EC35EF" w:rsidRDefault="003367CC" w:rsidP="0067006D">
    <w:pPr>
      <w:pStyle w:val="Encabezado"/>
      <w:jc w:val="right"/>
      <w:rPr>
        <w:rFonts w:ascii="Tahoma" w:hAnsi="Tahoma" w:cs="Tahoma"/>
        <w:sz w:val="13"/>
        <w:szCs w:val="13"/>
      </w:rPr>
    </w:pPr>
    <w:r w:rsidRPr="00EC35EF">
      <w:rPr>
        <w:rFonts w:ascii="Tahoma" w:hAnsi="Tahoma" w:cs="Tahoma"/>
        <w:sz w:val="13"/>
        <w:szCs w:val="13"/>
      </w:rPr>
      <w:t xml:space="preserve">Página </w:t>
    </w:r>
    <w:r w:rsidRPr="00EC35EF">
      <w:rPr>
        <w:rFonts w:ascii="Tahoma" w:hAnsi="Tahoma" w:cs="Tahoma"/>
        <w:sz w:val="13"/>
        <w:szCs w:val="13"/>
      </w:rPr>
      <w:fldChar w:fldCharType="begin"/>
    </w:r>
    <w:r w:rsidRPr="00EC35EF">
      <w:rPr>
        <w:rFonts w:ascii="Tahoma" w:hAnsi="Tahoma" w:cs="Tahoma"/>
        <w:sz w:val="13"/>
        <w:szCs w:val="13"/>
      </w:rPr>
      <w:instrText xml:space="preserve"> PAGE  \* Arabic  \* MERGEFORMAT </w:instrText>
    </w:r>
    <w:r w:rsidRPr="00EC35EF">
      <w:rPr>
        <w:rFonts w:ascii="Tahoma" w:hAnsi="Tahoma" w:cs="Tahoma"/>
        <w:sz w:val="13"/>
        <w:szCs w:val="13"/>
      </w:rPr>
      <w:fldChar w:fldCharType="separate"/>
    </w:r>
    <w:r w:rsidR="006E4D00">
      <w:rPr>
        <w:rFonts w:ascii="Tahoma" w:hAnsi="Tahoma" w:cs="Tahoma"/>
        <w:noProof/>
        <w:sz w:val="13"/>
        <w:szCs w:val="13"/>
      </w:rPr>
      <w:t>2</w:t>
    </w:r>
    <w:r w:rsidRPr="00EC35EF">
      <w:rPr>
        <w:rFonts w:ascii="Tahoma" w:hAnsi="Tahoma" w:cs="Tahoma"/>
        <w:sz w:val="13"/>
        <w:szCs w:val="13"/>
      </w:rPr>
      <w:fldChar w:fldCharType="end"/>
    </w:r>
    <w:r w:rsidRPr="00EC35EF">
      <w:rPr>
        <w:rFonts w:ascii="Tahoma" w:hAnsi="Tahoma" w:cs="Tahoma"/>
        <w:sz w:val="13"/>
        <w:szCs w:val="13"/>
      </w:rPr>
      <w:t xml:space="preserve"> de </w:t>
    </w:r>
    <w:r w:rsidR="00130732">
      <w:fldChar w:fldCharType="begin"/>
    </w:r>
    <w:r w:rsidR="00130732">
      <w:instrText xml:space="preserve"> NUMPAGES  \* Arabic  \* MERGEFORMAT </w:instrText>
    </w:r>
    <w:r w:rsidR="00130732">
      <w:fldChar w:fldCharType="separate"/>
    </w:r>
    <w:r w:rsidR="006E4D00" w:rsidRPr="006E4D00">
      <w:rPr>
        <w:rFonts w:ascii="Tahoma" w:hAnsi="Tahoma" w:cs="Tahoma"/>
        <w:noProof/>
        <w:sz w:val="13"/>
        <w:szCs w:val="13"/>
      </w:rPr>
      <w:t>2</w:t>
    </w:r>
    <w:r w:rsidR="00130732">
      <w:rPr>
        <w:rFonts w:ascii="Tahoma" w:hAnsi="Tahoma" w:cs="Tahoma"/>
        <w:noProof/>
        <w:sz w:val="13"/>
        <w:szCs w:val="13"/>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931C" w14:textId="77777777" w:rsidR="0038329B" w:rsidRPr="00B64D85" w:rsidRDefault="003367CC" w:rsidP="0067006D">
    <w:pPr>
      <w:pStyle w:val="Encabezado"/>
      <w:jc w:val="center"/>
      <w:rPr>
        <w:rFonts w:ascii="Arial" w:hAnsi="Arial" w:cs="Arial"/>
        <w:b/>
        <w:i/>
        <w:sz w:val="12"/>
        <w:szCs w:val="12"/>
      </w:rPr>
    </w:pPr>
    <w:r w:rsidRPr="00B64D85">
      <w:rPr>
        <w:rFonts w:ascii="Arial" w:hAnsi="Arial" w:cs="Arial"/>
        <w:b/>
        <w:i/>
        <w:noProof/>
        <w:sz w:val="12"/>
        <w:szCs w:val="12"/>
        <w:lang w:eastAsia="es-CO"/>
      </w:rPr>
      <w:drawing>
        <wp:inline distT="0" distB="0" distL="0" distR="0" wp14:anchorId="5C822201" wp14:editId="075F57BC">
          <wp:extent cx="643890" cy="643890"/>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p w14:paraId="01106AD9" w14:textId="77777777" w:rsidR="0038329B" w:rsidRPr="00B64D85" w:rsidRDefault="003367CC" w:rsidP="0067006D">
    <w:pPr>
      <w:pStyle w:val="Encabezado"/>
      <w:jc w:val="center"/>
      <w:rPr>
        <w:rFonts w:ascii="Tahoma" w:hAnsi="Tahoma" w:cs="Tahoma"/>
        <w:b/>
        <w:sz w:val="12"/>
        <w:szCs w:val="12"/>
        <w:lang w:val="es-MX"/>
      </w:rPr>
    </w:pPr>
    <w:r w:rsidRPr="00B64D85">
      <w:rPr>
        <w:rFonts w:ascii="Tahoma" w:hAnsi="Tahoma" w:cs="Tahoma"/>
        <w:b/>
        <w:sz w:val="12"/>
        <w:szCs w:val="12"/>
        <w:lang w:val="es-MX"/>
      </w:rPr>
      <w:t>JUZGADO TREINTA Y CUATRO ADMINISTRATIVO</w:t>
    </w:r>
  </w:p>
  <w:p w14:paraId="6DDFB9DB" w14:textId="77777777" w:rsidR="0038329B" w:rsidRPr="00B64D85" w:rsidRDefault="003367CC" w:rsidP="0067006D">
    <w:pPr>
      <w:pStyle w:val="Encabezado"/>
      <w:jc w:val="center"/>
      <w:rPr>
        <w:rFonts w:ascii="Tahoma" w:hAnsi="Tahoma" w:cs="Tahoma"/>
        <w:b/>
        <w:sz w:val="12"/>
        <w:szCs w:val="12"/>
        <w:lang w:val="es-MX"/>
      </w:rPr>
    </w:pPr>
    <w:r w:rsidRPr="00B64D85">
      <w:rPr>
        <w:rFonts w:ascii="Tahoma" w:hAnsi="Tahoma" w:cs="Tahoma"/>
        <w:b/>
        <w:sz w:val="12"/>
        <w:szCs w:val="12"/>
        <w:lang w:val="es-MX"/>
      </w:rPr>
      <w:t xml:space="preserve"> ORAL DE BOGOTÁ</w:t>
    </w:r>
  </w:p>
  <w:p w14:paraId="3AE9FB26" w14:textId="77777777" w:rsidR="0038329B" w:rsidRPr="00B64D85" w:rsidRDefault="003367CC" w:rsidP="0067006D">
    <w:pPr>
      <w:pStyle w:val="Encabezado"/>
      <w:jc w:val="center"/>
      <w:rPr>
        <w:rFonts w:ascii="Tahoma" w:hAnsi="Tahoma" w:cs="Tahoma"/>
        <w:b/>
        <w:sz w:val="12"/>
        <w:szCs w:val="12"/>
        <w:lang w:val="es-MX"/>
      </w:rPr>
    </w:pPr>
    <w:r w:rsidRPr="00B64D85">
      <w:rPr>
        <w:rFonts w:ascii="Tahoma" w:hAnsi="Tahoma" w:cs="Tahoma"/>
        <w:b/>
        <w:sz w:val="12"/>
        <w:szCs w:val="12"/>
        <w:lang w:val="es-MX"/>
      </w:rPr>
      <w:t>Sección Tercera</w:t>
    </w:r>
  </w:p>
  <w:p w14:paraId="3D54B819" w14:textId="77777777" w:rsidR="0038329B" w:rsidRPr="00D50FEB" w:rsidRDefault="00130732">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7F0"/>
    <w:multiLevelType w:val="hybridMultilevel"/>
    <w:tmpl w:val="91143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F095DF3"/>
    <w:multiLevelType w:val="hybridMultilevel"/>
    <w:tmpl w:val="91143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55"/>
    <w:rsid w:val="000308C9"/>
    <w:rsid w:val="0004388E"/>
    <w:rsid w:val="00130732"/>
    <w:rsid w:val="00191C89"/>
    <w:rsid w:val="001A5DAB"/>
    <w:rsid w:val="002014D9"/>
    <w:rsid w:val="002516C9"/>
    <w:rsid w:val="002B046D"/>
    <w:rsid w:val="002D5543"/>
    <w:rsid w:val="002D5D6C"/>
    <w:rsid w:val="002F0BD0"/>
    <w:rsid w:val="003367CC"/>
    <w:rsid w:val="00350F38"/>
    <w:rsid w:val="0037740C"/>
    <w:rsid w:val="003D38A3"/>
    <w:rsid w:val="004013A1"/>
    <w:rsid w:val="0046638D"/>
    <w:rsid w:val="00480C89"/>
    <w:rsid w:val="005405F9"/>
    <w:rsid w:val="00657DBC"/>
    <w:rsid w:val="006E4D00"/>
    <w:rsid w:val="007859FA"/>
    <w:rsid w:val="007A205E"/>
    <w:rsid w:val="007B10ED"/>
    <w:rsid w:val="00806EDF"/>
    <w:rsid w:val="008B5EA0"/>
    <w:rsid w:val="008B67BA"/>
    <w:rsid w:val="009207DF"/>
    <w:rsid w:val="00974F4E"/>
    <w:rsid w:val="00975AAA"/>
    <w:rsid w:val="00BB7055"/>
    <w:rsid w:val="00BE05AD"/>
    <w:rsid w:val="00C005BD"/>
    <w:rsid w:val="00C2156A"/>
    <w:rsid w:val="00E101A9"/>
    <w:rsid w:val="00E40455"/>
    <w:rsid w:val="00E5423A"/>
    <w:rsid w:val="00F74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5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0455"/>
    <w:pPr>
      <w:tabs>
        <w:tab w:val="center" w:pos="4252"/>
        <w:tab w:val="right" w:pos="8504"/>
      </w:tabs>
    </w:pPr>
  </w:style>
  <w:style w:type="character" w:customStyle="1" w:styleId="EncabezadoCar">
    <w:name w:val="Encabezado Car"/>
    <w:basedOn w:val="Fuentedeprrafopredeter"/>
    <w:link w:val="Encabezado"/>
    <w:uiPriority w:val="99"/>
    <w:rsid w:val="00E40455"/>
    <w:rPr>
      <w:rFonts w:ascii="Times New Roman" w:eastAsia="Times New Roman" w:hAnsi="Times New Roman" w:cs="Times New Roman"/>
      <w:sz w:val="24"/>
      <w:szCs w:val="24"/>
      <w:lang w:eastAsia="es-ES"/>
    </w:rPr>
  </w:style>
  <w:style w:type="character" w:styleId="Nmerodepgina">
    <w:name w:val="page number"/>
    <w:uiPriority w:val="99"/>
    <w:rsid w:val="00E40455"/>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E40455"/>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E40455"/>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rsid w:val="00E40455"/>
    <w:rPr>
      <w:rFonts w:cs="Times New Roman"/>
      <w:vertAlign w:val="superscript"/>
    </w:rPr>
  </w:style>
  <w:style w:type="paragraph" w:styleId="Textoindependiente2">
    <w:name w:val="Body Text 2"/>
    <w:basedOn w:val="Normal"/>
    <w:link w:val="Textoindependiente2Car"/>
    <w:uiPriority w:val="99"/>
    <w:rsid w:val="00E40455"/>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E40455"/>
    <w:rPr>
      <w:rFonts w:ascii="Times New Roman" w:eastAsia="Times New Roman" w:hAnsi="Times New Roman" w:cs="Times New Roman"/>
      <w:sz w:val="24"/>
      <w:szCs w:val="24"/>
      <w:lang w:val="es-ES" w:eastAsia="es-ES"/>
    </w:rPr>
  </w:style>
  <w:style w:type="character" w:styleId="Hipervnculo">
    <w:name w:val="Hyperlink"/>
    <w:uiPriority w:val="99"/>
    <w:rsid w:val="00E40455"/>
    <w:rPr>
      <w:rFonts w:cs="Times New Roman"/>
      <w:color w:val="0000FF"/>
      <w:u w:val="single"/>
    </w:rPr>
  </w:style>
  <w:style w:type="paragraph" w:styleId="Textoindependiente">
    <w:name w:val="Body Text"/>
    <w:basedOn w:val="Normal"/>
    <w:link w:val="TextoindependienteCar"/>
    <w:rsid w:val="00E40455"/>
    <w:pPr>
      <w:spacing w:after="120"/>
    </w:pPr>
    <w:rPr>
      <w:lang w:val="es-ES"/>
    </w:rPr>
  </w:style>
  <w:style w:type="character" w:customStyle="1" w:styleId="TextoindependienteCar">
    <w:name w:val="Texto independiente Car"/>
    <w:basedOn w:val="Fuentedeprrafopredeter"/>
    <w:link w:val="Textoindependiente"/>
    <w:rsid w:val="00E4045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40455"/>
    <w:pPr>
      <w:widowControl w:val="0"/>
      <w:autoSpaceDE w:val="0"/>
      <w:autoSpaceDN w:val="0"/>
      <w:adjustRightInd w:val="0"/>
      <w:ind w:left="720"/>
      <w:contextualSpacing/>
    </w:pPr>
    <w:rPr>
      <w:rFonts w:ascii="Arial" w:hAnsi="Arial" w:cs="Arial"/>
      <w:sz w:val="20"/>
      <w:szCs w:val="20"/>
      <w:lang w:val="es-ES"/>
    </w:rPr>
  </w:style>
  <w:style w:type="character" w:styleId="nfasis">
    <w:name w:val="Emphasis"/>
    <w:qFormat/>
    <w:rsid w:val="00E40455"/>
    <w:rPr>
      <w:i/>
      <w:iCs/>
    </w:rPr>
  </w:style>
  <w:style w:type="character" w:customStyle="1" w:styleId="apple-converted-space">
    <w:name w:val="apple-converted-space"/>
    <w:basedOn w:val="Fuentedeprrafopredeter"/>
    <w:rsid w:val="00E40455"/>
  </w:style>
  <w:style w:type="paragraph" w:styleId="NormalWeb">
    <w:name w:val="Normal (Web)"/>
    <w:basedOn w:val="Normal"/>
    <w:uiPriority w:val="99"/>
    <w:semiHidden/>
    <w:unhideWhenUsed/>
    <w:rsid w:val="00E40455"/>
    <w:pPr>
      <w:spacing w:before="100" w:beforeAutospacing="1" w:after="100" w:afterAutospacing="1"/>
    </w:pPr>
    <w:rPr>
      <w:lang w:eastAsia="es-CO"/>
    </w:rPr>
  </w:style>
  <w:style w:type="paragraph" w:customStyle="1" w:styleId="Textoindependiente31">
    <w:name w:val="Texto independiente 31"/>
    <w:basedOn w:val="Normal"/>
    <w:rsid w:val="00E40455"/>
    <w:pPr>
      <w:overflowPunct w:val="0"/>
      <w:autoSpaceDE w:val="0"/>
      <w:autoSpaceDN w:val="0"/>
      <w:adjustRightInd w:val="0"/>
      <w:jc w:val="both"/>
      <w:textAlignment w:val="baseline"/>
    </w:pPr>
    <w:rPr>
      <w:rFonts w:ascii="News Gothic MT" w:hAnsi="News Gothic MT"/>
      <w:b/>
      <w:szCs w:val="20"/>
    </w:rPr>
  </w:style>
  <w:style w:type="paragraph" w:customStyle="1" w:styleId="Nueve">
    <w:name w:val="Nueve"/>
    <w:rsid w:val="00E40455"/>
    <w:pPr>
      <w:spacing w:before="112" w:after="112" w:line="240" w:lineRule="auto"/>
      <w:ind w:firstLine="170"/>
      <w:jc w:val="both"/>
    </w:pPr>
    <w:rPr>
      <w:rFonts w:ascii="Arial" w:eastAsia="Times New Roman" w:hAnsi="Arial" w:cs="Times New Roman"/>
      <w:color w:val="000000"/>
      <w:sz w:val="20"/>
      <w:szCs w:val="20"/>
      <w:lang w:val="es-ES" w:eastAsia="es-ES"/>
    </w:rPr>
  </w:style>
  <w:style w:type="paragraph" w:styleId="Piedepgina">
    <w:name w:val="footer"/>
    <w:basedOn w:val="Normal"/>
    <w:link w:val="PiedepginaCar"/>
    <w:uiPriority w:val="99"/>
    <w:unhideWhenUsed/>
    <w:rsid w:val="00191C89"/>
    <w:pPr>
      <w:tabs>
        <w:tab w:val="center" w:pos="4419"/>
        <w:tab w:val="right" w:pos="8838"/>
      </w:tabs>
    </w:pPr>
  </w:style>
  <w:style w:type="character" w:customStyle="1" w:styleId="PiedepginaCar">
    <w:name w:val="Pie de página Car"/>
    <w:basedOn w:val="Fuentedeprrafopredeter"/>
    <w:link w:val="Piedepgina"/>
    <w:uiPriority w:val="99"/>
    <w:rsid w:val="00191C89"/>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744EC"/>
    <w:pPr>
      <w:spacing w:after="120"/>
      <w:ind w:left="283"/>
    </w:pPr>
  </w:style>
  <w:style w:type="character" w:customStyle="1" w:styleId="SangradetextonormalCar">
    <w:name w:val="Sangría de texto normal Car"/>
    <w:basedOn w:val="Fuentedeprrafopredeter"/>
    <w:link w:val="Sangradetextonormal"/>
    <w:uiPriority w:val="99"/>
    <w:rsid w:val="00F744EC"/>
    <w:rPr>
      <w:rFonts w:ascii="Times New Roman" w:eastAsia="Times New Roman" w:hAnsi="Times New Roman" w:cs="Times New Roman"/>
      <w:sz w:val="24"/>
      <w:szCs w:val="24"/>
      <w:lang w:eastAsia="es-ES"/>
    </w:rPr>
  </w:style>
  <w:style w:type="paragraph" w:customStyle="1" w:styleId="Textoindependiente32">
    <w:name w:val="Texto independiente 32"/>
    <w:basedOn w:val="Normal"/>
    <w:rsid w:val="00F744EC"/>
    <w:pPr>
      <w:overflowPunct w:val="0"/>
      <w:autoSpaceDE w:val="0"/>
      <w:autoSpaceDN w:val="0"/>
      <w:adjustRightInd w:val="0"/>
      <w:jc w:val="both"/>
      <w:textAlignment w:val="baseline"/>
    </w:pPr>
    <w:rPr>
      <w:rFonts w:ascii="News Gothic MT" w:hAnsi="News Gothic MT"/>
      <w:b/>
      <w:szCs w:val="20"/>
    </w:rPr>
  </w:style>
  <w:style w:type="paragraph" w:styleId="Textodeglobo">
    <w:name w:val="Balloon Text"/>
    <w:basedOn w:val="Normal"/>
    <w:link w:val="TextodegloboCar"/>
    <w:uiPriority w:val="99"/>
    <w:semiHidden/>
    <w:unhideWhenUsed/>
    <w:rsid w:val="008B6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7BA"/>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B67BA"/>
    <w:rPr>
      <w:sz w:val="16"/>
      <w:szCs w:val="16"/>
    </w:rPr>
  </w:style>
  <w:style w:type="paragraph" w:styleId="Textocomentario">
    <w:name w:val="annotation text"/>
    <w:basedOn w:val="Normal"/>
    <w:link w:val="TextocomentarioCar"/>
    <w:uiPriority w:val="99"/>
    <w:semiHidden/>
    <w:unhideWhenUsed/>
    <w:rsid w:val="008B67BA"/>
    <w:rPr>
      <w:sz w:val="20"/>
      <w:szCs w:val="20"/>
    </w:rPr>
  </w:style>
  <w:style w:type="character" w:customStyle="1" w:styleId="TextocomentarioCar">
    <w:name w:val="Texto comentario Car"/>
    <w:basedOn w:val="Fuentedeprrafopredeter"/>
    <w:link w:val="Textocomentario"/>
    <w:uiPriority w:val="99"/>
    <w:semiHidden/>
    <w:rsid w:val="008B67B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B67BA"/>
    <w:rPr>
      <w:b/>
      <w:bCs/>
    </w:rPr>
  </w:style>
  <w:style w:type="character" w:customStyle="1" w:styleId="AsuntodelcomentarioCar">
    <w:name w:val="Asunto del comentario Car"/>
    <w:basedOn w:val="TextocomentarioCar"/>
    <w:link w:val="Asuntodelcomentario"/>
    <w:uiPriority w:val="99"/>
    <w:semiHidden/>
    <w:rsid w:val="008B67BA"/>
    <w:rPr>
      <w:rFonts w:ascii="Times New Roman" w:eastAsia="Times New Roman" w:hAnsi="Times New Roman"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45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0455"/>
    <w:pPr>
      <w:tabs>
        <w:tab w:val="center" w:pos="4252"/>
        <w:tab w:val="right" w:pos="8504"/>
      </w:tabs>
    </w:pPr>
  </w:style>
  <w:style w:type="character" w:customStyle="1" w:styleId="EncabezadoCar">
    <w:name w:val="Encabezado Car"/>
    <w:basedOn w:val="Fuentedeprrafopredeter"/>
    <w:link w:val="Encabezado"/>
    <w:uiPriority w:val="99"/>
    <w:rsid w:val="00E40455"/>
    <w:rPr>
      <w:rFonts w:ascii="Times New Roman" w:eastAsia="Times New Roman" w:hAnsi="Times New Roman" w:cs="Times New Roman"/>
      <w:sz w:val="24"/>
      <w:szCs w:val="24"/>
      <w:lang w:eastAsia="es-ES"/>
    </w:rPr>
  </w:style>
  <w:style w:type="character" w:styleId="Nmerodepgina">
    <w:name w:val="page number"/>
    <w:uiPriority w:val="99"/>
    <w:rsid w:val="00E40455"/>
    <w:rPr>
      <w:rFonts w:cs="Times New Roman"/>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rsid w:val="00E40455"/>
    <w:rPr>
      <w:sz w:val="20"/>
      <w:szCs w:val="20"/>
      <w:lang w:val="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rsid w:val="00E40455"/>
    <w:rPr>
      <w:rFonts w:ascii="Times New Roman" w:eastAsia="Times New Roman" w:hAnsi="Times New Roman" w:cs="Times New Roman"/>
      <w:sz w:val="20"/>
      <w:szCs w:val="20"/>
      <w:lang w:val="en-US" w:eastAsia="es-ES"/>
    </w:rPr>
  </w:style>
  <w:style w:type="character" w:styleId="Refdenotaalpie">
    <w:name w:val="footnote reference"/>
    <w:aliases w:val="Pie de Página,FC,Texto de nota al pie,Ref. de nota al pie 2"/>
    <w:rsid w:val="00E40455"/>
    <w:rPr>
      <w:rFonts w:cs="Times New Roman"/>
      <w:vertAlign w:val="superscript"/>
    </w:rPr>
  </w:style>
  <w:style w:type="paragraph" w:styleId="Textoindependiente2">
    <w:name w:val="Body Text 2"/>
    <w:basedOn w:val="Normal"/>
    <w:link w:val="Textoindependiente2Car"/>
    <w:uiPriority w:val="99"/>
    <w:rsid w:val="00E40455"/>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E40455"/>
    <w:rPr>
      <w:rFonts w:ascii="Times New Roman" w:eastAsia="Times New Roman" w:hAnsi="Times New Roman" w:cs="Times New Roman"/>
      <w:sz w:val="24"/>
      <w:szCs w:val="24"/>
      <w:lang w:val="es-ES" w:eastAsia="es-ES"/>
    </w:rPr>
  </w:style>
  <w:style w:type="character" w:styleId="Hipervnculo">
    <w:name w:val="Hyperlink"/>
    <w:uiPriority w:val="99"/>
    <w:rsid w:val="00E40455"/>
    <w:rPr>
      <w:rFonts w:cs="Times New Roman"/>
      <w:color w:val="0000FF"/>
      <w:u w:val="single"/>
    </w:rPr>
  </w:style>
  <w:style w:type="paragraph" w:styleId="Textoindependiente">
    <w:name w:val="Body Text"/>
    <w:basedOn w:val="Normal"/>
    <w:link w:val="TextoindependienteCar"/>
    <w:rsid w:val="00E40455"/>
    <w:pPr>
      <w:spacing w:after="120"/>
    </w:pPr>
    <w:rPr>
      <w:lang w:val="es-ES"/>
    </w:rPr>
  </w:style>
  <w:style w:type="character" w:customStyle="1" w:styleId="TextoindependienteCar">
    <w:name w:val="Texto independiente Car"/>
    <w:basedOn w:val="Fuentedeprrafopredeter"/>
    <w:link w:val="Textoindependiente"/>
    <w:rsid w:val="00E4045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40455"/>
    <w:pPr>
      <w:widowControl w:val="0"/>
      <w:autoSpaceDE w:val="0"/>
      <w:autoSpaceDN w:val="0"/>
      <w:adjustRightInd w:val="0"/>
      <w:ind w:left="720"/>
      <w:contextualSpacing/>
    </w:pPr>
    <w:rPr>
      <w:rFonts w:ascii="Arial" w:hAnsi="Arial" w:cs="Arial"/>
      <w:sz w:val="20"/>
      <w:szCs w:val="20"/>
      <w:lang w:val="es-ES"/>
    </w:rPr>
  </w:style>
  <w:style w:type="character" w:styleId="nfasis">
    <w:name w:val="Emphasis"/>
    <w:qFormat/>
    <w:rsid w:val="00E40455"/>
    <w:rPr>
      <w:i/>
      <w:iCs/>
    </w:rPr>
  </w:style>
  <w:style w:type="character" w:customStyle="1" w:styleId="apple-converted-space">
    <w:name w:val="apple-converted-space"/>
    <w:basedOn w:val="Fuentedeprrafopredeter"/>
    <w:rsid w:val="00E40455"/>
  </w:style>
  <w:style w:type="paragraph" w:styleId="NormalWeb">
    <w:name w:val="Normal (Web)"/>
    <w:basedOn w:val="Normal"/>
    <w:uiPriority w:val="99"/>
    <w:semiHidden/>
    <w:unhideWhenUsed/>
    <w:rsid w:val="00E40455"/>
    <w:pPr>
      <w:spacing w:before="100" w:beforeAutospacing="1" w:after="100" w:afterAutospacing="1"/>
    </w:pPr>
    <w:rPr>
      <w:lang w:eastAsia="es-CO"/>
    </w:rPr>
  </w:style>
  <w:style w:type="paragraph" w:customStyle="1" w:styleId="Textoindependiente31">
    <w:name w:val="Texto independiente 31"/>
    <w:basedOn w:val="Normal"/>
    <w:rsid w:val="00E40455"/>
    <w:pPr>
      <w:overflowPunct w:val="0"/>
      <w:autoSpaceDE w:val="0"/>
      <w:autoSpaceDN w:val="0"/>
      <w:adjustRightInd w:val="0"/>
      <w:jc w:val="both"/>
      <w:textAlignment w:val="baseline"/>
    </w:pPr>
    <w:rPr>
      <w:rFonts w:ascii="News Gothic MT" w:hAnsi="News Gothic MT"/>
      <w:b/>
      <w:szCs w:val="20"/>
    </w:rPr>
  </w:style>
  <w:style w:type="paragraph" w:customStyle="1" w:styleId="Nueve">
    <w:name w:val="Nueve"/>
    <w:rsid w:val="00E40455"/>
    <w:pPr>
      <w:spacing w:before="112" w:after="112" w:line="240" w:lineRule="auto"/>
      <w:ind w:firstLine="170"/>
      <w:jc w:val="both"/>
    </w:pPr>
    <w:rPr>
      <w:rFonts w:ascii="Arial" w:eastAsia="Times New Roman" w:hAnsi="Arial" w:cs="Times New Roman"/>
      <w:color w:val="000000"/>
      <w:sz w:val="20"/>
      <w:szCs w:val="20"/>
      <w:lang w:val="es-ES" w:eastAsia="es-ES"/>
    </w:rPr>
  </w:style>
  <w:style w:type="paragraph" w:styleId="Piedepgina">
    <w:name w:val="footer"/>
    <w:basedOn w:val="Normal"/>
    <w:link w:val="PiedepginaCar"/>
    <w:uiPriority w:val="99"/>
    <w:unhideWhenUsed/>
    <w:rsid w:val="00191C89"/>
    <w:pPr>
      <w:tabs>
        <w:tab w:val="center" w:pos="4419"/>
        <w:tab w:val="right" w:pos="8838"/>
      </w:tabs>
    </w:pPr>
  </w:style>
  <w:style w:type="character" w:customStyle="1" w:styleId="PiedepginaCar">
    <w:name w:val="Pie de página Car"/>
    <w:basedOn w:val="Fuentedeprrafopredeter"/>
    <w:link w:val="Piedepgina"/>
    <w:uiPriority w:val="99"/>
    <w:rsid w:val="00191C89"/>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F744EC"/>
    <w:pPr>
      <w:spacing w:after="120"/>
      <w:ind w:left="283"/>
    </w:pPr>
  </w:style>
  <w:style w:type="character" w:customStyle="1" w:styleId="SangradetextonormalCar">
    <w:name w:val="Sangría de texto normal Car"/>
    <w:basedOn w:val="Fuentedeprrafopredeter"/>
    <w:link w:val="Sangradetextonormal"/>
    <w:uiPriority w:val="99"/>
    <w:rsid w:val="00F744EC"/>
    <w:rPr>
      <w:rFonts w:ascii="Times New Roman" w:eastAsia="Times New Roman" w:hAnsi="Times New Roman" w:cs="Times New Roman"/>
      <w:sz w:val="24"/>
      <w:szCs w:val="24"/>
      <w:lang w:eastAsia="es-ES"/>
    </w:rPr>
  </w:style>
  <w:style w:type="paragraph" w:customStyle="1" w:styleId="Textoindependiente32">
    <w:name w:val="Texto independiente 32"/>
    <w:basedOn w:val="Normal"/>
    <w:rsid w:val="00F744EC"/>
    <w:pPr>
      <w:overflowPunct w:val="0"/>
      <w:autoSpaceDE w:val="0"/>
      <w:autoSpaceDN w:val="0"/>
      <w:adjustRightInd w:val="0"/>
      <w:jc w:val="both"/>
      <w:textAlignment w:val="baseline"/>
    </w:pPr>
    <w:rPr>
      <w:rFonts w:ascii="News Gothic MT" w:hAnsi="News Gothic MT"/>
      <w:b/>
      <w:szCs w:val="20"/>
    </w:rPr>
  </w:style>
  <w:style w:type="paragraph" w:styleId="Textodeglobo">
    <w:name w:val="Balloon Text"/>
    <w:basedOn w:val="Normal"/>
    <w:link w:val="TextodegloboCar"/>
    <w:uiPriority w:val="99"/>
    <w:semiHidden/>
    <w:unhideWhenUsed/>
    <w:rsid w:val="008B67BA"/>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7BA"/>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8B67BA"/>
    <w:rPr>
      <w:sz w:val="16"/>
      <w:szCs w:val="16"/>
    </w:rPr>
  </w:style>
  <w:style w:type="paragraph" w:styleId="Textocomentario">
    <w:name w:val="annotation text"/>
    <w:basedOn w:val="Normal"/>
    <w:link w:val="TextocomentarioCar"/>
    <w:uiPriority w:val="99"/>
    <w:semiHidden/>
    <w:unhideWhenUsed/>
    <w:rsid w:val="008B67BA"/>
    <w:rPr>
      <w:sz w:val="20"/>
      <w:szCs w:val="20"/>
    </w:rPr>
  </w:style>
  <w:style w:type="character" w:customStyle="1" w:styleId="TextocomentarioCar">
    <w:name w:val="Texto comentario Car"/>
    <w:basedOn w:val="Fuentedeprrafopredeter"/>
    <w:link w:val="Textocomentario"/>
    <w:uiPriority w:val="99"/>
    <w:semiHidden/>
    <w:rsid w:val="008B67BA"/>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B67BA"/>
    <w:rPr>
      <w:b/>
      <w:bCs/>
    </w:rPr>
  </w:style>
  <w:style w:type="character" w:customStyle="1" w:styleId="AsuntodelcomentarioCar">
    <w:name w:val="Asunto del comentario Car"/>
    <w:basedOn w:val="TextocomentarioCar"/>
    <w:link w:val="Asuntodelcomentario"/>
    <w:uiPriority w:val="99"/>
    <w:semiHidden/>
    <w:rsid w:val="008B67BA"/>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0ACD0-9915-4536-8817-FE0E9A4F9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4749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3</cp:revision>
  <cp:lastPrinted>2016-04-22T21:01:00Z</cp:lastPrinted>
  <dcterms:created xsi:type="dcterms:W3CDTF">2016-04-22T21:01:00Z</dcterms:created>
  <dcterms:modified xsi:type="dcterms:W3CDTF">2016-04-22T21:03:00Z</dcterms:modified>
</cp:coreProperties>
</file>