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735"/>
      </w:tblGrid>
      <w:tr w:rsidR="00767D91" w:rsidRPr="00783F05" w:rsidTr="00357E8C">
        <w:tc>
          <w:tcPr>
            <w:tcW w:w="1985" w:type="dxa"/>
          </w:tcPr>
          <w:p w:rsidR="00767D91" w:rsidRPr="00783F05" w:rsidRDefault="00767D91" w:rsidP="00783F05">
            <w:pPr>
              <w:jc w:val="both"/>
              <w:rPr>
                <w:rFonts w:ascii="Tahoma" w:hAnsi="Tahoma" w:cs="Tahoma"/>
                <w:sz w:val="16"/>
                <w:szCs w:val="16"/>
                <w:lang w:val="es-MX"/>
              </w:rPr>
            </w:pPr>
            <w:r w:rsidRPr="00783F05">
              <w:rPr>
                <w:rFonts w:ascii="Tahoma" w:hAnsi="Tahoma" w:cs="Tahoma"/>
                <w:sz w:val="16"/>
                <w:szCs w:val="16"/>
                <w:lang w:val="es-MX"/>
              </w:rPr>
              <w:t>CIUDAD Y FECHA</w:t>
            </w:r>
          </w:p>
        </w:tc>
        <w:tc>
          <w:tcPr>
            <w:tcW w:w="6735" w:type="dxa"/>
          </w:tcPr>
          <w:p w:rsidR="00767D91" w:rsidRPr="00783F05" w:rsidRDefault="00767D91" w:rsidP="00E919F8">
            <w:pPr>
              <w:jc w:val="both"/>
              <w:rPr>
                <w:rFonts w:ascii="Tahoma" w:hAnsi="Tahoma" w:cs="Tahoma"/>
                <w:b/>
                <w:sz w:val="16"/>
                <w:szCs w:val="16"/>
                <w:lang w:val="es-MX"/>
              </w:rPr>
            </w:pPr>
            <w:r w:rsidRPr="00783F05">
              <w:rPr>
                <w:rFonts w:ascii="Tahoma" w:hAnsi="Tahoma" w:cs="Tahoma"/>
                <w:b/>
                <w:sz w:val="16"/>
                <w:szCs w:val="16"/>
                <w:lang w:val="es-MX"/>
              </w:rPr>
              <w:t xml:space="preserve">Bogotá D.C., </w:t>
            </w:r>
            <w:r w:rsidR="00E919F8">
              <w:rPr>
                <w:rFonts w:ascii="Tahoma" w:hAnsi="Tahoma" w:cs="Tahoma"/>
                <w:b/>
                <w:sz w:val="16"/>
                <w:szCs w:val="16"/>
                <w:lang w:val="es-MX"/>
              </w:rPr>
              <w:t>tres (3)</w:t>
            </w:r>
            <w:r w:rsidR="00357E8C">
              <w:rPr>
                <w:rFonts w:ascii="Tahoma" w:hAnsi="Tahoma" w:cs="Tahoma"/>
                <w:b/>
                <w:sz w:val="16"/>
                <w:szCs w:val="16"/>
                <w:lang w:val="es-MX"/>
              </w:rPr>
              <w:t xml:space="preserve"> de agosto </w:t>
            </w:r>
            <w:r w:rsidRPr="00783F05">
              <w:rPr>
                <w:rFonts w:ascii="Tahoma" w:hAnsi="Tahoma" w:cs="Tahoma"/>
                <w:b/>
                <w:sz w:val="16"/>
                <w:szCs w:val="16"/>
                <w:lang w:val="es-MX"/>
              </w:rPr>
              <w:t>de dos mil dieciséis (2016)</w:t>
            </w:r>
          </w:p>
        </w:tc>
      </w:tr>
      <w:tr w:rsidR="00767D91" w:rsidRPr="00783F05" w:rsidTr="00357E8C">
        <w:tc>
          <w:tcPr>
            <w:tcW w:w="1985" w:type="dxa"/>
          </w:tcPr>
          <w:p w:rsidR="00767D91" w:rsidRPr="00783F05" w:rsidRDefault="00767D91" w:rsidP="00783F05">
            <w:pPr>
              <w:jc w:val="both"/>
              <w:rPr>
                <w:rFonts w:ascii="Tahoma" w:hAnsi="Tahoma" w:cs="Tahoma"/>
                <w:sz w:val="16"/>
                <w:szCs w:val="16"/>
                <w:lang w:val="es-MX"/>
              </w:rPr>
            </w:pPr>
            <w:r w:rsidRPr="00783F05">
              <w:rPr>
                <w:rFonts w:ascii="Tahoma" w:hAnsi="Tahoma" w:cs="Tahoma"/>
                <w:sz w:val="16"/>
                <w:szCs w:val="16"/>
                <w:lang w:val="es-MX"/>
              </w:rPr>
              <w:t>REFERENCIA</w:t>
            </w:r>
          </w:p>
        </w:tc>
        <w:tc>
          <w:tcPr>
            <w:tcW w:w="6735" w:type="dxa"/>
          </w:tcPr>
          <w:p w:rsidR="00767D91" w:rsidRPr="00783F05" w:rsidRDefault="00767D91" w:rsidP="00783F05">
            <w:pPr>
              <w:rPr>
                <w:rFonts w:ascii="Tahoma" w:hAnsi="Tahoma" w:cs="Tahoma"/>
                <w:b/>
                <w:color w:val="000000"/>
                <w:sz w:val="16"/>
                <w:szCs w:val="16"/>
                <w:lang w:val="es-ES_tradnl"/>
              </w:rPr>
            </w:pPr>
            <w:r w:rsidRPr="00783F05">
              <w:rPr>
                <w:rFonts w:ascii="Tahoma" w:hAnsi="Tahoma" w:cs="Tahoma"/>
                <w:b/>
                <w:sz w:val="16"/>
                <w:szCs w:val="16"/>
                <w:lang w:val="es-MX"/>
              </w:rPr>
              <w:t xml:space="preserve">Expediente No. </w:t>
            </w:r>
            <w:r w:rsidRPr="00783F05">
              <w:rPr>
                <w:rFonts w:ascii="Tahoma" w:hAnsi="Tahoma" w:cs="Tahoma"/>
                <w:b/>
                <w:color w:val="000000"/>
                <w:sz w:val="16"/>
                <w:szCs w:val="16"/>
                <w:lang w:val="es-ES_tradnl"/>
              </w:rPr>
              <w:fldChar w:fldCharType="begin"/>
            </w:r>
            <w:r w:rsidRPr="00783F05">
              <w:rPr>
                <w:rFonts w:ascii="Tahoma" w:hAnsi="Tahoma" w:cs="Tahoma"/>
                <w:b/>
                <w:color w:val="000000"/>
                <w:sz w:val="16"/>
                <w:szCs w:val="16"/>
                <w:lang w:val="es-ES_tradnl"/>
              </w:rPr>
              <w:instrText xml:space="preserve"> MERGEFIELD "No_DE_EXPEDIENTE" </w:instrText>
            </w:r>
            <w:r w:rsidRPr="00783F05">
              <w:rPr>
                <w:rFonts w:ascii="Tahoma" w:hAnsi="Tahoma" w:cs="Tahoma"/>
                <w:b/>
                <w:color w:val="000000"/>
                <w:sz w:val="16"/>
                <w:szCs w:val="16"/>
                <w:lang w:val="es-ES_tradnl"/>
              </w:rPr>
              <w:fldChar w:fldCharType="separate"/>
            </w:r>
            <w:r w:rsidRPr="00783F05">
              <w:rPr>
                <w:rFonts w:ascii="Tahoma" w:hAnsi="Tahoma" w:cs="Tahoma"/>
                <w:b/>
                <w:noProof/>
                <w:color w:val="000000"/>
                <w:sz w:val="16"/>
                <w:szCs w:val="16"/>
                <w:lang w:val="es-ES_tradnl"/>
              </w:rPr>
              <w:t>11001333603420150070500</w:t>
            </w:r>
            <w:r w:rsidRPr="00783F05">
              <w:rPr>
                <w:rFonts w:ascii="Tahoma" w:hAnsi="Tahoma" w:cs="Tahoma"/>
                <w:b/>
                <w:color w:val="000000"/>
                <w:sz w:val="16"/>
                <w:szCs w:val="16"/>
                <w:lang w:val="es-ES_tradnl"/>
              </w:rPr>
              <w:fldChar w:fldCharType="end"/>
            </w:r>
          </w:p>
        </w:tc>
      </w:tr>
      <w:tr w:rsidR="00767D91" w:rsidRPr="00783F05" w:rsidTr="00357E8C">
        <w:tc>
          <w:tcPr>
            <w:tcW w:w="1985" w:type="dxa"/>
          </w:tcPr>
          <w:p w:rsidR="00767D91" w:rsidRPr="00783F05" w:rsidRDefault="00767D91" w:rsidP="00783F05">
            <w:pPr>
              <w:jc w:val="both"/>
              <w:rPr>
                <w:rFonts w:ascii="Tahoma" w:hAnsi="Tahoma" w:cs="Tahoma"/>
                <w:sz w:val="16"/>
                <w:szCs w:val="16"/>
                <w:lang w:val="es-MX"/>
              </w:rPr>
            </w:pPr>
            <w:r w:rsidRPr="00783F05">
              <w:rPr>
                <w:rFonts w:ascii="Tahoma" w:hAnsi="Tahoma" w:cs="Tahoma"/>
                <w:sz w:val="16"/>
                <w:szCs w:val="16"/>
                <w:lang w:val="es-MX"/>
              </w:rPr>
              <w:t>DEMANDANTE</w:t>
            </w:r>
          </w:p>
        </w:tc>
        <w:tc>
          <w:tcPr>
            <w:tcW w:w="6735" w:type="dxa"/>
          </w:tcPr>
          <w:p w:rsidR="00767D91" w:rsidRPr="00783F05" w:rsidRDefault="00767D91" w:rsidP="00783F05">
            <w:pPr>
              <w:rPr>
                <w:rFonts w:ascii="Tahoma" w:hAnsi="Tahoma" w:cs="Tahoma"/>
                <w:b/>
                <w:color w:val="000000"/>
                <w:sz w:val="16"/>
                <w:szCs w:val="16"/>
                <w:lang w:val="es-ES_tradnl"/>
              </w:rPr>
            </w:pPr>
            <w:r w:rsidRPr="00783F05">
              <w:rPr>
                <w:rFonts w:ascii="Tahoma" w:hAnsi="Tahoma" w:cs="Tahoma"/>
                <w:b/>
                <w:color w:val="000000"/>
                <w:sz w:val="16"/>
                <w:szCs w:val="16"/>
                <w:lang w:val="es-ES_tradnl"/>
              </w:rPr>
              <w:fldChar w:fldCharType="begin"/>
            </w:r>
            <w:r w:rsidRPr="00783F05">
              <w:rPr>
                <w:rFonts w:ascii="Tahoma" w:hAnsi="Tahoma" w:cs="Tahoma"/>
                <w:b/>
                <w:color w:val="000000"/>
                <w:sz w:val="16"/>
                <w:szCs w:val="16"/>
                <w:lang w:val="es-ES_tradnl"/>
              </w:rPr>
              <w:instrText xml:space="preserve"> MERGEFIELD "DEMANDANTE" </w:instrText>
            </w:r>
            <w:r w:rsidRPr="00783F05">
              <w:rPr>
                <w:rFonts w:ascii="Tahoma" w:hAnsi="Tahoma" w:cs="Tahoma"/>
                <w:b/>
                <w:color w:val="000000"/>
                <w:sz w:val="16"/>
                <w:szCs w:val="16"/>
                <w:lang w:val="es-ES_tradnl"/>
              </w:rPr>
              <w:fldChar w:fldCharType="separate"/>
            </w:r>
            <w:r w:rsidRPr="00783F05">
              <w:rPr>
                <w:rFonts w:ascii="Tahoma" w:hAnsi="Tahoma" w:cs="Tahoma"/>
                <w:b/>
                <w:noProof/>
                <w:color w:val="000000"/>
                <w:sz w:val="16"/>
                <w:szCs w:val="16"/>
                <w:lang w:val="es-ES_tradnl"/>
              </w:rPr>
              <w:t>ERIC ROBERTO GUTIÉRREZ RAPALINO Y LAURA MARCELA SANABRIA</w:t>
            </w:r>
            <w:r w:rsidRPr="00783F05">
              <w:rPr>
                <w:rFonts w:ascii="Tahoma" w:hAnsi="Tahoma" w:cs="Tahoma"/>
                <w:b/>
                <w:color w:val="000000"/>
                <w:sz w:val="16"/>
                <w:szCs w:val="16"/>
                <w:lang w:val="es-ES_tradnl"/>
              </w:rPr>
              <w:fldChar w:fldCharType="end"/>
            </w:r>
          </w:p>
        </w:tc>
      </w:tr>
      <w:tr w:rsidR="00767D91" w:rsidRPr="00783F05" w:rsidTr="00357E8C">
        <w:tc>
          <w:tcPr>
            <w:tcW w:w="1985" w:type="dxa"/>
          </w:tcPr>
          <w:p w:rsidR="00767D91" w:rsidRPr="00783F05" w:rsidRDefault="00767D91" w:rsidP="00783F05">
            <w:pPr>
              <w:jc w:val="both"/>
              <w:rPr>
                <w:rFonts w:ascii="Tahoma" w:hAnsi="Tahoma" w:cs="Tahoma"/>
                <w:sz w:val="16"/>
                <w:szCs w:val="16"/>
                <w:lang w:val="es-MX"/>
              </w:rPr>
            </w:pPr>
            <w:r w:rsidRPr="00783F05">
              <w:rPr>
                <w:rFonts w:ascii="Tahoma" w:hAnsi="Tahoma" w:cs="Tahoma"/>
                <w:sz w:val="16"/>
                <w:szCs w:val="16"/>
                <w:lang w:val="es-MX"/>
              </w:rPr>
              <w:t>DEMANDADO</w:t>
            </w:r>
          </w:p>
        </w:tc>
        <w:tc>
          <w:tcPr>
            <w:tcW w:w="6735" w:type="dxa"/>
          </w:tcPr>
          <w:p w:rsidR="00767D91" w:rsidRPr="00783F05" w:rsidRDefault="00767D91" w:rsidP="00783F05">
            <w:pPr>
              <w:rPr>
                <w:rFonts w:ascii="Tahoma" w:hAnsi="Tahoma" w:cs="Tahoma"/>
                <w:b/>
                <w:sz w:val="16"/>
                <w:szCs w:val="16"/>
              </w:rPr>
            </w:pPr>
            <w:r w:rsidRPr="00783F05">
              <w:rPr>
                <w:rFonts w:ascii="Tahoma" w:hAnsi="Tahoma" w:cs="Tahoma"/>
                <w:b/>
                <w:sz w:val="16"/>
                <w:szCs w:val="16"/>
              </w:rPr>
              <w:t>NACION-MINISTERIO DE SALUD Y PROTECCION SOCIAL Y OTROS</w:t>
            </w:r>
          </w:p>
        </w:tc>
      </w:tr>
      <w:tr w:rsidR="00767D91" w:rsidRPr="00783F05" w:rsidTr="00357E8C">
        <w:tc>
          <w:tcPr>
            <w:tcW w:w="1985" w:type="dxa"/>
          </w:tcPr>
          <w:p w:rsidR="00767D91" w:rsidRPr="00783F05" w:rsidRDefault="00767D91" w:rsidP="00783F05">
            <w:pPr>
              <w:jc w:val="both"/>
              <w:rPr>
                <w:rFonts w:ascii="Tahoma" w:hAnsi="Tahoma" w:cs="Tahoma"/>
                <w:sz w:val="16"/>
                <w:szCs w:val="16"/>
                <w:lang w:val="es-MX"/>
              </w:rPr>
            </w:pPr>
            <w:r w:rsidRPr="00783F05">
              <w:rPr>
                <w:rFonts w:ascii="Tahoma" w:hAnsi="Tahoma" w:cs="Tahoma"/>
                <w:sz w:val="16"/>
                <w:szCs w:val="16"/>
                <w:lang w:val="es-MX"/>
              </w:rPr>
              <w:t>MEDIO DE CONTROL</w:t>
            </w:r>
          </w:p>
        </w:tc>
        <w:tc>
          <w:tcPr>
            <w:tcW w:w="6735" w:type="dxa"/>
          </w:tcPr>
          <w:p w:rsidR="00767D91" w:rsidRPr="00783F05" w:rsidRDefault="00767D91" w:rsidP="00783F05">
            <w:pPr>
              <w:jc w:val="both"/>
              <w:rPr>
                <w:rFonts w:ascii="Tahoma" w:hAnsi="Tahoma" w:cs="Tahoma"/>
                <w:b/>
                <w:sz w:val="16"/>
                <w:szCs w:val="16"/>
                <w:lang w:val="es-MX"/>
              </w:rPr>
            </w:pPr>
            <w:r w:rsidRPr="00783F05">
              <w:rPr>
                <w:rFonts w:ascii="Tahoma" w:hAnsi="Tahoma" w:cs="Tahoma"/>
                <w:b/>
                <w:sz w:val="16"/>
                <w:szCs w:val="16"/>
                <w:lang w:val="es-MX"/>
              </w:rPr>
              <w:t>REPARACIÓN DIRECTA</w:t>
            </w:r>
          </w:p>
        </w:tc>
      </w:tr>
      <w:tr w:rsidR="00767D91" w:rsidRPr="00783F05" w:rsidTr="00357E8C">
        <w:tc>
          <w:tcPr>
            <w:tcW w:w="1985" w:type="dxa"/>
          </w:tcPr>
          <w:p w:rsidR="00767D91" w:rsidRPr="00783F05" w:rsidRDefault="00767D91" w:rsidP="00783F05">
            <w:pPr>
              <w:jc w:val="both"/>
              <w:rPr>
                <w:rFonts w:ascii="Tahoma" w:hAnsi="Tahoma" w:cs="Tahoma"/>
                <w:sz w:val="16"/>
                <w:szCs w:val="16"/>
                <w:lang w:val="es-MX"/>
              </w:rPr>
            </w:pPr>
            <w:r w:rsidRPr="00783F05">
              <w:rPr>
                <w:rFonts w:ascii="Tahoma" w:hAnsi="Tahoma" w:cs="Tahoma"/>
                <w:sz w:val="16"/>
                <w:szCs w:val="16"/>
                <w:lang w:val="es-MX"/>
              </w:rPr>
              <w:t>ASUNTO</w:t>
            </w:r>
          </w:p>
        </w:tc>
        <w:tc>
          <w:tcPr>
            <w:tcW w:w="6735" w:type="dxa"/>
          </w:tcPr>
          <w:p w:rsidR="00767D91" w:rsidRPr="00783F05" w:rsidRDefault="00767D91" w:rsidP="00783F05">
            <w:pPr>
              <w:jc w:val="both"/>
              <w:rPr>
                <w:rFonts w:ascii="Tahoma" w:hAnsi="Tahoma" w:cs="Tahoma"/>
                <w:sz w:val="16"/>
                <w:szCs w:val="16"/>
                <w:lang w:val="es-MX"/>
              </w:rPr>
            </w:pPr>
            <w:bookmarkStart w:id="0" w:name="_GoBack"/>
            <w:r w:rsidRPr="00783F05">
              <w:rPr>
                <w:rFonts w:ascii="Tahoma" w:hAnsi="Tahoma" w:cs="Tahoma"/>
                <w:b/>
                <w:sz w:val="16"/>
                <w:szCs w:val="16"/>
                <w:lang w:val="es-MX"/>
              </w:rPr>
              <w:t xml:space="preserve">DECIDE RECURSO DE REPOSICIÓN CONTRA AUTO QUE INADMITE DEMANDA- </w:t>
            </w:r>
            <w:r w:rsidRPr="00783F05">
              <w:rPr>
                <w:rFonts w:ascii="Tahoma" w:hAnsi="Tahoma" w:cs="Tahoma"/>
                <w:b/>
                <w:color w:val="000000"/>
                <w:sz w:val="16"/>
                <w:szCs w:val="16"/>
                <w:lang w:val="es-MX"/>
              </w:rPr>
              <w:t>PREVIO A ADMITIR REQUIERE A PARTE ACTORA</w:t>
            </w:r>
            <w:bookmarkEnd w:id="0"/>
          </w:p>
        </w:tc>
      </w:tr>
    </w:tbl>
    <w:p w:rsidR="00767D91" w:rsidRPr="00783F05" w:rsidRDefault="00767D91" w:rsidP="00783F05">
      <w:pPr>
        <w:jc w:val="both"/>
        <w:rPr>
          <w:rFonts w:ascii="Tahoma" w:hAnsi="Tahoma" w:cs="Tahoma"/>
          <w:sz w:val="16"/>
          <w:szCs w:val="16"/>
        </w:rPr>
      </w:pPr>
    </w:p>
    <w:p w:rsidR="00767D91" w:rsidRPr="00783F05" w:rsidRDefault="00767D91" w:rsidP="00783F05">
      <w:pPr>
        <w:jc w:val="both"/>
        <w:rPr>
          <w:rFonts w:ascii="Tahoma" w:hAnsi="Tahoma" w:cs="Tahoma"/>
          <w:sz w:val="16"/>
          <w:szCs w:val="16"/>
        </w:rPr>
      </w:pPr>
      <w:r w:rsidRPr="00783F05">
        <w:rPr>
          <w:rFonts w:ascii="Tahoma" w:hAnsi="Tahoma" w:cs="Tahoma"/>
          <w:sz w:val="16"/>
          <w:szCs w:val="16"/>
        </w:rPr>
        <w:t>La presente demanda pretende que se declare responsable a la NACION-MINISTERIO DE SALUD Y PROTECCION SOCIAL-DEPARTAMENTO DE CUNDINAMARCA-HOSPITAL EL SALVADOR DE UBATE por los perjuicios causados a los demandantes con ocasión de la muerte de su hijo SANTIAGO GUTIERREZ SANABRIA el día 13 de marzo de 2014.</w:t>
      </w:r>
    </w:p>
    <w:p w:rsidR="00767D91" w:rsidRPr="00783F05" w:rsidRDefault="00767D91" w:rsidP="00783F05">
      <w:pPr>
        <w:jc w:val="both"/>
        <w:rPr>
          <w:rFonts w:ascii="Tahoma" w:hAnsi="Tahoma" w:cs="Tahoma"/>
          <w:sz w:val="16"/>
          <w:szCs w:val="16"/>
        </w:rPr>
      </w:pPr>
    </w:p>
    <w:p w:rsidR="00767D91" w:rsidRPr="00783F05" w:rsidRDefault="00767D91" w:rsidP="00783F05">
      <w:pPr>
        <w:jc w:val="both"/>
        <w:rPr>
          <w:rFonts w:ascii="Tahoma" w:hAnsi="Tahoma" w:cs="Tahoma"/>
          <w:sz w:val="16"/>
          <w:szCs w:val="16"/>
        </w:rPr>
      </w:pPr>
      <w:r w:rsidRPr="00783F05">
        <w:rPr>
          <w:rFonts w:ascii="Tahoma" w:hAnsi="Tahoma" w:cs="Tahoma"/>
          <w:sz w:val="16"/>
          <w:szCs w:val="16"/>
        </w:rPr>
        <w:t>Con auto del 16 de marzo de 2016, se inadmitió la demanda para que el actor aclarara unos puntos.</w:t>
      </w:r>
    </w:p>
    <w:p w:rsidR="00767D91" w:rsidRPr="00783F05" w:rsidRDefault="00767D91" w:rsidP="00783F05">
      <w:pPr>
        <w:jc w:val="both"/>
        <w:rPr>
          <w:rFonts w:ascii="Tahoma" w:hAnsi="Tahoma" w:cs="Tahoma"/>
          <w:sz w:val="16"/>
          <w:szCs w:val="16"/>
        </w:rPr>
      </w:pPr>
    </w:p>
    <w:p w:rsidR="00767D91" w:rsidRPr="00783F05" w:rsidRDefault="00767D91" w:rsidP="00783F05">
      <w:pPr>
        <w:jc w:val="both"/>
        <w:rPr>
          <w:rFonts w:ascii="Tahoma" w:hAnsi="Tahoma" w:cs="Tahoma"/>
          <w:sz w:val="16"/>
          <w:szCs w:val="16"/>
        </w:rPr>
      </w:pPr>
      <w:r w:rsidRPr="00783F05">
        <w:rPr>
          <w:rFonts w:ascii="Tahoma" w:hAnsi="Tahoma" w:cs="Tahoma"/>
          <w:sz w:val="16"/>
          <w:szCs w:val="16"/>
        </w:rPr>
        <w:t>En informe secretarial de abril 8 de 2016 anotó: “</w:t>
      </w:r>
      <w:r w:rsidRPr="00783F05">
        <w:rPr>
          <w:rFonts w:ascii="Tahoma" w:hAnsi="Tahoma" w:cs="Tahoma"/>
          <w:i/>
          <w:sz w:val="16"/>
          <w:szCs w:val="16"/>
        </w:rPr>
        <w:t>RECURSO DE REPOSICION CONTRA AUTO QUE INADMITIO DEMANDA, OPORTUNAMENTE INTERPUESTO POR ACTOR (MARZO 28 DE 2016), DEBIDAMENTE TRAMITADO. SÍRVASE PROVEER</w:t>
      </w:r>
      <w:r w:rsidRPr="00783F05">
        <w:rPr>
          <w:rFonts w:ascii="Tahoma" w:hAnsi="Tahoma" w:cs="Tahoma"/>
          <w:sz w:val="16"/>
          <w:szCs w:val="16"/>
        </w:rPr>
        <w:t>”</w:t>
      </w:r>
    </w:p>
    <w:p w:rsidR="00767D91" w:rsidRPr="00783F05" w:rsidRDefault="00767D91" w:rsidP="00783F05">
      <w:pPr>
        <w:jc w:val="both"/>
        <w:rPr>
          <w:rFonts w:ascii="Tahoma" w:hAnsi="Tahoma" w:cs="Tahoma"/>
          <w:b/>
          <w:sz w:val="16"/>
          <w:szCs w:val="16"/>
        </w:rPr>
      </w:pPr>
    </w:p>
    <w:p w:rsidR="00767D91" w:rsidRPr="00783F05" w:rsidRDefault="00767D91" w:rsidP="00783F05">
      <w:pPr>
        <w:rPr>
          <w:rFonts w:ascii="Tahoma" w:hAnsi="Tahoma" w:cs="Tahoma"/>
          <w:sz w:val="16"/>
          <w:szCs w:val="16"/>
        </w:rPr>
      </w:pPr>
      <w:r w:rsidRPr="00783F05">
        <w:rPr>
          <w:rFonts w:ascii="Tahoma" w:hAnsi="Tahoma" w:cs="Tahoma"/>
          <w:sz w:val="16"/>
          <w:szCs w:val="16"/>
        </w:rPr>
        <w:t>Procede el Despacho a pronunciarse sobre lo anotado.</w:t>
      </w:r>
    </w:p>
    <w:p w:rsidR="00767D91" w:rsidRPr="00783F05" w:rsidRDefault="00767D91" w:rsidP="00783F05">
      <w:pPr>
        <w:rPr>
          <w:rFonts w:ascii="Tahoma" w:hAnsi="Tahoma" w:cs="Tahoma"/>
          <w:sz w:val="16"/>
          <w:szCs w:val="16"/>
        </w:rPr>
      </w:pPr>
    </w:p>
    <w:p w:rsidR="00767D91" w:rsidRPr="00783F05" w:rsidRDefault="00767D91" w:rsidP="00783F05">
      <w:pPr>
        <w:jc w:val="center"/>
        <w:rPr>
          <w:rFonts w:ascii="Tahoma" w:hAnsi="Tahoma" w:cs="Tahoma"/>
          <w:b/>
          <w:sz w:val="16"/>
          <w:szCs w:val="16"/>
        </w:rPr>
      </w:pPr>
      <w:r w:rsidRPr="00783F05">
        <w:rPr>
          <w:rFonts w:ascii="Tahoma" w:hAnsi="Tahoma" w:cs="Tahoma"/>
          <w:b/>
          <w:sz w:val="16"/>
          <w:szCs w:val="16"/>
        </w:rPr>
        <w:t>CONSIDERACIONES</w:t>
      </w:r>
    </w:p>
    <w:p w:rsidR="00767D91" w:rsidRPr="00783F05" w:rsidRDefault="00767D91" w:rsidP="00783F05">
      <w:pPr>
        <w:rPr>
          <w:rFonts w:ascii="Tahoma" w:hAnsi="Tahoma" w:cs="Tahoma"/>
          <w:b/>
          <w:sz w:val="16"/>
          <w:szCs w:val="16"/>
        </w:rPr>
      </w:pPr>
    </w:p>
    <w:p w:rsidR="00767D91" w:rsidRPr="00783F05" w:rsidRDefault="00767D91" w:rsidP="00783F05">
      <w:pPr>
        <w:rPr>
          <w:rFonts w:ascii="Tahoma" w:hAnsi="Tahoma" w:cs="Tahoma"/>
          <w:sz w:val="16"/>
          <w:szCs w:val="16"/>
        </w:rPr>
      </w:pPr>
      <w:r w:rsidRPr="00783F05">
        <w:rPr>
          <w:rFonts w:ascii="Tahoma" w:hAnsi="Tahoma" w:cs="Tahoma"/>
          <w:b/>
          <w:sz w:val="16"/>
          <w:szCs w:val="16"/>
        </w:rPr>
        <w:t>1. Del recurso de reposición, oportunidad y procedencia.</w:t>
      </w:r>
      <w:bookmarkStart w:id="1" w:name="180"/>
      <w:bookmarkEnd w:id="1"/>
    </w:p>
    <w:p w:rsidR="00767D91" w:rsidRPr="00783F05" w:rsidRDefault="00767D91" w:rsidP="00783F05">
      <w:pPr>
        <w:jc w:val="both"/>
        <w:rPr>
          <w:rFonts w:ascii="Tahoma" w:hAnsi="Tahoma" w:cs="Tahoma"/>
          <w:sz w:val="16"/>
          <w:szCs w:val="16"/>
        </w:rPr>
      </w:pPr>
    </w:p>
    <w:p w:rsidR="00767D91" w:rsidRPr="00783F05" w:rsidRDefault="00767D91" w:rsidP="00783F05">
      <w:pPr>
        <w:jc w:val="both"/>
        <w:rPr>
          <w:rFonts w:ascii="Tahoma" w:hAnsi="Tahoma" w:cs="Tahoma"/>
          <w:sz w:val="16"/>
          <w:szCs w:val="16"/>
        </w:rPr>
      </w:pPr>
      <w:r w:rsidRPr="00783F05">
        <w:rPr>
          <w:rFonts w:ascii="Tahoma" w:hAnsi="Tahoma" w:cs="Tahoma"/>
          <w:sz w:val="16"/>
          <w:szCs w:val="16"/>
        </w:rPr>
        <w:t xml:space="preserve">El artículo 242 del código de procedimiento administrativo y de lo contencioso administrativo señala que el recurso de reposición procede, entre otros, contra los autos que </w:t>
      </w:r>
      <w:r w:rsidRPr="00783F05">
        <w:rPr>
          <w:rFonts w:ascii="Tahoma" w:hAnsi="Tahoma" w:cs="Tahoma"/>
          <w:b/>
          <w:sz w:val="16"/>
          <w:szCs w:val="16"/>
        </w:rPr>
        <w:t>no sean susceptibles de recurso de apelación</w:t>
      </w:r>
      <w:r w:rsidRPr="00783F05">
        <w:rPr>
          <w:rFonts w:ascii="Tahoma" w:hAnsi="Tahoma" w:cs="Tahoma"/>
          <w:sz w:val="16"/>
          <w:szCs w:val="16"/>
        </w:rPr>
        <w:t>.</w:t>
      </w:r>
    </w:p>
    <w:p w:rsidR="00767D91" w:rsidRPr="00783F05" w:rsidRDefault="00767D91" w:rsidP="00783F05">
      <w:pPr>
        <w:jc w:val="both"/>
        <w:rPr>
          <w:rFonts w:ascii="Tahoma" w:hAnsi="Tahoma" w:cs="Tahoma"/>
          <w:sz w:val="16"/>
          <w:szCs w:val="16"/>
        </w:rPr>
      </w:pPr>
    </w:p>
    <w:p w:rsidR="00767D91" w:rsidRPr="00783F05" w:rsidRDefault="00767D91" w:rsidP="00783F05">
      <w:pPr>
        <w:jc w:val="both"/>
        <w:rPr>
          <w:rFonts w:ascii="Tahoma" w:hAnsi="Tahoma" w:cs="Tahoma"/>
          <w:sz w:val="16"/>
          <w:szCs w:val="16"/>
        </w:rPr>
      </w:pPr>
      <w:r w:rsidRPr="00783F05">
        <w:rPr>
          <w:rFonts w:ascii="Tahoma" w:hAnsi="Tahoma" w:cs="Tahoma"/>
          <w:sz w:val="16"/>
          <w:szCs w:val="16"/>
        </w:rPr>
        <w:t xml:space="preserve">A su vez, el artículo 243 ibídem señala que los </w:t>
      </w:r>
      <w:r w:rsidRPr="00783F05">
        <w:rPr>
          <w:rFonts w:ascii="Tahoma" w:hAnsi="Tahoma" w:cs="Tahoma"/>
          <w:b/>
          <w:sz w:val="16"/>
          <w:szCs w:val="16"/>
        </w:rPr>
        <w:t>autos susceptibles de apelación y proferidos en la misma instancia por los jueces administrativos son</w:t>
      </w:r>
      <w:r w:rsidRPr="00783F05">
        <w:rPr>
          <w:rFonts w:ascii="Tahoma" w:hAnsi="Tahoma" w:cs="Tahoma"/>
          <w:sz w:val="16"/>
          <w:szCs w:val="16"/>
        </w:rPr>
        <w:t>:</w:t>
      </w:r>
    </w:p>
    <w:p w:rsidR="00767D91" w:rsidRPr="00783F05" w:rsidRDefault="00767D91" w:rsidP="00783F05">
      <w:pPr>
        <w:jc w:val="both"/>
        <w:rPr>
          <w:rFonts w:ascii="Tahoma" w:hAnsi="Tahoma" w:cs="Tahoma"/>
          <w:sz w:val="16"/>
          <w:szCs w:val="16"/>
        </w:rPr>
      </w:pPr>
    </w:p>
    <w:p w:rsidR="00767D91" w:rsidRPr="00783F05" w:rsidRDefault="00767D91" w:rsidP="00783F05">
      <w:pPr>
        <w:jc w:val="both"/>
        <w:rPr>
          <w:rFonts w:ascii="Tahoma" w:hAnsi="Tahoma" w:cs="Tahoma"/>
          <w:i/>
          <w:sz w:val="16"/>
          <w:szCs w:val="16"/>
        </w:rPr>
      </w:pPr>
      <w:r w:rsidRPr="00783F05">
        <w:rPr>
          <w:rFonts w:ascii="Tahoma" w:hAnsi="Tahoma" w:cs="Tahoma"/>
          <w:i/>
          <w:sz w:val="16"/>
          <w:szCs w:val="16"/>
        </w:rPr>
        <w:t>“1. El que rechace la demanda.</w:t>
      </w:r>
    </w:p>
    <w:p w:rsidR="00767D91" w:rsidRPr="00783F05" w:rsidRDefault="00767D91" w:rsidP="00783F05">
      <w:pPr>
        <w:jc w:val="both"/>
        <w:rPr>
          <w:rFonts w:ascii="Tahoma" w:hAnsi="Tahoma" w:cs="Tahoma"/>
          <w:i/>
          <w:sz w:val="16"/>
          <w:szCs w:val="16"/>
        </w:rPr>
      </w:pPr>
      <w:r w:rsidRPr="00783F05">
        <w:rPr>
          <w:rFonts w:ascii="Tahoma" w:hAnsi="Tahoma" w:cs="Tahoma"/>
          <w:i/>
          <w:sz w:val="16"/>
          <w:szCs w:val="16"/>
        </w:rPr>
        <w:t>2. El que decrete una medida cautelar y el que resuelva los incidentes de responsabilidad y desacato en ese mismo trámite.</w:t>
      </w:r>
    </w:p>
    <w:p w:rsidR="00767D91" w:rsidRPr="00783F05" w:rsidRDefault="00767D91" w:rsidP="00783F05">
      <w:pPr>
        <w:jc w:val="both"/>
        <w:rPr>
          <w:rFonts w:ascii="Tahoma" w:hAnsi="Tahoma" w:cs="Tahoma"/>
          <w:i/>
          <w:sz w:val="16"/>
          <w:szCs w:val="16"/>
        </w:rPr>
      </w:pPr>
      <w:r w:rsidRPr="00783F05">
        <w:rPr>
          <w:rFonts w:ascii="Tahoma" w:hAnsi="Tahoma" w:cs="Tahoma"/>
          <w:i/>
          <w:sz w:val="16"/>
          <w:szCs w:val="16"/>
        </w:rPr>
        <w:t>3. El que ponga fin al proceso.</w:t>
      </w:r>
    </w:p>
    <w:p w:rsidR="00767D91" w:rsidRPr="00783F05" w:rsidRDefault="00767D91" w:rsidP="00783F05">
      <w:pPr>
        <w:jc w:val="both"/>
        <w:rPr>
          <w:rFonts w:ascii="Tahoma" w:hAnsi="Tahoma" w:cs="Tahoma"/>
          <w:i/>
          <w:sz w:val="16"/>
          <w:szCs w:val="16"/>
        </w:rPr>
      </w:pPr>
      <w:r w:rsidRPr="00783F05">
        <w:rPr>
          <w:rFonts w:ascii="Tahoma" w:hAnsi="Tahoma" w:cs="Tahoma"/>
          <w:i/>
          <w:sz w:val="16"/>
          <w:szCs w:val="16"/>
        </w:rPr>
        <w:t>4. El que apruebe conciliaciones extrajudiciales o judiciales, recurso que solo podrá ser interpuesto por el Ministerio Público.</w:t>
      </w:r>
    </w:p>
    <w:p w:rsidR="00767D91" w:rsidRPr="00783F05" w:rsidRDefault="00767D91" w:rsidP="00783F05">
      <w:pPr>
        <w:jc w:val="both"/>
        <w:rPr>
          <w:rFonts w:ascii="Tahoma" w:hAnsi="Tahoma" w:cs="Tahoma"/>
          <w:i/>
          <w:sz w:val="16"/>
          <w:szCs w:val="16"/>
        </w:rPr>
      </w:pPr>
      <w:r w:rsidRPr="00783F05">
        <w:rPr>
          <w:rFonts w:ascii="Tahoma" w:hAnsi="Tahoma" w:cs="Tahoma"/>
          <w:i/>
          <w:sz w:val="16"/>
          <w:szCs w:val="16"/>
        </w:rPr>
        <w:t>5. El que resuelva la liquidación de la condena o de los perjuicios.</w:t>
      </w:r>
    </w:p>
    <w:p w:rsidR="00767D91" w:rsidRPr="00783F05" w:rsidRDefault="00767D91" w:rsidP="00783F05">
      <w:pPr>
        <w:jc w:val="both"/>
        <w:rPr>
          <w:rFonts w:ascii="Tahoma" w:hAnsi="Tahoma" w:cs="Tahoma"/>
          <w:i/>
          <w:sz w:val="16"/>
          <w:szCs w:val="16"/>
        </w:rPr>
      </w:pPr>
      <w:r w:rsidRPr="00783F05">
        <w:rPr>
          <w:rFonts w:ascii="Tahoma" w:hAnsi="Tahoma" w:cs="Tahoma"/>
          <w:i/>
          <w:sz w:val="16"/>
          <w:szCs w:val="16"/>
        </w:rPr>
        <w:t>6. El que decreta las nulidades procesales.</w:t>
      </w:r>
    </w:p>
    <w:p w:rsidR="00767D91" w:rsidRPr="00783F05" w:rsidRDefault="00767D91" w:rsidP="00783F05">
      <w:pPr>
        <w:jc w:val="both"/>
        <w:rPr>
          <w:rFonts w:ascii="Tahoma" w:hAnsi="Tahoma" w:cs="Tahoma"/>
          <w:i/>
          <w:sz w:val="16"/>
          <w:szCs w:val="16"/>
        </w:rPr>
      </w:pPr>
      <w:r w:rsidRPr="00783F05">
        <w:rPr>
          <w:rFonts w:ascii="Tahoma" w:hAnsi="Tahoma" w:cs="Tahoma"/>
          <w:i/>
          <w:sz w:val="16"/>
          <w:szCs w:val="16"/>
        </w:rPr>
        <w:t>7. El que niega la intervención de terceros.</w:t>
      </w:r>
    </w:p>
    <w:p w:rsidR="00767D91" w:rsidRPr="00783F05" w:rsidRDefault="00767D91" w:rsidP="00783F05">
      <w:pPr>
        <w:jc w:val="both"/>
        <w:rPr>
          <w:rFonts w:ascii="Tahoma" w:hAnsi="Tahoma" w:cs="Tahoma"/>
          <w:i/>
          <w:sz w:val="16"/>
          <w:szCs w:val="16"/>
        </w:rPr>
      </w:pPr>
      <w:r w:rsidRPr="00783F05">
        <w:rPr>
          <w:rFonts w:ascii="Tahoma" w:hAnsi="Tahoma" w:cs="Tahoma"/>
          <w:i/>
          <w:sz w:val="16"/>
          <w:szCs w:val="16"/>
        </w:rPr>
        <w:t>8. El que prescinda de la audiencia de pruebas.</w:t>
      </w:r>
    </w:p>
    <w:p w:rsidR="00767D91" w:rsidRPr="00783F05" w:rsidRDefault="00767D91" w:rsidP="00783F05">
      <w:pPr>
        <w:jc w:val="both"/>
        <w:rPr>
          <w:rFonts w:ascii="Tahoma" w:hAnsi="Tahoma" w:cs="Tahoma"/>
          <w:i/>
          <w:sz w:val="16"/>
          <w:szCs w:val="16"/>
        </w:rPr>
      </w:pPr>
      <w:r w:rsidRPr="00783F05">
        <w:rPr>
          <w:rFonts w:ascii="Tahoma" w:hAnsi="Tahoma" w:cs="Tahoma"/>
          <w:i/>
          <w:sz w:val="16"/>
          <w:szCs w:val="16"/>
        </w:rPr>
        <w:t>9. El que deniegue el decreto o práctica de alguna prueba pedida oportunamente”</w:t>
      </w:r>
    </w:p>
    <w:p w:rsidR="00767D91" w:rsidRPr="00783F05" w:rsidRDefault="00767D91" w:rsidP="00783F05">
      <w:pPr>
        <w:jc w:val="both"/>
        <w:rPr>
          <w:rFonts w:ascii="Tahoma" w:hAnsi="Tahoma" w:cs="Tahoma"/>
          <w:i/>
          <w:sz w:val="16"/>
          <w:szCs w:val="16"/>
        </w:rPr>
      </w:pPr>
    </w:p>
    <w:p w:rsidR="00767D91" w:rsidRPr="00783F05" w:rsidRDefault="00767D91" w:rsidP="00783F05">
      <w:pPr>
        <w:jc w:val="both"/>
        <w:rPr>
          <w:rFonts w:ascii="Tahoma" w:hAnsi="Tahoma" w:cs="Tahoma"/>
          <w:sz w:val="16"/>
          <w:szCs w:val="16"/>
        </w:rPr>
      </w:pPr>
      <w:r w:rsidRPr="00783F05">
        <w:rPr>
          <w:rFonts w:ascii="Tahoma" w:hAnsi="Tahoma" w:cs="Tahoma"/>
          <w:sz w:val="16"/>
          <w:szCs w:val="16"/>
        </w:rPr>
        <w:t xml:space="preserve">En el caso bajo estudio la providencia recurrida solo es susceptible del recurso de reposición, razón por la cual se procederá a su estudio. </w:t>
      </w:r>
    </w:p>
    <w:p w:rsidR="00767D91" w:rsidRPr="00783F05" w:rsidRDefault="00767D91" w:rsidP="00783F05">
      <w:pPr>
        <w:jc w:val="both"/>
        <w:rPr>
          <w:rFonts w:ascii="Tahoma" w:hAnsi="Tahoma" w:cs="Tahoma"/>
          <w:sz w:val="16"/>
          <w:szCs w:val="16"/>
        </w:rPr>
      </w:pPr>
    </w:p>
    <w:p w:rsidR="00767D91" w:rsidRPr="00783F05" w:rsidRDefault="00767D91" w:rsidP="00783F05">
      <w:pPr>
        <w:pStyle w:val="nueve-"/>
        <w:spacing w:before="0" w:after="0"/>
        <w:ind w:firstLine="0"/>
        <w:rPr>
          <w:rFonts w:ascii="Tahoma" w:hAnsi="Tahoma" w:cs="Tahoma"/>
          <w:sz w:val="16"/>
          <w:szCs w:val="16"/>
        </w:rPr>
      </w:pPr>
      <w:r w:rsidRPr="00783F05">
        <w:rPr>
          <w:rFonts w:ascii="Tahoma" w:hAnsi="Tahoma" w:cs="Tahoma"/>
          <w:sz w:val="16"/>
          <w:szCs w:val="16"/>
        </w:rPr>
        <w:t xml:space="preserve">Dicho recurso debe interponerse dentro de los </w:t>
      </w:r>
      <w:r w:rsidRPr="00783F05">
        <w:rPr>
          <w:rFonts w:ascii="Tahoma" w:hAnsi="Tahoma" w:cs="Tahoma"/>
          <w:b/>
          <w:sz w:val="16"/>
          <w:szCs w:val="16"/>
        </w:rPr>
        <w:t>tres (3)</w:t>
      </w:r>
      <w:r w:rsidRPr="00783F05">
        <w:rPr>
          <w:rFonts w:ascii="Tahoma" w:hAnsi="Tahoma" w:cs="Tahoma"/>
          <w:sz w:val="16"/>
          <w:szCs w:val="16"/>
        </w:rPr>
        <w:t xml:space="preserve"> días siguientes al de la notificación del auto, excepto cuando éste se haya dictado en una audiencia o diligencia, caso en el cual debe interponerse en forma verbal inmediatamente se pronuncie el auto (Artículo 349 Código de Procedimiento Civil).</w:t>
      </w:r>
    </w:p>
    <w:p w:rsidR="00767D91" w:rsidRPr="00783F05" w:rsidRDefault="00767D91" w:rsidP="00783F05">
      <w:pPr>
        <w:pStyle w:val="nueve-"/>
        <w:spacing w:before="0" w:after="0"/>
        <w:ind w:firstLine="0"/>
        <w:rPr>
          <w:rFonts w:ascii="Tahoma" w:hAnsi="Tahoma" w:cs="Tahoma"/>
          <w:sz w:val="16"/>
          <w:szCs w:val="16"/>
        </w:rPr>
      </w:pPr>
    </w:p>
    <w:p w:rsidR="00767D91" w:rsidRPr="00783F05" w:rsidRDefault="00767D91" w:rsidP="00783F05">
      <w:pPr>
        <w:jc w:val="both"/>
        <w:rPr>
          <w:rFonts w:ascii="Tahoma" w:hAnsi="Tahoma" w:cs="Tahoma"/>
          <w:sz w:val="16"/>
          <w:szCs w:val="16"/>
        </w:rPr>
      </w:pPr>
      <w:r w:rsidRPr="00783F05">
        <w:rPr>
          <w:rFonts w:ascii="Tahoma" w:hAnsi="Tahoma" w:cs="Tahoma"/>
          <w:sz w:val="16"/>
          <w:szCs w:val="16"/>
        </w:rPr>
        <w:t xml:space="preserve">El auto recurrido fue notificado por estado el </w:t>
      </w:r>
      <w:r w:rsidR="00271C30">
        <w:rPr>
          <w:rFonts w:ascii="Tahoma" w:hAnsi="Tahoma" w:cs="Tahoma"/>
          <w:sz w:val="16"/>
          <w:szCs w:val="16"/>
        </w:rPr>
        <w:t>17 de marzo</w:t>
      </w:r>
      <w:r w:rsidRPr="00783F05">
        <w:rPr>
          <w:rFonts w:ascii="Tahoma" w:hAnsi="Tahoma" w:cs="Tahoma"/>
          <w:sz w:val="16"/>
          <w:szCs w:val="16"/>
        </w:rPr>
        <w:t xml:space="preserve"> de 2016, por lo que el actor tenía hasta el </w:t>
      </w:r>
      <w:r w:rsidR="00271C30">
        <w:rPr>
          <w:rFonts w:ascii="Tahoma" w:hAnsi="Tahoma" w:cs="Tahoma"/>
          <w:sz w:val="16"/>
          <w:szCs w:val="16"/>
        </w:rPr>
        <w:t>29 de marzo</w:t>
      </w:r>
      <w:r w:rsidRPr="00783F05">
        <w:rPr>
          <w:rFonts w:ascii="Tahoma" w:hAnsi="Tahoma" w:cs="Tahoma"/>
          <w:sz w:val="16"/>
          <w:szCs w:val="16"/>
        </w:rPr>
        <w:t xml:space="preserve"> de la misma anualidad para presentar el recurso de reposición </w:t>
      </w:r>
      <w:r w:rsidR="00271C30">
        <w:rPr>
          <w:rFonts w:ascii="Tahoma" w:hAnsi="Tahoma" w:cs="Tahoma"/>
          <w:sz w:val="16"/>
          <w:szCs w:val="16"/>
        </w:rPr>
        <w:t xml:space="preserve">y como quiera que el mismo </w:t>
      </w:r>
      <w:proofErr w:type="gramStart"/>
      <w:r w:rsidR="00271C30">
        <w:rPr>
          <w:rFonts w:ascii="Tahoma" w:hAnsi="Tahoma" w:cs="Tahoma"/>
          <w:sz w:val="16"/>
          <w:szCs w:val="16"/>
        </w:rPr>
        <w:t>fue</w:t>
      </w:r>
      <w:proofErr w:type="gramEnd"/>
      <w:r w:rsidR="00271C30">
        <w:rPr>
          <w:rFonts w:ascii="Tahoma" w:hAnsi="Tahoma" w:cs="Tahoma"/>
          <w:sz w:val="16"/>
          <w:szCs w:val="16"/>
        </w:rPr>
        <w:t xml:space="preserve"> presentado</w:t>
      </w:r>
      <w:r w:rsidRPr="00783F05">
        <w:rPr>
          <w:rFonts w:ascii="Tahoma" w:hAnsi="Tahoma" w:cs="Tahoma"/>
          <w:sz w:val="16"/>
          <w:szCs w:val="16"/>
        </w:rPr>
        <w:t xml:space="preserve"> </w:t>
      </w:r>
      <w:r w:rsidR="00271C30">
        <w:rPr>
          <w:rFonts w:ascii="Tahoma" w:hAnsi="Tahoma" w:cs="Tahoma"/>
          <w:sz w:val="16"/>
          <w:szCs w:val="16"/>
        </w:rPr>
        <w:t>el 28 de marzo de 2016</w:t>
      </w:r>
      <w:r w:rsidRPr="00783F05">
        <w:rPr>
          <w:rFonts w:ascii="Tahoma" w:hAnsi="Tahoma" w:cs="Tahoma"/>
          <w:sz w:val="16"/>
          <w:szCs w:val="16"/>
        </w:rPr>
        <w:t xml:space="preserve"> encuentra el Despacho que fue presentado en tiempo.</w:t>
      </w:r>
    </w:p>
    <w:p w:rsidR="00767D91" w:rsidRPr="00783F05" w:rsidRDefault="00767D91" w:rsidP="00783F05">
      <w:pPr>
        <w:jc w:val="both"/>
        <w:rPr>
          <w:rFonts w:ascii="Tahoma" w:hAnsi="Tahoma" w:cs="Tahoma"/>
          <w:sz w:val="16"/>
          <w:szCs w:val="16"/>
        </w:rPr>
      </w:pPr>
    </w:p>
    <w:p w:rsidR="00767D91" w:rsidRPr="00783F05" w:rsidRDefault="00767D91" w:rsidP="00783F05">
      <w:pPr>
        <w:rPr>
          <w:rFonts w:ascii="Tahoma" w:hAnsi="Tahoma" w:cs="Tahoma"/>
          <w:b/>
          <w:sz w:val="16"/>
          <w:szCs w:val="16"/>
        </w:rPr>
      </w:pPr>
      <w:r w:rsidRPr="00783F05">
        <w:rPr>
          <w:rFonts w:ascii="Tahoma" w:hAnsi="Tahoma" w:cs="Tahoma"/>
          <w:b/>
          <w:sz w:val="16"/>
          <w:szCs w:val="16"/>
        </w:rPr>
        <w:t>2. Estudio del recurso</w:t>
      </w:r>
    </w:p>
    <w:p w:rsidR="00767D91" w:rsidRPr="00783F05" w:rsidRDefault="00767D91" w:rsidP="00783F05">
      <w:pPr>
        <w:jc w:val="both"/>
        <w:rPr>
          <w:rFonts w:ascii="Tahoma" w:hAnsi="Tahoma" w:cs="Tahoma"/>
          <w:sz w:val="16"/>
          <w:szCs w:val="16"/>
        </w:rPr>
      </w:pPr>
    </w:p>
    <w:p w:rsidR="00767D91" w:rsidRPr="00783F05" w:rsidRDefault="00767D91" w:rsidP="00783F05">
      <w:pPr>
        <w:pStyle w:val="Style3"/>
        <w:numPr>
          <w:ilvl w:val="1"/>
          <w:numId w:val="1"/>
        </w:numPr>
        <w:tabs>
          <w:tab w:val="left" w:pos="426"/>
        </w:tabs>
        <w:spacing w:line="240" w:lineRule="auto"/>
        <w:ind w:left="0" w:firstLine="0"/>
        <w:rPr>
          <w:rStyle w:val="FontStyle15"/>
          <w:rFonts w:ascii="Tahoma" w:hAnsi="Tahoma" w:cs="Tahoma"/>
          <w:i/>
          <w:sz w:val="16"/>
          <w:szCs w:val="16"/>
        </w:rPr>
      </w:pPr>
      <w:r w:rsidRPr="00783F05">
        <w:rPr>
          <w:rStyle w:val="FontStyle15"/>
          <w:rFonts w:ascii="Tahoma" w:hAnsi="Tahoma" w:cs="Tahoma"/>
          <w:sz w:val="16"/>
          <w:szCs w:val="16"/>
          <w:lang w:val="es-ES_tradnl" w:eastAsia="es-ES_tradnl"/>
        </w:rPr>
        <w:t xml:space="preserve">Indica el apoderado de la parte actora que: </w:t>
      </w:r>
    </w:p>
    <w:p w:rsidR="00517ACB" w:rsidRPr="00783F05" w:rsidRDefault="00517ACB" w:rsidP="00783F05">
      <w:pPr>
        <w:pStyle w:val="Style3"/>
        <w:tabs>
          <w:tab w:val="left" w:pos="426"/>
        </w:tabs>
        <w:spacing w:line="240" w:lineRule="auto"/>
        <w:rPr>
          <w:rStyle w:val="FontStyle15"/>
          <w:rFonts w:ascii="Tahoma" w:hAnsi="Tahoma" w:cs="Tahoma"/>
          <w:sz w:val="16"/>
          <w:szCs w:val="16"/>
          <w:lang w:val="es-ES_tradnl" w:eastAsia="es-ES_tradnl"/>
        </w:rPr>
      </w:pPr>
    </w:p>
    <w:p w:rsidR="00517ACB" w:rsidRPr="00783F05" w:rsidRDefault="00517ACB" w:rsidP="00783F05">
      <w:pPr>
        <w:pStyle w:val="Style3"/>
        <w:tabs>
          <w:tab w:val="left" w:pos="426"/>
        </w:tabs>
        <w:spacing w:line="240" w:lineRule="auto"/>
        <w:rPr>
          <w:rStyle w:val="FontStyle15"/>
          <w:rFonts w:ascii="Tahoma" w:hAnsi="Tahoma" w:cs="Tahoma"/>
          <w:i/>
          <w:sz w:val="16"/>
          <w:szCs w:val="16"/>
          <w:lang w:val="es-ES_tradnl" w:eastAsia="es-ES_tradnl"/>
        </w:rPr>
      </w:pPr>
      <w:r w:rsidRPr="00783F05">
        <w:rPr>
          <w:rStyle w:val="FontStyle15"/>
          <w:rFonts w:ascii="Tahoma" w:hAnsi="Tahoma" w:cs="Tahoma"/>
          <w:i/>
          <w:sz w:val="16"/>
          <w:szCs w:val="16"/>
          <w:lang w:val="es-ES_tradnl" w:eastAsia="es-ES_tradnl"/>
        </w:rPr>
        <w:t>“</w:t>
      </w:r>
      <w:r w:rsidR="00357E8C">
        <w:rPr>
          <w:rStyle w:val="FontStyle15"/>
          <w:rFonts w:ascii="Tahoma" w:hAnsi="Tahoma" w:cs="Tahoma"/>
          <w:i/>
          <w:sz w:val="16"/>
          <w:szCs w:val="16"/>
          <w:lang w:val="es-ES_tradnl" w:eastAsia="es-ES_tradnl"/>
        </w:rPr>
        <w:t xml:space="preserve">(…) </w:t>
      </w:r>
      <w:r w:rsidRPr="00783F05">
        <w:rPr>
          <w:rStyle w:val="FontStyle15"/>
          <w:rFonts w:ascii="Tahoma" w:hAnsi="Tahoma" w:cs="Tahoma"/>
          <w:i/>
          <w:sz w:val="16"/>
          <w:szCs w:val="16"/>
          <w:lang w:val="es-ES_tradnl" w:eastAsia="es-ES_tradnl"/>
        </w:rPr>
        <w:t>Fundamento mi recurso en los siguientes hechos:</w:t>
      </w:r>
    </w:p>
    <w:p w:rsidR="00517ACB" w:rsidRPr="00783F05" w:rsidRDefault="00517ACB" w:rsidP="00783F05">
      <w:pPr>
        <w:pStyle w:val="Style3"/>
        <w:tabs>
          <w:tab w:val="left" w:pos="426"/>
        </w:tabs>
        <w:spacing w:line="240" w:lineRule="auto"/>
        <w:rPr>
          <w:rStyle w:val="FontStyle15"/>
          <w:rFonts w:ascii="Tahoma" w:hAnsi="Tahoma" w:cs="Tahoma"/>
          <w:i/>
          <w:sz w:val="16"/>
          <w:szCs w:val="16"/>
          <w:lang w:val="es-ES_tradnl" w:eastAsia="es-ES_tradnl"/>
        </w:rPr>
      </w:pPr>
    </w:p>
    <w:p w:rsidR="00517ACB" w:rsidRPr="00783F05" w:rsidRDefault="00517ACB" w:rsidP="00783F05">
      <w:pPr>
        <w:pStyle w:val="Style3"/>
        <w:tabs>
          <w:tab w:val="left" w:pos="426"/>
        </w:tabs>
        <w:spacing w:line="240" w:lineRule="auto"/>
        <w:rPr>
          <w:rStyle w:val="FontStyle15"/>
          <w:rFonts w:ascii="Tahoma" w:hAnsi="Tahoma" w:cs="Tahoma"/>
          <w:i/>
          <w:sz w:val="16"/>
          <w:szCs w:val="16"/>
          <w:lang w:val="es-ES_tradnl" w:eastAsia="es-ES_tradnl"/>
        </w:rPr>
      </w:pPr>
      <w:r w:rsidRPr="00783F05">
        <w:rPr>
          <w:rStyle w:val="FontStyle15"/>
          <w:rFonts w:ascii="Tahoma" w:hAnsi="Tahoma" w:cs="Tahoma"/>
          <w:i/>
          <w:sz w:val="16"/>
          <w:szCs w:val="16"/>
          <w:lang w:val="es-ES_tradnl" w:eastAsia="es-ES_tradnl"/>
        </w:rPr>
        <w:t>1. Tres son los motivos de la inadmisión: UNO, porque “no es clara la legitimación en la causa por pasiva del MINISTERIO DE SALUD Y PROTECCION SOCIAL y el DEPARTAMENTO DE CUNDINAMARCA” DOS, “No es claro si el actor también pretende demandar a la SECRETARIA DE SALUD”. TRES, “En la constancia de conciliación no se encuentran las pretensiones solicitadas” (pág. 3 de la providencia, numeral “2. El caso en estudio”).</w:t>
      </w:r>
    </w:p>
    <w:p w:rsidR="00517ACB" w:rsidRPr="00783F05" w:rsidRDefault="00517ACB" w:rsidP="00783F05">
      <w:pPr>
        <w:pStyle w:val="Style3"/>
        <w:tabs>
          <w:tab w:val="left" w:pos="426"/>
        </w:tabs>
        <w:spacing w:line="240" w:lineRule="auto"/>
        <w:rPr>
          <w:rStyle w:val="FontStyle15"/>
          <w:rFonts w:ascii="Tahoma" w:hAnsi="Tahoma" w:cs="Tahoma"/>
          <w:i/>
          <w:sz w:val="16"/>
          <w:szCs w:val="16"/>
          <w:lang w:val="es-ES_tradnl" w:eastAsia="es-ES_tradnl"/>
        </w:rPr>
      </w:pPr>
    </w:p>
    <w:p w:rsidR="00517ACB" w:rsidRPr="00783F05" w:rsidRDefault="00517ACB" w:rsidP="00783F05">
      <w:pPr>
        <w:pStyle w:val="Style3"/>
        <w:tabs>
          <w:tab w:val="left" w:pos="426"/>
        </w:tabs>
        <w:spacing w:line="240" w:lineRule="auto"/>
        <w:rPr>
          <w:rStyle w:val="FontStyle15"/>
          <w:rFonts w:ascii="Tahoma" w:hAnsi="Tahoma" w:cs="Tahoma"/>
          <w:i/>
          <w:sz w:val="16"/>
          <w:szCs w:val="16"/>
          <w:lang w:val="es-ES_tradnl" w:eastAsia="es-ES_tradnl"/>
        </w:rPr>
      </w:pPr>
      <w:r w:rsidRPr="00783F05">
        <w:rPr>
          <w:rStyle w:val="FontStyle15"/>
          <w:rFonts w:ascii="Tahoma" w:hAnsi="Tahoma" w:cs="Tahoma"/>
          <w:i/>
          <w:sz w:val="16"/>
          <w:szCs w:val="16"/>
          <w:lang w:val="es-ES_tradnl" w:eastAsia="es-ES_tradnl"/>
        </w:rPr>
        <w:t>2. En cuanto al primer motivo, considera que no hay razón porque:</w:t>
      </w:r>
    </w:p>
    <w:p w:rsidR="00517ACB" w:rsidRPr="00783F05" w:rsidRDefault="00517ACB" w:rsidP="00783F05">
      <w:pPr>
        <w:pStyle w:val="Style3"/>
        <w:tabs>
          <w:tab w:val="left" w:pos="426"/>
        </w:tabs>
        <w:spacing w:line="240" w:lineRule="auto"/>
        <w:rPr>
          <w:rStyle w:val="FontStyle15"/>
          <w:rFonts w:ascii="Tahoma" w:hAnsi="Tahoma" w:cs="Tahoma"/>
          <w:i/>
          <w:sz w:val="16"/>
          <w:szCs w:val="16"/>
          <w:lang w:val="es-ES_tradnl" w:eastAsia="es-ES_tradnl"/>
        </w:rPr>
      </w:pPr>
    </w:p>
    <w:p w:rsidR="00517ACB" w:rsidRPr="00783F05" w:rsidRDefault="00517ACB" w:rsidP="00783F05">
      <w:pPr>
        <w:pStyle w:val="Style3"/>
        <w:tabs>
          <w:tab w:val="left" w:pos="426"/>
        </w:tabs>
        <w:spacing w:line="240" w:lineRule="auto"/>
        <w:rPr>
          <w:rStyle w:val="FontStyle15"/>
          <w:rFonts w:ascii="Tahoma" w:hAnsi="Tahoma" w:cs="Tahoma"/>
          <w:i/>
          <w:sz w:val="16"/>
          <w:szCs w:val="16"/>
          <w:lang w:val="es-ES_tradnl" w:eastAsia="es-ES_tradnl"/>
        </w:rPr>
      </w:pPr>
      <w:r w:rsidRPr="00783F05">
        <w:rPr>
          <w:rStyle w:val="FontStyle15"/>
          <w:rFonts w:ascii="Tahoma" w:hAnsi="Tahoma" w:cs="Tahoma"/>
          <w:i/>
          <w:sz w:val="16"/>
          <w:szCs w:val="16"/>
          <w:lang w:val="es-ES_tradnl" w:eastAsia="es-ES_tradnl"/>
        </w:rPr>
        <w:t>2.1: el Ministerio de Protección Social no es demandado. En el poder y en la conciliación aparece, pero en la demanda lo excluí. Si no lo he demandado nada tengo que ver con él. Cuando se considera que la obligación es solidaria, como aquí, el acreedor puede dirigirse contra todos los deudores, contra algunos o contra uno solo, según autoriza el art. 1571 del C.C.</w:t>
      </w:r>
    </w:p>
    <w:p w:rsidR="00517ACB" w:rsidRPr="00783F05" w:rsidRDefault="00517ACB" w:rsidP="00783F05">
      <w:pPr>
        <w:pStyle w:val="Style3"/>
        <w:tabs>
          <w:tab w:val="left" w:pos="426"/>
        </w:tabs>
        <w:spacing w:line="240" w:lineRule="auto"/>
        <w:rPr>
          <w:rStyle w:val="FontStyle15"/>
          <w:rFonts w:ascii="Tahoma" w:hAnsi="Tahoma" w:cs="Tahoma"/>
          <w:i/>
          <w:sz w:val="16"/>
          <w:szCs w:val="16"/>
          <w:lang w:val="es-ES_tradnl" w:eastAsia="es-ES_tradnl"/>
        </w:rPr>
      </w:pPr>
    </w:p>
    <w:p w:rsidR="00517ACB" w:rsidRPr="00783F05" w:rsidRDefault="00517ACB" w:rsidP="00783F05">
      <w:pPr>
        <w:pStyle w:val="Style3"/>
        <w:tabs>
          <w:tab w:val="left" w:pos="426"/>
        </w:tabs>
        <w:spacing w:line="240" w:lineRule="auto"/>
        <w:rPr>
          <w:rStyle w:val="FontStyle15"/>
          <w:rFonts w:ascii="Tahoma" w:hAnsi="Tahoma" w:cs="Tahoma"/>
          <w:i/>
          <w:sz w:val="16"/>
          <w:szCs w:val="16"/>
          <w:lang w:val="es-ES_tradnl" w:eastAsia="es-ES_tradnl"/>
        </w:rPr>
      </w:pPr>
      <w:r w:rsidRPr="00783F05">
        <w:rPr>
          <w:rStyle w:val="FontStyle15"/>
          <w:rFonts w:ascii="Tahoma" w:hAnsi="Tahoma" w:cs="Tahoma"/>
          <w:i/>
          <w:sz w:val="16"/>
          <w:szCs w:val="16"/>
          <w:lang w:val="es-ES_tradnl" w:eastAsia="es-ES_tradnl"/>
        </w:rPr>
        <w:t>2.2: dirigí la demanda únicamente contra el Departamento de Cundinamarca y el hospital de Ubaté pues los considero deudores solidarios porque de acuerdo con el art. 49 de la Carta la atención de la salud es un servicio a cargo del estado, que hoy está descentralizado y en dicha prestación concurren especialmente el Departamento, que da los recursos y cuyo gobernador es el presidente de la Junta administradora y el hospital.</w:t>
      </w:r>
    </w:p>
    <w:p w:rsidR="00517ACB" w:rsidRPr="00783F05" w:rsidRDefault="00517ACB" w:rsidP="00783F05">
      <w:pPr>
        <w:pStyle w:val="Style3"/>
        <w:tabs>
          <w:tab w:val="left" w:pos="426"/>
        </w:tabs>
        <w:spacing w:line="240" w:lineRule="auto"/>
        <w:rPr>
          <w:rStyle w:val="FontStyle15"/>
          <w:rFonts w:ascii="Tahoma" w:hAnsi="Tahoma" w:cs="Tahoma"/>
          <w:i/>
          <w:sz w:val="16"/>
          <w:szCs w:val="16"/>
          <w:lang w:val="es-ES_tradnl" w:eastAsia="es-ES_tradnl"/>
        </w:rPr>
      </w:pPr>
    </w:p>
    <w:p w:rsidR="00517ACB" w:rsidRPr="00783F05" w:rsidRDefault="00517ACB" w:rsidP="00783F05">
      <w:pPr>
        <w:pStyle w:val="Style3"/>
        <w:tabs>
          <w:tab w:val="left" w:pos="426"/>
        </w:tabs>
        <w:spacing w:line="240" w:lineRule="auto"/>
        <w:rPr>
          <w:rStyle w:val="FontStyle15"/>
          <w:rFonts w:ascii="Tahoma" w:hAnsi="Tahoma" w:cs="Tahoma"/>
          <w:i/>
          <w:sz w:val="16"/>
          <w:szCs w:val="16"/>
          <w:lang w:val="es-ES_tradnl" w:eastAsia="es-ES_tradnl"/>
        </w:rPr>
      </w:pPr>
      <w:r w:rsidRPr="00783F05">
        <w:rPr>
          <w:rStyle w:val="FontStyle15"/>
          <w:rFonts w:ascii="Tahoma" w:hAnsi="Tahoma" w:cs="Tahoma"/>
          <w:i/>
          <w:sz w:val="16"/>
          <w:szCs w:val="16"/>
          <w:lang w:val="es-ES_tradnl" w:eastAsia="es-ES_tradnl"/>
        </w:rPr>
        <w:t>2.3: Ni el CPACA (Art. 170 en concordancia con el art. 162), ni el C.G. del Proceso (art. 90 Inc. 3 en concordancia con el Art. 82 Id) consagran como motivo de inadmisión de la demanda la falta de legitimación en la causa.</w:t>
      </w:r>
    </w:p>
    <w:p w:rsidR="00517ACB" w:rsidRPr="00783F05" w:rsidRDefault="00517ACB" w:rsidP="00783F05">
      <w:pPr>
        <w:pStyle w:val="Style3"/>
        <w:tabs>
          <w:tab w:val="left" w:pos="426"/>
        </w:tabs>
        <w:spacing w:line="240" w:lineRule="auto"/>
        <w:rPr>
          <w:rStyle w:val="FontStyle15"/>
          <w:rFonts w:ascii="Tahoma" w:hAnsi="Tahoma" w:cs="Tahoma"/>
          <w:i/>
          <w:sz w:val="16"/>
          <w:szCs w:val="16"/>
          <w:lang w:val="es-ES_tradnl" w:eastAsia="es-ES_tradnl"/>
        </w:rPr>
      </w:pPr>
    </w:p>
    <w:p w:rsidR="00517ACB" w:rsidRPr="00783F05" w:rsidRDefault="00517ACB" w:rsidP="00783F05">
      <w:pPr>
        <w:pStyle w:val="Style3"/>
        <w:tabs>
          <w:tab w:val="left" w:pos="426"/>
        </w:tabs>
        <w:spacing w:line="240" w:lineRule="auto"/>
        <w:rPr>
          <w:rStyle w:val="FontStyle15"/>
          <w:rFonts w:ascii="Tahoma" w:hAnsi="Tahoma" w:cs="Tahoma"/>
          <w:i/>
          <w:sz w:val="16"/>
          <w:szCs w:val="16"/>
          <w:lang w:val="es-ES_tradnl" w:eastAsia="es-ES_tradnl"/>
        </w:rPr>
      </w:pPr>
      <w:r w:rsidRPr="00783F05">
        <w:rPr>
          <w:rStyle w:val="FontStyle15"/>
          <w:rFonts w:ascii="Tahoma" w:hAnsi="Tahoma" w:cs="Tahoma"/>
          <w:i/>
          <w:sz w:val="16"/>
          <w:szCs w:val="16"/>
          <w:lang w:val="es-ES_tradnl" w:eastAsia="es-ES_tradnl"/>
        </w:rPr>
        <w:t xml:space="preserve">2.4: De otra parte, la legitimación en la causa es un asunto que por regla general se decide en la sentencia; es una </w:t>
      </w:r>
      <w:r w:rsidRPr="00783F05">
        <w:rPr>
          <w:rStyle w:val="FontStyle15"/>
          <w:rFonts w:ascii="Tahoma" w:hAnsi="Tahoma" w:cs="Tahoma"/>
          <w:i/>
          <w:sz w:val="16"/>
          <w:szCs w:val="16"/>
          <w:lang w:val="es-ES_tradnl" w:eastAsia="es-ES_tradnl"/>
        </w:rPr>
        <w:lastRenderedPageBreak/>
        <w:t>condición para poder dictar sentencia de fondo. Decía el profesor Devis Echandía:</w:t>
      </w:r>
    </w:p>
    <w:p w:rsidR="00517ACB" w:rsidRPr="00783F05" w:rsidRDefault="00517ACB" w:rsidP="00783F05">
      <w:pPr>
        <w:pStyle w:val="Style3"/>
        <w:tabs>
          <w:tab w:val="left" w:pos="426"/>
        </w:tabs>
        <w:spacing w:line="240" w:lineRule="auto"/>
        <w:rPr>
          <w:rStyle w:val="FontStyle15"/>
          <w:rFonts w:ascii="Tahoma" w:hAnsi="Tahoma" w:cs="Tahoma"/>
          <w:i/>
          <w:sz w:val="16"/>
          <w:szCs w:val="16"/>
          <w:lang w:val="es-ES_tradnl" w:eastAsia="es-ES_tradnl"/>
        </w:rPr>
      </w:pPr>
    </w:p>
    <w:p w:rsidR="00517ACB" w:rsidRPr="00783F05" w:rsidRDefault="00517ACB" w:rsidP="00783F05">
      <w:pPr>
        <w:pStyle w:val="Style3"/>
        <w:tabs>
          <w:tab w:val="left" w:pos="426"/>
        </w:tabs>
        <w:spacing w:line="240" w:lineRule="auto"/>
        <w:rPr>
          <w:rStyle w:val="FontStyle15"/>
          <w:rFonts w:ascii="Tahoma" w:hAnsi="Tahoma" w:cs="Tahoma"/>
          <w:i/>
          <w:sz w:val="16"/>
          <w:szCs w:val="16"/>
          <w:lang w:val="es-ES_tradnl" w:eastAsia="es-ES_tradnl"/>
        </w:rPr>
      </w:pPr>
      <w:r w:rsidRPr="00783F05">
        <w:rPr>
          <w:rStyle w:val="FontStyle15"/>
          <w:rFonts w:ascii="Tahoma" w:hAnsi="Tahoma" w:cs="Tahoma"/>
          <w:i/>
          <w:sz w:val="16"/>
          <w:szCs w:val="16"/>
          <w:lang w:val="es-ES_tradnl" w:eastAsia="es-ES_tradnl"/>
        </w:rPr>
        <w:t>“Como sucede con la ausencia de interés para obrar, la de la debida legitimación en la causa constituye un impe</w:t>
      </w:r>
      <w:r w:rsidR="007C63F1" w:rsidRPr="00783F05">
        <w:rPr>
          <w:rStyle w:val="FontStyle15"/>
          <w:rFonts w:ascii="Tahoma" w:hAnsi="Tahoma" w:cs="Tahoma"/>
          <w:i/>
          <w:sz w:val="16"/>
          <w:szCs w:val="16"/>
          <w:lang w:val="es-ES_tradnl" w:eastAsia="es-ES_tradnl"/>
        </w:rPr>
        <w:t xml:space="preserve">dimento sustancial para que el juez pueda proferir sentencia de fondo o mérito… por lo general es en la sentencia cuando el juez estudia la legitimación en la causa </w:t>
      </w:r>
      <w:proofErr w:type="gramStart"/>
      <w:r w:rsidR="007C63F1" w:rsidRPr="00783F05">
        <w:rPr>
          <w:rStyle w:val="FontStyle15"/>
          <w:rFonts w:ascii="Tahoma" w:hAnsi="Tahoma" w:cs="Tahoma"/>
          <w:i/>
          <w:sz w:val="16"/>
          <w:szCs w:val="16"/>
          <w:lang w:val="es-ES_tradnl" w:eastAsia="es-ES_tradnl"/>
        </w:rPr>
        <w:t>..”</w:t>
      </w:r>
      <w:proofErr w:type="gramEnd"/>
      <w:r w:rsidR="007C63F1" w:rsidRPr="00783F05">
        <w:rPr>
          <w:rStyle w:val="FontStyle15"/>
          <w:rFonts w:ascii="Tahoma" w:hAnsi="Tahoma" w:cs="Tahoma"/>
          <w:i/>
          <w:sz w:val="16"/>
          <w:szCs w:val="16"/>
          <w:lang w:val="es-ES_tradnl" w:eastAsia="es-ES_tradnl"/>
        </w:rPr>
        <w:t xml:space="preserve"> (Hernando Devis Echandia, TRATADO DE DERECHO PROCESAL CIVIL, Ed. Temis, 1961 t.l, Pág. 574-575)</w:t>
      </w:r>
    </w:p>
    <w:p w:rsidR="007C63F1" w:rsidRPr="00783F05" w:rsidRDefault="007C63F1" w:rsidP="00783F05">
      <w:pPr>
        <w:pStyle w:val="Style3"/>
        <w:tabs>
          <w:tab w:val="left" w:pos="426"/>
        </w:tabs>
        <w:spacing w:line="240" w:lineRule="auto"/>
        <w:rPr>
          <w:rStyle w:val="FontStyle15"/>
          <w:rFonts w:ascii="Tahoma" w:hAnsi="Tahoma" w:cs="Tahoma"/>
          <w:i/>
          <w:sz w:val="16"/>
          <w:szCs w:val="16"/>
          <w:lang w:val="es-ES_tradnl" w:eastAsia="es-ES_tradnl"/>
        </w:rPr>
      </w:pPr>
    </w:p>
    <w:p w:rsidR="007C63F1" w:rsidRPr="00783F05" w:rsidRDefault="007C63F1" w:rsidP="00783F05">
      <w:pPr>
        <w:pStyle w:val="Style3"/>
        <w:tabs>
          <w:tab w:val="left" w:pos="426"/>
        </w:tabs>
        <w:spacing w:line="240" w:lineRule="auto"/>
        <w:rPr>
          <w:rStyle w:val="FontStyle15"/>
          <w:rFonts w:ascii="Tahoma" w:hAnsi="Tahoma" w:cs="Tahoma"/>
          <w:i/>
          <w:sz w:val="16"/>
          <w:szCs w:val="16"/>
          <w:lang w:val="es-ES_tradnl" w:eastAsia="es-ES_tradnl"/>
        </w:rPr>
      </w:pPr>
      <w:r w:rsidRPr="00783F05">
        <w:rPr>
          <w:rStyle w:val="FontStyle15"/>
          <w:rFonts w:ascii="Tahoma" w:hAnsi="Tahoma" w:cs="Tahoma"/>
          <w:i/>
          <w:sz w:val="16"/>
          <w:szCs w:val="16"/>
          <w:lang w:val="es-ES_tradnl" w:eastAsia="es-ES_tradnl"/>
        </w:rPr>
        <w:t>El H. Consejo de Estado ha precisado que esta falta ni siquiera puede proponerse como excepción, que no enerva el proceso y que es requisito para dictar sentencia de mérito. Ha dicho:</w:t>
      </w:r>
    </w:p>
    <w:p w:rsidR="007C63F1" w:rsidRPr="00783F05" w:rsidRDefault="007C63F1" w:rsidP="00783F05">
      <w:pPr>
        <w:pStyle w:val="Style3"/>
        <w:tabs>
          <w:tab w:val="left" w:pos="426"/>
        </w:tabs>
        <w:spacing w:line="240" w:lineRule="auto"/>
        <w:rPr>
          <w:rStyle w:val="FontStyle15"/>
          <w:rFonts w:ascii="Tahoma" w:hAnsi="Tahoma" w:cs="Tahoma"/>
          <w:i/>
          <w:sz w:val="16"/>
          <w:szCs w:val="16"/>
          <w:lang w:val="es-ES_tradnl" w:eastAsia="es-ES_tradnl"/>
        </w:rPr>
      </w:pPr>
    </w:p>
    <w:p w:rsidR="007C63F1" w:rsidRPr="00783F05" w:rsidRDefault="007C63F1" w:rsidP="00783F05">
      <w:pPr>
        <w:pStyle w:val="Style3"/>
        <w:tabs>
          <w:tab w:val="left" w:pos="426"/>
        </w:tabs>
        <w:spacing w:line="240" w:lineRule="auto"/>
        <w:rPr>
          <w:rStyle w:val="FontStyle15"/>
          <w:rFonts w:ascii="Tahoma" w:hAnsi="Tahoma" w:cs="Tahoma"/>
          <w:i/>
          <w:sz w:val="16"/>
          <w:szCs w:val="16"/>
          <w:lang w:val="es-ES_tradnl" w:eastAsia="es-ES_tradnl"/>
        </w:rPr>
      </w:pPr>
      <w:r w:rsidRPr="00783F05">
        <w:rPr>
          <w:rStyle w:val="FontStyle15"/>
          <w:rFonts w:ascii="Tahoma" w:hAnsi="Tahoma" w:cs="Tahoma"/>
          <w:i/>
          <w:sz w:val="16"/>
          <w:szCs w:val="16"/>
          <w:lang w:val="es-ES_tradnl" w:eastAsia="es-ES_tradnl"/>
        </w:rPr>
        <w:t>“la falta de legitimación material en la causa, por activa o por pasiva, no enerva la pretensión procesal en su contenido, como si lo hace la excepción de fondo… La legitimación material en la causa, activa y pasiva, es una condición anterior y necesaria para dictar sentencia de mérito favorable, al demandante o al demandado” (Sent. Dic 2/99, C.E. Secc 3ª Pon. María Elena Giraldo Gómez, Exp 12.323.)</w:t>
      </w:r>
    </w:p>
    <w:p w:rsidR="007C63F1" w:rsidRPr="00783F05" w:rsidRDefault="007C63F1" w:rsidP="00783F05">
      <w:pPr>
        <w:pStyle w:val="Style3"/>
        <w:tabs>
          <w:tab w:val="left" w:pos="426"/>
        </w:tabs>
        <w:spacing w:line="240" w:lineRule="auto"/>
        <w:rPr>
          <w:rStyle w:val="FontStyle15"/>
          <w:rFonts w:ascii="Tahoma" w:hAnsi="Tahoma" w:cs="Tahoma"/>
          <w:i/>
          <w:sz w:val="16"/>
          <w:szCs w:val="16"/>
          <w:lang w:val="es-ES_tradnl" w:eastAsia="es-ES_tradnl"/>
        </w:rPr>
      </w:pPr>
    </w:p>
    <w:p w:rsidR="007C63F1" w:rsidRPr="00783F05" w:rsidRDefault="007C63F1" w:rsidP="00783F05">
      <w:pPr>
        <w:pStyle w:val="Style3"/>
        <w:tabs>
          <w:tab w:val="left" w:pos="426"/>
        </w:tabs>
        <w:spacing w:line="240" w:lineRule="auto"/>
        <w:rPr>
          <w:rStyle w:val="FontStyle15"/>
          <w:rFonts w:ascii="Tahoma" w:hAnsi="Tahoma" w:cs="Tahoma"/>
          <w:i/>
          <w:sz w:val="16"/>
          <w:szCs w:val="16"/>
          <w:lang w:val="es-ES_tradnl" w:eastAsia="es-ES_tradnl"/>
        </w:rPr>
      </w:pPr>
      <w:r w:rsidRPr="00783F05">
        <w:rPr>
          <w:rStyle w:val="FontStyle15"/>
          <w:rFonts w:ascii="Tahoma" w:hAnsi="Tahoma" w:cs="Tahoma"/>
          <w:i/>
          <w:sz w:val="16"/>
          <w:szCs w:val="16"/>
          <w:lang w:val="es-ES_tradnl" w:eastAsia="es-ES_tradnl"/>
        </w:rPr>
        <w:t>Luego tampoco hay fundamento legal por este aspecto para la inadmisión.</w:t>
      </w:r>
    </w:p>
    <w:p w:rsidR="007C63F1" w:rsidRPr="00783F05" w:rsidRDefault="007C63F1" w:rsidP="00783F05">
      <w:pPr>
        <w:pStyle w:val="Style3"/>
        <w:tabs>
          <w:tab w:val="left" w:pos="426"/>
        </w:tabs>
        <w:spacing w:line="240" w:lineRule="auto"/>
        <w:rPr>
          <w:rStyle w:val="FontStyle15"/>
          <w:rFonts w:ascii="Tahoma" w:hAnsi="Tahoma" w:cs="Tahoma"/>
          <w:i/>
          <w:sz w:val="16"/>
          <w:szCs w:val="16"/>
          <w:lang w:val="es-ES_tradnl" w:eastAsia="es-ES_tradnl"/>
        </w:rPr>
      </w:pPr>
    </w:p>
    <w:p w:rsidR="007C63F1" w:rsidRPr="00783F05" w:rsidRDefault="007C63F1" w:rsidP="00783F05">
      <w:pPr>
        <w:pStyle w:val="Style3"/>
        <w:tabs>
          <w:tab w:val="left" w:pos="426"/>
        </w:tabs>
        <w:spacing w:line="240" w:lineRule="auto"/>
        <w:rPr>
          <w:rStyle w:val="FontStyle15"/>
          <w:rFonts w:ascii="Tahoma" w:hAnsi="Tahoma" w:cs="Tahoma"/>
          <w:i/>
          <w:sz w:val="16"/>
          <w:szCs w:val="16"/>
          <w:lang w:val="es-ES_tradnl" w:eastAsia="es-ES_tradnl"/>
        </w:rPr>
      </w:pPr>
      <w:r w:rsidRPr="00783F05">
        <w:rPr>
          <w:rStyle w:val="FontStyle15"/>
          <w:rFonts w:ascii="Tahoma" w:hAnsi="Tahoma" w:cs="Tahoma"/>
          <w:i/>
          <w:sz w:val="16"/>
          <w:szCs w:val="16"/>
          <w:lang w:val="es-ES_tradnl" w:eastAsia="es-ES_tradnl"/>
        </w:rPr>
        <w:t>3. Menos razón hay para inadmitir la demanda por el segundo motivo: no ser claro si se tiene a la Secretaria de Salud como demandada.</w:t>
      </w:r>
    </w:p>
    <w:p w:rsidR="007C63F1" w:rsidRPr="00783F05" w:rsidRDefault="007C63F1" w:rsidP="00783F05">
      <w:pPr>
        <w:pStyle w:val="Style3"/>
        <w:tabs>
          <w:tab w:val="left" w:pos="426"/>
        </w:tabs>
        <w:spacing w:line="240" w:lineRule="auto"/>
        <w:rPr>
          <w:rStyle w:val="FontStyle15"/>
          <w:rFonts w:ascii="Tahoma" w:hAnsi="Tahoma" w:cs="Tahoma"/>
          <w:i/>
          <w:sz w:val="16"/>
          <w:szCs w:val="16"/>
          <w:lang w:val="es-ES_tradnl" w:eastAsia="es-ES_tradnl"/>
        </w:rPr>
      </w:pPr>
    </w:p>
    <w:p w:rsidR="007C63F1" w:rsidRPr="00783F05" w:rsidRDefault="007C63F1" w:rsidP="00783F05">
      <w:pPr>
        <w:pStyle w:val="Style3"/>
        <w:tabs>
          <w:tab w:val="left" w:pos="426"/>
        </w:tabs>
        <w:spacing w:line="240" w:lineRule="auto"/>
        <w:rPr>
          <w:rStyle w:val="FontStyle15"/>
          <w:rFonts w:ascii="Tahoma" w:hAnsi="Tahoma" w:cs="Tahoma"/>
          <w:i/>
          <w:sz w:val="16"/>
          <w:szCs w:val="16"/>
          <w:lang w:val="es-ES_tradnl" w:eastAsia="es-ES_tradnl"/>
        </w:rPr>
      </w:pPr>
      <w:r w:rsidRPr="00783F05">
        <w:rPr>
          <w:rStyle w:val="FontStyle15"/>
          <w:rFonts w:ascii="Tahoma" w:hAnsi="Tahoma" w:cs="Tahoma"/>
          <w:i/>
          <w:sz w:val="16"/>
          <w:szCs w:val="16"/>
          <w:lang w:val="es-ES_tradnl" w:eastAsia="es-ES_tradnl"/>
        </w:rPr>
        <w:t xml:space="preserve">3.1: Las Secretarías departamentales, hasta donde sé, no son persona jurídicas; por tanto no pueden ser sujetos de derechos, ni de obligaciones. La personería la tiene el Departamento cuyo representante legal es el gobernador (Art. 303 de la Constitución). Las secretarias son eso: secretarías, dependencias del Departamento. Si en el poder </w:t>
      </w:r>
      <w:proofErr w:type="gramStart"/>
      <w:r w:rsidRPr="00783F05">
        <w:rPr>
          <w:rStyle w:val="FontStyle15"/>
          <w:rFonts w:ascii="Tahoma" w:hAnsi="Tahoma" w:cs="Tahoma"/>
          <w:i/>
          <w:sz w:val="16"/>
          <w:szCs w:val="16"/>
          <w:lang w:val="es-ES_tradnl" w:eastAsia="es-ES_tradnl"/>
        </w:rPr>
        <w:t>esta</w:t>
      </w:r>
      <w:proofErr w:type="gramEnd"/>
      <w:r w:rsidRPr="00783F05">
        <w:rPr>
          <w:rStyle w:val="FontStyle15"/>
          <w:rFonts w:ascii="Tahoma" w:hAnsi="Tahoma" w:cs="Tahoma"/>
          <w:i/>
          <w:sz w:val="16"/>
          <w:szCs w:val="16"/>
          <w:lang w:val="es-ES_tradnl" w:eastAsia="es-ES_tradnl"/>
        </w:rPr>
        <w:t xml:space="preserve"> departamento tal-Secretaria cual- es para decir a través de qué organismo subalterno falló el ente demandado. Por esta potísima razón la Secretaria de Salud no puede ser demandada.</w:t>
      </w:r>
    </w:p>
    <w:p w:rsidR="007C63F1" w:rsidRPr="00783F05" w:rsidRDefault="007C63F1" w:rsidP="00783F05">
      <w:pPr>
        <w:pStyle w:val="Style3"/>
        <w:tabs>
          <w:tab w:val="left" w:pos="426"/>
        </w:tabs>
        <w:spacing w:line="240" w:lineRule="auto"/>
        <w:rPr>
          <w:rStyle w:val="FontStyle15"/>
          <w:rFonts w:ascii="Tahoma" w:hAnsi="Tahoma" w:cs="Tahoma"/>
          <w:i/>
          <w:sz w:val="16"/>
          <w:szCs w:val="16"/>
          <w:lang w:val="es-ES_tradnl" w:eastAsia="es-ES_tradnl"/>
        </w:rPr>
      </w:pPr>
    </w:p>
    <w:p w:rsidR="007C63F1" w:rsidRPr="00783F05" w:rsidRDefault="007C63F1" w:rsidP="00783F05">
      <w:pPr>
        <w:pStyle w:val="Style3"/>
        <w:tabs>
          <w:tab w:val="left" w:pos="426"/>
        </w:tabs>
        <w:spacing w:line="240" w:lineRule="auto"/>
        <w:rPr>
          <w:rStyle w:val="FontStyle15"/>
          <w:rFonts w:ascii="Tahoma" w:hAnsi="Tahoma" w:cs="Tahoma"/>
          <w:i/>
          <w:sz w:val="16"/>
          <w:szCs w:val="16"/>
          <w:lang w:val="es-ES_tradnl" w:eastAsia="es-ES_tradnl"/>
        </w:rPr>
      </w:pPr>
      <w:r w:rsidRPr="00783F05">
        <w:rPr>
          <w:rStyle w:val="FontStyle15"/>
          <w:rFonts w:ascii="Tahoma" w:hAnsi="Tahoma" w:cs="Tahoma"/>
          <w:i/>
          <w:sz w:val="16"/>
          <w:szCs w:val="16"/>
          <w:lang w:val="es-ES_tradnl" w:eastAsia="es-ES_tradnl"/>
        </w:rPr>
        <w:t>4. La finalidad de la conciliación extrajudicial es evitar un litigio para no congestionar la administración de justicia. Realizada ella, aunque no se logre el objetivo, como en el caso que nos ocupa, queda</w:t>
      </w:r>
      <w:r w:rsidR="00D02880" w:rsidRPr="00783F05">
        <w:rPr>
          <w:rStyle w:val="FontStyle15"/>
          <w:rFonts w:ascii="Tahoma" w:hAnsi="Tahoma" w:cs="Tahoma"/>
          <w:i/>
          <w:sz w:val="16"/>
          <w:szCs w:val="16"/>
          <w:lang w:val="es-ES_tradnl" w:eastAsia="es-ES_tradnl"/>
        </w:rPr>
        <w:t xml:space="preserve"> cumplido el requisito de procedibilidad exigido por el art. 161, Núm. 1 del CPACA.</w:t>
      </w:r>
    </w:p>
    <w:p w:rsidR="00D02880" w:rsidRPr="00783F05" w:rsidRDefault="00D02880" w:rsidP="00783F05">
      <w:pPr>
        <w:pStyle w:val="Style3"/>
        <w:tabs>
          <w:tab w:val="left" w:pos="426"/>
        </w:tabs>
        <w:spacing w:line="240" w:lineRule="auto"/>
        <w:rPr>
          <w:rStyle w:val="FontStyle15"/>
          <w:rFonts w:ascii="Tahoma" w:hAnsi="Tahoma" w:cs="Tahoma"/>
          <w:i/>
          <w:sz w:val="16"/>
          <w:szCs w:val="16"/>
          <w:lang w:val="es-ES_tradnl" w:eastAsia="es-ES_tradnl"/>
        </w:rPr>
      </w:pPr>
    </w:p>
    <w:p w:rsidR="00D02880" w:rsidRPr="00783F05" w:rsidRDefault="00D02880" w:rsidP="00783F05">
      <w:pPr>
        <w:pStyle w:val="Style3"/>
        <w:tabs>
          <w:tab w:val="left" w:pos="426"/>
        </w:tabs>
        <w:spacing w:line="240" w:lineRule="auto"/>
        <w:rPr>
          <w:rStyle w:val="FontStyle15"/>
          <w:rFonts w:ascii="Tahoma" w:hAnsi="Tahoma" w:cs="Tahoma"/>
          <w:i/>
          <w:sz w:val="16"/>
          <w:szCs w:val="16"/>
          <w:lang w:val="es-ES_tradnl" w:eastAsia="es-ES_tradnl"/>
        </w:rPr>
      </w:pPr>
      <w:r w:rsidRPr="00783F05">
        <w:rPr>
          <w:rStyle w:val="FontStyle15"/>
          <w:rFonts w:ascii="Tahoma" w:hAnsi="Tahoma" w:cs="Tahoma"/>
          <w:i/>
          <w:sz w:val="16"/>
          <w:szCs w:val="16"/>
          <w:lang w:val="es-ES_tradnl" w:eastAsia="es-ES_tradnl"/>
        </w:rPr>
        <w:t xml:space="preserve">¿Cómo se prueba el cumplimiento de la anterior exigencia? La ley 640 del 2001 consagra dos formas de probar que tuvo lugar la conciliación extrajudicial según que haya o no acuerdo conciliatorio. Cuando lo hubo, se expedirá a las partes “copia autentica </w:t>
      </w:r>
      <w:r w:rsidRPr="00783F05">
        <w:rPr>
          <w:rStyle w:val="FontStyle15"/>
          <w:rFonts w:ascii="Tahoma" w:hAnsi="Tahoma" w:cs="Tahoma"/>
          <w:i/>
          <w:sz w:val="16"/>
          <w:szCs w:val="16"/>
          <w:u w:val="single"/>
          <w:lang w:val="es-ES_tradnl" w:eastAsia="es-ES_tradnl"/>
        </w:rPr>
        <w:t>del acta de conciliación</w:t>
      </w:r>
      <w:r w:rsidRPr="00783F05">
        <w:rPr>
          <w:rStyle w:val="FontStyle15"/>
          <w:rFonts w:ascii="Tahoma" w:hAnsi="Tahoma" w:cs="Tahoma"/>
          <w:i/>
          <w:sz w:val="16"/>
          <w:szCs w:val="16"/>
          <w:lang w:val="es-ES_tradnl" w:eastAsia="es-ES_tradnl"/>
        </w:rPr>
        <w:t xml:space="preserve"> con la constancia de que presta mérito ejecutivo, acta que, entre otras cosas, debe contener “</w:t>
      </w:r>
      <w:r w:rsidRPr="00783F05">
        <w:rPr>
          <w:rStyle w:val="FontStyle15"/>
          <w:rFonts w:ascii="Tahoma" w:hAnsi="Tahoma" w:cs="Tahoma"/>
          <w:i/>
          <w:sz w:val="16"/>
          <w:szCs w:val="16"/>
          <w:u w:val="single"/>
          <w:lang w:val="es-ES_tradnl" w:eastAsia="es-ES_tradnl"/>
        </w:rPr>
        <w:t>4. Relación sucinta de las pretensiones motivo de la conciliación</w:t>
      </w:r>
      <w:r w:rsidRPr="00783F05">
        <w:rPr>
          <w:rStyle w:val="FontStyle15"/>
          <w:rFonts w:ascii="Tahoma" w:hAnsi="Tahoma" w:cs="Tahoma"/>
          <w:i/>
          <w:sz w:val="16"/>
          <w:szCs w:val="16"/>
          <w:lang w:val="es-ES_tradnl" w:eastAsia="es-ES_tradnl"/>
        </w:rPr>
        <w:t xml:space="preserve">”, (Art. 1º y parag 1º L. 640/01)- los subrayados son míos-. Si no hubo acuerdo, se dará “constancia” que contendrá las fechas de la petición y la audiencia “y se expresará sucintamente el asunto objeto de conciliación” (art. 2º </w:t>
      </w:r>
      <w:proofErr w:type="spellStart"/>
      <w:r w:rsidRPr="00783F05">
        <w:rPr>
          <w:rStyle w:val="FontStyle15"/>
          <w:rFonts w:ascii="Tahoma" w:hAnsi="Tahoma" w:cs="Tahoma"/>
          <w:i/>
          <w:sz w:val="16"/>
          <w:szCs w:val="16"/>
          <w:lang w:val="es-ES_tradnl" w:eastAsia="es-ES_tradnl"/>
        </w:rPr>
        <w:t>Ib</w:t>
      </w:r>
      <w:proofErr w:type="spellEnd"/>
      <w:r w:rsidRPr="00783F05">
        <w:rPr>
          <w:rStyle w:val="FontStyle15"/>
          <w:rFonts w:ascii="Tahoma" w:hAnsi="Tahoma" w:cs="Tahoma"/>
          <w:i/>
          <w:sz w:val="16"/>
          <w:szCs w:val="16"/>
          <w:lang w:val="es-ES_tradnl" w:eastAsia="es-ES_tradnl"/>
        </w:rPr>
        <w:t xml:space="preserve">) La ley no exige que en dichas constancias se expresen las pretensiones. Luego no hay razón para inadmitir la querella por esta causa. </w:t>
      </w:r>
    </w:p>
    <w:p w:rsidR="00D02880" w:rsidRPr="00783F05" w:rsidRDefault="00D02880" w:rsidP="00783F05">
      <w:pPr>
        <w:pStyle w:val="Style3"/>
        <w:tabs>
          <w:tab w:val="left" w:pos="426"/>
        </w:tabs>
        <w:spacing w:line="240" w:lineRule="auto"/>
        <w:rPr>
          <w:rStyle w:val="FontStyle15"/>
          <w:rFonts w:ascii="Tahoma" w:hAnsi="Tahoma" w:cs="Tahoma"/>
          <w:i/>
          <w:sz w:val="16"/>
          <w:szCs w:val="16"/>
          <w:lang w:val="es-ES_tradnl" w:eastAsia="es-ES_tradnl"/>
        </w:rPr>
      </w:pPr>
    </w:p>
    <w:p w:rsidR="00D02880" w:rsidRPr="00783F05" w:rsidRDefault="00D02880" w:rsidP="00783F05">
      <w:pPr>
        <w:pStyle w:val="Style3"/>
        <w:tabs>
          <w:tab w:val="left" w:pos="426"/>
        </w:tabs>
        <w:spacing w:line="240" w:lineRule="auto"/>
        <w:rPr>
          <w:rStyle w:val="FontStyle15"/>
          <w:rFonts w:ascii="Tahoma" w:hAnsi="Tahoma" w:cs="Tahoma"/>
          <w:i/>
          <w:sz w:val="16"/>
          <w:szCs w:val="16"/>
          <w:lang w:val="es-ES_tradnl" w:eastAsia="es-ES_tradnl"/>
        </w:rPr>
      </w:pPr>
      <w:r w:rsidRPr="00783F05">
        <w:rPr>
          <w:rStyle w:val="FontStyle15"/>
          <w:rFonts w:ascii="Tahoma" w:hAnsi="Tahoma" w:cs="Tahoma"/>
          <w:i/>
          <w:sz w:val="16"/>
          <w:szCs w:val="16"/>
          <w:lang w:val="es-ES_tradnl" w:eastAsia="es-ES_tradnl"/>
        </w:rPr>
        <w:t>Además de las normas que he citado los Arts. 170 del CPACA y 318 del CGP sirven de fundamento a mi escrito.</w:t>
      </w:r>
    </w:p>
    <w:p w:rsidR="00D02880" w:rsidRPr="00783F05" w:rsidRDefault="00D02880" w:rsidP="00783F05">
      <w:pPr>
        <w:pStyle w:val="Style3"/>
        <w:tabs>
          <w:tab w:val="left" w:pos="426"/>
        </w:tabs>
        <w:spacing w:line="240" w:lineRule="auto"/>
        <w:rPr>
          <w:rStyle w:val="FontStyle15"/>
          <w:rFonts w:ascii="Tahoma" w:hAnsi="Tahoma" w:cs="Tahoma"/>
          <w:i/>
          <w:sz w:val="16"/>
          <w:szCs w:val="16"/>
          <w:lang w:val="es-ES_tradnl" w:eastAsia="es-ES_tradnl"/>
        </w:rPr>
      </w:pPr>
    </w:p>
    <w:p w:rsidR="00D02880" w:rsidRPr="00783F05" w:rsidRDefault="00D02880" w:rsidP="00783F05">
      <w:pPr>
        <w:pStyle w:val="Style3"/>
        <w:tabs>
          <w:tab w:val="left" w:pos="426"/>
        </w:tabs>
        <w:spacing w:line="240" w:lineRule="auto"/>
        <w:rPr>
          <w:rStyle w:val="FontStyle15"/>
          <w:rFonts w:ascii="Tahoma" w:hAnsi="Tahoma" w:cs="Tahoma"/>
          <w:i/>
          <w:sz w:val="16"/>
          <w:szCs w:val="16"/>
          <w:lang w:val="es-ES_tradnl" w:eastAsia="es-ES_tradnl"/>
        </w:rPr>
      </w:pPr>
      <w:r w:rsidRPr="00783F05">
        <w:rPr>
          <w:rStyle w:val="FontStyle15"/>
          <w:rFonts w:ascii="Tahoma" w:hAnsi="Tahoma" w:cs="Tahoma"/>
          <w:i/>
          <w:sz w:val="16"/>
          <w:szCs w:val="16"/>
          <w:lang w:val="es-ES_tradnl" w:eastAsia="es-ES_tradnl"/>
        </w:rPr>
        <w:t>PETICION</w:t>
      </w:r>
    </w:p>
    <w:p w:rsidR="00D02880" w:rsidRPr="00783F05" w:rsidRDefault="00D02880" w:rsidP="00783F05">
      <w:pPr>
        <w:pStyle w:val="Style3"/>
        <w:tabs>
          <w:tab w:val="left" w:pos="426"/>
        </w:tabs>
        <w:spacing w:line="240" w:lineRule="auto"/>
        <w:rPr>
          <w:rStyle w:val="FontStyle15"/>
          <w:rFonts w:ascii="Tahoma" w:hAnsi="Tahoma" w:cs="Tahoma"/>
          <w:i/>
          <w:sz w:val="16"/>
          <w:szCs w:val="16"/>
          <w:lang w:val="es-ES_tradnl" w:eastAsia="es-ES_tradnl"/>
        </w:rPr>
      </w:pPr>
    </w:p>
    <w:p w:rsidR="00D02880" w:rsidRPr="00783F05" w:rsidRDefault="00D02880" w:rsidP="00783F05">
      <w:pPr>
        <w:pStyle w:val="Style3"/>
        <w:tabs>
          <w:tab w:val="left" w:pos="426"/>
        </w:tabs>
        <w:spacing w:line="240" w:lineRule="auto"/>
        <w:rPr>
          <w:rStyle w:val="FontStyle15"/>
          <w:rFonts w:ascii="Tahoma" w:hAnsi="Tahoma" w:cs="Tahoma"/>
          <w:i/>
          <w:sz w:val="16"/>
          <w:szCs w:val="16"/>
          <w:lang w:val="es-ES_tradnl" w:eastAsia="es-ES_tradnl"/>
        </w:rPr>
      </w:pPr>
      <w:r w:rsidRPr="00783F05">
        <w:rPr>
          <w:rStyle w:val="FontStyle15"/>
          <w:rFonts w:ascii="Tahoma" w:hAnsi="Tahoma" w:cs="Tahoma"/>
          <w:i/>
          <w:sz w:val="16"/>
          <w:szCs w:val="16"/>
          <w:lang w:val="es-ES_tradnl" w:eastAsia="es-ES_tradnl"/>
        </w:rPr>
        <w:t xml:space="preserve">Suficiente lo anterior para que en forma muy respetuosa lo reitere, señora juez, mi petición hecha al comienzo de este escrito: que se revoque la inadmisión y </w:t>
      </w:r>
      <w:r w:rsidR="00357E8C">
        <w:rPr>
          <w:rStyle w:val="FontStyle15"/>
          <w:rFonts w:ascii="Tahoma" w:hAnsi="Tahoma" w:cs="Tahoma"/>
          <w:i/>
          <w:sz w:val="16"/>
          <w:szCs w:val="16"/>
          <w:lang w:val="es-ES_tradnl" w:eastAsia="es-ES_tradnl"/>
        </w:rPr>
        <w:t>en cambio se admita la demanda (…)”</w:t>
      </w:r>
    </w:p>
    <w:p w:rsidR="00517ACB" w:rsidRPr="00783F05" w:rsidRDefault="00517ACB" w:rsidP="00783F05">
      <w:pPr>
        <w:pStyle w:val="Style3"/>
        <w:tabs>
          <w:tab w:val="left" w:pos="426"/>
        </w:tabs>
        <w:spacing w:line="240" w:lineRule="auto"/>
        <w:rPr>
          <w:rStyle w:val="FontStyle15"/>
          <w:rFonts w:ascii="Tahoma" w:hAnsi="Tahoma" w:cs="Tahoma"/>
          <w:i/>
          <w:sz w:val="16"/>
          <w:szCs w:val="16"/>
          <w:lang w:val="es-ES_tradnl" w:eastAsia="es-ES_tradnl"/>
        </w:rPr>
      </w:pPr>
    </w:p>
    <w:p w:rsidR="00100649" w:rsidRPr="00783F05" w:rsidRDefault="00100649" w:rsidP="00783F05">
      <w:pPr>
        <w:pStyle w:val="Style3"/>
        <w:tabs>
          <w:tab w:val="left" w:pos="426"/>
        </w:tabs>
        <w:spacing w:line="240" w:lineRule="auto"/>
        <w:rPr>
          <w:rStyle w:val="FontStyle15"/>
          <w:rFonts w:ascii="Tahoma" w:hAnsi="Tahoma" w:cs="Tahoma"/>
          <w:sz w:val="16"/>
          <w:szCs w:val="16"/>
          <w:lang w:val="es-ES_tradnl" w:eastAsia="es-ES_tradnl"/>
        </w:rPr>
      </w:pPr>
      <w:r w:rsidRPr="00783F05">
        <w:rPr>
          <w:rStyle w:val="FontStyle15"/>
          <w:rFonts w:ascii="Tahoma" w:hAnsi="Tahoma" w:cs="Tahoma"/>
          <w:sz w:val="16"/>
          <w:szCs w:val="16"/>
          <w:lang w:val="es-ES_tradnl" w:eastAsia="es-ES_tradnl"/>
        </w:rPr>
        <w:t xml:space="preserve">En primer lugar, como quiera que en el recurso de reposición el apoderado del actor aclaró lo </w:t>
      </w:r>
      <w:r w:rsidR="00271C30">
        <w:rPr>
          <w:rStyle w:val="FontStyle15"/>
          <w:rFonts w:ascii="Tahoma" w:hAnsi="Tahoma" w:cs="Tahoma"/>
          <w:sz w:val="16"/>
          <w:szCs w:val="16"/>
          <w:lang w:val="es-ES_tradnl" w:eastAsia="es-ES_tradnl"/>
        </w:rPr>
        <w:t xml:space="preserve">atinente </w:t>
      </w:r>
      <w:r w:rsidRPr="00783F05">
        <w:rPr>
          <w:rStyle w:val="FontStyle15"/>
          <w:rFonts w:ascii="Tahoma" w:hAnsi="Tahoma" w:cs="Tahoma"/>
          <w:sz w:val="16"/>
          <w:szCs w:val="16"/>
          <w:lang w:val="es-ES_tradnl" w:eastAsia="es-ES_tradnl"/>
        </w:rPr>
        <w:t>a la legitimación en la causa por pasiva del MINISTERIO DE SALUD Y PROTECCION SOCIAL y EL DEPARTAMENTO DE CUNDINAMARCA</w:t>
      </w:r>
      <w:r w:rsidR="00C125F6">
        <w:rPr>
          <w:rStyle w:val="FontStyle15"/>
          <w:rFonts w:ascii="Tahoma" w:hAnsi="Tahoma" w:cs="Tahoma"/>
          <w:sz w:val="16"/>
          <w:szCs w:val="16"/>
          <w:lang w:val="es-ES_tradnl" w:eastAsia="es-ES_tradnl"/>
        </w:rPr>
        <w:t xml:space="preserve">, así como de </w:t>
      </w:r>
      <w:r w:rsidRPr="00783F05">
        <w:rPr>
          <w:rStyle w:val="FontStyle15"/>
          <w:rFonts w:ascii="Tahoma" w:hAnsi="Tahoma" w:cs="Tahoma"/>
          <w:sz w:val="16"/>
          <w:szCs w:val="16"/>
          <w:lang w:val="es-ES_tradnl" w:eastAsia="es-ES_tradnl"/>
        </w:rPr>
        <w:t>la SECRETARIA DE SALUD, tendrá el Despacho este punto por subsanado.</w:t>
      </w:r>
    </w:p>
    <w:p w:rsidR="00100649" w:rsidRPr="00783F05" w:rsidRDefault="00100649" w:rsidP="00783F05">
      <w:pPr>
        <w:pStyle w:val="Style3"/>
        <w:tabs>
          <w:tab w:val="left" w:pos="426"/>
        </w:tabs>
        <w:spacing w:line="240" w:lineRule="auto"/>
        <w:rPr>
          <w:rStyle w:val="FontStyle15"/>
          <w:rFonts w:ascii="Tahoma" w:hAnsi="Tahoma" w:cs="Tahoma"/>
          <w:sz w:val="16"/>
          <w:szCs w:val="16"/>
          <w:lang w:val="es-ES_tradnl" w:eastAsia="es-ES_tradnl"/>
        </w:rPr>
      </w:pPr>
    </w:p>
    <w:p w:rsidR="00100649" w:rsidRPr="00783F05" w:rsidRDefault="00100649" w:rsidP="00783F05">
      <w:pPr>
        <w:pStyle w:val="Style3"/>
        <w:tabs>
          <w:tab w:val="left" w:pos="426"/>
        </w:tabs>
        <w:spacing w:line="240" w:lineRule="auto"/>
        <w:rPr>
          <w:rStyle w:val="FontStyle15"/>
          <w:rFonts w:ascii="Tahoma" w:hAnsi="Tahoma" w:cs="Tahoma"/>
          <w:sz w:val="16"/>
          <w:szCs w:val="16"/>
          <w:lang w:val="es-ES_tradnl" w:eastAsia="es-ES_tradnl"/>
        </w:rPr>
      </w:pPr>
      <w:r w:rsidRPr="00783F05">
        <w:rPr>
          <w:rStyle w:val="FontStyle15"/>
          <w:rFonts w:ascii="Tahoma" w:hAnsi="Tahoma" w:cs="Tahoma"/>
          <w:sz w:val="16"/>
          <w:szCs w:val="16"/>
          <w:lang w:val="es-ES_tradnl" w:eastAsia="es-ES_tradnl"/>
        </w:rPr>
        <w:t>En cuanto a</w:t>
      </w:r>
      <w:r w:rsidR="00783F05" w:rsidRPr="00783F05">
        <w:rPr>
          <w:rStyle w:val="FontStyle15"/>
          <w:rFonts w:ascii="Tahoma" w:hAnsi="Tahoma" w:cs="Tahoma"/>
          <w:sz w:val="16"/>
          <w:szCs w:val="16"/>
          <w:lang w:val="es-ES_tradnl" w:eastAsia="es-ES_tradnl"/>
        </w:rPr>
        <w:t xml:space="preserve"> que las pretensiones de la conciliación deben estar consignadas en</w:t>
      </w:r>
      <w:r w:rsidRPr="00783F05">
        <w:rPr>
          <w:rStyle w:val="FontStyle15"/>
          <w:rFonts w:ascii="Tahoma" w:hAnsi="Tahoma" w:cs="Tahoma"/>
          <w:sz w:val="16"/>
          <w:szCs w:val="16"/>
          <w:lang w:val="es-ES_tradnl" w:eastAsia="es-ES_tradnl"/>
        </w:rPr>
        <w:t xml:space="preserve"> la constancia de </w:t>
      </w:r>
      <w:r w:rsidR="00783F05" w:rsidRPr="00783F05">
        <w:rPr>
          <w:rStyle w:val="FontStyle15"/>
          <w:rFonts w:ascii="Tahoma" w:hAnsi="Tahoma" w:cs="Tahoma"/>
          <w:sz w:val="16"/>
          <w:szCs w:val="16"/>
          <w:lang w:val="es-ES_tradnl" w:eastAsia="es-ES_tradnl"/>
        </w:rPr>
        <w:t>conciliación</w:t>
      </w:r>
      <w:r w:rsidR="00A27E2B">
        <w:rPr>
          <w:rStyle w:val="FontStyle15"/>
          <w:rFonts w:ascii="Tahoma" w:hAnsi="Tahoma" w:cs="Tahoma"/>
          <w:sz w:val="16"/>
          <w:szCs w:val="16"/>
          <w:lang w:val="es-ES_tradnl" w:eastAsia="es-ES_tradnl"/>
        </w:rPr>
        <w:t xml:space="preserve"> prejudicial;</w:t>
      </w:r>
      <w:r w:rsidRPr="00783F05">
        <w:rPr>
          <w:rStyle w:val="FontStyle15"/>
          <w:rFonts w:ascii="Tahoma" w:hAnsi="Tahoma" w:cs="Tahoma"/>
          <w:sz w:val="16"/>
          <w:szCs w:val="16"/>
          <w:lang w:val="es-ES_tradnl" w:eastAsia="es-ES_tradnl"/>
        </w:rPr>
        <w:t xml:space="preserve"> </w:t>
      </w:r>
      <w:r w:rsidR="00783F05" w:rsidRPr="00783F05">
        <w:rPr>
          <w:rStyle w:val="FontStyle15"/>
          <w:rFonts w:ascii="Tahoma" w:hAnsi="Tahoma" w:cs="Tahoma"/>
          <w:sz w:val="16"/>
          <w:szCs w:val="16"/>
          <w:lang w:val="es-ES_tradnl" w:eastAsia="es-ES_tradnl"/>
        </w:rPr>
        <w:t>se hace con el fin de verificar que lo solicitado en esa instancia sea lo mismo que se pretende en la presente demanda</w:t>
      </w:r>
      <w:r w:rsidR="00A27E2B">
        <w:rPr>
          <w:rStyle w:val="FontStyle15"/>
          <w:rFonts w:ascii="Tahoma" w:hAnsi="Tahoma" w:cs="Tahoma"/>
          <w:sz w:val="16"/>
          <w:szCs w:val="16"/>
          <w:lang w:val="es-ES_tradnl" w:eastAsia="es-ES_tradnl"/>
        </w:rPr>
        <w:t>, por</w:t>
      </w:r>
      <w:r w:rsidR="00783F05" w:rsidRPr="00783F05">
        <w:rPr>
          <w:rStyle w:val="FontStyle15"/>
          <w:rFonts w:ascii="Tahoma" w:hAnsi="Tahoma" w:cs="Tahoma"/>
          <w:sz w:val="16"/>
          <w:szCs w:val="16"/>
          <w:lang w:val="es-ES_tradnl" w:eastAsia="es-ES_tradnl"/>
        </w:rPr>
        <w:t xml:space="preserve"> lo cual, se requerirá al apoderado de la parte actora para que la aporte.</w:t>
      </w:r>
    </w:p>
    <w:p w:rsidR="00100649" w:rsidRPr="00783F05" w:rsidRDefault="00100649" w:rsidP="00783F05">
      <w:pPr>
        <w:pStyle w:val="Style3"/>
        <w:tabs>
          <w:tab w:val="left" w:pos="426"/>
        </w:tabs>
        <w:spacing w:line="240" w:lineRule="auto"/>
        <w:rPr>
          <w:rFonts w:ascii="Tahoma" w:hAnsi="Tahoma" w:cs="Tahoma"/>
          <w:sz w:val="16"/>
          <w:szCs w:val="16"/>
          <w:lang w:val="es-ES_tradnl" w:eastAsia="es-ES_tradnl"/>
        </w:rPr>
      </w:pPr>
    </w:p>
    <w:p w:rsidR="00100649" w:rsidRPr="00783F05" w:rsidRDefault="00100649" w:rsidP="00783F05">
      <w:pPr>
        <w:widowControl w:val="0"/>
        <w:jc w:val="both"/>
        <w:rPr>
          <w:rFonts w:ascii="Tahoma" w:hAnsi="Tahoma" w:cs="Tahoma"/>
          <w:b/>
          <w:bCs/>
          <w:sz w:val="16"/>
          <w:szCs w:val="16"/>
        </w:rPr>
      </w:pPr>
      <w:r w:rsidRPr="00783F05">
        <w:rPr>
          <w:rFonts w:ascii="Tahoma" w:hAnsi="Tahoma" w:cs="Tahoma"/>
          <w:sz w:val="16"/>
          <w:szCs w:val="16"/>
        </w:rPr>
        <w:t xml:space="preserve">Por lo brevemente expuesto, se </w:t>
      </w:r>
      <w:r w:rsidRPr="00783F05">
        <w:rPr>
          <w:rFonts w:ascii="Tahoma" w:hAnsi="Tahoma" w:cs="Tahoma"/>
          <w:b/>
          <w:bCs/>
          <w:sz w:val="16"/>
          <w:szCs w:val="16"/>
        </w:rPr>
        <w:t>RESUELVE:</w:t>
      </w:r>
    </w:p>
    <w:p w:rsidR="00100649" w:rsidRPr="00783F05" w:rsidRDefault="00100649" w:rsidP="00783F05">
      <w:pPr>
        <w:ind w:right="-1"/>
        <w:jc w:val="both"/>
        <w:rPr>
          <w:rFonts w:ascii="Tahoma" w:hAnsi="Tahoma" w:cs="Tahoma"/>
          <w:sz w:val="16"/>
          <w:szCs w:val="16"/>
        </w:rPr>
      </w:pPr>
    </w:p>
    <w:p w:rsidR="00100649" w:rsidRPr="00783F05" w:rsidRDefault="00100649" w:rsidP="00783F05">
      <w:pPr>
        <w:jc w:val="both"/>
        <w:rPr>
          <w:rFonts w:ascii="Tahoma" w:hAnsi="Tahoma" w:cs="Tahoma"/>
          <w:b/>
          <w:sz w:val="16"/>
          <w:szCs w:val="16"/>
        </w:rPr>
      </w:pPr>
      <w:r w:rsidRPr="00783F05">
        <w:rPr>
          <w:rFonts w:ascii="Tahoma" w:hAnsi="Tahoma" w:cs="Tahoma"/>
          <w:b/>
          <w:sz w:val="16"/>
          <w:szCs w:val="16"/>
        </w:rPr>
        <w:t xml:space="preserve">Primero: Revóquese parcialmente </w:t>
      </w:r>
      <w:r w:rsidRPr="00783F05">
        <w:rPr>
          <w:rFonts w:ascii="Tahoma" w:hAnsi="Tahoma" w:cs="Tahoma"/>
          <w:sz w:val="16"/>
          <w:szCs w:val="16"/>
        </w:rPr>
        <w:t xml:space="preserve">la providencia del 16 de marzo de 2016, en relación </w:t>
      </w:r>
      <w:r w:rsidR="00783F05" w:rsidRPr="00783F05">
        <w:rPr>
          <w:rFonts w:ascii="Tahoma" w:hAnsi="Tahoma" w:cs="Tahoma"/>
          <w:sz w:val="16"/>
          <w:szCs w:val="16"/>
        </w:rPr>
        <w:t>a la legitimación en la causa por pasiva del MINISTERIO DE SALUD Y PROTECCION SOCIAL y EL DEPARTAMENTO DE CUNDINAMARCA</w:t>
      </w:r>
      <w:r w:rsidR="00783F05" w:rsidRPr="00783F05">
        <w:rPr>
          <w:rFonts w:ascii="Tahoma" w:hAnsi="Tahoma" w:cs="Tahoma"/>
          <w:bCs/>
          <w:noProof/>
          <w:color w:val="000000"/>
          <w:sz w:val="16"/>
          <w:szCs w:val="16"/>
          <w:lang w:val="es-MX"/>
        </w:rPr>
        <w:t xml:space="preserve">; y en lo relativo a la SECRETARIA DE SALUD </w:t>
      </w:r>
      <w:r w:rsidRPr="00783F05">
        <w:rPr>
          <w:rFonts w:ascii="Tahoma" w:hAnsi="Tahoma" w:cs="Tahoma"/>
          <w:bCs/>
          <w:sz w:val="16"/>
          <w:szCs w:val="16"/>
          <w:lang w:val="es-MX"/>
        </w:rPr>
        <w:t>de conformidad con lo anotado en la parte motiva de la presente providencia.</w:t>
      </w:r>
    </w:p>
    <w:p w:rsidR="00100649" w:rsidRPr="00783F05" w:rsidRDefault="00100649" w:rsidP="00783F05">
      <w:pPr>
        <w:jc w:val="both"/>
        <w:rPr>
          <w:rFonts w:ascii="Tahoma" w:hAnsi="Tahoma" w:cs="Tahoma"/>
          <w:sz w:val="16"/>
          <w:szCs w:val="16"/>
        </w:rPr>
      </w:pPr>
    </w:p>
    <w:p w:rsidR="00100649" w:rsidRPr="00783F05" w:rsidRDefault="00100649" w:rsidP="00783F05">
      <w:pPr>
        <w:jc w:val="both"/>
        <w:rPr>
          <w:rFonts w:ascii="Tahoma" w:hAnsi="Tahoma" w:cs="Tahoma"/>
          <w:sz w:val="16"/>
          <w:szCs w:val="16"/>
        </w:rPr>
      </w:pPr>
      <w:r w:rsidRPr="00783F05">
        <w:rPr>
          <w:rFonts w:ascii="Tahoma" w:hAnsi="Tahoma" w:cs="Tahoma"/>
          <w:b/>
          <w:sz w:val="16"/>
          <w:szCs w:val="16"/>
        </w:rPr>
        <w:t xml:space="preserve">Segundo: </w:t>
      </w:r>
      <w:r w:rsidRPr="00783F05">
        <w:rPr>
          <w:rFonts w:ascii="Tahoma" w:hAnsi="Tahoma" w:cs="Tahoma"/>
          <w:sz w:val="16"/>
          <w:szCs w:val="16"/>
        </w:rPr>
        <w:t xml:space="preserve">En firme este auto empezará a correr el término otorgado a la parte demandante para que subsane </w:t>
      </w:r>
      <w:r w:rsidR="00783F05" w:rsidRPr="00783F05">
        <w:rPr>
          <w:rFonts w:ascii="Tahoma" w:hAnsi="Tahoma" w:cs="Tahoma"/>
          <w:sz w:val="16"/>
          <w:szCs w:val="16"/>
        </w:rPr>
        <w:t xml:space="preserve">el otro punto </w:t>
      </w:r>
      <w:r w:rsidRPr="00783F05">
        <w:rPr>
          <w:rFonts w:ascii="Tahoma" w:hAnsi="Tahoma" w:cs="Tahoma"/>
          <w:sz w:val="16"/>
          <w:szCs w:val="16"/>
        </w:rPr>
        <w:t>de la</w:t>
      </w:r>
      <w:r w:rsidR="00783F05" w:rsidRPr="00783F05">
        <w:rPr>
          <w:rFonts w:ascii="Tahoma" w:hAnsi="Tahoma" w:cs="Tahoma"/>
          <w:sz w:val="16"/>
          <w:szCs w:val="16"/>
        </w:rPr>
        <w:t xml:space="preserve"> inadmisión de la</w:t>
      </w:r>
      <w:r w:rsidRPr="00783F05">
        <w:rPr>
          <w:rFonts w:ascii="Tahoma" w:hAnsi="Tahoma" w:cs="Tahoma"/>
          <w:sz w:val="16"/>
          <w:szCs w:val="16"/>
        </w:rPr>
        <w:t xml:space="preserve"> demanda señalado en el auto del 16 de marzo de 2016.</w:t>
      </w:r>
    </w:p>
    <w:p w:rsidR="00100649" w:rsidRPr="00783F05" w:rsidRDefault="00100649" w:rsidP="00783F05">
      <w:pPr>
        <w:jc w:val="both"/>
        <w:rPr>
          <w:rFonts w:ascii="Tahoma" w:hAnsi="Tahoma" w:cs="Tahoma"/>
          <w:sz w:val="16"/>
          <w:szCs w:val="16"/>
          <w:lang w:val="es-MX"/>
        </w:rPr>
      </w:pPr>
    </w:p>
    <w:p w:rsidR="00767D91" w:rsidRPr="00783F05" w:rsidRDefault="00767D91" w:rsidP="00783F05">
      <w:pPr>
        <w:jc w:val="both"/>
        <w:rPr>
          <w:rFonts w:ascii="Tahoma" w:hAnsi="Tahoma" w:cs="Tahoma"/>
          <w:b/>
          <w:bCs/>
          <w:sz w:val="16"/>
          <w:szCs w:val="16"/>
        </w:rPr>
      </w:pPr>
      <w:r w:rsidRPr="00783F05">
        <w:rPr>
          <w:rFonts w:ascii="Tahoma" w:hAnsi="Tahoma" w:cs="Tahoma"/>
          <w:b/>
          <w:bCs/>
          <w:sz w:val="16"/>
          <w:szCs w:val="16"/>
        </w:rPr>
        <w:t>NOTIFÍQUESE Y CUMPLASE</w:t>
      </w:r>
      <w:r w:rsidR="00783F05" w:rsidRPr="00783F05">
        <w:rPr>
          <w:rFonts w:ascii="Tahoma" w:hAnsi="Tahoma" w:cs="Tahoma"/>
          <w:b/>
          <w:bCs/>
          <w:sz w:val="16"/>
          <w:szCs w:val="16"/>
        </w:rPr>
        <w:t>,</w:t>
      </w:r>
    </w:p>
    <w:p w:rsidR="00767D91" w:rsidRPr="00783F05" w:rsidRDefault="00767D91" w:rsidP="00783F05">
      <w:pPr>
        <w:jc w:val="both"/>
        <w:rPr>
          <w:rFonts w:ascii="Tahoma" w:hAnsi="Tahoma" w:cs="Tahoma"/>
          <w:b/>
          <w:bCs/>
          <w:sz w:val="16"/>
          <w:szCs w:val="16"/>
        </w:rPr>
      </w:pPr>
    </w:p>
    <w:p w:rsidR="00767D91" w:rsidRPr="00783F05" w:rsidRDefault="00767D91" w:rsidP="00783F05">
      <w:pPr>
        <w:jc w:val="both"/>
        <w:rPr>
          <w:rFonts w:ascii="Tahoma" w:hAnsi="Tahoma" w:cs="Tahoma"/>
          <w:b/>
          <w:bCs/>
          <w:sz w:val="16"/>
          <w:szCs w:val="16"/>
        </w:rPr>
      </w:pPr>
    </w:p>
    <w:p w:rsidR="00767D91" w:rsidRPr="00783F05" w:rsidRDefault="00767D91" w:rsidP="00783F05">
      <w:pPr>
        <w:ind w:left="360"/>
        <w:jc w:val="center"/>
        <w:rPr>
          <w:rFonts w:ascii="Tahoma" w:hAnsi="Tahoma" w:cs="Tahoma"/>
          <w:b/>
          <w:bCs/>
          <w:sz w:val="16"/>
          <w:szCs w:val="16"/>
        </w:rPr>
      </w:pPr>
      <w:r w:rsidRPr="00783F05">
        <w:rPr>
          <w:rFonts w:ascii="Tahoma" w:hAnsi="Tahoma" w:cs="Tahoma"/>
          <w:b/>
          <w:bCs/>
          <w:sz w:val="16"/>
          <w:szCs w:val="16"/>
        </w:rPr>
        <w:t>OLGA CECILIA HENAO MARÍN</w:t>
      </w:r>
    </w:p>
    <w:p w:rsidR="00767D91" w:rsidRPr="00783F05" w:rsidRDefault="00767D91" w:rsidP="00783F05">
      <w:pPr>
        <w:ind w:left="360"/>
        <w:jc w:val="center"/>
        <w:rPr>
          <w:rFonts w:ascii="Tahoma" w:hAnsi="Tahoma" w:cs="Tahoma"/>
          <w:bCs/>
          <w:sz w:val="16"/>
          <w:szCs w:val="16"/>
        </w:rPr>
      </w:pPr>
      <w:r w:rsidRPr="00783F05">
        <w:rPr>
          <w:rFonts w:ascii="Tahoma" w:hAnsi="Tahoma" w:cs="Tahoma"/>
          <w:bCs/>
          <w:sz w:val="16"/>
          <w:szCs w:val="16"/>
        </w:rPr>
        <w:t>Juez</w:t>
      </w:r>
    </w:p>
    <w:p w:rsidR="00767D91" w:rsidRPr="00783F05" w:rsidRDefault="00767D91" w:rsidP="00783F05">
      <w:pPr>
        <w:rPr>
          <w:rFonts w:ascii="Tahoma" w:hAnsi="Tahoma" w:cs="Tahoma"/>
          <w:sz w:val="10"/>
          <w:szCs w:val="10"/>
        </w:rPr>
      </w:pPr>
      <w:r w:rsidRPr="00783F05">
        <w:rPr>
          <w:rFonts w:ascii="Tahoma" w:hAnsi="Tahoma" w:cs="Tahoma"/>
          <w:bCs/>
          <w:sz w:val="10"/>
          <w:szCs w:val="10"/>
        </w:rPr>
        <w:t>SLDR</w:t>
      </w:r>
    </w:p>
    <w:p w:rsidR="00767D91" w:rsidRPr="00783F05" w:rsidRDefault="00767D91" w:rsidP="00783F05">
      <w:pPr>
        <w:rPr>
          <w:rFonts w:ascii="Tahoma" w:hAnsi="Tahoma" w:cs="Tahoma"/>
          <w:sz w:val="16"/>
          <w:szCs w:val="16"/>
        </w:rPr>
      </w:pPr>
    </w:p>
    <w:p w:rsidR="00767D91" w:rsidRPr="00783F05" w:rsidRDefault="00767D91" w:rsidP="00783F05">
      <w:pPr>
        <w:rPr>
          <w:rFonts w:ascii="Tahoma" w:hAnsi="Tahoma" w:cs="Tahoma"/>
          <w:sz w:val="16"/>
          <w:szCs w:val="16"/>
        </w:rPr>
      </w:pPr>
    </w:p>
    <w:p w:rsidR="00767D91" w:rsidRPr="00783F05" w:rsidRDefault="00767D91" w:rsidP="00783F05">
      <w:pPr>
        <w:rPr>
          <w:rFonts w:ascii="Tahoma" w:hAnsi="Tahoma" w:cs="Tahoma"/>
          <w:sz w:val="16"/>
          <w:szCs w:val="16"/>
        </w:rPr>
      </w:pPr>
    </w:p>
    <w:p w:rsidR="00767D91" w:rsidRPr="00783F05" w:rsidRDefault="00767D91" w:rsidP="00783F05">
      <w:pPr>
        <w:rPr>
          <w:rFonts w:ascii="Tahoma" w:hAnsi="Tahoma" w:cs="Tahoma"/>
          <w:sz w:val="16"/>
          <w:szCs w:val="16"/>
        </w:rPr>
      </w:pPr>
    </w:p>
    <w:p w:rsidR="00767D91" w:rsidRPr="00783F05" w:rsidRDefault="00767D91" w:rsidP="00783F05">
      <w:pPr>
        <w:rPr>
          <w:rFonts w:ascii="Tahoma" w:hAnsi="Tahoma" w:cs="Tahoma"/>
          <w:sz w:val="16"/>
          <w:szCs w:val="16"/>
        </w:rPr>
      </w:pPr>
    </w:p>
    <w:p w:rsidR="000D7612" w:rsidRPr="00783F05" w:rsidRDefault="000D7612" w:rsidP="00783F05">
      <w:pPr>
        <w:rPr>
          <w:rFonts w:ascii="Tahoma" w:hAnsi="Tahoma" w:cs="Tahoma"/>
          <w:sz w:val="16"/>
          <w:szCs w:val="16"/>
        </w:rPr>
      </w:pPr>
    </w:p>
    <w:p w:rsidR="00783F05" w:rsidRPr="00783F05" w:rsidRDefault="00783F05">
      <w:pPr>
        <w:rPr>
          <w:rFonts w:ascii="Tahoma" w:hAnsi="Tahoma" w:cs="Tahoma"/>
          <w:sz w:val="16"/>
          <w:szCs w:val="16"/>
        </w:rPr>
      </w:pPr>
    </w:p>
    <w:sectPr w:rsidR="00783F05" w:rsidRPr="00783F05" w:rsidSect="0087195E">
      <w:headerReference w:type="default" r:id="rId9"/>
      <w:headerReference w:type="first" r:id="rId10"/>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56F" w:rsidRDefault="001C756F" w:rsidP="00783F05">
      <w:r>
        <w:separator/>
      </w:r>
    </w:p>
  </w:endnote>
  <w:endnote w:type="continuationSeparator" w:id="0">
    <w:p w:rsidR="001C756F" w:rsidRDefault="001C756F" w:rsidP="0078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56F" w:rsidRDefault="001C756F" w:rsidP="00783F05">
      <w:r>
        <w:separator/>
      </w:r>
    </w:p>
  </w:footnote>
  <w:footnote w:type="continuationSeparator" w:id="0">
    <w:p w:rsidR="001C756F" w:rsidRDefault="001C756F" w:rsidP="00783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5B" w:rsidRPr="00CD7459" w:rsidRDefault="001C756F" w:rsidP="00B12637">
    <w:pPr>
      <w:pStyle w:val="Encabezado"/>
      <w:jc w:val="right"/>
      <w:rPr>
        <w:rFonts w:ascii="Tahoma" w:hAnsi="Tahoma" w:cs="Tahoma"/>
        <w:sz w:val="12"/>
        <w:szCs w:val="12"/>
      </w:rPr>
    </w:pPr>
    <w:r w:rsidRPr="00CD7459">
      <w:rPr>
        <w:rFonts w:ascii="Tahoma" w:hAnsi="Tahoma" w:cs="Tahoma"/>
        <w:sz w:val="12"/>
        <w:szCs w:val="12"/>
      </w:rPr>
      <w:t>Expediente 2015-0</w:t>
    </w:r>
    <w:r w:rsidR="00783F05">
      <w:rPr>
        <w:rFonts w:ascii="Tahoma" w:hAnsi="Tahoma" w:cs="Tahoma"/>
        <w:sz w:val="12"/>
        <w:szCs w:val="12"/>
      </w:rPr>
      <w:t>705</w:t>
    </w:r>
  </w:p>
  <w:p w:rsidR="0037220F" w:rsidRPr="00CD7459" w:rsidRDefault="001C756F" w:rsidP="00B12637">
    <w:pPr>
      <w:pStyle w:val="Encabezado"/>
      <w:jc w:val="right"/>
      <w:rPr>
        <w:rFonts w:ascii="Tahoma" w:hAnsi="Tahoma" w:cs="Tahoma"/>
        <w:sz w:val="12"/>
        <w:szCs w:val="12"/>
      </w:rPr>
    </w:pPr>
    <w:r w:rsidRPr="00CD7459">
      <w:rPr>
        <w:rFonts w:ascii="Tahoma" w:hAnsi="Tahoma" w:cs="Tahoma"/>
        <w:sz w:val="12"/>
        <w:szCs w:val="12"/>
        <w:lang w:val="es-MX"/>
      </w:rPr>
      <w:t xml:space="preserve">DECIDE RECURSO DE REPOSICION CONTRA AUTO </w:t>
    </w:r>
    <w:r w:rsidRPr="00CD7459">
      <w:rPr>
        <w:rFonts w:ascii="Tahoma" w:hAnsi="Tahoma" w:cs="Tahoma"/>
        <w:sz w:val="12"/>
        <w:szCs w:val="12"/>
        <w:lang w:val="es-MX"/>
      </w:rPr>
      <w:t xml:space="preserve">QUE INADMITE DEMANDA- </w:t>
    </w:r>
    <w:r w:rsidRPr="00CD7459">
      <w:rPr>
        <w:rFonts w:ascii="Tahoma" w:hAnsi="Tahoma" w:cs="Tahoma"/>
        <w:color w:val="000000"/>
        <w:sz w:val="12"/>
        <w:szCs w:val="12"/>
        <w:lang w:val="es-MX"/>
      </w:rPr>
      <w:t>PREVIO A ADMITIR REQUIERE A PARTE ACTORA</w:t>
    </w:r>
    <w:r w:rsidRPr="00CD7459">
      <w:rPr>
        <w:rFonts w:ascii="Tahoma" w:hAnsi="Tahoma" w:cs="Tahoma"/>
        <w:sz w:val="12"/>
        <w:szCs w:val="12"/>
      </w:rPr>
      <w:t xml:space="preserve"> </w:t>
    </w:r>
  </w:p>
  <w:p w:rsidR="007E4BAC" w:rsidRPr="00CD7459" w:rsidRDefault="001C756F" w:rsidP="00CD7459">
    <w:pPr>
      <w:pStyle w:val="Encabezado"/>
      <w:jc w:val="right"/>
      <w:rPr>
        <w:rFonts w:ascii="Tahoma" w:hAnsi="Tahoma" w:cs="Tahoma"/>
        <w:sz w:val="12"/>
        <w:szCs w:val="12"/>
      </w:rPr>
    </w:pPr>
    <w:r w:rsidRPr="00CD7459">
      <w:rPr>
        <w:rFonts w:ascii="Tahoma" w:hAnsi="Tahoma" w:cs="Tahoma"/>
        <w:sz w:val="12"/>
        <w:szCs w:val="12"/>
      </w:rPr>
      <w:t xml:space="preserve">Página </w:t>
    </w:r>
    <w:r w:rsidRPr="00CD7459">
      <w:rPr>
        <w:rFonts w:ascii="Tahoma" w:hAnsi="Tahoma" w:cs="Tahoma"/>
        <w:sz w:val="12"/>
        <w:szCs w:val="12"/>
      </w:rPr>
      <w:fldChar w:fldCharType="begin"/>
    </w:r>
    <w:r w:rsidRPr="00CD7459">
      <w:rPr>
        <w:rFonts w:ascii="Tahoma" w:hAnsi="Tahoma" w:cs="Tahoma"/>
        <w:sz w:val="12"/>
        <w:szCs w:val="12"/>
      </w:rPr>
      <w:instrText xml:space="preserve"> PAGE  \* Arabic  \* MERGEFORMAT </w:instrText>
    </w:r>
    <w:r w:rsidRPr="00CD7459">
      <w:rPr>
        <w:rFonts w:ascii="Tahoma" w:hAnsi="Tahoma" w:cs="Tahoma"/>
        <w:sz w:val="12"/>
        <w:szCs w:val="12"/>
      </w:rPr>
      <w:fldChar w:fldCharType="separate"/>
    </w:r>
    <w:r w:rsidR="00005366">
      <w:rPr>
        <w:rFonts w:ascii="Tahoma" w:hAnsi="Tahoma" w:cs="Tahoma"/>
        <w:noProof/>
        <w:sz w:val="12"/>
        <w:szCs w:val="12"/>
      </w:rPr>
      <w:t>2</w:t>
    </w:r>
    <w:r w:rsidRPr="00CD7459">
      <w:rPr>
        <w:rFonts w:ascii="Tahoma" w:hAnsi="Tahoma" w:cs="Tahoma"/>
        <w:sz w:val="12"/>
        <w:szCs w:val="12"/>
      </w:rPr>
      <w:fldChar w:fldCharType="end"/>
    </w:r>
    <w:r w:rsidRPr="00CD7459">
      <w:rPr>
        <w:rFonts w:ascii="Tahoma" w:hAnsi="Tahoma" w:cs="Tahoma"/>
        <w:sz w:val="12"/>
        <w:szCs w:val="12"/>
      </w:rPr>
      <w:t xml:space="preserve"> de </w:t>
    </w:r>
    <w:r w:rsidRPr="00CD7459">
      <w:rPr>
        <w:rFonts w:ascii="Tahoma" w:hAnsi="Tahoma" w:cs="Tahoma"/>
        <w:sz w:val="12"/>
        <w:szCs w:val="12"/>
      </w:rPr>
      <w:fldChar w:fldCharType="begin"/>
    </w:r>
    <w:r w:rsidRPr="00CD7459">
      <w:rPr>
        <w:rFonts w:ascii="Tahoma" w:hAnsi="Tahoma" w:cs="Tahoma"/>
        <w:sz w:val="12"/>
        <w:szCs w:val="12"/>
      </w:rPr>
      <w:instrText xml:space="preserve"> NUMPAGES  \* Arabic  \* MERGEFORMAT </w:instrText>
    </w:r>
    <w:r w:rsidRPr="00CD7459">
      <w:rPr>
        <w:rFonts w:ascii="Tahoma" w:hAnsi="Tahoma" w:cs="Tahoma"/>
        <w:sz w:val="12"/>
        <w:szCs w:val="12"/>
      </w:rPr>
      <w:fldChar w:fldCharType="separate"/>
    </w:r>
    <w:r w:rsidR="00005366">
      <w:rPr>
        <w:rFonts w:ascii="Tahoma" w:hAnsi="Tahoma" w:cs="Tahoma"/>
        <w:noProof/>
        <w:sz w:val="12"/>
        <w:szCs w:val="12"/>
      </w:rPr>
      <w:t>2</w:t>
    </w:r>
    <w:r w:rsidRPr="00CD7459">
      <w:rPr>
        <w:rFonts w:ascii="Tahoma" w:hAnsi="Tahoma" w:cs="Tahoma"/>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5B" w:rsidRPr="00346C7B" w:rsidRDefault="001C756F" w:rsidP="00B12637">
    <w:pPr>
      <w:pStyle w:val="Encabezado"/>
      <w:jc w:val="center"/>
      <w:rPr>
        <w:rFonts w:ascii="Arial" w:hAnsi="Arial" w:cs="Arial"/>
        <w:b/>
        <w:i/>
        <w:sz w:val="13"/>
        <w:szCs w:val="13"/>
      </w:rPr>
    </w:pPr>
    <w:r>
      <w:rPr>
        <w:rFonts w:ascii="Arial" w:hAnsi="Arial" w:cs="Arial"/>
        <w:b/>
        <w:i/>
        <w:noProof/>
        <w:sz w:val="13"/>
        <w:szCs w:val="13"/>
        <w:lang w:val="es-CO" w:eastAsia="es-CO"/>
      </w:rPr>
      <w:drawing>
        <wp:inline distT="0" distB="0" distL="0" distR="0" wp14:anchorId="481D9587" wp14:editId="31FE4060">
          <wp:extent cx="666750" cy="638175"/>
          <wp:effectExtent l="0" t="0" r="0" b="0"/>
          <wp:docPr id="2"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CA095B" w:rsidRPr="00346C7B" w:rsidRDefault="001C756F" w:rsidP="00B12637">
    <w:pPr>
      <w:pStyle w:val="Encabezado"/>
      <w:jc w:val="center"/>
      <w:rPr>
        <w:rFonts w:ascii="Tahoma" w:hAnsi="Tahoma" w:cs="Tahoma"/>
        <w:b/>
        <w:sz w:val="13"/>
        <w:szCs w:val="13"/>
        <w:lang w:val="es-MX"/>
      </w:rPr>
    </w:pPr>
    <w:r w:rsidRPr="00346C7B">
      <w:rPr>
        <w:rFonts w:ascii="Tahoma" w:hAnsi="Tahoma" w:cs="Tahoma"/>
        <w:b/>
        <w:sz w:val="13"/>
        <w:szCs w:val="13"/>
        <w:lang w:val="es-MX"/>
      </w:rPr>
      <w:t>JUZGADO TREINTA Y CUATRO ADMINISTRATIVO</w:t>
    </w:r>
  </w:p>
  <w:p w:rsidR="00CA095B" w:rsidRPr="00346C7B" w:rsidRDefault="001C756F" w:rsidP="00B12637">
    <w:pPr>
      <w:pStyle w:val="Encabezado"/>
      <w:jc w:val="center"/>
      <w:rPr>
        <w:rFonts w:ascii="Tahoma" w:hAnsi="Tahoma" w:cs="Tahoma"/>
        <w:b/>
        <w:sz w:val="13"/>
        <w:szCs w:val="13"/>
        <w:lang w:val="es-MX"/>
      </w:rPr>
    </w:pPr>
    <w:r w:rsidRPr="00346C7B">
      <w:rPr>
        <w:rFonts w:ascii="Tahoma" w:hAnsi="Tahoma" w:cs="Tahoma"/>
        <w:b/>
        <w:sz w:val="13"/>
        <w:szCs w:val="13"/>
        <w:lang w:val="es-MX"/>
      </w:rPr>
      <w:t>ORAL DE BOGOTÁ</w:t>
    </w:r>
  </w:p>
  <w:p w:rsidR="00CA095B" w:rsidRPr="00346C7B" w:rsidRDefault="001C756F" w:rsidP="00B12637">
    <w:pPr>
      <w:pStyle w:val="Encabezado"/>
      <w:jc w:val="center"/>
      <w:rPr>
        <w:rFonts w:ascii="Tahoma" w:hAnsi="Tahoma" w:cs="Tahoma"/>
        <w:b/>
        <w:sz w:val="13"/>
        <w:szCs w:val="13"/>
        <w:lang w:val="es-MX"/>
      </w:rPr>
    </w:pPr>
    <w:r w:rsidRPr="00346C7B">
      <w:rPr>
        <w:rFonts w:ascii="Tahoma" w:hAnsi="Tahoma" w:cs="Tahoma"/>
        <w:b/>
        <w:sz w:val="13"/>
        <w:szCs w:val="13"/>
        <w:lang w:val="es-MX"/>
      </w:rPr>
      <w:t>Sección Tercera</w:t>
    </w:r>
  </w:p>
  <w:p w:rsidR="00CA095B" w:rsidRDefault="001C75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572AD"/>
    <w:multiLevelType w:val="hybridMultilevel"/>
    <w:tmpl w:val="2E2820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B3A46CF"/>
    <w:multiLevelType w:val="hybridMultilevel"/>
    <w:tmpl w:val="ECFAE8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8862F4E"/>
    <w:multiLevelType w:val="multilevel"/>
    <w:tmpl w:val="DE3A0F30"/>
    <w:lvl w:ilvl="0">
      <w:start w:val="2"/>
      <w:numFmt w:val="decimal"/>
      <w:lvlText w:val="%1."/>
      <w:lvlJc w:val="left"/>
      <w:pPr>
        <w:ind w:left="360" w:hanging="360"/>
      </w:pPr>
      <w:rPr>
        <w:rFonts w:hint="default"/>
        <w:b/>
        <w:i w:val="0"/>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91"/>
    <w:rsid w:val="00005366"/>
    <w:rsid w:val="000D7612"/>
    <w:rsid w:val="00100649"/>
    <w:rsid w:val="001C756F"/>
    <w:rsid w:val="001F4034"/>
    <w:rsid w:val="00271C30"/>
    <w:rsid w:val="00357E8C"/>
    <w:rsid w:val="003E6FA9"/>
    <w:rsid w:val="00517ACB"/>
    <w:rsid w:val="00767D91"/>
    <w:rsid w:val="00775CE7"/>
    <w:rsid w:val="00783F05"/>
    <w:rsid w:val="007C63F1"/>
    <w:rsid w:val="00A27E2B"/>
    <w:rsid w:val="00C125F6"/>
    <w:rsid w:val="00D02880"/>
    <w:rsid w:val="00E919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9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67D91"/>
    <w:pPr>
      <w:tabs>
        <w:tab w:val="center" w:pos="4419"/>
        <w:tab w:val="right" w:pos="8838"/>
      </w:tabs>
    </w:pPr>
  </w:style>
  <w:style w:type="character" w:customStyle="1" w:styleId="EncabezadoCar">
    <w:name w:val="Encabezado Car"/>
    <w:basedOn w:val="Fuentedeprrafopredeter"/>
    <w:link w:val="Encabezado"/>
    <w:uiPriority w:val="99"/>
    <w:rsid w:val="00767D91"/>
    <w:rPr>
      <w:rFonts w:ascii="Times New Roman" w:eastAsia="Times New Roman" w:hAnsi="Times New Roman" w:cs="Times New Roman"/>
      <w:sz w:val="24"/>
      <w:szCs w:val="24"/>
      <w:lang w:val="es-ES" w:eastAsia="es-ES"/>
    </w:rPr>
  </w:style>
  <w:style w:type="paragraph" w:customStyle="1" w:styleId="nueve-">
    <w:name w:val="nueve-"/>
    <w:rsid w:val="00767D91"/>
    <w:pPr>
      <w:spacing w:before="216" w:after="216" w:line="240" w:lineRule="auto"/>
      <w:ind w:firstLine="432"/>
      <w:jc w:val="both"/>
    </w:pPr>
    <w:rPr>
      <w:rFonts w:ascii="Arial" w:eastAsia="Times New Roman" w:hAnsi="Arial" w:cs="Arial"/>
      <w:sz w:val="24"/>
      <w:szCs w:val="24"/>
      <w:lang w:val="es-ES" w:eastAsia="es-ES"/>
    </w:rPr>
  </w:style>
  <w:style w:type="paragraph" w:customStyle="1" w:styleId="Style3">
    <w:name w:val="Style3"/>
    <w:basedOn w:val="Normal"/>
    <w:uiPriority w:val="99"/>
    <w:rsid w:val="00767D91"/>
    <w:pPr>
      <w:widowControl w:val="0"/>
      <w:autoSpaceDE w:val="0"/>
      <w:autoSpaceDN w:val="0"/>
      <w:adjustRightInd w:val="0"/>
      <w:spacing w:line="371" w:lineRule="exact"/>
      <w:jc w:val="both"/>
    </w:pPr>
    <w:rPr>
      <w:rFonts w:ascii="Trebuchet MS" w:eastAsiaTheme="minorEastAsia" w:hAnsi="Trebuchet MS"/>
      <w:lang w:val="es-CO" w:eastAsia="es-CO"/>
    </w:rPr>
  </w:style>
  <w:style w:type="paragraph" w:customStyle="1" w:styleId="Style9">
    <w:name w:val="Style9"/>
    <w:basedOn w:val="Normal"/>
    <w:uiPriority w:val="99"/>
    <w:rsid w:val="00767D91"/>
    <w:pPr>
      <w:widowControl w:val="0"/>
      <w:autoSpaceDE w:val="0"/>
      <w:autoSpaceDN w:val="0"/>
      <w:adjustRightInd w:val="0"/>
      <w:spacing w:line="369" w:lineRule="exact"/>
      <w:jc w:val="both"/>
    </w:pPr>
    <w:rPr>
      <w:rFonts w:ascii="Trebuchet MS" w:eastAsiaTheme="minorEastAsia" w:hAnsi="Trebuchet MS"/>
      <w:lang w:val="es-CO" w:eastAsia="es-CO"/>
    </w:rPr>
  </w:style>
  <w:style w:type="character" w:customStyle="1" w:styleId="FontStyle15">
    <w:name w:val="Font Style15"/>
    <w:basedOn w:val="Fuentedeprrafopredeter"/>
    <w:uiPriority w:val="99"/>
    <w:rsid w:val="00767D91"/>
    <w:rPr>
      <w:rFonts w:ascii="Arial Narrow" w:hAnsi="Arial Narrow" w:cs="Arial Narrow"/>
      <w:sz w:val="28"/>
      <w:szCs w:val="28"/>
    </w:rPr>
  </w:style>
  <w:style w:type="paragraph" w:styleId="Prrafodelista">
    <w:name w:val="List Paragraph"/>
    <w:basedOn w:val="Normal"/>
    <w:uiPriority w:val="34"/>
    <w:qFormat/>
    <w:rsid w:val="00767D91"/>
    <w:pPr>
      <w:ind w:left="720"/>
      <w:contextualSpacing/>
    </w:pPr>
    <w:rPr>
      <w:rFonts w:ascii="Arial" w:hAnsi="Arial" w:cs="Arial"/>
      <w:noProof/>
      <w:color w:val="000000"/>
      <w:lang w:val="es-CO"/>
    </w:rPr>
  </w:style>
  <w:style w:type="paragraph" w:styleId="Textodeglobo">
    <w:name w:val="Balloon Text"/>
    <w:basedOn w:val="Normal"/>
    <w:link w:val="TextodegloboCar"/>
    <w:uiPriority w:val="99"/>
    <w:semiHidden/>
    <w:unhideWhenUsed/>
    <w:rsid w:val="00767D91"/>
    <w:rPr>
      <w:rFonts w:ascii="Tahoma" w:hAnsi="Tahoma" w:cs="Tahoma"/>
      <w:sz w:val="16"/>
      <w:szCs w:val="16"/>
    </w:rPr>
  </w:style>
  <w:style w:type="character" w:customStyle="1" w:styleId="TextodegloboCar">
    <w:name w:val="Texto de globo Car"/>
    <w:basedOn w:val="Fuentedeprrafopredeter"/>
    <w:link w:val="Textodeglobo"/>
    <w:uiPriority w:val="99"/>
    <w:semiHidden/>
    <w:rsid w:val="00767D91"/>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783F05"/>
    <w:pPr>
      <w:tabs>
        <w:tab w:val="center" w:pos="4419"/>
        <w:tab w:val="right" w:pos="8838"/>
      </w:tabs>
    </w:pPr>
  </w:style>
  <w:style w:type="character" w:customStyle="1" w:styleId="PiedepginaCar">
    <w:name w:val="Pie de página Car"/>
    <w:basedOn w:val="Fuentedeprrafopredeter"/>
    <w:link w:val="Piedepgina"/>
    <w:uiPriority w:val="99"/>
    <w:rsid w:val="00783F05"/>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271C30"/>
    <w:rPr>
      <w:sz w:val="20"/>
      <w:szCs w:val="20"/>
    </w:rPr>
  </w:style>
  <w:style w:type="character" w:customStyle="1" w:styleId="TextonotapieCar">
    <w:name w:val="Texto nota pie Car"/>
    <w:basedOn w:val="Fuentedeprrafopredeter"/>
    <w:link w:val="Textonotapie"/>
    <w:uiPriority w:val="99"/>
    <w:semiHidden/>
    <w:rsid w:val="00271C3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271C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9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67D91"/>
    <w:pPr>
      <w:tabs>
        <w:tab w:val="center" w:pos="4419"/>
        <w:tab w:val="right" w:pos="8838"/>
      </w:tabs>
    </w:pPr>
  </w:style>
  <w:style w:type="character" w:customStyle="1" w:styleId="EncabezadoCar">
    <w:name w:val="Encabezado Car"/>
    <w:basedOn w:val="Fuentedeprrafopredeter"/>
    <w:link w:val="Encabezado"/>
    <w:uiPriority w:val="99"/>
    <w:rsid w:val="00767D91"/>
    <w:rPr>
      <w:rFonts w:ascii="Times New Roman" w:eastAsia="Times New Roman" w:hAnsi="Times New Roman" w:cs="Times New Roman"/>
      <w:sz w:val="24"/>
      <w:szCs w:val="24"/>
      <w:lang w:val="es-ES" w:eastAsia="es-ES"/>
    </w:rPr>
  </w:style>
  <w:style w:type="paragraph" w:customStyle="1" w:styleId="nueve-">
    <w:name w:val="nueve-"/>
    <w:rsid w:val="00767D91"/>
    <w:pPr>
      <w:spacing w:before="216" w:after="216" w:line="240" w:lineRule="auto"/>
      <w:ind w:firstLine="432"/>
      <w:jc w:val="both"/>
    </w:pPr>
    <w:rPr>
      <w:rFonts w:ascii="Arial" w:eastAsia="Times New Roman" w:hAnsi="Arial" w:cs="Arial"/>
      <w:sz w:val="24"/>
      <w:szCs w:val="24"/>
      <w:lang w:val="es-ES" w:eastAsia="es-ES"/>
    </w:rPr>
  </w:style>
  <w:style w:type="paragraph" w:customStyle="1" w:styleId="Style3">
    <w:name w:val="Style3"/>
    <w:basedOn w:val="Normal"/>
    <w:uiPriority w:val="99"/>
    <w:rsid w:val="00767D91"/>
    <w:pPr>
      <w:widowControl w:val="0"/>
      <w:autoSpaceDE w:val="0"/>
      <w:autoSpaceDN w:val="0"/>
      <w:adjustRightInd w:val="0"/>
      <w:spacing w:line="371" w:lineRule="exact"/>
      <w:jc w:val="both"/>
    </w:pPr>
    <w:rPr>
      <w:rFonts w:ascii="Trebuchet MS" w:eastAsiaTheme="minorEastAsia" w:hAnsi="Trebuchet MS"/>
      <w:lang w:val="es-CO" w:eastAsia="es-CO"/>
    </w:rPr>
  </w:style>
  <w:style w:type="paragraph" w:customStyle="1" w:styleId="Style9">
    <w:name w:val="Style9"/>
    <w:basedOn w:val="Normal"/>
    <w:uiPriority w:val="99"/>
    <w:rsid w:val="00767D91"/>
    <w:pPr>
      <w:widowControl w:val="0"/>
      <w:autoSpaceDE w:val="0"/>
      <w:autoSpaceDN w:val="0"/>
      <w:adjustRightInd w:val="0"/>
      <w:spacing w:line="369" w:lineRule="exact"/>
      <w:jc w:val="both"/>
    </w:pPr>
    <w:rPr>
      <w:rFonts w:ascii="Trebuchet MS" w:eastAsiaTheme="minorEastAsia" w:hAnsi="Trebuchet MS"/>
      <w:lang w:val="es-CO" w:eastAsia="es-CO"/>
    </w:rPr>
  </w:style>
  <w:style w:type="character" w:customStyle="1" w:styleId="FontStyle15">
    <w:name w:val="Font Style15"/>
    <w:basedOn w:val="Fuentedeprrafopredeter"/>
    <w:uiPriority w:val="99"/>
    <w:rsid w:val="00767D91"/>
    <w:rPr>
      <w:rFonts w:ascii="Arial Narrow" w:hAnsi="Arial Narrow" w:cs="Arial Narrow"/>
      <w:sz w:val="28"/>
      <w:szCs w:val="28"/>
    </w:rPr>
  </w:style>
  <w:style w:type="paragraph" w:styleId="Prrafodelista">
    <w:name w:val="List Paragraph"/>
    <w:basedOn w:val="Normal"/>
    <w:uiPriority w:val="34"/>
    <w:qFormat/>
    <w:rsid w:val="00767D91"/>
    <w:pPr>
      <w:ind w:left="720"/>
      <w:contextualSpacing/>
    </w:pPr>
    <w:rPr>
      <w:rFonts w:ascii="Arial" w:hAnsi="Arial" w:cs="Arial"/>
      <w:noProof/>
      <w:color w:val="000000"/>
      <w:lang w:val="es-CO"/>
    </w:rPr>
  </w:style>
  <w:style w:type="paragraph" w:styleId="Textodeglobo">
    <w:name w:val="Balloon Text"/>
    <w:basedOn w:val="Normal"/>
    <w:link w:val="TextodegloboCar"/>
    <w:uiPriority w:val="99"/>
    <w:semiHidden/>
    <w:unhideWhenUsed/>
    <w:rsid w:val="00767D91"/>
    <w:rPr>
      <w:rFonts w:ascii="Tahoma" w:hAnsi="Tahoma" w:cs="Tahoma"/>
      <w:sz w:val="16"/>
      <w:szCs w:val="16"/>
    </w:rPr>
  </w:style>
  <w:style w:type="character" w:customStyle="1" w:styleId="TextodegloboCar">
    <w:name w:val="Texto de globo Car"/>
    <w:basedOn w:val="Fuentedeprrafopredeter"/>
    <w:link w:val="Textodeglobo"/>
    <w:uiPriority w:val="99"/>
    <w:semiHidden/>
    <w:rsid w:val="00767D91"/>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783F05"/>
    <w:pPr>
      <w:tabs>
        <w:tab w:val="center" w:pos="4419"/>
        <w:tab w:val="right" w:pos="8838"/>
      </w:tabs>
    </w:pPr>
  </w:style>
  <w:style w:type="character" w:customStyle="1" w:styleId="PiedepginaCar">
    <w:name w:val="Pie de página Car"/>
    <w:basedOn w:val="Fuentedeprrafopredeter"/>
    <w:link w:val="Piedepgina"/>
    <w:uiPriority w:val="99"/>
    <w:rsid w:val="00783F05"/>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271C30"/>
    <w:rPr>
      <w:sz w:val="20"/>
      <w:szCs w:val="20"/>
    </w:rPr>
  </w:style>
  <w:style w:type="character" w:customStyle="1" w:styleId="TextonotapieCar">
    <w:name w:val="Texto nota pie Car"/>
    <w:basedOn w:val="Fuentedeprrafopredeter"/>
    <w:link w:val="Textonotapie"/>
    <w:uiPriority w:val="99"/>
    <w:semiHidden/>
    <w:rsid w:val="00271C3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271C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95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D9D62-C27C-4573-B2D8-BC3842B5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1404</Words>
  <Characters>7723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2016-08-03T20:54:00Z</cp:lastPrinted>
  <dcterms:created xsi:type="dcterms:W3CDTF">2016-08-03T20:54:00Z</dcterms:created>
  <dcterms:modified xsi:type="dcterms:W3CDTF">2016-08-03T20:56:00Z</dcterms:modified>
</cp:coreProperties>
</file>