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10F5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A10F5B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Cooperativa </w:t>
            </w:r>
            <w:proofErr w:type="spellStart"/>
            <w:r>
              <w:rPr>
                <w:rFonts w:ascii="Arial" w:hAnsi="Arial" w:cs="Arial"/>
              </w:rPr>
              <w:t>Multiactiva</w:t>
            </w:r>
            <w:proofErr w:type="spellEnd"/>
            <w:r>
              <w:rPr>
                <w:rFonts w:ascii="Arial" w:hAnsi="Arial" w:cs="Arial"/>
              </w:rPr>
              <w:t xml:space="preserve"> de Comercio y Servicios Soluciones Empresariales y Crediticias – </w:t>
            </w:r>
            <w:proofErr w:type="spellStart"/>
            <w:r>
              <w:rPr>
                <w:rFonts w:ascii="Arial" w:hAnsi="Arial" w:cs="Arial"/>
              </w:rPr>
              <w:t>Credisol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A10F5B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Marta Lucía Rojas Romero y Otra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03EA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49</cp:revision>
  <dcterms:created xsi:type="dcterms:W3CDTF">2020-04-15T16:42:00Z</dcterms:created>
  <dcterms:modified xsi:type="dcterms:W3CDTF">2020-05-18T13:23:00Z</dcterms:modified>
</cp:coreProperties>
</file>