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A6D74" w14:textId="15BC17EC" w:rsidR="00804577" w:rsidRPr="008B54C0" w:rsidRDefault="00F66138" w:rsidP="00804577">
      <w:pPr>
        <w:spacing w:line="276" w:lineRule="auto"/>
        <w:ind w:left="708" w:hanging="708"/>
        <w:rPr>
          <w:rFonts w:ascii="Arial" w:hAnsi="Arial" w:cs="Arial"/>
          <w:sz w:val="22"/>
        </w:rPr>
      </w:pPr>
      <w:r w:rsidRPr="008B54C0">
        <w:rPr>
          <w:rFonts w:ascii="Arial" w:hAnsi="Arial" w:cs="Arial"/>
          <w:sz w:val="22"/>
        </w:rPr>
        <w:t xml:space="preserve">Bogotá D.C., </w:t>
      </w:r>
      <w:r w:rsidR="00B30C3C">
        <w:rPr>
          <w:rFonts w:ascii="Arial" w:hAnsi="Arial" w:cs="Arial"/>
          <w:sz w:val="22"/>
        </w:rPr>
        <w:t>julio</w:t>
      </w:r>
      <w:r w:rsidR="00E32DF2">
        <w:rPr>
          <w:rFonts w:ascii="Arial" w:hAnsi="Arial" w:cs="Arial"/>
          <w:sz w:val="22"/>
        </w:rPr>
        <w:t xml:space="preserve"> de 2020</w:t>
      </w:r>
    </w:p>
    <w:p w14:paraId="6845F6FF" w14:textId="77777777" w:rsidR="00804577" w:rsidRPr="008B54C0" w:rsidRDefault="00804577" w:rsidP="00804577">
      <w:pPr>
        <w:spacing w:line="276" w:lineRule="auto"/>
        <w:rPr>
          <w:rFonts w:ascii="Arial" w:hAnsi="Arial" w:cs="Arial"/>
          <w:sz w:val="22"/>
        </w:rPr>
      </w:pPr>
    </w:p>
    <w:p w14:paraId="48DA5FD7" w14:textId="77777777" w:rsidR="007E332D" w:rsidRPr="007E332D" w:rsidRDefault="007E332D" w:rsidP="007E332D">
      <w:pPr>
        <w:spacing w:line="276" w:lineRule="auto"/>
        <w:rPr>
          <w:rFonts w:ascii="Arial" w:hAnsi="Arial" w:cs="Arial"/>
          <w:sz w:val="22"/>
        </w:rPr>
      </w:pPr>
      <w:r w:rsidRPr="007E332D">
        <w:rPr>
          <w:rFonts w:ascii="Arial" w:hAnsi="Arial" w:cs="Arial"/>
          <w:sz w:val="22"/>
        </w:rPr>
        <w:t>Señor</w:t>
      </w:r>
    </w:p>
    <w:p w14:paraId="387C437B" w14:textId="77777777" w:rsidR="00B30C3C" w:rsidRPr="00B30C3C" w:rsidRDefault="00B30C3C" w:rsidP="00B30C3C">
      <w:pPr>
        <w:spacing w:line="276" w:lineRule="auto"/>
        <w:rPr>
          <w:rFonts w:ascii="Arial" w:hAnsi="Arial" w:cs="Arial"/>
          <w:b/>
          <w:sz w:val="22"/>
        </w:rPr>
      </w:pPr>
      <w:r w:rsidRPr="00B30C3C">
        <w:rPr>
          <w:rFonts w:ascii="Arial" w:hAnsi="Arial" w:cs="Arial"/>
          <w:b/>
          <w:sz w:val="22"/>
        </w:rPr>
        <w:t>JUZGADO TERCERO CIVIL DEL CIRCUITO</w:t>
      </w:r>
    </w:p>
    <w:p w14:paraId="12359C14" w14:textId="77777777" w:rsidR="00B30C3C" w:rsidRPr="00B30C3C" w:rsidRDefault="00B30C3C" w:rsidP="00B30C3C">
      <w:pPr>
        <w:spacing w:line="276" w:lineRule="auto"/>
        <w:rPr>
          <w:rFonts w:ascii="Arial" w:hAnsi="Arial" w:cs="Arial"/>
          <w:b/>
          <w:sz w:val="22"/>
        </w:rPr>
      </w:pPr>
      <w:r w:rsidRPr="00B30C3C">
        <w:rPr>
          <w:rFonts w:ascii="Arial" w:hAnsi="Arial" w:cs="Arial"/>
          <w:b/>
          <w:sz w:val="22"/>
        </w:rPr>
        <w:t>Sogamoso</w:t>
      </w:r>
    </w:p>
    <w:p w14:paraId="41959FE4" w14:textId="67519B43" w:rsidR="00B30C3C" w:rsidRDefault="00B30C3C" w:rsidP="00B30C3C">
      <w:pPr>
        <w:spacing w:line="276" w:lineRule="auto"/>
        <w:rPr>
          <w:rFonts w:ascii="Arial" w:hAnsi="Arial" w:cs="Arial"/>
          <w:b/>
          <w:sz w:val="22"/>
        </w:rPr>
      </w:pPr>
      <w:r w:rsidRPr="00B30C3C">
        <w:rPr>
          <w:rFonts w:ascii="Arial" w:hAnsi="Arial" w:cs="Arial"/>
          <w:b/>
          <w:sz w:val="22"/>
        </w:rPr>
        <w:t xml:space="preserve">Correo: </w:t>
      </w:r>
      <w:hyperlink r:id="rId8" w:history="1">
        <w:r w:rsidRPr="0024243D">
          <w:rPr>
            <w:rStyle w:val="Hipervnculo"/>
            <w:rFonts w:ascii="Arial" w:hAnsi="Arial" w:cs="Arial"/>
            <w:b/>
            <w:sz w:val="22"/>
          </w:rPr>
          <w:t>J03cctosogamoso@cendoj.ramajudicial.gov.co</w:t>
        </w:r>
      </w:hyperlink>
    </w:p>
    <w:p w14:paraId="17FFF446" w14:textId="0B07B41E" w:rsidR="00804577" w:rsidRPr="008B54C0" w:rsidRDefault="00804577" w:rsidP="00B30C3C">
      <w:pPr>
        <w:spacing w:line="276" w:lineRule="auto"/>
        <w:rPr>
          <w:rFonts w:ascii="Arial" w:hAnsi="Arial" w:cs="Arial"/>
          <w:b/>
          <w:sz w:val="22"/>
        </w:rPr>
      </w:pPr>
      <w:r w:rsidRPr="008B54C0">
        <w:rPr>
          <w:rFonts w:ascii="Arial" w:hAnsi="Arial" w:cs="Arial"/>
          <w:sz w:val="22"/>
        </w:rPr>
        <w:t>E. S. D.</w:t>
      </w:r>
    </w:p>
    <w:p w14:paraId="514ACDC9" w14:textId="73B566D9" w:rsidR="00804577" w:rsidRDefault="00804577" w:rsidP="00804577">
      <w:pPr>
        <w:spacing w:line="276" w:lineRule="auto"/>
        <w:rPr>
          <w:rFonts w:ascii="Arial" w:hAnsi="Arial" w:cs="Arial"/>
          <w:sz w:val="22"/>
        </w:rPr>
      </w:pPr>
    </w:p>
    <w:p w14:paraId="46C707F8" w14:textId="2EA81389" w:rsidR="00886C11" w:rsidRPr="00886C11" w:rsidRDefault="00886C11" w:rsidP="00886C11">
      <w:pPr>
        <w:spacing w:line="276" w:lineRule="auto"/>
        <w:rPr>
          <w:rFonts w:ascii="Arial" w:hAnsi="Arial" w:cs="Arial"/>
          <w:sz w:val="22"/>
        </w:rPr>
      </w:pPr>
      <w:r w:rsidRPr="00886C11">
        <w:rPr>
          <w:rFonts w:ascii="Arial" w:hAnsi="Arial" w:cs="Arial"/>
          <w:sz w:val="22"/>
        </w:rPr>
        <w:t>ASUNTO:</w:t>
      </w:r>
      <w:r w:rsidRPr="00886C11">
        <w:rPr>
          <w:rFonts w:ascii="Arial" w:hAnsi="Arial" w:cs="Arial"/>
          <w:sz w:val="22"/>
        </w:rPr>
        <w:tab/>
      </w:r>
      <w:r w:rsidRPr="00886C11">
        <w:rPr>
          <w:rFonts w:ascii="Arial" w:hAnsi="Arial" w:cs="Arial"/>
          <w:sz w:val="22"/>
        </w:rPr>
        <w:tab/>
      </w:r>
      <w:r w:rsidR="007E332D">
        <w:rPr>
          <w:rFonts w:ascii="Arial" w:hAnsi="Arial" w:cs="Arial"/>
          <w:sz w:val="22"/>
        </w:rPr>
        <w:tab/>
      </w:r>
      <w:r w:rsidRPr="00886C11">
        <w:rPr>
          <w:rFonts w:ascii="Arial" w:hAnsi="Arial" w:cs="Arial"/>
          <w:sz w:val="22"/>
        </w:rPr>
        <w:t xml:space="preserve">IMPUGNACIÓN FALLO DE TUTELA </w:t>
      </w:r>
    </w:p>
    <w:p w14:paraId="15D240EC" w14:textId="77777777" w:rsidR="00B30C3C" w:rsidRPr="00B30C3C" w:rsidRDefault="00F13F95" w:rsidP="00B30C3C">
      <w:pPr>
        <w:spacing w:line="276" w:lineRule="auto"/>
        <w:rPr>
          <w:rFonts w:ascii="Arial" w:hAnsi="Arial" w:cs="Arial"/>
          <w:b/>
          <w:sz w:val="22"/>
        </w:rPr>
      </w:pPr>
      <w:r>
        <w:rPr>
          <w:rFonts w:ascii="Arial" w:hAnsi="Arial" w:cs="Arial"/>
          <w:bCs/>
          <w:sz w:val="22"/>
        </w:rPr>
        <w:t>RADICADO:</w:t>
      </w:r>
      <w:r>
        <w:rPr>
          <w:rFonts w:ascii="Arial" w:hAnsi="Arial" w:cs="Arial"/>
          <w:bCs/>
          <w:sz w:val="22"/>
        </w:rPr>
        <w:tab/>
      </w:r>
      <w:r>
        <w:rPr>
          <w:rFonts w:ascii="Arial" w:hAnsi="Arial" w:cs="Arial"/>
          <w:bCs/>
          <w:sz w:val="22"/>
        </w:rPr>
        <w:tab/>
      </w:r>
      <w:r>
        <w:rPr>
          <w:rFonts w:ascii="Arial" w:hAnsi="Arial" w:cs="Arial"/>
          <w:bCs/>
          <w:sz w:val="22"/>
        </w:rPr>
        <w:tab/>
      </w:r>
      <w:r w:rsidR="00B30C3C" w:rsidRPr="00B30C3C">
        <w:rPr>
          <w:rFonts w:ascii="Arial" w:hAnsi="Arial" w:cs="Arial"/>
          <w:b/>
          <w:sz w:val="22"/>
        </w:rPr>
        <w:t>2020-19</w:t>
      </w:r>
    </w:p>
    <w:p w14:paraId="3E11649E" w14:textId="33317CC4" w:rsidR="00B30C3C" w:rsidRPr="00B30C3C" w:rsidRDefault="00B30C3C" w:rsidP="00B30C3C">
      <w:pPr>
        <w:spacing w:line="276" w:lineRule="auto"/>
        <w:rPr>
          <w:rFonts w:ascii="Arial" w:hAnsi="Arial" w:cs="Arial"/>
          <w:b/>
          <w:sz w:val="22"/>
        </w:rPr>
      </w:pPr>
      <w:r w:rsidRPr="00B30C3C">
        <w:rPr>
          <w:rFonts w:ascii="Arial" w:hAnsi="Arial" w:cs="Arial"/>
          <w:b/>
          <w:sz w:val="22"/>
        </w:rPr>
        <w:t xml:space="preserve">ACCIONANTE: </w:t>
      </w:r>
      <w:r>
        <w:rPr>
          <w:rFonts w:ascii="Arial" w:hAnsi="Arial" w:cs="Arial"/>
          <w:b/>
          <w:sz w:val="22"/>
        </w:rPr>
        <w:tab/>
      </w:r>
      <w:r>
        <w:rPr>
          <w:rFonts w:ascii="Arial" w:hAnsi="Arial" w:cs="Arial"/>
          <w:b/>
          <w:sz w:val="22"/>
        </w:rPr>
        <w:tab/>
      </w:r>
      <w:r w:rsidRPr="00B30C3C">
        <w:rPr>
          <w:rFonts w:ascii="Arial" w:hAnsi="Arial" w:cs="Arial"/>
          <w:b/>
          <w:sz w:val="22"/>
        </w:rPr>
        <w:t>ARISTOBULO RINCÓN CUTA, C.C. 4122012</w:t>
      </w:r>
    </w:p>
    <w:p w14:paraId="61AD262B" w14:textId="0C8C3E87" w:rsidR="00B30C3C" w:rsidRDefault="00B30C3C" w:rsidP="00B30C3C">
      <w:pPr>
        <w:spacing w:line="276" w:lineRule="auto"/>
        <w:rPr>
          <w:rFonts w:ascii="Arial" w:hAnsi="Arial" w:cs="Arial"/>
          <w:b/>
          <w:sz w:val="22"/>
        </w:rPr>
      </w:pPr>
      <w:r w:rsidRPr="00B30C3C">
        <w:rPr>
          <w:rFonts w:ascii="Arial" w:hAnsi="Arial" w:cs="Arial"/>
          <w:b/>
          <w:sz w:val="22"/>
        </w:rPr>
        <w:t xml:space="preserve">AGENTE OFICIOSO: </w:t>
      </w:r>
      <w:r>
        <w:rPr>
          <w:rFonts w:ascii="Arial" w:hAnsi="Arial" w:cs="Arial"/>
          <w:b/>
          <w:sz w:val="22"/>
        </w:rPr>
        <w:tab/>
      </w:r>
      <w:r w:rsidRPr="00B30C3C">
        <w:rPr>
          <w:rFonts w:ascii="Arial" w:hAnsi="Arial" w:cs="Arial"/>
          <w:b/>
          <w:sz w:val="22"/>
        </w:rPr>
        <w:t>JAVIER LIZARDO FIGUEREO JIMÉNEZ</w:t>
      </w:r>
    </w:p>
    <w:p w14:paraId="113799C8" w14:textId="10E94FF5" w:rsidR="00886C11" w:rsidRDefault="00886C11" w:rsidP="00B30C3C">
      <w:pPr>
        <w:spacing w:line="276" w:lineRule="auto"/>
        <w:rPr>
          <w:rFonts w:ascii="Arial" w:hAnsi="Arial" w:cs="Arial"/>
          <w:sz w:val="22"/>
        </w:rPr>
      </w:pPr>
      <w:r w:rsidRPr="00886C11">
        <w:rPr>
          <w:rFonts w:ascii="Arial" w:hAnsi="Arial" w:cs="Arial"/>
          <w:sz w:val="22"/>
        </w:rPr>
        <w:t xml:space="preserve">ACCIONADO:     </w:t>
      </w:r>
      <w:r>
        <w:rPr>
          <w:rFonts w:ascii="Arial" w:hAnsi="Arial" w:cs="Arial"/>
          <w:sz w:val="22"/>
        </w:rPr>
        <w:tab/>
      </w:r>
      <w:r w:rsidR="007E332D">
        <w:rPr>
          <w:rFonts w:ascii="Arial" w:hAnsi="Arial" w:cs="Arial"/>
          <w:sz w:val="22"/>
        </w:rPr>
        <w:tab/>
      </w:r>
      <w:r w:rsidRPr="00886C11">
        <w:rPr>
          <w:rFonts w:ascii="Arial" w:hAnsi="Arial" w:cs="Arial"/>
          <w:sz w:val="22"/>
        </w:rPr>
        <w:t>NUEVA E.P.S.</w:t>
      </w:r>
    </w:p>
    <w:p w14:paraId="4B79F7B0" w14:textId="77777777" w:rsidR="00886C11" w:rsidRDefault="00886C11" w:rsidP="009C0800">
      <w:pPr>
        <w:pStyle w:val="Textoindependiente"/>
        <w:rPr>
          <w:rFonts w:ascii="Arial" w:hAnsi="Arial" w:cs="Arial"/>
          <w:b/>
          <w:lang w:val="es-ES_tradnl" w:eastAsia="es-CO"/>
        </w:rPr>
      </w:pPr>
    </w:p>
    <w:p w14:paraId="5DF8F09D" w14:textId="6F5DFF52" w:rsidR="009C0800" w:rsidRPr="008B54C0" w:rsidRDefault="009C0800" w:rsidP="009C0800">
      <w:pPr>
        <w:pStyle w:val="Textoindependiente"/>
        <w:rPr>
          <w:rFonts w:ascii="Arial" w:hAnsi="Arial" w:cs="Arial"/>
          <w:b/>
          <w:lang w:val="es-ES_tradnl" w:eastAsia="es-ES"/>
        </w:rPr>
      </w:pPr>
      <w:r w:rsidRPr="008B54C0">
        <w:rPr>
          <w:rFonts w:ascii="Arial" w:hAnsi="Arial" w:cs="Arial"/>
          <w:b/>
          <w:lang w:val="es-ES_tradnl" w:eastAsia="es-CO"/>
        </w:rPr>
        <w:t>OSCAR EDUARDO SILVA GÓMEZ</w:t>
      </w:r>
      <w:r w:rsidRPr="008B54C0">
        <w:rPr>
          <w:rFonts w:ascii="Arial" w:hAnsi="Arial" w:cs="Arial"/>
          <w:b/>
          <w:lang w:val="es-ES_tradnl" w:eastAsia="es-ES"/>
        </w:rPr>
        <w:t>,</w:t>
      </w:r>
      <w:r w:rsidRPr="008B54C0">
        <w:rPr>
          <w:rFonts w:ascii="Arial" w:hAnsi="Arial" w:cs="Arial"/>
          <w:lang w:val="es-ES_tradnl" w:eastAsia="es-ES"/>
        </w:rPr>
        <w:t xml:space="preserve"> mayor de edad, identificado con cédula de ciudadanía número 1.118.553.055 de Yopal (Casanare), y T.P número. 255.355 del C.S. de la Judicatura, apoderado especia</w:t>
      </w:r>
      <w:r w:rsidR="00913E51" w:rsidRPr="008B54C0">
        <w:rPr>
          <w:rFonts w:ascii="Arial" w:hAnsi="Arial" w:cs="Arial"/>
          <w:lang w:val="es-ES_tradnl" w:eastAsia="es-ES"/>
        </w:rPr>
        <w:t>l, conforme a poder que adjunto</w:t>
      </w:r>
      <w:r w:rsidRPr="008B54C0">
        <w:rPr>
          <w:rFonts w:ascii="Arial" w:hAnsi="Arial" w:cs="Arial"/>
          <w:lang w:val="es-ES_tradnl" w:eastAsia="es-ES"/>
        </w:rPr>
        <w:t xml:space="preserve"> de Nueva EPS, S.A.</w:t>
      </w:r>
      <w:r w:rsidRPr="008B54C0">
        <w:rPr>
          <w:rFonts w:ascii="Arial" w:hAnsi="Arial" w:cs="Arial"/>
          <w:b/>
          <w:lang w:val="es-ES_tradnl" w:eastAsia="es-ES"/>
        </w:rPr>
        <w:t xml:space="preserve">, </w:t>
      </w:r>
      <w:r w:rsidRPr="008B54C0">
        <w:rPr>
          <w:rFonts w:ascii="Arial" w:hAnsi="Arial" w:cs="Arial"/>
          <w:lang w:val="es-ES_tradnl" w:eastAsia="es-ES"/>
        </w:rPr>
        <w:t xml:space="preserve">Entidad Promotora de Salud, </w:t>
      </w:r>
      <w:r w:rsidR="00807AFE">
        <w:rPr>
          <w:rFonts w:ascii="Arial" w:hAnsi="Arial" w:cs="Arial"/>
          <w:bCs/>
          <w:lang w:val="es-ES_tradnl" w:eastAsia="es-ES"/>
        </w:rPr>
        <w:t>y en aplicación del numeral 16.5 de la Resolución 205 de 2020 emanada por el Ministerio de Salud y Protección Social</w:t>
      </w:r>
      <w:r w:rsidR="00807AFE">
        <w:rPr>
          <w:rFonts w:ascii="Arial" w:hAnsi="Arial" w:cs="Arial"/>
          <w:lang w:val="es-ES_tradnl" w:eastAsia="es-ES"/>
        </w:rPr>
        <w:t xml:space="preserve">; </w:t>
      </w:r>
      <w:r w:rsidRPr="008B54C0">
        <w:rPr>
          <w:rFonts w:ascii="Arial" w:hAnsi="Arial" w:cs="Arial"/>
          <w:lang w:val="es-ES_tradnl" w:eastAsia="es-ES"/>
        </w:rPr>
        <w:t xml:space="preserve">comedidamente y dentro de la oportunidad procesal, me permito </w:t>
      </w:r>
      <w:r w:rsidR="00291F6C">
        <w:rPr>
          <w:rFonts w:ascii="Arial" w:hAnsi="Arial" w:cs="Arial"/>
          <w:lang w:val="es-ES_tradnl" w:eastAsia="es-ES"/>
        </w:rPr>
        <w:t xml:space="preserve">impugnar el fallo de </w:t>
      </w:r>
      <w:r w:rsidRPr="008B54C0">
        <w:rPr>
          <w:rFonts w:ascii="Arial" w:hAnsi="Arial" w:cs="Arial"/>
          <w:lang w:val="es-ES_tradnl" w:eastAsia="es-ES"/>
        </w:rPr>
        <w:t>Tutela</w:t>
      </w:r>
      <w:r w:rsidR="00291F6C">
        <w:rPr>
          <w:rFonts w:ascii="Arial" w:hAnsi="Arial" w:cs="Arial"/>
          <w:lang w:val="es-ES_tradnl" w:eastAsia="es-ES"/>
        </w:rPr>
        <w:t xml:space="preserve"> respecto del proceso indicado</w:t>
      </w:r>
      <w:r w:rsidRPr="008B54C0">
        <w:rPr>
          <w:rFonts w:ascii="Arial" w:hAnsi="Arial" w:cs="Arial"/>
          <w:lang w:val="es-ES_tradnl" w:eastAsia="es-ES"/>
        </w:rPr>
        <w:t xml:space="preserve"> en la referencia</w:t>
      </w:r>
      <w:r w:rsidR="00807AFE">
        <w:rPr>
          <w:rFonts w:ascii="Arial" w:hAnsi="Arial" w:cs="Arial"/>
          <w:bCs/>
          <w:lang w:val="es-ES_tradnl" w:eastAsia="es-ES"/>
        </w:rPr>
        <w:t xml:space="preserve">, </w:t>
      </w:r>
      <w:r w:rsidRPr="008B54C0">
        <w:rPr>
          <w:rFonts w:ascii="Arial" w:hAnsi="Arial" w:cs="Arial"/>
          <w:lang w:val="es-ES_tradnl" w:eastAsia="es-ES"/>
        </w:rPr>
        <w:t>con fundamento en lo que se expondrá a continuación:</w:t>
      </w:r>
      <w:r w:rsidRPr="008B54C0">
        <w:rPr>
          <w:rFonts w:ascii="Arial" w:hAnsi="Arial" w:cs="Arial"/>
          <w:b/>
          <w:lang w:val="es-ES_tradnl" w:eastAsia="es-ES"/>
        </w:rPr>
        <w:t xml:space="preserve"> </w:t>
      </w:r>
    </w:p>
    <w:p w14:paraId="32338D6E" w14:textId="77777777" w:rsidR="00913E51" w:rsidRPr="008B54C0" w:rsidRDefault="009C0800" w:rsidP="00771982">
      <w:pPr>
        <w:pStyle w:val="Textoindependiente"/>
        <w:rPr>
          <w:rFonts w:ascii="Arial" w:hAnsi="Arial" w:cs="Arial"/>
          <w:color w:val="000000"/>
          <w:sz w:val="22"/>
          <w:lang w:val="es-ES"/>
        </w:rPr>
      </w:pPr>
      <w:r w:rsidRPr="008B54C0">
        <w:rPr>
          <w:rFonts w:ascii="Arial" w:hAnsi="Arial" w:cs="Arial"/>
          <w:lang w:val="es-ES_tradnl" w:eastAsia="es-ES"/>
        </w:rPr>
        <w:t xml:space="preserve"> </w:t>
      </w:r>
    </w:p>
    <w:p w14:paraId="238C650C" w14:textId="77777777" w:rsidR="00F13F95" w:rsidRPr="00F90541" w:rsidRDefault="00F13F95" w:rsidP="00EE587F">
      <w:pPr>
        <w:pStyle w:val="Prrafodelista"/>
        <w:numPr>
          <w:ilvl w:val="0"/>
          <w:numId w:val="2"/>
        </w:numPr>
        <w:tabs>
          <w:tab w:val="left" w:pos="709"/>
        </w:tabs>
        <w:autoSpaceDE w:val="0"/>
        <w:autoSpaceDN w:val="0"/>
        <w:jc w:val="center"/>
        <w:rPr>
          <w:rFonts w:ascii="Arial" w:hAnsi="Arial" w:cs="Arial"/>
          <w:b/>
          <w:bCs/>
          <w:sz w:val="22"/>
        </w:rPr>
      </w:pPr>
      <w:r w:rsidRPr="00F90541">
        <w:rPr>
          <w:rFonts w:ascii="Arial" w:hAnsi="Arial" w:cs="Arial"/>
          <w:b/>
          <w:bCs/>
          <w:sz w:val="22"/>
        </w:rPr>
        <w:t xml:space="preserve">OPORTUNIDAD DE LA IMPUGNACIÓN </w:t>
      </w:r>
    </w:p>
    <w:p w14:paraId="5C0D3182" w14:textId="77777777" w:rsidR="00F13F95" w:rsidRPr="00F90541" w:rsidRDefault="00F13F95" w:rsidP="00F13F95">
      <w:pPr>
        <w:tabs>
          <w:tab w:val="left" w:pos="709"/>
        </w:tabs>
        <w:autoSpaceDE w:val="0"/>
        <w:autoSpaceDN w:val="0"/>
        <w:rPr>
          <w:rFonts w:ascii="Arial" w:hAnsi="Arial" w:cs="Arial"/>
          <w:b/>
          <w:bCs/>
          <w:sz w:val="22"/>
        </w:rPr>
      </w:pPr>
    </w:p>
    <w:p w14:paraId="01313241" w14:textId="77777777" w:rsidR="00F13F95" w:rsidRPr="00F90541" w:rsidRDefault="00F13F95" w:rsidP="00F13F95">
      <w:pPr>
        <w:tabs>
          <w:tab w:val="left" w:pos="709"/>
        </w:tabs>
        <w:autoSpaceDE w:val="0"/>
        <w:autoSpaceDN w:val="0"/>
        <w:rPr>
          <w:rFonts w:ascii="Arial" w:hAnsi="Arial" w:cs="Arial"/>
          <w:sz w:val="22"/>
        </w:rPr>
      </w:pPr>
      <w:r w:rsidRPr="00F90541">
        <w:rPr>
          <w:rFonts w:ascii="Arial" w:hAnsi="Arial" w:cs="Arial"/>
          <w:sz w:val="22"/>
        </w:rPr>
        <w:t>Con base al artículo 31 del Decreto 2591 de 1991 la interposición de la impugnación se efectúa dentro de los 3 días siguientes a la notificación estando la EPS dentro del término señalado.</w:t>
      </w:r>
    </w:p>
    <w:p w14:paraId="57619BEA" w14:textId="77777777" w:rsidR="00F13F95" w:rsidRPr="00F90541" w:rsidRDefault="00F13F95" w:rsidP="00F13F95">
      <w:pPr>
        <w:tabs>
          <w:tab w:val="left" w:pos="709"/>
        </w:tabs>
        <w:autoSpaceDE w:val="0"/>
        <w:autoSpaceDN w:val="0"/>
        <w:rPr>
          <w:rFonts w:ascii="Arial" w:hAnsi="Arial" w:cs="Arial"/>
          <w:sz w:val="22"/>
        </w:rPr>
      </w:pPr>
    </w:p>
    <w:p w14:paraId="56A7319B" w14:textId="77777777" w:rsidR="00F13F95" w:rsidRPr="00F90541" w:rsidRDefault="00F13F95" w:rsidP="00F13F95">
      <w:pPr>
        <w:shd w:val="clear" w:color="auto" w:fill="FFFFFF"/>
        <w:autoSpaceDE w:val="0"/>
        <w:autoSpaceDN w:val="0"/>
        <w:spacing w:before="100" w:after="100"/>
        <w:rPr>
          <w:rFonts w:ascii="Arial" w:hAnsi="Arial" w:cs="Arial"/>
          <w:szCs w:val="24"/>
        </w:rPr>
      </w:pPr>
      <w:r w:rsidRPr="00F90541">
        <w:rPr>
          <w:rFonts w:ascii="Arial" w:hAnsi="Arial" w:cs="Arial"/>
        </w:rPr>
        <w:t xml:space="preserve">Se debe tener en cuenta que </w:t>
      </w:r>
      <w:r w:rsidRPr="00F90541">
        <w:rPr>
          <w:rFonts w:ascii="Arial" w:hAnsi="Arial" w:cs="Arial"/>
          <w:color w:val="000000"/>
        </w:rPr>
        <w:t>el horario de atención de Nueva EPS es de lunes a viernes de 7:30 a.m. a 4:30 p.m. En consecuencia, los mensajes recibidos por fuera de este horario se entenderán recibidos en el siguiente día hábil.</w:t>
      </w:r>
    </w:p>
    <w:p w14:paraId="6726E531" w14:textId="77777777" w:rsidR="00F13F95" w:rsidRPr="00F90541" w:rsidRDefault="00F13F95" w:rsidP="00F13F95">
      <w:pPr>
        <w:pStyle w:val="Textoindependiente"/>
        <w:rPr>
          <w:rFonts w:ascii="Arial" w:hAnsi="Arial" w:cs="Arial"/>
          <w:color w:val="000000"/>
          <w:sz w:val="22"/>
          <w:lang w:val="es-ES"/>
        </w:rPr>
      </w:pPr>
    </w:p>
    <w:p w14:paraId="5A33797E" w14:textId="77777777" w:rsidR="00F13F95" w:rsidRPr="00F90541" w:rsidRDefault="00F13F95" w:rsidP="00EE587F">
      <w:pPr>
        <w:pStyle w:val="Prrafodelista"/>
        <w:numPr>
          <w:ilvl w:val="0"/>
          <w:numId w:val="2"/>
        </w:numPr>
        <w:tabs>
          <w:tab w:val="left" w:pos="709"/>
        </w:tabs>
        <w:autoSpaceDE w:val="0"/>
        <w:autoSpaceDN w:val="0"/>
        <w:jc w:val="center"/>
        <w:rPr>
          <w:rFonts w:ascii="Arial" w:hAnsi="Arial" w:cs="Arial"/>
          <w:b/>
          <w:bCs/>
          <w:sz w:val="22"/>
        </w:rPr>
      </w:pPr>
      <w:r w:rsidRPr="00F90541">
        <w:rPr>
          <w:rFonts w:ascii="Arial" w:hAnsi="Arial" w:cs="Arial"/>
          <w:b/>
          <w:bCs/>
          <w:sz w:val="22"/>
        </w:rPr>
        <w:t>RESPECTO DEL FALLO DE TUTELA</w:t>
      </w:r>
    </w:p>
    <w:p w14:paraId="03C8B7CF" w14:textId="77777777" w:rsidR="00F13F95" w:rsidRPr="00F90541" w:rsidRDefault="00F13F95" w:rsidP="00F13F95">
      <w:pPr>
        <w:tabs>
          <w:tab w:val="left" w:pos="709"/>
        </w:tabs>
        <w:autoSpaceDE w:val="0"/>
        <w:autoSpaceDN w:val="0"/>
        <w:rPr>
          <w:rFonts w:ascii="Arial" w:hAnsi="Arial" w:cs="Arial"/>
          <w:b/>
          <w:bCs/>
          <w:sz w:val="22"/>
        </w:rPr>
      </w:pPr>
    </w:p>
    <w:p w14:paraId="64B065ED" w14:textId="730F3497" w:rsidR="00F13F95" w:rsidRDefault="00F13F95" w:rsidP="00F13F95">
      <w:pPr>
        <w:tabs>
          <w:tab w:val="left" w:pos="709"/>
        </w:tabs>
        <w:autoSpaceDE w:val="0"/>
        <w:autoSpaceDN w:val="0"/>
        <w:rPr>
          <w:rFonts w:ascii="Arial" w:hAnsi="Arial" w:cs="Arial"/>
          <w:noProof/>
          <w:lang w:eastAsia="es-CO"/>
        </w:rPr>
      </w:pPr>
      <w:r w:rsidRPr="00F90541">
        <w:rPr>
          <w:rFonts w:ascii="Arial" w:hAnsi="Arial" w:cs="Arial"/>
          <w:noProof/>
          <w:lang w:eastAsia="es-CO"/>
        </w:rPr>
        <w:t xml:space="preserve">El Juzgado mediante proveido del </w:t>
      </w:r>
      <w:r w:rsidR="00B30C3C">
        <w:rPr>
          <w:rFonts w:ascii="Arial" w:hAnsi="Arial" w:cs="Arial"/>
          <w:noProof/>
          <w:lang w:eastAsia="es-CO"/>
        </w:rPr>
        <w:t>02 de julio</w:t>
      </w:r>
      <w:r w:rsidRPr="00F90541">
        <w:rPr>
          <w:rFonts w:ascii="Arial" w:hAnsi="Arial" w:cs="Arial"/>
          <w:noProof/>
          <w:lang w:eastAsia="es-CO"/>
        </w:rPr>
        <w:t xml:space="preserve"> de 2020, ordenó</w:t>
      </w:r>
      <w:r>
        <w:rPr>
          <w:rFonts w:ascii="Arial" w:hAnsi="Arial" w:cs="Arial"/>
          <w:noProof/>
          <w:lang w:eastAsia="es-CO"/>
        </w:rPr>
        <w:t xml:space="preserve"> elementos que no están financiados con recursos de la UPC</w:t>
      </w:r>
      <w:r w:rsidR="004B4DF1">
        <w:rPr>
          <w:rFonts w:ascii="Arial" w:hAnsi="Arial" w:cs="Arial"/>
          <w:noProof/>
          <w:lang w:eastAsia="es-CO"/>
        </w:rPr>
        <w:t>.</w:t>
      </w:r>
      <w:r w:rsidR="00A25A5C">
        <w:rPr>
          <w:rFonts w:ascii="Arial" w:hAnsi="Arial" w:cs="Arial"/>
          <w:noProof/>
          <w:lang w:eastAsia="es-CO"/>
        </w:rPr>
        <w:t xml:space="preserve"> </w:t>
      </w:r>
    </w:p>
    <w:p w14:paraId="46403C4B" w14:textId="11903791" w:rsidR="00F13F95" w:rsidRPr="00F90541" w:rsidRDefault="00F13F95" w:rsidP="00F13F95">
      <w:pPr>
        <w:tabs>
          <w:tab w:val="left" w:pos="709"/>
        </w:tabs>
        <w:autoSpaceDE w:val="0"/>
        <w:autoSpaceDN w:val="0"/>
        <w:rPr>
          <w:rFonts w:ascii="Arial" w:hAnsi="Arial" w:cs="Arial"/>
          <w:noProof/>
          <w:lang w:eastAsia="es-CO"/>
        </w:rPr>
      </w:pPr>
      <w:r w:rsidRPr="00F90541">
        <w:rPr>
          <w:rFonts w:ascii="Arial" w:hAnsi="Arial" w:cs="Arial"/>
          <w:noProof/>
          <w:lang w:eastAsia="es-CO"/>
        </w:rPr>
        <w:t xml:space="preserve"> </w:t>
      </w:r>
    </w:p>
    <w:p w14:paraId="1537A8E5" w14:textId="77777777" w:rsidR="00722E38" w:rsidRPr="008B54C0" w:rsidRDefault="00722E38" w:rsidP="00EE587F">
      <w:pPr>
        <w:pStyle w:val="Prrafodelista"/>
        <w:numPr>
          <w:ilvl w:val="0"/>
          <w:numId w:val="3"/>
        </w:numPr>
        <w:autoSpaceDE w:val="0"/>
        <w:autoSpaceDN w:val="0"/>
        <w:adjustRightInd w:val="0"/>
        <w:spacing w:line="276" w:lineRule="auto"/>
        <w:ind w:right="567"/>
        <w:rPr>
          <w:rFonts w:ascii="Arial" w:eastAsia="Times New Roman" w:hAnsi="Arial" w:cs="Arial"/>
          <w:b/>
          <w:bCs/>
          <w:iCs/>
          <w:sz w:val="22"/>
          <w:lang w:eastAsia="es-ES"/>
        </w:rPr>
      </w:pPr>
      <w:r w:rsidRPr="008B54C0">
        <w:rPr>
          <w:rFonts w:ascii="Arial" w:eastAsia="Times New Roman" w:hAnsi="Arial" w:cs="Arial"/>
          <w:b/>
          <w:bCs/>
          <w:iCs/>
          <w:sz w:val="22"/>
          <w:lang w:eastAsia="es-ES"/>
        </w:rPr>
        <w:t>DEL ESTADO DE LA AFILIACIÓN</w:t>
      </w:r>
    </w:p>
    <w:p w14:paraId="1357289E" w14:textId="77777777" w:rsidR="00722E38" w:rsidRPr="008B54C0" w:rsidRDefault="00722E38" w:rsidP="00722E38">
      <w:pPr>
        <w:autoSpaceDE w:val="0"/>
        <w:autoSpaceDN w:val="0"/>
        <w:adjustRightInd w:val="0"/>
        <w:spacing w:line="276" w:lineRule="auto"/>
        <w:ind w:right="567"/>
        <w:rPr>
          <w:rFonts w:ascii="Arial" w:eastAsia="Times New Roman" w:hAnsi="Arial" w:cs="Arial"/>
          <w:bCs/>
          <w:iCs/>
          <w:sz w:val="22"/>
          <w:lang w:eastAsia="es-ES"/>
        </w:rPr>
      </w:pPr>
    </w:p>
    <w:p w14:paraId="3FEF1E20" w14:textId="1D5E4581" w:rsidR="00A25A5C" w:rsidRDefault="00F13F95" w:rsidP="00A25A5C">
      <w:pPr>
        <w:spacing w:line="276" w:lineRule="auto"/>
        <w:rPr>
          <w:rFonts w:ascii="Arial" w:hAnsi="Arial" w:cs="Arial"/>
          <w:b/>
          <w:sz w:val="22"/>
        </w:rPr>
      </w:pPr>
      <w:r w:rsidRPr="007D79B9">
        <w:rPr>
          <w:rFonts w:ascii="Arial" w:hAnsi="Arial" w:cs="Arial"/>
          <w:sz w:val="22"/>
        </w:rPr>
        <w:t xml:space="preserve">Una vez revisada la base la base de afiliados de Nueva EPS, se evidencia </w:t>
      </w:r>
      <w:r w:rsidR="00B30C3C" w:rsidRPr="00B30C3C">
        <w:rPr>
          <w:rFonts w:ascii="Arial" w:hAnsi="Arial" w:cs="Arial"/>
          <w:b/>
          <w:sz w:val="22"/>
        </w:rPr>
        <w:t>ARISTOBULO RINCÓN CUTA, C.C. 4122012</w:t>
      </w:r>
      <w:r w:rsidR="00B30C3C">
        <w:rPr>
          <w:rFonts w:ascii="Arial" w:hAnsi="Arial" w:cs="Arial"/>
          <w:b/>
          <w:sz w:val="22"/>
        </w:rPr>
        <w:t xml:space="preserve"> </w:t>
      </w:r>
      <w:r w:rsidR="00A25A5C" w:rsidRPr="007D79B9">
        <w:rPr>
          <w:rFonts w:ascii="Arial" w:hAnsi="Arial" w:cs="Arial"/>
          <w:sz w:val="22"/>
        </w:rPr>
        <w:t xml:space="preserve">se encuentra en estado afiliado al Sistema General de Seguridad Social en Salud a través de NUEVA EPS en el </w:t>
      </w:r>
      <w:r w:rsidR="00A25A5C" w:rsidRPr="007D79B9">
        <w:rPr>
          <w:rFonts w:ascii="Arial" w:hAnsi="Arial" w:cs="Arial"/>
          <w:b/>
          <w:sz w:val="22"/>
        </w:rPr>
        <w:t xml:space="preserve">RÉGIMEN </w:t>
      </w:r>
      <w:r w:rsidR="00B30C3C">
        <w:rPr>
          <w:rFonts w:ascii="Arial" w:hAnsi="Arial" w:cs="Arial"/>
          <w:b/>
          <w:sz w:val="22"/>
        </w:rPr>
        <w:t>CONTRIBUTIVO.</w:t>
      </w:r>
    </w:p>
    <w:p w14:paraId="5363908F" w14:textId="77777777" w:rsidR="00A25A5C" w:rsidRDefault="00A25A5C" w:rsidP="00A25A5C">
      <w:pPr>
        <w:spacing w:line="276" w:lineRule="auto"/>
        <w:rPr>
          <w:noProof/>
        </w:rPr>
      </w:pPr>
    </w:p>
    <w:p w14:paraId="4809846B" w14:textId="77777777" w:rsidR="007D79B9" w:rsidRDefault="007D79B9" w:rsidP="00A25A5C">
      <w:pPr>
        <w:spacing w:line="276" w:lineRule="auto"/>
        <w:rPr>
          <w:noProof/>
        </w:rPr>
      </w:pPr>
    </w:p>
    <w:p w14:paraId="7BE7EE92" w14:textId="77777777" w:rsidR="000D6A78" w:rsidRPr="008B54C0" w:rsidRDefault="00FE359A" w:rsidP="00EE587F">
      <w:pPr>
        <w:pStyle w:val="Prrafodelista"/>
        <w:numPr>
          <w:ilvl w:val="0"/>
          <w:numId w:val="3"/>
        </w:numPr>
        <w:autoSpaceDE w:val="0"/>
        <w:autoSpaceDN w:val="0"/>
        <w:adjustRightInd w:val="0"/>
        <w:spacing w:line="276" w:lineRule="auto"/>
        <w:rPr>
          <w:rFonts w:ascii="Arial" w:eastAsia="Times New Roman" w:hAnsi="Arial" w:cs="Arial"/>
          <w:b/>
          <w:bCs/>
          <w:iCs/>
          <w:sz w:val="22"/>
          <w:lang w:val="es-ES" w:eastAsia="es-ES"/>
        </w:rPr>
      </w:pPr>
      <w:r w:rsidRPr="008B54C0">
        <w:rPr>
          <w:rFonts w:ascii="Arial" w:eastAsia="Times New Roman" w:hAnsi="Arial" w:cs="Arial"/>
          <w:b/>
          <w:bCs/>
          <w:iCs/>
          <w:sz w:val="22"/>
          <w:lang w:val="es-ES" w:eastAsia="es-ES"/>
        </w:rPr>
        <w:t xml:space="preserve">DEL CONCEPTO DEL ÁREA TÉCNICA </w:t>
      </w:r>
    </w:p>
    <w:p w14:paraId="0BB83FF1" w14:textId="77777777" w:rsidR="00FE359A" w:rsidRPr="008B54C0" w:rsidRDefault="00FE359A" w:rsidP="000D6A78">
      <w:pPr>
        <w:autoSpaceDE w:val="0"/>
        <w:autoSpaceDN w:val="0"/>
        <w:adjustRightInd w:val="0"/>
        <w:spacing w:line="276" w:lineRule="auto"/>
        <w:jc w:val="center"/>
        <w:rPr>
          <w:rFonts w:ascii="Arial" w:eastAsia="Times New Roman" w:hAnsi="Arial" w:cs="Arial"/>
          <w:bCs/>
          <w:iCs/>
          <w:sz w:val="22"/>
          <w:lang w:val="es-ES" w:eastAsia="es-ES"/>
        </w:rPr>
      </w:pPr>
    </w:p>
    <w:p w14:paraId="3A966D9A" w14:textId="50452EDC" w:rsidR="00BD3F79" w:rsidRDefault="00807AFE" w:rsidP="000D736E">
      <w:pPr>
        <w:autoSpaceDE w:val="0"/>
        <w:autoSpaceDN w:val="0"/>
        <w:adjustRightInd w:val="0"/>
        <w:spacing w:line="276" w:lineRule="auto"/>
        <w:rPr>
          <w:rFonts w:ascii="Arial" w:eastAsia="Times New Roman" w:hAnsi="Arial" w:cs="Arial"/>
          <w:iCs/>
          <w:sz w:val="22"/>
          <w:lang w:val="es-ES" w:eastAsia="es-ES"/>
        </w:rPr>
      </w:pPr>
      <w:r w:rsidRPr="00B16295">
        <w:rPr>
          <w:rFonts w:ascii="Arial" w:eastAsia="Times New Roman" w:hAnsi="Arial" w:cs="Arial"/>
          <w:bCs/>
          <w:iCs/>
          <w:sz w:val="22"/>
          <w:lang w:val="es-ES" w:eastAsia="es-ES"/>
        </w:rPr>
        <w:t xml:space="preserve">Conocida la presente acción de tutela por nuestra área jurídica, se trasladó al </w:t>
      </w:r>
      <w:r w:rsidRPr="00B16295">
        <w:rPr>
          <w:rFonts w:ascii="Arial" w:eastAsia="Times New Roman" w:hAnsi="Arial" w:cs="Arial"/>
          <w:b/>
          <w:bCs/>
          <w:iCs/>
          <w:sz w:val="22"/>
          <w:lang w:val="es-ES" w:eastAsia="es-ES"/>
        </w:rPr>
        <w:t>área técnica correspondiente de Nueva EPS con el fin de que realizaran el correspondiente estudio del cas</w:t>
      </w:r>
      <w:r>
        <w:rPr>
          <w:rFonts w:ascii="Arial" w:eastAsia="Times New Roman" w:hAnsi="Arial" w:cs="Arial"/>
          <w:b/>
          <w:bCs/>
          <w:iCs/>
          <w:sz w:val="22"/>
          <w:lang w:val="es-ES" w:eastAsia="es-ES"/>
        </w:rPr>
        <w:t xml:space="preserve">o </w:t>
      </w:r>
      <w:r>
        <w:rPr>
          <w:rFonts w:ascii="Arial" w:eastAsia="Times New Roman" w:hAnsi="Arial" w:cs="Arial"/>
          <w:iCs/>
          <w:sz w:val="22"/>
          <w:lang w:val="es-ES" w:eastAsia="es-ES"/>
        </w:rPr>
        <w:t xml:space="preserve">revisando la prescripción y su pertinencia para el paciente, las tecnologías que efectivamente se encuentran excluidas de los beneficios del Sistema </w:t>
      </w:r>
      <w:r>
        <w:rPr>
          <w:rFonts w:ascii="Arial" w:eastAsia="Times New Roman" w:hAnsi="Arial" w:cs="Arial"/>
          <w:iCs/>
          <w:sz w:val="22"/>
          <w:lang w:val="es-ES" w:eastAsia="es-ES"/>
        </w:rPr>
        <w:lastRenderedPageBreak/>
        <w:t xml:space="preserve">General de Seguridad Social en Salud y sobre aquellas que deben ser asumidas por otra entidad con cargo a recursos diferentes a los del Sistema de Salud, así mismo, gestionar lo pertinente. </w:t>
      </w:r>
    </w:p>
    <w:p w14:paraId="3C2CC43A" w14:textId="1B23FE29" w:rsidR="00BD3F79" w:rsidRDefault="00BD3F79" w:rsidP="000D736E">
      <w:pPr>
        <w:autoSpaceDE w:val="0"/>
        <w:autoSpaceDN w:val="0"/>
        <w:adjustRightInd w:val="0"/>
        <w:spacing w:line="276" w:lineRule="auto"/>
        <w:rPr>
          <w:rFonts w:ascii="Arial" w:eastAsia="Times New Roman" w:hAnsi="Arial" w:cs="Arial"/>
          <w:iCs/>
          <w:sz w:val="22"/>
          <w:lang w:val="es-ES" w:eastAsia="es-ES"/>
        </w:rPr>
      </w:pPr>
    </w:p>
    <w:p w14:paraId="74FDA84B" w14:textId="77777777" w:rsidR="002475C8" w:rsidRPr="008B54C0" w:rsidRDefault="002475C8" w:rsidP="0061460E">
      <w:pPr>
        <w:pStyle w:val="Prrafodelista"/>
        <w:tabs>
          <w:tab w:val="left" w:pos="709"/>
        </w:tabs>
        <w:autoSpaceDE w:val="0"/>
        <w:autoSpaceDN w:val="0"/>
        <w:ind w:left="0"/>
        <w:rPr>
          <w:rFonts w:ascii="Arial" w:hAnsi="Arial" w:cs="Arial"/>
          <w:b/>
          <w:bCs/>
          <w:sz w:val="22"/>
        </w:rPr>
      </w:pPr>
    </w:p>
    <w:p w14:paraId="422E4081" w14:textId="51F048EF" w:rsidR="00B95B68" w:rsidRDefault="00B95B68" w:rsidP="00EE587F">
      <w:pPr>
        <w:pStyle w:val="Prrafodelista"/>
        <w:numPr>
          <w:ilvl w:val="0"/>
          <w:numId w:val="2"/>
        </w:numPr>
        <w:tabs>
          <w:tab w:val="left" w:pos="709"/>
        </w:tabs>
        <w:autoSpaceDE w:val="0"/>
        <w:autoSpaceDN w:val="0"/>
        <w:jc w:val="center"/>
        <w:rPr>
          <w:rFonts w:ascii="Arial" w:hAnsi="Arial" w:cs="Arial"/>
          <w:b/>
          <w:bCs/>
          <w:sz w:val="22"/>
        </w:rPr>
      </w:pPr>
      <w:r w:rsidRPr="008B54C0">
        <w:rPr>
          <w:rFonts w:ascii="Arial" w:hAnsi="Arial" w:cs="Arial"/>
          <w:b/>
          <w:bCs/>
          <w:sz w:val="22"/>
        </w:rPr>
        <w:t xml:space="preserve">FUNDAMENTOS </w:t>
      </w:r>
      <w:r w:rsidR="00807AFE">
        <w:rPr>
          <w:rFonts w:ascii="Arial" w:hAnsi="Arial" w:cs="Arial"/>
          <w:b/>
          <w:bCs/>
          <w:sz w:val="22"/>
        </w:rPr>
        <w:t>DE LA IMPUGNACIÓN</w:t>
      </w:r>
    </w:p>
    <w:p w14:paraId="4FEAACA7" w14:textId="7F65AB05" w:rsidR="00A25A5C" w:rsidRDefault="00A25A5C" w:rsidP="001F1EB2">
      <w:pPr>
        <w:ind w:left="360"/>
        <w:rPr>
          <w:rFonts w:ascii="Arial" w:hAnsi="Arial" w:cs="Arial"/>
          <w:b/>
        </w:rPr>
      </w:pPr>
    </w:p>
    <w:p w14:paraId="762F1466" w14:textId="77777777" w:rsidR="00FA053E" w:rsidRDefault="00FA053E" w:rsidP="00FA053E">
      <w:pPr>
        <w:pStyle w:val="Sinespaciado"/>
        <w:spacing w:line="276" w:lineRule="auto"/>
        <w:jc w:val="both"/>
        <w:rPr>
          <w:rFonts w:ascii="Arial" w:hAnsi="Arial" w:cs="Arial"/>
        </w:rPr>
      </w:pPr>
    </w:p>
    <w:p w14:paraId="5B2030C8" w14:textId="77777777" w:rsidR="00FA053E" w:rsidRDefault="00FA053E" w:rsidP="00FA053E">
      <w:pPr>
        <w:pStyle w:val="Prrafodelista"/>
        <w:rPr>
          <w:rFonts w:ascii="Arial" w:hAnsi="Arial" w:cs="Arial"/>
          <w:b/>
        </w:rPr>
      </w:pPr>
    </w:p>
    <w:p w14:paraId="4562BF13" w14:textId="5062032A" w:rsidR="004B4DF1" w:rsidRDefault="004B4DF1" w:rsidP="00B30C3C">
      <w:pPr>
        <w:pStyle w:val="Prrafodelista"/>
        <w:numPr>
          <w:ilvl w:val="0"/>
          <w:numId w:val="20"/>
        </w:numPr>
        <w:rPr>
          <w:rFonts w:ascii="Arial" w:hAnsi="Arial" w:cs="Arial"/>
          <w:b/>
        </w:rPr>
      </w:pPr>
      <w:r>
        <w:rPr>
          <w:rFonts w:ascii="Arial" w:hAnsi="Arial" w:cs="Arial"/>
          <w:b/>
        </w:rPr>
        <w:t xml:space="preserve">RESPECTO </w:t>
      </w:r>
      <w:proofErr w:type="gramStart"/>
      <w:r>
        <w:rPr>
          <w:rFonts w:ascii="Arial" w:hAnsi="Arial" w:cs="Arial"/>
          <w:b/>
        </w:rPr>
        <w:t>DEL  INSUMO</w:t>
      </w:r>
      <w:proofErr w:type="gramEnd"/>
      <w:r>
        <w:rPr>
          <w:rFonts w:ascii="Arial" w:hAnsi="Arial" w:cs="Arial"/>
          <w:b/>
        </w:rPr>
        <w:t xml:space="preserve"> DE PAÑALES COMO ELEMENTOS DE ASEO PERSONAL ECCLUIDO DEL PLAN DE BENEFICIOS </w:t>
      </w:r>
    </w:p>
    <w:p w14:paraId="78491D28" w14:textId="77777777" w:rsidR="004B4DF1" w:rsidRDefault="004B4DF1" w:rsidP="004B4DF1">
      <w:pPr>
        <w:pStyle w:val="Prrafodelista"/>
        <w:rPr>
          <w:rFonts w:ascii="Arial" w:hAnsi="Arial" w:cs="Arial"/>
          <w:b/>
        </w:rPr>
      </w:pPr>
    </w:p>
    <w:p w14:paraId="27F07EE5" w14:textId="77777777" w:rsidR="004B4DF1" w:rsidRDefault="004B4DF1" w:rsidP="004B4DF1">
      <w:pPr>
        <w:rPr>
          <w:rFonts w:ascii="Arial" w:hAnsi="Arial" w:cs="Arial"/>
        </w:rPr>
      </w:pPr>
      <w:r>
        <w:rPr>
          <w:rFonts w:ascii="Arial" w:hAnsi="Arial" w:cs="Arial"/>
        </w:rPr>
        <w:t xml:space="preserve">Es necesario poner en conocimiento al despacho que dentro del ordenamiento jurídico no se encuentra de manera expresa y tácita que el insumo de pañales se encuentre contemplado como servicios y tecnologías de salud, financiados con recursos de la UPC en la Resolución No. 3512 de 2019 expedida por el Ministerio de Salud y Protección Social, dentro del marco de sus competencias.; al contrario de manera expresa excluye los insumos de aseo (pañales desechables, crema </w:t>
      </w:r>
      <w:proofErr w:type="spellStart"/>
      <w:r>
        <w:rPr>
          <w:rFonts w:ascii="Arial" w:hAnsi="Arial" w:cs="Arial"/>
        </w:rPr>
        <w:t>antipañalitis</w:t>
      </w:r>
      <w:proofErr w:type="spellEnd"/>
      <w:r>
        <w:rPr>
          <w:rFonts w:ascii="Arial" w:hAnsi="Arial" w:cs="Arial"/>
        </w:rPr>
        <w:t xml:space="preserve">, pañitos húmedos, </w:t>
      </w:r>
      <w:proofErr w:type="spellStart"/>
      <w:r>
        <w:rPr>
          <w:rFonts w:ascii="Arial" w:hAnsi="Arial" w:cs="Arial"/>
        </w:rPr>
        <w:t>etc</w:t>
      </w:r>
      <w:proofErr w:type="spellEnd"/>
      <w:r>
        <w:rPr>
          <w:rFonts w:ascii="Arial" w:hAnsi="Arial" w:cs="Arial"/>
        </w:rPr>
        <w:t xml:space="preserve">) dentro del Plan de Beneficios en salud. </w:t>
      </w:r>
    </w:p>
    <w:p w14:paraId="5040D84E" w14:textId="77777777" w:rsidR="004B4DF1" w:rsidRDefault="004B4DF1" w:rsidP="004B4DF1">
      <w:pPr>
        <w:rPr>
          <w:rFonts w:ascii="Arial" w:hAnsi="Arial" w:cs="Arial"/>
        </w:rPr>
      </w:pPr>
    </w:p>
    <w:p w14:paraId="62B6FC41" w14:textId="00C003B4" w:rsidR="004B4DF1" w:rsidRDefault="004B4DF1" w:rsidP="004B4DF1">
      <w:pPr>
        <w:rPr>
          <w:rFonts w:ascii="Arial" w:hAnsi="Arial" w:cs="Arial"/>
        </w:rPr>
      </w:pPr>
      <w:r>
        <w:rPr>
          <w:rFonts w:ascii="Arial" w:hAnsi="Arial" w:cs="Arial"/>
        </w:rPr>
        <w:t xml:space="preserve">En consonancia con lo descrito, la exclusión de insumos de </w:t>
      </w:r>
      <w:r w:rsidR="00FA053E">
        <w:rPr>
          <w:rFonts w:ascii="Arial" w:hAnsi="Arial" w:cs="Arial"/>
        </w:rPr>
        <w:t>aseo</w:t>
      </w:r>
      <w:r>
        <w:rPr>
          <w:rFonts w:ascii="Arial" w:hAnsi="Arial" w:cs="Arial"/>
        </w:rPr>
        <w:t xml:space="preserve"> genera una obligación legal, basado en el principio de solidaridad a cargo de la familia del paciente.  Mediante la cual el Art. 6 de la Ley 1751 de 2015, tiene como </w:t>
      </w:r>
      <w:proofErr w:type="gramStart"/>
      <w:r>
        <w:rPr>
          <w:rFonts w:ascii="Arial" w:hAnsi="Arial" w:cs="Arial"/>
        </w:rPr>
        <w:t>una</w:t>
      </w:r>
      <w:proofErr w:type="gramEnd"/>
      <w:r>
        <w:rPr>
          <w:rFonts w:ascii="Arial" w:hAnsi="Arial" w:cs="Arial"/>
        </w:rPr>
        <w:t xml:space="preserve"> de los eslabones del sistema general de seguridad social en salud, el PRINCIPIO DE SOLIDARIDAD, bajo los siguientes términos:</w:t>
      </w:r>
    </w:p>
    <w:p w14:paraId="20F8343D" w14:textId="77777777" w:rsidR="004B4DF1" w:rsidRDefault="004B4DF1" w:rsidP="004B4DF1">
      <w:pPr>
        <w:pStyle w:val="Sinespaciado"/>
        <w:tabs>
          <w:tab w:val="left" w:pos="5465"/>
        </w:tabs>
        <w:spacing w:line="276" w:lineRule="auto"/>
        <w:jc w:val="both"/>
        <w:rPr>
          <w:rFonts w:ascii="Arial" w:hAnsi="Arial" w:cs="Arial"/>
          <w:lang w:val="es-CO"/>
        </w:rPr>
      </w:pPr>
      <w:r>
        <w:rPr>
          <w:rFonts w:ascii="Arial" w:hAnsi="Arial" w:cs="Arial"/>
          <w:lang w:val="es-CO"/>
        </w:rPr>
        <w:tab/>
      </w:r>
    </w:p>
    <w:p w14:paraId="6CF8CDD7" w14:textId="77777777" w:rsidR="004B4DF1" w:rsidRDefault="004B4DF1" w:rsidP="004B4DF1">
      <w:pPr>
        <w:pStyle w:val="Sinespaciado"/>
        <w:spacing w:line="276" w:lineRule="auto"/>
        <w:ind w:left="1418" w:right="333"/>
        <w:jc w:val="both"/>
        <w:rPr>
          <w:rFonts w:ascii="Arial" w:hAnsi="Arial" w:cs="Arial"/>
          <w:bCs/>
          <w:i/>
          <w:iCs/>
        </w:rPr>
      </w:pPr>
      <w:proofErr w:type="gramStart"/>
      <w:r>
        <w:rPr>
          <w:rFonts w:ascii="Arial" w:hAnsi="Arial" w:cs="Arial"/>
          <w:bCs/>
          <w:i/>
          <w:iCs/>
        </w:rPr>
        <w:t>( . . .</w:t>
      </w:r>
      <w:proofErr w:type="gramEnd"/>
      <w:r>
        <w:rPr>
          <w:rFonts w:ascii="Arial" w:hAnsi="Arial" w:cs="Arial"/>
          <w:bCs/>
          <w:i/>
          <w:iCs/>
        </w:rPr>
        <w:t xml:space="preserve"> ) Art. 6: Elementos y principios del derecho fundamental a la salud. El derecho fundamental a la salud incluye los siguientes elementos esenciales e interrelacionados:</w:t>
      </w:r>
    </w:p>
    <w:p w14:paraId="1FFDAE76" w14:textId="77777777" w:rsidR="004B4DF1" w:rsidRDefault="004B4DF1" w:rsidP="004B4DF1">
      <w:pPr>
        <w:pStyle w:val="Sinespaciado"/>
        <w:spacing w:line="276" w:lineRule="auto"/>
        <w:ind w:left="1418" w:right="333"/>
        <w:jc w:val="both"/>
        <w:rPr>
          <w:rFonts w:ascii="Arial" w:hAnsi="Arial" w:cs="Arial"/>
          <w:bCs/>
          <w:i/>
          <w:iCs/>
        </w:rPr>
      </w:pPr>
    </w:p>
    <w:p w14:paraId="621ABA5C" w14:textId="77777777" w:rsidR="004B4DF1" w:rsidRDefault="004B4DF1" w:rsidP="004B4DF1">
      <w:pPr>
        <w:pStyle w:val="Sinespaciado"/>
        <w:spacing w:line="276" w:lineRule="auto"/>
        <w:ind w:left="1418" w:right="333"/>
        <w:jc w:val="both"/>
        <w:rPr>
          <w:rFonts w:ascii="Arial" w:hAnsi="Arial" w:cs="Arial"/>
          <w:bCs/>
          <w:i/>
          <w:iCs/>
        </w:rPr>
      </w:pPr>
      <w:r>
        <w:rPr>
          <w:rFonts w:ascii="Arial" w:hAnsi="Arial" w:cs="Arial"/>
          <w:bCs/>
          <w:i/>
          <w:iCs/>
        </w:rPr>
        <w:t xml:space="preserve">Solidaridad. El sistema está basado en el mutuo apoyo entre las personas, generaciones, los sectores económicos, las regiones y las comunidades </w:t>
      </w:r>
      <w:proofErr w:type="gramStart"/>
      <w:r>
        <w:rPr>
          <w:rFonts w:ascii="Arial" w:hAnsi="Arial" w:cs="Arial"/>
          <w:bCs/>
          <w:i/>
          <w:iCs/>
        </w:rPr>
        <w:t>( . . .</w:t>
      </w:r>
      <w:proofErr w:type="gramEnd"/>
      <w:r>
        <w:rPr>
          <w:rFonts w:ascii="Arial" w:hAnsi="Arial" w:cs="Arial"/>
          <w:bCs/>
          <w:i/>
          <w:iCs/>
        </w:rPr>
        <w:t xml:space="preserve"> ) </w:t>
      </w:r>
    </w:p>
    <w:p w14:paraId="366C3EED" w14:textId="77777777" w:rsidR="004B4DF1" w:rsidRDefault="004B4DF1" w:rsidP="004B4DF1">
      <w:pPr>
        <w:pStyle w:val="Sinespaciado"/>
        <w:spacing w:line="276" w:lineRule="auto"/>
        <w:ind w:left="1418" w:right="333"/>
        <w:jc w:val="both"/>
        <w:rPr>
          <w:rFonts w:ascii="Arial" w:hAnsi="Arial" w:cs="Arial"/>
          <w:b/>
          <w:bCs/>
          <w:i/>
          <w:iCs/>
        </w:rPr>
      </w:pPr>
    </w:p>
    <w:p w14:paraId="71B6EC53" w14:textId="77777777" w:rsidR="004B4DF1" w:rsidRDefault="004B4DF1" w:rsidP="004B4DF1">
      <w:pPr>
        <w:pStyle w:val="Sinespaciado"/>
        <w:spacing w:line="276" w:lineRule="auto"/>
        <w:jc w:val="both"/>
        <w:rPr>
          <w:rFonts w:ascii="Arial" w:hAnsi="Arial" w:cs="Arial"/>
        </w:rPr>
      </w:pPr>
      <w:r>
        <w:rPr>
          <w:rFonts w:ascii="Arial" w:hAnsi="Arial" w:cs="Arial"/>
        </w:rPr>
        <w:t>Es por lo citado, y en virtud del principio de solidaridad es una obligación colaborar con el financiamiento de la salud, como también se deja estipulado en el Art.10 de la ya citada ley:</w:t>
      </w:r>
    </w:p>
    <w:p w14:paraId="11953161" w14:textId="77777777" w:rsidR="004B4DF1" w:rsidRDefault="004B4DF1" w:rsidP="004B4DF1">
      <w:pPr>
        <w:pStyle w:val="Sinespaciado"/>
        <w:spacing w:line="276" w:lineRule="auto"/>
        <w:jc w:val="both"/>
        <w:rPr>
          <w:rFonts w:ascii="Arial" w:hAnsi="Arial" w:cs="Arial"/>
        </w:rPr>
      </w:pPr>
    </w:p>
    <w:p w14:paraId="23940838" w14:textId="77777777" w:rsidR="004B4DF1" w:rsidRDefault="004B4DF1" w:rsidP="004B4DF1">
      <w:pPr>
        <w:pStyle w:val="Sinespaciado"/>
        <w:spacing w:line="276" w:lineRule="auto"/>
        <w:ind w:left="1418" w:right="333"/>
        <w:jc w:val="both"/>
        <w:rPr>
          <w:rFonts w:ascii="Arial" w:hAnsi="Arial" w:cs="Arial"/>
          <w:bCs/>
          <w:i/>
          <w:iCs/>
        </w:rPr>
      </w:pPr>
      <w:proofErr w:type="gramStart"/>
      <w:r>
        <w:rPr>
          <w:rFonts w:ascii="Arial" w:hAnsi="Arial" w:cs="Arial"/>
          <w:bCs/>
          <w:i/>
          <w:iCs/>
        </w:rPr>
        <w:t>( . . .</w:t>
      </w:r>
      <w:proofErr w:type="gramEnd"/>
      <w:r>
        <w:rPr>
          <w:rFonts w:ascii="Arial" w:hAnsi="Arial" w:cs="Arial"/>
          <w:bCs/>
          <w:i/>
          <w:iCs/>
        </w:rPr>
        <w:t xml:space="preserve"> ) Artículo 10. Derechos y deberes de las personas, relacionados con la prestación del servicio de salud. Las personas tienen los siguientes derechos relacionados con la prestación del servicio de salud:</w:t>
      </w:r>
    </w:p>
    <w:p w14:paraId="010C05BE" w14:textId="77777777" w:rsidR="004B4DF1" w:rsidRDefault="004B4DF1" w:rsidP="004B4DF1">
      <w:pPr>
        <w:pStyle w:val="Sinespaciado"/>
        <w:spacing w:line="276" w:lineRule="auto"/>
        <w:ind w:left="1418" w:right="333"/>
        <w:jc w:val="both"/>
        <w:rPr>
          <w:rFonts w:ascii="Arial" w:hAnsi="Arial" w:cs="Arial"/>
          <w:bCs/>
          <w:i/>
          <w:iCs/>
        </w:rPr>
      </w:pPr>
      <w:r>
        <w:rPr>
          <w:rFonts w:ascii="Arial" w:hAnsi="Arial" w:cs="Arial"/>
          <w:bCs/>
          <w:i/>
          <w:iCs/>
        </w:rPr>
        <w:t>Son deberes de las personas relacionados con el servicio de salud, los siguientes:</w:t>
      </w:r>
    </w:p>
    <w:p w14:paraId="454502BF" w14:textId="77777777" w:rsidR="004B4DF1" w:rsidRDefault="004B4DF1" w:rsidP="004B4DF1">
      <w:pPr>
        <w:pStyle w:val="Sinespaciado"/>
        <w:spacing w:line="276" w:lineRule="auto"/>
        <w:ind w:left="1418" w:right="333"/>
        <w:jc w:val="both"/>
        <w:rPr>
          <w:rFonts w:ascii="Arial" w:hAnsi="Arial" w:cs="Arial"/>
          <w:bCs/>
          <w:i/>
          <w:iCs/>
        </w:rPr>
      </w:pPr>
    </w:p>
    <w:p w14:paraId="03872020" w14:textId="77777777" w:rsidR="004B4DF1" w:rsidRDefault="004B4DF1" w:rsidP="004B4DF1">
      <w:pPr>
        <w:pStyle w:val="Sinespaciado"/>
        <w:spacing w:line="276" w:lineRule="auto"/>
        <w:ind w:left="1418" w:right="333"/>
        <w:jc w:val="both"/>
        <w:rPr>
          <w:rFonts w:ascii="Arial" w:hAnsi="Arial" w:cs="Arial"/>
          <w:bCs/>
          <w:i/>
          <w:iCs/>
        </w:rPr>
      </w:pPr>
      <w:r>
        <w:rPr>
          <w:rFonts w:ascii="Arial" w:hAnsi="Arial" w:cs="Arial"/>
          <w:bCs/>
          <w:i/>
          <w:iCs/>
        </w:rPr>
        <w:t>i) Contribuir solidariamente al financiamiento de los gastos que demande la atención en salud y la seguridad social en salud, de acuerdo con su capacidad de pago. ( . . . )</w:t>
      </w:r>
    </w:p>
    <w:p w14:paraId="71E8162E" w14:textId="77777777" w:rsidR="004B4DF1" w:rsidRDefault="004B4DF1" w:rsidP="004B4DF1">
      <w:pPr>
        <w:rPr>
          <w:rFonts w:ascii="Arial" w:hAnsi="Arial" w:cs="Arial"/>
        </w:rPr>
      </w:pPr>
    </w:p>
    <w:p w14:paraId="6FA7E981" w14:textId="77777777" w:rsidR="004B4DF1" w:rsidRDefault="004B4DF1" w:rsidP="004B4DF1">
      <w:pPr>
        <w:rPr>
          <w:rFonts w:ascii="Arial" w:hAnsi="Arial" w:cs="Arial"/>
        </w:rPr>
      </w:pPr>
      <w:r>
        <w:rPr>
          <w:rFonts w:ascii="Arial" w:hAnsi="Arial" w:cs="Arial"/>
        </w:rPr>
        <w:t>En este sentido, la Honorable Corte Constitucional, recientemente ha expuesto en sede de revisión de Tutela con sentencia T-215/18</w:t>
      </w:r>
    </w:p>
    <w:p w14:paraId="17B5F160" w14:textId="77777777" w:rsidR="004B4DF1" w:rsidRDefault="004B4DF1" w:rsidP="004B4DF1">
      <w:pPr>
        <w:pStyle w:val="Sinespaciado"/>
        <w:spacing w:line="276" w:lineRule="auto"/>
        <w:ind w:left="1276"/>
        <w:jc w:val="both"/>
        <w:rPr>
          <w:rFonts w:ascii="Arial" w:hAnsi="Arial" w:cs="Arial"/>
          <w:i/>
        </w:rPr>
      </w:pPr>
      <w:proofErr w:type="gramStart"/>
      <w:r>
        <w:rPr>
          <w:rFonts w:ascii="Arial" w:hAnsi="Arial" w:cs="Arial"/>
          <w:i/>
        </w:rPr>
        <w:t>( . . .</w:t>
      </w:r>
      <w:proofErr w:type="gramEnd"/>
      <w:r>
        <w:rPr>
          <w:rFonts w:ascii="Arial" w:hAnsi="Arial" w:cs="Arial"/>
          <w:i/>
        </w:rPr>
        <w:t xml:space="preserve"> ) Alcance del principio de solidaridad familiar</w:t>
      </w:r>
    </w:p>
    <w:p w14:paraId="39F9BEED" w14:textId="77777777" w:rsidR="004B4DF1" w:rsidRDefault="004B4DF1" w:rsidP="004B4DF1">
      <w:pPr>
        <w:pStyle w:val="Sinespaciado"/>
        <w:spacing w:line="276" w:lineRule="auto"/>
        <w:ind w:left="1276"/>
        <w:jc w:val="both"/>
        <w:rPr>
          <w:rFonts w:ascii="Arial" w:hAnsi="Arial" w:cs="Arial"/>
          <w:i/>
        </w:rPr>
      </w:pPr>
      <w:r>
        <w:rPr>
          <w:rFonts w:ascii="Arial" w:hAnsi="Arial" w:cs="Arial"/>
          <w:i/>
        </w:rPr>
        <w:t>7.1. La Ley 1751 de 2015, en su artículo 6º, establece los principios del sistema general de salud y en el literal j) se refiere así al principio de solidaridad:</w:t>
      </w:r>
    </w:p>
    <w:p w14:paraId="3D1E55C7" w14:textId="77777777" w:rsidR="004B4DF1" w:rsidRDefault="004B4DF1" w:rsidP="004B4DF1">
      <w:pPr>
        <w:pStyle w:val="Sinespaciado"/>
        <w:spacing w:line="276" w:lineRule="auto"/>
        <w:ind w:left="1276"/>
        <w:jc w:val="both"/>
        <w:rPr>
          <w:rFonts w:ascii="Arial" w:hAnsi="Arial" w:cs="Arial"/>
          <w:i/>
        </w:rPr>
      </w:pPr>
      <w:r>
        <w:rPr>
          <w:rFonts w:ascii="Arial" w:hAnsi="Arial" w:cs="Arial"/>
          <w:i/>
        </w:rPr>
        <w:lastRenderedPageBreak/>
        <w:t>“El sistema está basado en el mutuo apoyo entre las personas, generaciones, los sectores económicos, las regiones y las comunidades”.</w:t>
      </w:r>
    </w:p>
    <w:p w14:paraId="4FCD784D" w14:textId="77777777" w:rsidR="004B4DF1" w:rsidRDefault="004B4DF1" w:rsidP="004B4DF1">
      <w:pPr>
        <w:pStyle w:val="Sinespaciado"/>
        <w:spacing w:line="276" w:lineRule="auto"/>
        <w:ind w:left="1276"/>
        <w:jc w:val="both"/>
        <w:rPr>
          <w:rFonts w:ascii="Arial" w:hAnsi="Arial" w:cs="Arial"/>
          <w:i/>
        </w:rPr>
      </w:pPr>
      <w:proofErr w:type="gramStart"/>
      <w:r>
        <w:rPr>
          <w:rFonts w:ascii="Arial" w:hAnsi="Arial" w:cs="Arial"/>
          <w:i/>
        </w:rPr>
        <w:t>De acuerdo a</w:t>
      </w:r>
      <w:proofErr w:type="gramEnd"/>
      <w:r>
        <w:rPr>
          <w:rFonts w:ascii="Arial" w:hAnsi="Arial" w:cs="Arial"/>
          <w:i/>
        </w:rPr>
        <w:t xml:space="preserve"> lo anterior, se puede extraer que el sistema de seguridad social en salud es un esfuerzo mancomunado y colectivo creado sobre la lógica de que la protección de las contingencias individuales ocurre con el aporte y la participación de todos los miembros de la comunidad. La razón fundamental de la solidaridad sobre la cual se basa el sistema de salud es que los recursos destinados al mismo son limitados y normalmente escasos y deben ser reservados para asuntos prioritarios. Por este motivo, el juez constitucional ha previsto que uno de los requisitos que debe acreditarse para obtener el suministro de servicios expresamente excluidos del PBS es la falta de capacidad económica de la persona o su grupo familiar para sufragar los costos de los mismos </w:t>
      </w:r>
      <w:proofErr w:type="gramStart"/>
      <w:r>
        <w:rPr>
          <w:rFonts w:ascii="Arial" w:hAnsi="Arial" w:cs="Arial"/>
          <w:i/>
        </w:rPr>
        <w:t>( . . .</w:t>
      </w:r>
      <w:proofErr w:type="gramEnd"/>
      <w:r>
        <w:rPr>
          <w:rFonts w:ascii="Arial" w:hAnsi="Arial" w:cs="Arial"/>
          <w:i/>
        </w:rPr>
        <w:t xml:space="preserve"> ) </w:t>
      </w:r>
    </w:p>
    <w:p w14:paraId="188D06FB" w14:textId="77777777" w:rsidR="004B4DF1" w:rsidRDefault="004B4DF1" w:rsidP="004B4DF1">
      <w:pPr>
        <w:pStyle w:val="Sinespaciado"/>
        <w:spacing w:line="276" w:lineRule="auto"/>
        <w:ind w:left="1276"/>
        <w:jc w:val="both"/>
        <w:rPr>
          <w:rFonts w:ascii="Arial" w:hAnsi="Arial" w:cs="Arial"/>
          <w:i/>
        </w:rPr>
      </w:pPr>
    </w:p>
    <w:p w14:paraId="755178F6" w14:textId="77777777" w:rsidR="004B4DF1" w:rsidRDefault="004B4DF1" w:rsidP="004B4DF1">
      <w:pPr>
        <w:rPr>
          <w:rFonts w:ascii="Arial" w:hAnsi="Arial" w:cs="Arial"/>
        </w:rPr>
      </w:pPr>
      <w:r>
        <w:rPr>
          <w:rFonts w:ascii="Arial" w:hAnsi="Arial" w:cs="Arial"/>
        </w:rPr>
        <w:t>Ahora bien, es pertinente poner en consideración al despacho que esta honorable Corte en ese mismo orden refiere la importancia de analizar en cada caso concreto la existencia de capacidad económica del paciente y su grupo familiar para sufragar los gastos generados en insumos de aseo, bajo los siguientes términos:</w:t>
      </w:r>
    </w:p>
    <w:p w14:paraId="519A74E5" w14:textId="77777777" w:rsidR="004B4DF1" w:rsidRDefault="004B4DF1" w:rsidP="004B4DF1">
      <w:pPr>
        <w:pStyle w:val="Sinespaciado"/>
        <w:spacing w:line="276" w:lineRule="auto"/>
        <w:ind w:left="1276"/>
        <w:jc w:val="both"/>
        <w:rPr>
          <w:rFonts w:ascii="Arial" w:hAnsi="Arial" w:cs="Arial"/>
          <w:i/>
        </w:rPr>
      </w:pPr>
      <w:proofErr w:type="gramStart"/>
      <w:r>
        <w:rPr>
          <w:rFonts w:ascii="Arial" w:hAnsi="Arial" w:cs="Arial"/>
          <w:i/>
        </w:rPr>
        <w:t>( . . .</w:t>
      </w:r>
      <w:proofErr w:type="gramEnd"/>
      <w:r>
        <w:rPr>
          <w:rFonts w:ascii="Arial" w:hAnsi="Arial" w:cs="Arial"/>
          <w:i/>
        </w:rPr>
        <w:t xml:space="preserve"> ) En principio, no hay un derrotero para determinar la capacidad económica, ya que no es un asunto simple ni para el juez constitucional, ni para las entidades prestadoras de servicios de salud. Sin embargo, existe una presunción respecto de los afiliados al régimen subsidiado, ya que es claro que no están en la capacidad de cubrir los costos de prestaciones expresamente excluidas, como los pañales desechables.</w:t>
      </w:r>
    </w:p>
    <w:p w14:paraId="2D835507" w14:textId="77777777" w:rsidR="004B4DF1" w:rsidRDefault="004B4DF1" w:rsidP="004B4DF1">
      <w:pPr>
        <w:pStyle w:val="Sinespaciado"/>
        <w:spacing w:line="276" w:lineRule="auto"/>
        <w:ind w:left="1276"/>
        <w:jc w:val="both"/>
        <w:rPr>
          <w:rFonts w:ascii="Arial" w:hAnsi="Arial" w:cs="Arial"/>
          <w:i/>
        </w:rPr>
      </w:pPr>
    </w:p>
    <w:p w14:paraId="2261AD3C" w14:textId="77777777" w:rsidR="004B4DF1" w:rsidRDefault="004B4DF1" w:rsidP="004B4DF1">
      <w:pPr>
        <w:pStyle w:val="Sinespaciado"/>
        <w:spacing w:line="276" w:lineRule="auto"/>
        <w:ind w:left="1276"/>
        <w:jc w:val="both"/>
        <w:rPr>
          <w:rFonts w:ascii="Arial" w:hAnsi="Arial" w:cs="Arial"/>
          <w:i/>
          <w:u w:val="single"/>
        </w:rPr>
      </w:pPr>
      <w:r>
        <w:rPr>
          <w:rFonts w:ascii="Arial" w:hAnsi="Arial" w:cs="Arial"/>
          <w:i/>
          <w:u w:val="single"/>
        </w:rPr>
        <w:t xml:space="preserve">Otro escenario diferente es el de las personas afiliadas al régimen contributivo, ya que estos individuos cuentan con al menos un ingreso mensual del cual se desprende el monto de cotización al sistema de salud, conocido como IBC; ahora el IBC, se erige como un criterio objetivo, pues permite establecer la capacidad económica familiar para cubrir el costo de pañales. En todo caso, este criterio objetivo debe combinarse con criterios subjetivos, como el número de personas que derivan su sustento del ingreso familiar. Estos aspectos subjetivos deben ser informados de buena fe por el </w:t>
      </w:r>
      <w:proofErr w:type="gramStart"/>
      <w:r>
        <w:rPr>
          <w:rFonts w:ascii="Arial" w:hAnsi="Arial" w:cs="Arial"/>
          <w:i/>
          <w:u w:val="single"/>
        </w:rPr>
        <w:t>interesado .</w:t>
      </w:r>
      <w:proofErr w:type="gramEnd"/>
      <w:r>
        <w:rPr>
          <w:rFonts w:ascii="Arial" w:hAnsi="Arial" w:cs="Arial"/>
          <w:i/>
          <w:u w:val="single"/>
        </w:rPr>
        <w:t xml:space="preserve"> </w:t>
      </w:r>
    </w:p>
    <w:p w14:paraId="183F9969" w14:textId="77777777" w:rsidR="004B4DF1" w:rsidRDefault="004B4DF1" w:rsidP="004B4DF1">
      <w:pPr>
        <w:pStyle w:val="Sinespaciado"/>
        <w:spacing w:line="276" w:lineRule="auto"/>
        <w:ind w:left="1276"/>
        <w:jc w:val="both"/>
        <w:rPr>
          <w:rFonts w:ascii="Arial" w:hAnsi="Arial" w:cs="Arial"/>
          <w:i/>
          <w:u w:val="single"/>
        </w:rPr>
      </w:pPr>
    </w:p>
    <w:p w14:paraId="5AED16FA" w14:textId="77777777" w:rsidR="004B4DF1" w:rsidRDefault="004B4DF1" w:rsidP="004B4DF1">
      <w:pPr>
        <w:pStyle w:val="Sinespaciado"/>
        <w:spacing w:line="276" w:lineRule="auto"/>
        <w:ind w:left="1276"/>
        <w:jc w:val="both"/>
        <w:rPr>
          <w:rFonts w:ascii="Arial" w:hAnsi="Arial" w:cs="Arial"/>
          <w:i/>
        </w:rPr>
      </w:pPr>
      <w:r>
        <w:rPr>
          <w:rFonts w:ascii="Arial" w:hAnsi="Arial" w:cs="Arial"/>
          <w:i/>
          <w:u w:val="single"/>
        </w:rPr>
        <w:t>En conclusión, el juez constitucional deberá analizar en cada caso variables como el régimen al que se encuentra afiliada la persona, el nivel del ingreso, el costo de los insumos, medicamentos o prestaciones requeridas, así como la conformación del grupo familiar y el número de personas que dependen del mismo ingreso. Estos factores son criterios válidos de decisión para considerar en qué casos las personas podrían en principio asumir la carga económica para acceder a los servicios y tecnologías no incluidos dentro del Plan de Beneficios de Salud</w:t>
      </w:r>
      <w:r>
        <w:rPr>
          <w:rFonts w:ascii="Arial" w:hAnsi="Arial" w:cs="Arial"/>
          <w:i/>
        </w:rPr>
        <w:t xml:space="preserve"> </w:t>
      </w:r>
      <w:proofErr w:type="gramStart"/>
      <w:r>
        <w:rPr>
          <w:rFonts w:ascii="Arial" w:hAnsi="Arial" w:cs="Arial"/>
          <w:i/>
        </w:rPr>
        <w:t>( . . .</w:t>
      </w:r>
      <w:proofErr w:type="gramEnd"/>
      <w:r>
        <w:rPr>
          <w:rFonts w:ascii="Arial" w:hAnsi="Arial" w:cs="Arial"/>
          <w:i/>
        </w:rPr>
        <w:t xml:space="preserve"> ) subrayado fuera de texto.</w:t>
      </w:r>
    </w:p>
    <w:p w14:paraId="549759BF" w14:textId="77777777" w:rsidR="004B4DF1" w:rsidRDefault="004B4DF1" w:rsidP="004B4DF1">
      <w:pPr>
        <w:pStyle w:val="Sinespaciado"/>
        <w:spacing w:line="276" w:lineRule="auto"/>
        <w:jc w:val="both"/>
        <w:rPr>
          <w:rFonts w:ascii="Arial" w:hAnsi="Arial" w:cs="Arial"/>
        </w:rPr>
      </w:pPr>
    </w:p>
    <w:p w14:paraId="4D5AE7ED" w14:textId="77777777" w:rsidR="004B4DF1" w:rsidRDefault="004B4DF1" w:rsidP="004B4DF1">
      <w:pPr>
        <w:pStyle w:val="Sinespaciado"/>
        <w:spacing w:line="276" w:lineRule="auto"/>
        <w:jc w:val="both"/>
        <w:rPr>
          <w:rFonts w:ascii="Arial" w:hAnsi="Arial" w:cs="Arial"/>
        </w:rPr>
      </w:pPr>
      <w:r>
        <w:rPr>
          <w:rFonts w:ascii="Arial" w:hAnsi="Arial" w:cs="Arial"/>
        </w:rPr>
        <w:t>Una vez puesto en consideración, lo establecido y reglamentado en materia de pañales, de manera respetuosa se solicita al despacho que estudie de manera previa la existencia de orden médica que prescriba el insumo de salud y si basado en el IBC de la accionante su grupo familiar, es procedente su reconocimiento.</w:t>
      </w:r>
    </w:p>
    <w:p w14:paraId="31ADE5B4" w14:textId="77777777" w:rsidR="007D79B9" w:rsidRDefault="007D79B9" w:rsidP="00F13F95">
      <w:pPr>
        <w:pStyle w:val="Sinespaciado"/>
        <w:spacing w:line="276" w:lineRule="auto"/>
        <w:jc w:val="both"/>
        <w:rPr>
          <w:rFonts w:ascii="Arial" w:eastAsia="Times New Roman" w:hAnsi="Arial" w:cs="Arial"/>
          <w:bCs/>
        </w:rPr>
      </w:pPr>
    </w:p>
    <w:p w14:paraId="55F7E47C" w14:textId="77777777" w:rsidR="00F13F95" w:rsidRPr="0052712B" w:rsidRDefault="00F13F95" w:rsidP="00B30C3C">
      <w:pPr>
        <w:pStyle w:val="Prrafodelista"/>
        <w:numPr>
          <w:ilvl w:val="0"/>
          <w:numId w:val="20"/>
        </w:numPr>
        <w:spacing w:after="200" w:line="276" w:lineRule="auto"/>
        <w:rPr>
          <w:rFonts w:ascii="Arial" w:eastAsia="Times New Roman" w:hAnsi="Arial" w:cs="Arial"/>
          <w:b/>
          <w:bCs/>
          <w:sz w:val="22"/>
          <w:lang w:eastAsia="es-CO"/>
        </w:rPr>
      </w:pPr>
      <w:r w:rsidRPr="0052712B">
        <w:rPr>
          <w:rFonts w:ascii="Arial" w:eastAsia="Times New Roman" w:hAnsi="Arial" w:cs="Arial"/>
          <w:b/>
          <w:bCs/>
          <w:sz w:val="22"/>
          <w:lang w:eastAsia="es-CO"/>
        </w:rPr>
        <w:t xml:space="preserve">AUTORIZACIÓN DE ELEMENTOS EXLCUIDOS DE LOS SERVICIOS O TECNOLOGÍAS CON CARGO A LA UPC. </w:t>
      </w:r>
    </w:p>
    <w:p w14:paraId="220553D2" w14:textId="77777777" w:rsidR="00F13F95" w:rsidRPr="0052712B" w:rsidRDefault="00F13F95" w:rsidP="00F13F95">
      <w:pPr>
        <w:spacing w:after="200" w:line="276" w:lineRule="auto"/>
        <w:rPr>
          <w:rFonts w:ascii="Arial" w:eastAsia="Times New Roman" w:hAnsi="Arial" w:cs="Arial"/>
          <w:sz w:val="22"/>
          <w:lang w:eastAsia="es-CO"/>
        </w:rPr>
      </w:pPr>
      <w:r w:rsidRPr="0052712B">
        <w:rPr>
          <w:rFonts w:ascii="Arial" w:eastAsia="Times New Roman" w:hAnsi="Arial" w:cs="Arial"/>
          <w:sz w:val="22"/>
          <w:lang w:eastAsia="es-CO"/>
        </w:rPr>
        <w:lastRenderedPageBreak/>
        <w:t>La Resolución 2933 de 2006 del Ministerio de la Protección Social, artículo 4, numeral 1, indica que es función del Comité Técnico Científico “analizar para su autorización las solicitudes presentadas por los médicos tratantes de los afiliados, el suministro de medicamentos por fuera del listado de medicamentos del Plan Obligatorio de Salud”</w:t>
      </w:r>
    </w:p>
    <w:p w14:paraId="416D72E9" w14:textId="77777777" w:rsidR="00F13F95" w:rsidRPr="0052712B" w:rsidRDefault="00F13F95" w:rsidP="00F13F95">
      <w:pPr>
        <w:spacing w:after="200" w:line="276" w:lineRule="auto"/>
        <w:rPr>
          <w:rFonts w:ascii="Arial" w:eastAsia="Times New Roman" w:hAnsi="Arial" w:cs="Arial"/>
          <w:sz w:val="22"/>
          <w:lang w:eastAsia="es-CO"/>
        </w:rPr>
      </w:pPr>
      <w:r w:rsidRPr="0052712B">
        <w:rPr>
          <w:rFonts w:ascii="Arial" w:eastAsia="Times New Roman" w:hAnsi="Arial" w:cs="Arial"/>
          <w:sz w:val="22"/>
          <w:lang w:eastAsia="es-CO"/>
        </w:rPr>
        <w:t xml:space="preserve">La Resolución 1885 de 2018 del Ministerio de Salud y Protección Social establece el procedimiento para el acceso, reporte de prescripción, suministro y análisis de tecnologías en salud no financiadas con recursos de la UPC, señalando en el artículo 9 los requisitos para realizar la prescripción las citadas tecnologías que debe verificar el Juez de Tutela, así: </w:t>
      </w:r>
    </w:p>
    <w:p w14:paraId="1EDE2366" w14:textId="77777777" w:rsidR="00F13F95" w:rsidRPr="0052712B" w:rsidRDefault="00F13F95" w:rsidP="00F13F95">
      <w:pPr>
        <w:pStyle w:val="NormalWeb"/>
        <w:spacing w:line="270" w:lineRule="atLeast"/>
        <w:ind w:left="708"/>
        <w:jc w:val="both"/>
        <w:rPr>
          <w:rFonts w:ascii="Arial" w:hAnsi="Arial" w:cs="Arial"/>
          <w:color w:val="000000"/>
          <w:sz w:val="21"/>
          <w:szCs w:val="21"/>
        </w:rPr>
      </w:pPr>
      <w:r w:rsidRPr="0052712B">
        <w:rPr>
          <w:rFonts w:ascii="Arial" w:hAnsi="Arial" w:cs="Arial"/>
          <w:sz w:val="22"/>
        </w:rPr>
        <w:t>“</w:t>
      </w:r>
      <w:r w:rsidRPr="0052712B">
        <w:rPr>
          <w:rFonts w:ascii="Arial" w:hAnsi="Arial" w:cs="Arial"/>
          <w:color w:val="000000"/>
          <w:sz w:val="21"/>
          <w:szCs w:val="21"/>
        </w:rPr>
        <w:t>1. Que la(s) tecnología(s) en salud no se encuentre(n) financiadas con recursos de la UPC.</w:t>
      </w:r>
    </w:p>
    <w:p w14:paraId="4B00AFDC" w14:textId="77777777" w:rsidR="00F13F95" w:rsidRPr="0052712B" w:rsidRDefault="00F13F95" w:rsidP="00F13F95">
      <w:pPr>
        <w:pStyle w:val="NormalWeb"/>
        <w:spacing w:line="270" w:lineRule="atLeast"/>
        <w:ind w:left="708"/>
        <w:jc w:val="both"/>
        <w:rPr>
          <w:rFonts w:ascii="Arial" w:hAnsi="Arial" w:cs="Arial"/>
          <w:color w:val="000000"/>
          <w:sz w:val="21"/>
          <w:szCs w:val="21"/>
        </w:rPr>
      </w:pPr>
      <w:r w:rsidRPr="0052712B">
        <w:rPr>
          <w:rFonts w:ascii="Arial" w:hAnsi="Arial" w:cs="Arial"/>
          <w:color w:val="000000"/>
          <w:sz w:val="21"/>
          <w:szCs w:val="21"/>
        </w:rPr>
        <w:t>2. Que el uso, ejecución, utilización o realización de la tecnología en salud no financiada con recursos de la UPC haya sido autorizado por el Instituto Nacional de Vigilancia de Medicamentos y Alimentos (Invima), en el caso de medicamentos, alimentos para propósitos médicos especiales o dispositivos; o las demás entidades u órganos competentes en el país según sea el caso.</w:t>
      </w:r>
    </w:p>
    <w:p w14:paraId="7467606A" w14:textId="77777777" w:rsidR="00F13F95" w:rsidRPr="0052712B" w:rsidRDefault="00F13F95" w:rsidP="00F13F95">
      <w:pPr>
        <w:pStyle w:val="NormalWeb"/>
        <w:spacing w:line="270" w:lineRule="atLeast"/>
        <w:ind w:left="708"/>
        <w:jc w:val="both"/>
        <w:rPr>
          <w:rFonts w:ascii="Arial" w:hAnsi="Arial" w:cs="Arial"/>
          <w:color w:val="000000"/>
          <w:sz w:val="21"/>
          <w:szCs w:val="21"/>
        </w:rPr>
      </w:pPr>
      <w:r w:rsidRPr="0052712B">
        <w:rPr>
          <w:rFonts w:ascii="Arial" w:hAnsi="Arial" w:cs="Arial"/>
          <w:color w:val="000000"/>
          <w:sz w:val="21"/>
          <w:szCs w:val="21"/>
        </w:rPr>
        <w:t>3. Que el uso, ejecución, utilización o realización en caso de procedimientos en salud no financiados con recursos de la UPC se encuentre codificado y denominado en la Clasificación Única de Procedimientos en Salud (CUPS).</w:t>
      </w:r>
    </w:p>
    <w:p w14:paraId="3CEAA603" w14:textId="77777777" w:rsidR="00F13F95" w:rsidRPr="0052712B" w:rsidRDefault="00F13F95" w:rsidP="00F13F95">
      <w:pPr>
        <w:pStyle w:val="NormalWeb"/>
        <w:spacing w:line="270" w:lineRule="atLeast"/>
        <w:ind w:left="708"/>
        <w:jc w:val="both"/>
        <w:rPr>
          <w:rFonts w:ascii="Arial" w:hAnsi="Arial" w:cs="Arial"/>
          <w:color w:val="000000"/>
          <w:sz w:val="21"/>
          <w:szCs w:val="21"/>
        </w:rPr>
      </w:pPr>
      <w:r w:rsidRPr="0052712B">
        <w:rPr>
          <w:rFonts w:ascii="Arial" w:hAnsi="Arial" w:cs="Arial"/>
          <w:color w:val="000000"/>
          <w:sz w:val="21"/>
          <w:szCs w:val="21"/>
        </w:rPr>
        <w:t>4. Que se hayan agotado o descartado las posibilidades tecnológicas, científicas y técnicas, para la promoción, prevención, diagnóstico, tratamiento, rehabilitación y paliación de la enfermedad, de las tecnologías en salud financiadas con recursos de la UPC y no se haya obtenido resultado clínico o paraclínico satisfactorio en el término previsto de sus indicaciones, o se hayan previsto u observado reacciones adversas o intolerancia por el paciente, o existan indicaciones o contraindicaciones expresas, de todo lo cual, deberá dejarse constancia en la historia clínica y en la herramienta tecnológica.</w:t>
      </w:r>
    </w:p>
    <w:p w14:paraId="10EFA353" w14:textId="77777777" w:rsidR="00F13F95" w:rsidRPr="0052712B" w:rsidRDefault="00F13F95" w:rsidP="00F13F95">
      <w:pPr>
        <w:pStyle w:val="NormalWeb"/>
        <w:spacing w:line="270" w:lineRule="atLeast"/>
        <w:ind w:left="708"/>
        <w:jc w:val="both"/>
        <w:rPr>
          <w:rFonts w:ascii="Arial" w:hAnsi="Arial" w:cs="Arial"/>
          <w:color w:val="000000"/>
          <w:sz w:val="21"/>
          <w:szCs w:val="21"/>
        </w:rPr>
      </w:pPr>
      <w:r w:rsidRPr="0052712B">
        <w:rPr>
          <w:rFonts w:ascii="Arial" w:hAnsi="Arial" w:cs="Arial"/>
          <w:color w:val="000000"/>
          <w:sz w:val="21"/>
          <w:szCs w:val="21"/>
        </w:rPr>
        <w:t xml:space="preserve">5. Que la decisión de prescribir una tecnología en salud no financiada con recursos de la </w:t>
      </w:r>
      <w:proofErr w:type="gramStart"/>
      <w:r w:rsidRPr="0052712B">
        <w:rPr>
          <w:rFonts w:ascii="Arial" w:hAnsi="Arial" w:cs="Arial"/>
          <w:color w:val="000000"/>
          <w:sz w:val="21"/>
          <w:szCs w:val="21"/>
        </w:rPr>
        <w:t>UPC,</w:t>
      </w:r>
      <w:proofErr w:type="gramEnd"/>
      <w:r w:rsidRPr="0052712B">
        <w:rPr>
          <w:rFonts w:ascii="Arial" w:hAnsi="Arial" w:cs="Arial"/>
          <w:color w:val="000000"/>
          <w:sz w:val="21"/>
          <w:szCs w:val="21"/>
        </w:rPr>
        <w:t xml:space="preserve"> sea consecuente con la evidencia científica disponible, el diagnóstico y lo autorizado en el registro sanitario o la autoridad competente, según sea el caso.</w:t>
      </w:r>
    </w:p>
    <w:p w14:paraId="54595FA6" w14:textId="77777777" w:rsidR="00F13F95" w:rsidRPr="0052712B" w:rsidRDefault="00F13F95" w:rsidP="00F13F95">
      <w:pPr>
        <w:pStyle w:val="NormalWeb"/>
        <w:spacing w:line="270" w:lineRule="atLeast"/>
        <w:ind w:left="708"/>
        <w:jc w:val="both"/>
        <w:rPr>
          <w:rFonts w:ascii="Arial" w:hAnsi="Arial" w:cs="Arial"/>
          <w:color w:val="000000"/>
          <w:sz w:val="21"/>
          <w:szCs w:val="21"/>
        </w:rPr>
      </w:pPr>
      <w:r w:rsidRPr="0052712B">
        <w:rPr>
          <w:rFonts w:ascii="Arial" w:hAnsi="Arial" w:cs="Arial"/>
          <w:color w:val="000000"/>
          <w:sz w:val="21"/>
          <w:szCs w:val="21"/>
        </w:rPr>
        <w:t>6. Que se consigne de forma expresa en la historia clínica del paciente y en la herramienta tecnológica, sin que ello implique realizar registros dobles de la información, el cumplimiento de los criterios a que se refiere el artículo siguiente de esta Resolución, para la prescripción de tecnologías en salud no financiadas con recursos de la UPC.</w:t>
      </w:r>
    </w:p>
    <w:p w14:paraId="03B73B80" w14:textId="77777777" w:rsidR="00F13F95" w:rsidRPr="0052712B" w:rsidRDefault="00F13F95" w:rsidP="00F13F95">
      <w:pPr>
        <w:pStyle w:val="NormalWeb"/>
        <w:spacing w:line="270" w:lineRule="atLeast"/>
        <w:ind w:left="708"/>
        <w:jc w:val="both"/>
        <w:rPr>
          <w:rFonts w:ascii="Arial" w:hAnsi="Arial" w:cs="Arial"/>
          <w:color w:val="000000"/>
          <w:sz w:val="21"/>
          <w:szCs w:val="21"/>
        </w:rPr>
      </w:pPr>
      <w:r w:rsidRPr="0052712B">
        <w:rPr>
          <w:rFonts w:ascii="Arial" w:hAnsi="Arial" w:cs="Arial"/>
          <w:color w:val="000000"/>
          <w:sz w:val="21"/>
          <w:szCs w:val="21"/>
        </w:rPr>
        <w:t>7. Que el estado de salud del paciente sea coherente con la solicitud de la tecnología en salud no financiada con recursos de la UPC o servicios complementarios a prescribir y que la misma cumpla un fin de prevención, recuperación, tratamiento, rehabilitación de la enfermedad o el mantenimiento de la salud o la capacidad vital o funcional de las personas.</w:t>
      </w:r>
    </w:p>
    <w:p w14:paraId="277248F6" w14:textId="77777777" w:rsidR="00F13F95" w:rsidRPr="0052712B" w:rsidRDefault="00F13F95" w:rsidP="00F13F95">
      <w:pPr>
        <w:pStyle w:val="NormalWeb"/>
        <w:spacing w:line="270" w:lineRule="atLeast"/>
        <w:ind w:left="708"/>
        <w:jc w:val="both"/>
        <w:rPr>
          <w:rFonts w:ascii="Arial" w:hAnsi="Arial" w:cs="Arial"/>
          <w:sz w:val="22"/>
        </w:rPr>
      </w:pPr>
      <w:r w:rsidRPr="0052712B">
        <w:rPr>
          <w:rStyle w:val="baj"/>
          <w:rFonts w:ascii="Arial" w:eastAsia="Calibri" w:hAnsi="Arial" w:cs="Arial"/>
          <w:b/>
          <w:bCs/>
          <w:color w:val="244700"/>
          <w:sz w:val="21"/>
          <w:szCs w:val="21"/>
        </w:rPr>
        <w:t>PARÁGRAFO.</w:t>
      </w:r>
      <w:r w:rsidRPr="0052712B">
        <w:rPr>
          <w:rFonts w:ascii="Arial" w:hAnsi="Arial" w:cs="Arial"/>
          <w:color w:val="000000"/>
          <w:sz w:val="21"/>
          <w:szCs w:val="21"/>
        </w:rPr>
        <w:t> En el evento de prescribir medicamentos vitales no disponibles que no se encuentran incluidos en el listado definido por Invima según el Decreto </w:t>
      </w:r>
      <w:hyperlink r:id="rId9" w:anchor="Inicio" w:history="1">
        <w:r w:rsidRPr="0052712B">
          <w:rPr>
            <w:rStyle w:val="Hipervnculo"/>
            <w:rFonts w:ascii="Arial" w:hAnsi="Arial" w:cs="Arial"/>
            <w:color w:val="4DB052"/>
            <w:sz w:val="21"/>
            <w:szCs w:val="21"/>
          </w:rPr>
          <w:t>481</w:t>
        </w:r>
      </w:hyperlink>
      <w:r w:rsidRPr="0052712B">
        <w:rPr>
          <w:rFonts w:ascii="Arial" w:hAnsi="Arial" w:cs="Arial"/>
          <w:color w:val="000000"/>
          <w:sz w:val="21"/>
          <w:szCs w:val="21"/>
        </w:rPr>
        <w:t> de 2004 o la norma que lo modifique, adicione o sustituya, se deberá realizar la prescripción en el formato de fórmula médica de la institución o personal, teniendo en cuenta lo definido por el Decreto Único </w:t>
      </w:r>
      <w:hyperlink r:id="rId10" w:anchor="Inicio" w:history="1">
        <w:r w:rsidRPr="0052712B">
          <w:rPr>
            <w:rStyle w:val="Hipervnculo"/>
            <w:rFonts w:ascii="Arial" w:hAnsi="Arial" w:cs="Arial"/>
            <w:color w:val="4DB052"/>
            <w:sz w:val="21"/>
            <w:szCs w:val="21"/>
          </w:rPr>
          <w:t>780</w:t>
        </w:r>
      </w:hyperlink>
      <w:r w:rsidRPr="0052712B">
        <w:rPr>
          <w:rFonts w:ascii="Arial" w:hAnsi="Arial" w:cs="Arial"/>
          <w:color w:val="000000"/>
          <w:sz w:val="21"/>
          <w:szCs w:val="21"/>
        </w:rPr>
        <w:t xml:space="preserve"> de 2016 o la norma que lo modifique o sustituya, el cual servirá para realizar el trámite de importación ante el Invima. Una vez dicho Instituto autorice su </w:t>
      </w:r>
      <w:r w:rsidRPr="0052712B">
        <w:rPr>
          <w:rFonts w:ascii="Arial" w:hAnsi="Arial" w:cs="Arial"/>
          <w:color w:val="000000"/>
          <w:sz w:val="21"/>
          <w:szCs w:val="21"/>
        </w:rPr>
        <w:lastRenderedPageBreak/>
        <w:t>importación, la EPS ingresará la información a la herramienta tecnológica dispuesta. En todo caso, el ingreso de la información a la plataforma web no es condicionamiento para efectuar el suministro al usuario.</w:t>
      </w:r>
      <w:r w:rsidRPr="0052712B">
        <w:rPr>
          <w:rFonts w:ascii="Arial" w:hAnsi="Arial" w:cs="Arial"/>
          <w:sz w:val="22"/>
        </w:rPr>
        <w:t>”</w:t>
      </w:r>
    </w:p>
    <w:p w14:paraId="6665C654" w14:textId="77777777" w:rsidR="00F13F95" w:rsidRPr="0052712B" w:rsidRDefault="00F13F95" w:rsidP="00F13F95">
      <w:pPr>
        <w:spacing w:after="200" w:line="276" w:lineRule="auto"/>
        <w:rPr>
          <w:rFonts w:ascii="Arial" w:eastAsia="Times New Roman" w:hAnsi="Arial" w:cs="Arial"/>
          <w:sz w:val="22"/>
          <w:lang w:eastAsia="es-CO"/>
        </w:rPr>
      </w:pPr>
      <w:r w:rsidRPr="0052712B">
        <w:rPr>
          <w:rFonts w:ascii="Arial" w:eastAsia="Times New Roman" w:hAnsi="Arial" w:cs="Arial"/>
          <w:sz w:val="22"/>
          <w:lang w:eastAsia="es-CO"/>
        </w:rPr>
        <w:t>Con base a lo anterior, no es procedente la autorización de medicamentos que no están incluidos como tecnología o servicio financiado con recursos de la UPC si no se han efectuado o se tiene certeza de la verificación de los requisitos señalados en las normas citadas. Así las cosas, de considerar el Juez de Tutela la presunta vulneración de los derechos fundamentales de la parte accionante, se solicita se ordene la realización del comité técnico científico y se tramite en la aplicación MIPREES para descartar la posibilidad del reemplazo del medicamento por uno con similares componentes activos que esté incluido dentro de los servicios o tecnologías financiadas con recursos de la UPC y se verifique el cumplimiento de los criterios establecidos para la prescripción con base al artículo 10 de la Resolución 1885 de 2018.</w:t>
      </w:r>
    </w:p>
    <w:p w14:paraId="77953F41" w14:textId="77777777" w:rsidR="00B30C3C" w:rsidRDefault="00B30C3C" w:rsidP="00B30C3C">
      <w:pPr>
        <w:pStyle w:val="Sinespaciado"/>
        <w:numPr>
          <w:ilvl w:val="0"/>
          <w:numId w:val="20"/>
        </w:numPr>
        <w:spacing w:line="276" w:lineRule="auto"/>
        <w:jc w:val="both"/>
        <w:rPr>
          <w:rFonts w:ascii="Arial" w:hAnsi="Arial" w:cs="Arial"/>
          <w:b/>
        </w:rPr>
      </w:pPr>
      <w:r>
        <w:rPr>
          <w:rFonts w:ascii="Arial" w:hAnsi="Arial" w:cs="Arial"/>
          <w:b/>
        </w:rPr>
        <w:t>FALTA DE MOTIVACIÓM DE LA SENTENCIA PARA CONCEDER EL TRATAMIENTO INTEGRAL.</w:t>
      </w:r>
    </w:p>
    <w:p w14:paraId="33A89F8B" w14:textId="77777777" w:rsidR="00B30C3C" w:rsidRDefault="00B30C3C" w:rsidP="00B30C3C">
      <w:pPr>
        <w:pStyle w:val="Sinespaciado"/>
        <w:spacing w:line="276" w:lineRule="auto"/>
        <w:ind w:left="720"/>
        <w:rPr>
          <w:rFonts w:ascii="Arial" w:hAnsi="Arial" w:cs="Arial"/>
          <w:b/>
        </w:rPr>
      </w:pPr>
    </w:p>
    <w:p w14:paraId="66FD65F2" w14:textId="77777777" w:rsidR="00B30C3C" w:rsidRDefault="00B30C3C" w:rsidP="00B30C3C">
      <w:pPr>
        <w:rPr>
          <w:rFonts w:ascii="Arial" w:hAnsi="Arial" w:cs="Arial"/>
        </w:rPr>
      </w:pPr>
      <w:r>
        <w:rPr>
          <w:rFonts w:ascii="Arial" w:hAnsi="Arial" w:cs="Arial"/>
        </w:rPr>
        <w:t>Nueva EPS tiene un modelo de acceso a los servicios y la entrada a ellos es a través de los servicios de Urgencias o a través de la IPS Primaria asignada a cada afiliado donde puede acceder a los servicios ambulatorios programados.</w:t>
      </w:r>
    </w:p>
    <w:p w14:paraId="223CD593" w14:textId="77777777" w:rsidR="00B30C3C" w:rsidRDefault="00B30C3C" w:rsidP="00B30C3C">
      <w:pPr>
        <w:rPr>
          <w:rFonts w:ascii="Arial" w:hAnsi="Arial" w:cs="Arial"/>
        </w:rPr>
      </w:pPr>
    </w:p>
    <w:p w14:paraId="12DA2805" w14:textId="77777777" w:rsidR="00B30C3C" w:rsidRDefault="00B30C3C" w:rsidP="00B30C3C">
      <w:pPr>
        <w:rPr>
          <w:rFonts w:ascii="Arial" w:hAnsi="Arial" w:cs="Arial"/>
        </w:rPr>
      </w:pPr>
      <w:r>
        <w:rPr>
          <w:rFonts w:ascii="Arial" w:hAnsi="Arial" w:cs="Arial"/>
        </w:rPr>
        <w:t xml:space="preserve">Así las cosas, la </w:t>
      </w:r>
      <w:r>
        <w:rPr>
          <w:rFonts w:ascii="Arial" w:hAnsi="Arial" w:cs="Arial"/>
          <w:b/>
          <w:bCs/>
        </w:rPr>
        <w:t>Resolución 3512 DE 2019</w:t>
      </w:r>
      <w:r>
        <w:rPr>
          <w:rFonts w:ascii="Arial" w:hAnsi="Arial" w:cs="Arial"/>
        </w:rPr>
        <w:t xml:space="preserve"> en su </w:t>
      </w:r>
      <w:r>
        <w:rPr>
          <w:rFonts w:ascii="Arial" w:hAnsi="Arial" w:cs="Arial"/>
          <w:b/>
          <w:bCs/>
        </w:rPr>
        <w:t xml:space="preserve">artículo 2, </w:t>
      </w:r>
      <w:r>
        <w:rPr>
          <w:rFonts w:ascii="Arial" w:hAnsi="Arial" w:cs="Arial"/>
          <w:bCs/>
        </w:rPr>
        <w:t>respecto Estructura y naturaleza de los servicios y tecnologías de salud,</w:t>
      </w:r>
      <w:r>
        <w:rPr>
          <w:rFonts w:ascii="Arial" w:hAnsi="Arial" w:cs="Arial"/>
        </w:rPr>
        <w:t xml:space="preserve"> señala:  </w:t>
      </w:r>
    </w:p>
    <w:p w14:paraId="563E0375" w14:textId="77777777" w:rsidR="00B30C3C" w:rsidRDefault="00B30C3C" w:rsidP="00B30C3C">
      <w:pPr>
        <w:ind w:left="708" w:right="284"/>
        <w:rPr>
          <w:rFonts w:ascii="Arial" w:hAnsi="Arial" w:cs="Arial"/>
          <w:iCs/>
        </w:rPr>
      </w:pPr>
      <w:r>
        <w:rPr>
          <w:rFonts w:ascii="Arial" w:hAnsi="Arial" w:cs="Arial"/>
          <w:iCs/>
        </w:rPr>
        <w:t>“Los servicios y tecnologías de salud financiados con recursos de la UPC se encuentran contenidos en el presente acto administrativo y esta n estructurados sobre una concepción integral de la salud, que incluye la promoción de la salud, prevención, diagnóstico, tratamiento, rehabilitación y paliación de la enfermedad y que se constituye en un mecanismo de protección al derecho fundamental a la salud para que las Entidades Promotoras de Salud (EPS) o las entidades que hagan sus veces, garanticen el acceso a dichos servicios y tecnologías bajo las condiciones previstas en esta resolución.”.</w:t>
      </w:r>
    </w:p>
    <w:p w14:paraId="24178FD3" w14:textId="77777777" w:rsidR="00B30C3C" w:rsidRDefault="00B30C3C" w:rsidP="00B30C3C">
      <w:pPr>
        <w:ind w:left="284" w:right="284"/>
        <w:rPr>
          <w:rFonts w:ascii="Arial" w:hAnsi="Arial" w:cs="Arial"/>
          <w:iCs/>
        </w:rPr>
      </w:pPr>
    </w:p>
    <w:p w14:paraId="36F54FD8" w14:textId="77777777" w:rsidR="00B30C3C" w:rsidRDefault="00B30C3C" w:rsidP="00B30C3C">
      <w:pPr>
        <w:rPr>
          <w:rFonts w:ascii="Arial" w:hAnsi="Arial" w:cs="Arial"/>
        </w:rPr>
      </w:pPr>
      <w:r>
        <w:rPr>
          <w:rFonts w:ascii="Arial" w:hAnsi="Arial" w:cs="Arial"/>
          <w:bCs/>
        </w:rPr>
        <w:t xml:space="preserve">Con base a lo anterior, los servicios que son ordenados al usuario por parte de los Médicos de la Red de Nueva EPS son cubiertos con base a lo permitido por las normas habilitantes, así, </w:t>
      </w:r>
      <w:r>
        <w:rPr>
          <w:rFonts w:ascii="Arial" w:hAnsi="Arial" w:cs="Arial"/>
        </w:rPr>
        <w:t xml:space="preserve">en sentencia T-760 de 2008, respecto a los requisitos del tratamiento integral indica: </w:t>
      </w:r>
    </w:p>
    <w:p w14:paraId="7C04E22A" w14:textId="77777777" w:rsidR="00B30C3C" w:rsidRDefault="00B30C3C" w:rsidP="00B30C3C">
      <w:pPr>
        <w:rPr>
          <w:rFonts w:ascii="Arial" w:hAnsi="Arial" w:cs="Arial"/>
        </w:rPr>
      </w:pPr>
    </w:p>
    <w:p w14:paraId="62655726" w14:textId="77777777" w:rsidR="00B30C3C" w:rsidRDefault="00B30C3C" w:rsidP="00B30C3C">
      <w:pPr>
        <w:ind w:left="708"/>
        <w:rPr>
          <w:rFonts w:ascii="Arial" w:hAnsi="Arial" w:cs="Arial"/>
        </w:rPr>
      </w:pPr>
      <w:r>
        <w:rPr>
          <w:rFonts w:ascii="Arial" w:hAnsi="Arial" w:cs="Arial"/>
        </w:rPr>
        <w:t>“Tales decisiones proceden cuando “(i) la falta del servicio o medicina solicitada ponga en riesgo los derechos a la vida e integridad del paciente (…) sea porque amenaza su supervivencia o afecta su dignidad; (</w:t>
      </w:r>
      <w:proofErr w:type="spellStart"/>
      <w:r>
        <w:rPr>
          <w:rFonts w:ascii="Arial" w:hAnsi="Arial" w:cs="Arial"/>
        </w:rPr>
        <w:t>ii</w:t>
      </w:r>
      <w:proofErr w:type="spellEnd"/>
      <w:r>
        <w:rPr>
          <w:rFonts w:ascii="Arial" w:hAnsi="Arial" w:cs="Arial"/>
        </w:rPr>
        <w:t>) el servicio o medicina no pueda ser sustituido por otro que sí está incluido dentro del POS bajo las mismas condiciones de calidad y efectividad; (</w:t>
      </w:r>
      <w:proofErr w:type="spellStart"/>
      <w:r>
        <w:rPr>
          <w:rFonts w:ascii="Arial" w:hAnsi="Arial" w:cs="Arial"/>
        </w:rPr>
        <w:t>iii</w:t>
      </w:r>
      <w:proofErr w:type="spellEnd"/>
      <w:r>
        <w:rPr>
          <w:rFonts w:ascii="Arial" w:hAnsi="Arial" w:cs="Arial"/>
        </w:rPr>
        <w:t>) el servicio o medicina haya sido ordenado por un médico adscrito a la EPS en la que está inscrito el paciente; y, (</w:t>
      </w:r>
      <w:proofErr w:type="spellStart"/>
      <w:r>
        <w:rPr>
          <w:rFonts w:ascii="Arial" w:hAnsi="Arial" w:cs="Arial"/>
        </w:rPr>
        <w:t>iv</w:t>
      </w:r>
      <w:proofErr w:type="spellEnd"/>
      <w:r>
        <w:rPr>
          <w:rFonts w:ascii="Arial" w:hAnsi="Arial" w:cs="Arial"/>
        </w:rPr>
        <w:t xml:space="preserve">) la capacidad económica del paciente, le impida pagar por el servicio o medicina solicitado” </w:t>
      </w:r>
    </w:p>
    <w:p w14:paraId="64CD2A3D" w14:textId="77777777" w:rsidR="00B30C3C" w:rsidRDefault="00B30C3C" w:rsidP="00B30C3C">
      <w:pPr>
        <w:shd w:val="clear" w:color="auto" w:fill="FFFFFF"/>
        <w:ind w:right="20"/>
        <w:textAlignment w:val="baseline"/>
        <w:rPr>
          <w:rFonts w:ascii="Arial" w:hAnsi="Arial" w:cs="Arial"/>
        </w:rPr>
      </w:pPr>
    </w:p>
    <w:p w14:paraId="2DDA5368" w14:textId="77777777" w:rsidR="00B30C3C" w:rsidRDefault="00B30C3C" w:rsidP="00B30C3C">
      <w:pPr>
        <w:shd w:val="clear" w:color="auto" w:fill="FFFFFF"/>
        <w:ind w:right="20"/>
        <w:textAlignment w:val="baseline"/>
        <w:rPr>
          <w:rFonts w:ascii="Arial" w:hAnsi="Arial" w:cs="Arial"/>
        </w:rPr>
      </w:pPr>
      <w:r>
        <w:rPr>
          <w:rFonts w:ascii="Arial" w:hAnsi="Arial" w:cs="Arial"/>
        </w:rPr>
        <w:t xml:space="preserve">Es así, que, frente al tratamiento integral, el juez constitucional debe verificar que, en efecto, una solicitud de este tipo tenga sustento en los presupuestos fácticos y que esté involucrada la responsabilidad de la accionada. Las órdenes dirigidas a las entidades deben corresponder a sus acciones u omisiones, pero en el caso de la referencia no se precisa cuál es la conducta de la EPS que se reprocha. </w:t>
      </w:r>
      <w:r>
        <w:rPr>
          <w:rFonts w:ascii="Arial" w:hAnsi="Arial" w:cs="Arial"/>
          <w:b/>
        </w:rPr>
        <w:t xml:space="preserve">El requerimiento de la parte accionante, sus razones y las explicaciones, giraron </w:t>
      </w:r>
      <w:r>
        <w:rPr>
          <w:rFonts w:ascii="Arial" w:hAnsi="Arial" w:cs="Arial"/>
          <w:b/>
        </w:rPr>
        <w:lastRenderedPageBreak/>
        <w:t>en torno a la dificultad de sufragar el costo de sus desplazamientos, no en una ausencia de tratamiento.</w:t>
      </w:r>
      <w:r>
        <w:rPr>
          <w:rFonts w:ascii="Arial" w:hAnsi="Arial" w:cs="Arial"/>
        </w:rPr>
        <w:t xml:space="preserve"> </w:t>
      </w:r>
    </w:p>
    <w:p w14:paraId="2BBE902E" w14:textId="77777777" w:rsidR="00B30C3C" w:rsidRDefault="00B30C3C" w:rsidP="00B30C3C">
      <w:pPr>
        <w:shd w:val="clear" w:color="auto" w:fill="FFFFFF"/>
        <w:ind w:left="1276" w:right="20"/>
        <w:textAlignment w:val="baseline"/>
        <w:rPr>
          <w:rFonts w:ascii="Arial" w:hAnsi="Arial" w:cs="Arial"/>
          <w:b/>
        </w:rPr>
      </w:pPr>
    </w:p>
    <w:p w14:paraId="48ADEE8E" w14:textId="77777777" w:rsidR="00B30C3C" w:rsidRDefault="00B30C3C" w:rsidP="00B30C3C">
      <w:pPr>
        <w:shd w:val="clear" w:color="auto" w:fill="FFFFFF"/>
        <w:ind w:right="20"/>
        <w:textAlignment w:val="baseline"/>
        <w:rPr>
          <w:rFonts w:ascii="Arial" w:hAnsi="Arial" w:cs="Arial"/>
          <w:b/>
        </w:rPr>
      </w:pPr>
      <w:r>
        <w:rPr>
          <w:rFonts w:ascii="Arial" w:hAnsi="Arial" w:cs="Arial"/>
        </w:rPr>
        <w:t xml:space="preserve">Por consiguiente, se debe determinar si el usuario cumple con las condiciones o </w:t>
      </w:r>
      <w:proofErr w:type="spellStart"/>
      <w:proofErr w:type="gramStart"/>
      <w:r>
        <w:rPr>
          <w:rFonts w:ascii="Arial" w:hAnsi="Arial" w:cs="Arial"/>
        </w:rPr>
        <w:t>sub-reglas</w:t>
      </w:r>
      <w:proofErr w:type="spellEnd"/>
      <w:proofErr w:type="gramEnd"/>
      <w:r>
        <w:rPr>
          <w:rFonts w:ascii="Arial" w:hAnsi="Arial" w:cs="Arial"/>
        </w:rPr>
        <w:t xml:space="preserve"> establecidas por la Corte Constitucional para el amparo del tratamiento integral solicitado. Lo anterior haciendo énfasis, en la inviabilidad de acceder desmesuradamente a tratamientos integrales a los accionante en proporcionalidad con el </w:t>
      </w:r>
      <w:r>
        <w:rPr>
          <w:rFonts w:ascii="Arial" w:hAnsi="Arial" w:cs="Arial"/>
          <w:b/>
        </w:rPr>
        <w:t>principio de solidaridad y el deber de financiamiento del sistema.</w:t>
      </w:r>
    </w:p>
    <w:p w14:paraId="53A5A01E" w14:textId="77777777" w:rsidR="00B30C3C" w:rsidRDefault="00B30C3C" w:rsidP="00B30C3C">
      <w:pPr>
        <w:pStyle w:val="Sinespaciado"/>
        <w:spacing w:line="276" w:lineRule="auto"/>
        <w:jc w:val="both"/>
        <w:rPr>
          <w:rFonts w:ascii="Arial" w:hAnsi="Arial" w:cs="Arial"/>
        </w:rPr>
      </w:pPr>
    </w:p>
    <w:p w14:paraId="13FC7345" w14:textId="77777777" w:rsidR="00B30C3C" w:rsidRDefault="00B30C3C" w:rsidP="00B30C3C">
      <w:pPr>
        <w:pStyle w:val="Sinespaciado"/>
        <w:spacing w:line="276" w:lineRule="auto"/>
        <w:jc w:val="both"/>
        <w:rPr>
          <w:rFonts w:ascii="Arial" w:hAnsi="Arial" w:cs="Arial"/>
        </w:rPr>
      </w:pPr>
      <w:r>
        <w:rPr>
          <w:rFonts w:ascii="Arial" w:hAnsi="Arial" w:cs="Arial"/>
        </w:rPr>
        <w:t xml:space="preserve">En ese orden de ideas, el artículo 6 de la Ley 1751 de 2015, que tiene como </w:t>
      </w:r>
      <w:proofErr w:type="gramStart"/>
      <w:r>
        <w:rPr>
          <w:rFonts w:ascii="Arial" w:hAnsi="Arial" w:cs="Arial"/>
        </w:rPr>
        <w:t>una</w:t>
      </w:r>
      <w:proofErr w:type="gramEnd"/>
      <w:r>
        <w:rPr>
          <w:rFonts w:ascii="Arial" w:hAnsi="Arial" w:cs="Arial"/>
        </w:rPr>
        <w:t xml:space="preserve"> de los eslabones del Sistema General de Seguridad Social en salud, el PRINCIPIO DE SOLIDARIDAD, en los siguientes términos:</w:t>
      </w:r>
    </w:p>
    <w:p w14:paraId="56DEE5C6" w14:textId="77777777" w:rsidR="00B30C3C" w:rsidRDefault="00B30C3C" w:rsidP="00B30C3C">
      <w:pPr>
        <w:pStyle w:val="Sinespaciado"/>
        <w:spacing w:line="276" w:lineRule="auto"/>
        <w:jc w:val="both"/>
        <w:rPr>
          <w:rFonts w:ascii="Arial" w:hAnsi="Arial" w:cs="Arial"/>
        </w:rPr>
      </w:pPr>
    </w:p>
    <w:p w14:paraId="4021B040" w14:textId="77777777" w:rsidR="00B30C3C" w:rsidRDefault="00B30C3C" w:rsidP="00B30C3C">
      <w:pPr>
        <w:pStyle w:val="Sinespaciado"/>
        <w:spacing w:line="276" w:lineRule="auto"/>
        <w:ind w:left="1418" w:right="333"/>
        <w:jc w:val="both"/>
        <w:rPr>
          <w:rFonts w:ascii="Arial" w:hAnsi="Arial" w:cs="Arial"/>
          <w:bCs/>
          <w:iCs/>
        </w:rPr>
      </w:pPr>
      <w:r>
        <w:rPr>
          <w:rFonts w:ascii="Arial" w:hAnsi="Arial" w:cs="Arial"/>
          <w:bCs/>
          <w:iCs/>
        </w:rPr>
        <w:t>“Elementos y principios del derecho fundamental a la salud. El derecho fundamental a la salud incluye los siguientes elementos esenciales e interrelacionados:</w:t>
      </w:r>
    </w:p>
    <w:p w14:paraId="6773607D" w14:textId="77777777" w:rsidR="00B30C3C" w:rsidRDefault="00B30C3C" w:rsidP="00B30C3C">
      <w:pPr>
        <w:pStyle w:val="Sinespaciado"/>
        <w:spacing w:line="276" w:lineRule="auto"/>
        <w:ind w:left="1418" w:right="333"/>
        <w:jc w:val="both"/>
        <w:rPr>
          <w:rFonts w:ascii="Arial" w:hAnsi="Arial" w:cs="Arial"/>
          <w:bCs/>
          <w:iCs/>
        </w:rPr>
      </w:pPr>
    </w:p>
    <w:p w14:paraId="50498210" w14:textId="77777777" w:rsidR="00B30C3C" w:rsidRDefault="00B30C3C" w:rsidP="00B30C3C">
      <w:pPr>
        <w:pStyle w:val="Sinespaciado"/>
        <w:spacing w:line="276" w:lineRule="auto"/>
        <w:ind w:left="1418" w:right="333"/>
        <w:jc w:val="both"/>
        <w:rPr>
          <w:rFonts w:ascii="Arial" w:hAnsi="Arial" w:cs="Arial"/>
          <w:bCs/>
          <w:iCs/>
        </w:rPr>
      </w:pPr>
      <w:r>
        <w:rPr>
          <w:rFonts w:ascii="Arial" w:hAnsi="Arial" w:cs="Arial"/>
          <w:bCs/>
          <w:iCs/>
        </w:rPr>
        <w:t xml:space="preserve">Solidaridad. </w:t>
      </w:r>
      <w:r>
        <w:rPr>
          <w:rFonts w:ascii="Arial" w:hAnsi="Arial" w:cs="Arial"/>
          <w:b/>
          <w:bCs/>
          <w:iCs/>
        </w:rPr>
        <w:t xml:space="preserve">El sistema está basado en el mutuo apoyo entre las personas, generaciones, los sectores económicos, las regiones y las comunidades” </w:t>
      </w:r>
      <w:r>
        <w:rPr>
          <w:rFonts w:ascii="Arial" w:hAnsi="Arial" w:cs="Arial"/>
          <w:bCs/>
          <w:iCs/>
        </w:rPr>
        <w:t>(negrillas fuera del texto)</w:t>
      </w:r>
    </w:p>
    <w:p w14:paraId="2F0F73CF" w14:textId="77777777" w:rsidR="00B30C3C" w:rsidRDefault="00B30C3C" w:rsidP="00B30C3C">
      <w:pPr>
        <w:pStyle w:val="Sinespaciado"/>
        <w:spacing w:line="276" w:lineRule="auto"/>
        <w:ind w:left="1418" w:right="333"/>
        <w:jc w:val="both"/>
        <w:rPr>
          <w:rFonts w:ascii="Arial" w:hAnsi="Arial" w:cs="Arial"/>
          <w:b/>
          <w:bCs/>
          <w:iCs/>
        </w:rPr>
      </w:pPr>
    </w:p>
    <w:p w14:paraId="7EDA976C" w14:textId="77777777" w:rsidR="00B30C3C" w:rsidRDefault="00B30C3C" w:rsidP="00B30C3C">
      <w:pPr>
        <w:pStyle w:val="Sinespaciado"/>
        <w:spacing w:line="276" w:lineRule="auto"/>
        <w:jc w:val="both"/>
        <w:rPr>
          <w:rFonts w:ascii="Arial" w:hAnsi="Arial" w:cs="Arial"/>
        </w:rPr>
      </w:pPr>
      <w:r>
        <w:rPr>
          <w:rFonts w:ascii="Arial" w:hAnsi="Arial" w:cs="Arial"/>
        </w:rPr>
        <w:t xml:space="preserve">Por lo tanto, el principio de solidaridad denota una obligación de colaborar con el financiamiento de la salud, como también se deja estipulado en el artículo 10 de la norma </w:t>
      </w:r>
      <w:r>
        <w:rPr>
          <w:rFonts w:ascii="Arial" w:hAnsi="Arial" w:cs="Arial"/>
          <w:i/>
        </w:rPr>
        <w:t>ibidem</w:t>
      </w:r>
      <w:r>
        <w:rPr>
          <w:rFonts w:ascii="Arial" w:hAnsi="Arial" w:cs="Arial"/>
        </w:rPr>
        <w:t>:</w:t>
      </w:r>
    </w:p>
    <w:p w14:paraId="22F01886" w14:textId="77777777" w:rsidR="00B30C3C" w:rsidRDefault="00B30C3C" w:rsidP="00B30C3C">
      <w:pPr>
        <w:pStyle w:val="Sinespaciado"/>
        <w:spacing w:line="276" w:lineRule="auto"/>
        <w:ind w:left="708" w:right="333"/>
        <w:jc w:val="both"/>
        <w:rPr>
          <w:rFonts w:ascii="Arial" w:hAnsi="Arial" w:cs="Arial"/>
          <w:bCs/>
          <w:iCs/>
        </w:rPr>
      </w:pPr>
      <w:r>
        <w:rPr>
          <w:rFonts w:ascii="Arial" w:hAnsi="Arial" w:cs="Arial"/>
          <w:b/>
          <w:bCs/>
          <w:iCs/>
        </w:rPr>
        <w:t>“</w:t>
      </w:r>
      <w:r>
        <w:rPr>
          <w:rFonts w:ascii="Arial" w:hAnsi="Arial" w:cs="Arial"/>
          <w:bCs/>
          <w:iCs/>
        </w:rPr>
        <w:t>Derechos y deberes de las personas, relacionados con la prestación del servicio de salud. Las personas tienen los siguientes derechos relacionados con la prestación del servicio de salud:</w:t>
      </w:r>
    </w:p>
    <w:p w14:paraId="6FE9A41E" w14:textId="77777777" w:rsidR="00B30C3C" w:rsidRDefault="00B30C3C" w:rsidP="00B30C3C">
      <w:pPr>
        <w:pStyle w:val="Sinespaciado"/>
        <w:spacing w:line="276" w:lineRule="auto"/>
        <w:ind w:left="1418" w:right="333"/>
        <w:jc w:val="both"/>
        <w:rPr>
          <w:rFonts w:ascii="Arial" w:hAnsi="Arial" w:cs="Arial"/>
          <w:bCs/>
          <w:iCs/>
        </w:rPr>
      </w:pPr>
      <w:r>
        <w:rPr>
          <w:rFonts w:ascii="Arial" w:hAnsi="Arial" w:cs="Arial"/>
          <w:bCs/>
          <w:iCs/>
        </w:rPr>
        <w:t>Son deberes de las personas relacionados con el servicio de salud, los siguientes:</w:t>
      </w:r>
    </w:p>
    <w:p w14:paraId="714A1220" w14:textId="77777777" w:rsidR="00B30C3C" w:rsidRDefault="00B30C3C" w:rsidP="00B30C3C">
      <w:pPr>
        <w:pStyle w:val="Sinespaciado"/>
        <w:spacing w:line="276" w:lineRule="auto"/>
        <w:ind w:left="1418" w:right="333"/>
        <w:jc w:val="both"/>
        <w:rPr>
          <w:rFonts w:ascii="Arial" w:hAnsi="Arial" w:cs="Arial"/>
          <w:bCs/>
          <w:iCs/>
        </w:rPr>
      </w:pPr>
    </w:p>
    <w:p w14:paraId="41A63FF3" w14:textId="77777777" w:rsidR="00B30C3C" w:rsidRDefault="00B30C3C" w:rsidP="00B30C3C">
      <w:pPr>
        <w:pStyle w:val="Sinespaciado"/>
        <w:spacing w:line="276" w:lineRule="auto"/>
        <w:ind w:left="1418" w:right="333"/>
        <w:jc w:val="both"/>
        <w:rPr>
          <w:rFonts w:ascii="Arial" w:hAnsi="Arial" w:cs="Arial"/>
          <w:b/>
          <w:bCs/>
          <w:iCs/>
        </w:rPr>
      </w:pPr>
      <w:r>
        <w:rPr>
          <w:rFonts w:ascii="Arial" w:hAnsi="Arial" w:cs="Arial"/>
          <w:bCs/>
          <w:iCs/>
        </w:rPr>
        <w:t>i) Contribuir solidariamente al financiamiento de los gastos que demande la atención en salud y la seguridad social en salud, de acuerdo con su capacidad de pago.</w:t>
      </w:r>
      <w:r>
        <w:rPr>
          <w:rFonts w:ascii="Arial" w:hAnsi="Arial" w:cs="Arial"/>
          <w:b/>
          <w:bCs/>
          <w:iCs/>
        </w:rPr>
        <w:t>”</w:t>
      </w:r>
    </w:p>
    <w:p w14:paraId="21F01D87" w14:textId="77777777" w:rsidR="00B30C3C" w:rsidRDefault="00B30C3C" w:rsidP="00B30C3C">
      <w:pPr>
        <w:pStyle w:val="Sinespaciado"/>
        <w:spacing w:line="276" w:lineRule="auto"/>
        <w:ind w:left="1418" w:right="333"/>
        <w:jc w:val="both"/>
        <w:rPr>
          <w:rFonts w:ascii="Arial" w:hAnsi="Arial" w:cs="Arial"/>
          <w:b/>
          <w:bCs/>
          <w:iCs/>
        </w:rPr>
      </w:pPr>
    </w:p>
    <w:p w14:paraId="13A98C21" w14:textId="77777777" w:rsidR="00B30C3C" w:rsidRDefault="00B30C3C" w:rsidP="00B30C3C">
      <w:pPr>
        <w:rPr>
          <w:rFonts w:ascii="Arial" w:hAnsi="Arial" w:cs="Arial"/>
        </w:rPr>
      </w:pPr>
      <w:r>
        <w:rPr>
          <w:rFonts w:ascii="Arial" w:eastAsia="Times New Roman" w:hAnsi="Arial" w:cs="Arial"/>
          <w:color w:val="2D2D2D"/>
          <w:bdr w:val="none" w:sz="0" w:space="0" w:color="auto" w:frame="1"/>
          <w:lang w:val="es-ES"/>
        </w:rPr>
        <w:t xml:space="preserve">Así las cosas, es claro que </w:t>
      </w:r>
      <w:r>
        <w:rPr>
          <w:rFonts w:ascii="Arial" w:hAnsi="Arial" w:cs="Arial"/>
          <w:b/>
        </w:rPr>
        <w:t>el fallo de tutela no puede ir más allá de la amenaza o vulneración actual e inminente de los derechos y protegerlos a futuro</w:t>
      </w:r>
      <w:r>
        <w:rPr>
          <w:rFonts w:ascii="Arial" w:hAnsi="Arial" w:cs="Arial"/>
        </w:rPr>
        <w:t>, pues con ello se desbordaría su alcance y además una condena en estos términos incurre en el error de obligar por prestaciones que aún no existen puesto que la obligación de un servicio de la EPS solo inicia una vez la dolencia en salud ocurre y por ello un fallo concreto no genera violación de derecho fundamental alguno.</w:t>
      </w:r>
    </w:p>
    <w:p w14:paraId="6A71776C" w14:textId="77777777" w:rsidR="00B30C3C" w:rsidRDefault="00B30C3C" w:rsidP="00B30C3C">
      <w:pPr>
        <w:pStyle w:val="Default"/>
        <w:spacing w:line="276" w:lineRule="auto"/>
        <w:jc w:val="both"/>
        <w:rPr>
          <w:rFonts w:ascii="Arial" w:hAnsi="Arial" w:cs="Arial"/>
          <w:color w:val="auto"/>
          <w:sz w:val="22"/>
          <w:szCs w:val="22"/>
        </w:rPr>
      </w:pPr>
    </w:p>
    <w:p w14:paraId="1DFF553C" w14:textId="77777777" w:rsidR="00B30C3C" w:rsidRDefault="00B30C3C" w:rsidP="00B30C3C">
      <w:pPr>
        <w:pStyle w:val="Default"/>
        <w:spacing w:line="276" w:lineRule="auto"/>
        <w:jc w:val="both"/>
        <w:rPr>
          <w:rFonts w:ascii="Arial" w:hAnsi="Arial" w:cs="Arial"/>
          <w:snapToGrid w:val="0"/>
        </w:rPr>
      </w:pPr>
      <w:r>
        <w:rPr>
          <w:rFonts w:ascii="Arial" w:hAnsi="Arial" w:cs="Arial"/>
          <w:color w:val="auto"/>
          <w:sz w:val="22"/>
          <w:szCs w:val="22"/>
        </w:rPr>
        <w:t xml:space="preserve">Ha de precisarse que, </w:t>
      </w:r>
      <w:r>
        <w:rPr>
          <w:rFonts w:ascii="Arial" w:hAnsi="Arial" w:cs="Arial"/>
          <w:b/>
          <w:color w:val="auto"/>
          <w:sz w:val="22"/>
          <w:szCs w:val="22"/>
        </w:rPr>
        <w:t>no resulta procedente tutelar hechos futuros e inciertos,</w:t>
      </w:r>
      <w:r>
        <w:rPr>
          <w:rFonts w:ascii="Arial" w:hAnsi="Arial" w:cs="Arial"/>
          <w:color w:val="auto"/>
          <w:sz w:val="22"/>
          <w:szCs w:val="22"/>
        </w:rPr>
        <w:t xml:space="preserve"> anticipándonos de esta manera a intuir el incumplimiento de las funciones legales y estatutarias de la accionada, </w:t>
      </w:r>
      <w:r>
        <w:rPr>
          <w:rFonts w:ascii="Arial" w:hAnsi="Arial" w:cs="Arial"/>
          <w:b/>
          <w:color w:val="auto"/>
          <w:sz w:val="22"/>
          <w:szCs w:val="22"/>
        </w:rPr>
        <w:t>lo que equivale a presumir la MALA FE en la prestación de los servicios que llegase a requerir el paciente</w:t>
      </w:r>
      <w:r>
        <w:rPr>
          <w:rFonts w:ascii="Arial" w:hAnsi="Arial" w:cs="Arial"/>
          <w:color w:val="auto"/>
          <w:sz w:val="22"/>
          <w:szCs w:val="22"/>
        </w:rPr>
        <w:t xml:space="preserve">, situación atentatoria del principio de la buena fe, que bien lo consagra la Constitución. Así, </w:t>
      </w:r>
      <w:r>
        <w:rPr>
          <w:rFonts w:ascii="Arial" w:hAnsi="Arial" w:cs="Arial"/>
          <w:b/>
          <w:color w:val="auto"/>
          <w:sz w:val="22"/>
          <w:szCs w:val="22"/>
        </w:rPr>
        <w:t>la</w:t>
      </w:r>
      <w:r>
        <w:rPr>
          <w:rFonts w:ascii="Arial" w:hAnsi="Arial" w:cs="Arial"/>
          <w:b/>
        </w:rPr>
        <w:t xml:space="preserve"> vulneración o amenaza debe ser ACTUAL E INMINENTE,</w:t>
      </w:r>
      <w:r>
        <w:rPr>
          <w:rFonts w:ascii="Arial" w:hAnsi="Arial" w:cs="Arial"/>
        </w:rPr>
        <w:t xml:space="preserve"> es decir que en el momento que el fallador toma la decisión de proteger el derecho fundamental, debe existir la acción u omisión para que se produzca una orden judicial que ponga fin a la vulneración o amenaza. </w:t>
      </w:r>
      <w:r>
        <w:rPr>
          <w:rFonts w:ascii="Arial" w:hAnsi="Arial" w:cs="Arial"/>
          <w:snapToGrid w:val="0"/>
        </w:rPr>
        <w:t xml:space="preserve">Para el caso de referencia, no se ha vulnerado los derechos fundamentales del afiliado, razón por la cual </w:t>
      </w:r>
      <w:r>
        <w:rPr>
          <w:rFonts w:ascii="Arial" w:hAnsi="Arial" w:cs="Arial"/>
          <w:b/>
          <w:snapToGrid w:val="0"/>
        </w:rPr>
        <w:t xml:space="preserve">no se puede amparar un suceso </w:t>
      </w:r>
      <w:r>
        <w:rPr>
          <w:rFonts w:ascii="Arial" w:hAnsi="Arial" w:cs="Arial"/>
          <w:b/>
          <w:snapToGrid w:val="0"/>
          <w:u w:val="single"/>
        </w:rPr>
        <w:t>futuro e incierto</w:t>
      </w:r>
      <w:r>
        <w:rPr>
          <w:rFonts w:ascii="Arial" w:hAnsi="Arial" w:cs="Arial"/>
          <w:b/>
          <w:snapToGrid w:val="0"/>
        </w:rPr>
        <w:t>.</w:t>
      </w:r>
      <w:r>
        <w:rPr>
          <w:rFonts w:ascii="Arial" w:hAnsi="Arial" w:cs="Arial"/>
          <w:snapToGrid w:val="0"/>
        </w:rPr>
        <w:t xml:space="preserve"> </w:t>
      </w:r>
    </w:p>
    <w:p w14:paraId="6775A0F5" w14:textId="77777777" w:rsidR="00B30C3C" w:rsidRDefault="00B30C3C" w:rsidP="00B30C3C">
      <w:pPr>
        <w:rPr>
          <w:rFonts w:ascii="Arial" w:hAnsi="Arial" w:cs="Arial"/>
          <w:color w:val="000000" w:themeColor="text1"/>
          <w:shd w:val="clear" w:color="auto" w:fill="FFFFFF"/>
        </w:rPr>
      </w:pPr>
    </w:p>
    <w:p w14:paraId="26ACBFC1" w14:textId="77777777" w:rsidR="00B30C3C" w:rsidRDefault="00B30C3C" w:rsidP="00B30C3C">
      <w:pPr>
        <w:rPr>
          <w:rFonts w:ascii="Arial" w:hAnsi="Arial" w:cs="Arial"/>
          <w:color w:val="000000" w:themeColor="text1"/>
          <w:shd w:val="clear" w:color="auto" w:fill="FFFFFF"/>
        </w:rPr>
      </w:pPr>
      <w:r>
        <w:rPr>
          <w:rFonts w:ascii="Arial" w:hAnsi="Arial" w:cs="Arial"/>
          <w:color w:val="000000" w:themeColor="text1"/>
          <w:shd w:val="clear" w:color="auto" w:fill="FFFFFF"/>
        </w:rPr>
        <w:t xml:space="preserve">Por otra parte, NUEVA EPS ha garantizado desde la fecha de la afiliación del usuario, todas las prestaciones asistenciales que ha requerido para el tratamiento de su patología, razón por la cual es totalmente improcedente ordenar el “Tratamiento Integral”, situación injustificada </w:t>
      </w:r>
      <w:proofErr w:type="gramStart"/>
      <w:r>
        <w:rPr>
          <w:rFonts w:ascii="Arial" w:hAnsi="Arial" w:cs="Arial"/>
          <w:color w:val="000000" w:themeColor="text1"/>
          <w:shd w:val="clear" w:color="auto" w:fill="FFFFFF"/>
        </w:rPr>
        <w:t>en razón de</w:t>
      </w:r>
      <w:proofErr w:type="gramEnd"/>
      <w:r>
        <w:rPr>
          <w:rFonts w:ascii="Arial" w:hAnsi="Arial" w:cs="Arial"/>
          <w:color w:val="000000" w:themeColor="text1"/>
          <w:shd w:val="clear" w:color="auto" w:fill="FFFFFF"/>
        </w:rPr>
        <w:t xml:space="preserve"> la jurisprudencia de la Corte Constitucional, por cuanto no ha sido un derecho vulnerado, sino por el contrario garantizado por la entidad accionada. </w:t>
      </w:r>
    </w:p>
    <w:p w14:paraId="4C452668" w14:textId="77777777" w:rsidR="00B30C3C" w:rsidRDefault="00B30C3C" w:rsidP="00B30C3C">
      <w:pPr>
        <w:rPr>
          <w:rFonts w:ascii="Arial" w:hAnsi="Arial" w:cs="Arial"/>
          <w:b/>
          <w:snapToGrid w:val="0"/>
          <w:color w:val="000000" w:themeColor="text1"/>
        </w:rPr>
      </w:pPr>
    </w:p>
    <w:p w14:paraId="13DF2EB6" w14:textId="77777777" w:rsidR="00B30C3C" w:rsidRDefault="00B30C3C" w:rsidP="00B30C3C">
      <w:pPr>
        <w:ind w:left="360"/>
        <w:rPr>
          <w:rFonts w:ascii="Arial" w:hAnsi="Arial" w:cs="Arial"/>
          <w:color w:val="000000" w:themeColor="text1"/>
          <w:shd w:val="clear" w:color="auto" w:fill="FFFFFF"/>
        </w:rPr>
      </w:pPr>
      <w:r>
        <w:rPr>
          <w:rFonts w:ascii="Arial" w:hAnsi="Arial" w:cs="Arial"/>
          <w:color w:val="000000" w:themeColor="text1"/>
          <w:shd w:val="clear" w:color="auto" w:fill="FFFFFF"/>
        </w:rPr>
        <w:t xml:space="preserve">Por lo expuesto, se indica que de proceder el Tratamiento Integral requerido debe ser individualizado por cada patología padecida en cuanto a los tratamientos, los medicamentos incluyendo sus cantidades, así como su vigencia (Decreto 2200 de 2005); </w:t>
      </w:r>
      <w:r>
        <w:rPr>
          <w:rFonts w:ascii="Arial" w:hAnsi="Arial" w:cs="Arial"/>
          <w:b/>
          <w:color w:val="000000" w:themeColor="text1"/>
          <w:shd w:val="clear" w:color="auto" w:fill="FFFFFF"/>
        </w:rPr>
        <w:t>siendo entonces necesario que el Juez, lo especifique, previo estudio médico, por ser competencia exclusiva del galeno</w:t>
      </w:r>
      <w:r>
        <w:rPr>
          <w:rFonts w:ascii="Arial" w:hAnsi="Arial" w:cs="Arial"/>
          <w:color w:val="000000" w:themeColor="text1"/>
          <w:shd w:val="clear" w:color="auto" w:fill="FFFFFF"/>
        </w:rPr>
        <w:t>. Es por lo expuesto INVIABLE ordenar un tratamiento integral.</w:t>
      </w:r>
    </w:p>
    <w:p w14:paraId="740FC82B" w14:textId="77777777" w:rsidR="00B30C3C" w:rsidRDefault="00B30C3C" w:rsidP="00B30C3C">
      <w:pPr>
        <w:rPr>
          <w:rFonts w:ascii="Arial" w:hAnsi="Arial" w:cs="Arial"/>
          <w:color w:val="000000" w:themeColor="text1"/>
          <w:shd w:val="clear" w:color="auto" w:fill="FFFFFF"/>
        </w:rPr>
      </w:pPr>
    </w:p>
    <w:p w14:paraId="1C7F0179" w14:textId="77777777" w:rsidR="00B30C3C" w:rsidRDefault="00B30C3C" w:rsidP="00B30C3C">
      <w:pPr>
        <w:pStyle w:val="Prrafodelista"/>
        <w:numPr>
          <w:ilvl w:val="0"/>
          <w:numId w:val="20"/>
        </w:numPr>
        <w:spacing w:line="276" w:lineRule="auto"/>
        <w:rPr>
          <w:rFonts w:ascii="Arial" w:hAnsi="Arial" w:cs="Arial"/>
          <w:b/>
        </w:rPr>
      </w:pPr>
      <w:r>
        <w:rPr>
          <w:rFonts w:ascii="Arial" w:hAnsi="Arial" w:cs="Arial"/>
          <w:b/>
        </w:rPr>
        <w:t>EL PRINCIPIO DE SOLIDARIDAD APLICADO A LA SEGURIDAD SOCIAL EN SALUD.</w:t>
      </w:r>
    </w:p>
    <w:p w14:paraId="4F684F81" w14:textId="77777777" w:rsidR="00B30C3C" w:rsidRDefault="00B30C3C" w:rsidP="00B30C3C">
      <w:pPr>
        <w:rPr>
          <w:rFonts w:ascii="Arial" w:hAnsi="Arial" w:cs="Arial"/>
          <w:b/>
        </w:rPr>
      </w:pPr>
    </w:p>
    <w:p w14:paraId="6FBEEBD1" w14:textId="77777777" w:rsidR="00B30C3C" w:rsidRDefault="00B30C3C" w:rsidP="00B30C3C">
      <w:pPr>
        <w:rPr>
          <w:rFonts w:ascii="Arial" w:hAnsi="Arial" w:cs="Arial"/>
        </w:rPr>
      </w:pPr>
      <w:r>
        <w:rPr>
          <w:rFonts w:ascii="Arial" w:hAnsi="Arial" w:cs="Arial"/>
        </w:rPr>
        <w:t>La solidaridad es una característica propia de la asociación y la vida en comunidad. En nuestro país, el cual como es sabido, se define como un Estado Social de Derecho, la solidaridad encarna un principio fundamental y orientador de las actividades de los asociados, y que tiene como eje fundamental la familia.</w:t>
      </w:r>
    </w:p>
    <w:p w14:paraId="0A69969B" w14:textId="77777777" w:rsidR="00B30C3C" w:rsidRDefault="00B30C3C" w:rsidP="00B30C3C">
      <w:pPr>
        <w:rPr>
          <w:rFonts w:ascii="Arial" w:hAnsi="Arial" w:cs="Arial"/>
        </w:rPr>
      </w:pPr>
    </w:p>
    <w:p w14:paraId="0FC37E85" w14:textId="77777777" w:rsidR="00B30C3C" w:rsidRDefault="00B30C3C" w:rsidP="00B30C3C">
      <w:pPr>
        <w:rPr>
          <w:rFonts w:ascii="Arial" w:hAnsi="Arial" w:cs="Arial"/>
        </w:rPr>
      </w:pPr>
      <w:r>
        <w:rPr>
          <w:rFonts w:ascii="Arial" w:hAnsi="Arial" w:cs="Arial"/>
        </w:rPr>
        <w:t xml:space="preserve">Es por lo anterior </w:t>
      </w:r>
      <w:proofErr w:type="gramStart"/>
      <w:r>
        <w:rPr>
          <w:rFonts w:ascii="Arial" w:hAnsi="Arial" w:cs="Arial"/>
        </w:rPr>
        <w:t>que</w:t>
      </w:r>
      <w:proofErr w:type="gramEnd"/>
      <w:r>
        <w:rPr>
          <w:rFonts w:ascii="Arial" w:hAnsi="Arial" w:cs="Arial"/>
        </w:rPr>
        <w:t xml:space="preserve"> en el artículo primero de la Constitución Política de 1991, se introdujo de un lado el concepto de Estado Social de Derecho y junto a este el principio de solidaridad, como pilar preponderante en el cual este se soporta.</w:t>
      </w:r>
      <w:r>
        <w:rPr>
          <w:rStyle w:val="Refdenotaalpie"/>
          <w:rFonts w:ascii="Arial" w:hAnsi="Arial" w:cs="Arial"/>
        </w:rPr>
        <w:footnoteReference w:id="1"/>
      </w:r>
    </w:p>
    <w:p w14:paraId="59D96F5C" w14:textId="77777777" w:rsidR="00B30C3C" w:rsidRDefault="00B30C3C" w:rsidP="00B30C3C">
      <w:pPr>
        <w:keepNext/>
        <w:ind w:left="851" w:right="618"/>
        <w:outlineLvl w:val="1"/>
        <w:rPr>
          <w:rFonts w:ascii="Arial" w:hAnsi="Arial" w:cs="Arial"/>
        </w:rPr>
      </w:pPr>
    </w:p>
    <w:p w14:paraId="0591FB5C" w14:textId="77777777" w:rsidR="00B30C3C" w:rsidRDefault="00B30C3C" w:rsidP="00B30C3C">
      <w:pPr>
        <w:rPr>
          <w:rFonts w:ascii="Arial" w:hAnsi="Arial" w:cs="Arial"/>
          <w:b/>
        </w:rPr>
      </w:pPr>
      <w:r>
        <w:rPr>
          <w:rFonts w:ascii="Arial" w:hAnsi="Arial" w:cs="Arial"/>
          <w:b/>
        </w:rPr>
        <w:t>Para la Corte ha sido claro, en los múltiples pronunciamientos sobre este tema, que la solidaridad se extiende incluso a los parientes cercanos de los afiliados, por tanto, el análisis que sobre la capacidad económica se haga y el trabajo probatorio en el marco de las acciones de tutela, deberá incluir la verificación de las condiciones económicas también de los parientes del afiliado, no solo circunscribirse a este último.</w:t>
      </w:r>
    </w:p>
    <w:p w14:paraId="4C64B138" w14:textId="77777777" w:rsidR="00B30C3C" w:rsidRDefault="00B30C3C" w:rsidP="00B30C3C">
      <w:pPr>
        <w:keepNext/>
        <w:ind w:left="851" w:right="618"/>
        <w:outlineLvl w:val="1"/>
        <w:rPr>
          <w:rFonts w:ascii="Arial" w:hAnsi="Arial" w:cs="Arial"/>
        </w:rPr>
      </w:pPr>
    </w:p>
    <w:p w14:paraId="4DEF7F0B" w14:textId="77777777" w:rsidR="00B30C3C" w:rsidRDefault="00B30C3C" w:rsidP="00B30C3C">
      <w:pPr>
        <w:rPr>
          <w:rFonts w:ascii="Arial" w:hAnsi="Arial" w:cs="Arial"/>
        </w:rPr>
      </w:pPr>
      <w:r>
        <w:rPr>
          <w:rFonts w:ascii="Arial" w:hAnsi="Arial" w:cs="Arial"/>
        </w:rPr>
        <w:t>Ahora, bajo la perspectiva de que los recursos del Sistema General de Seguridad Social en Salud son limitados y por lo general escasos frente a las necesidades que enmarca el servicio de salud, es que resulta necesario invertirlos de la mejor manera posible. En este sentido, cubrir la prestación de servicios de salud NO-PBS prescritos por el médico tratante, frente a afiliados que no poseen la capacidad económica de asumir estos gastos, y que tampoco sus familiares más cercanos se encuentran en la capacidad de hacerlo, es una de las situaciones en las cuales subsidiariamente el Estado puede entrar a cubrir esta necesidad.</w:t>
      </w:r>
    </w:p>
    <w:p w14:paraId="77E9B0B2" w14:textId="77777777" w:rsidR="00B30C3C" w:rsidRDefault="00B30C3C" w:rsidP="00B30C3C">
      <w:pPr>
        <w:rPr>
          <w:rFonts w:ascii="Arial" w:hAnsi="Arial" w:cs="Arial"/>
        </w:rPr>
      </w:pPr>
    </w:p>
    <w:p w14:paraId="5B2C857D" w14:textId="77777777" w:rsidR="00B30C3C" w:rsidRDefault="00B30C3C" w:rsidP="00B30C3C">
      <w:pPr>
        <w:rPr>
          <w:rFonts w:ascii="Arial" w:hAnsi="Arial" w:cs="Arial"/>
        </w:rPr>
      </w:pPr>
      <w:r>
        <w:rPr>
          <w:rFonts w:ascii="Arial" w:hAnsi="Arial" w:cs="Arial"/>
        </w:rPr>
        <w:t xml:space="preserve">No obstante, la jurisprudencia constitucional ha reiterado que debe agotarse la posibilidad primaria de que sea el afiliado o sus familiares cercanos quienes cubren los gastos económicos derivados del servicio de salud de tecnologías de salud NO-PBS de ellos mismos o de sus parientes, en desarrollo del principio de solidaridad, en los términos planteado en la Sentencia T-795 de 2010. Lo anterior busca que quienes tengan capacidad de pago, contribuyan al mantenimiento del equilibrio económico del Sistema, al sufragar este tipo de gastos, y liberando de tal </w:t>
      </w:r>
      <w:r>
        <w:rPr>
          <w:rFonts w:ascii="Arial" w:hAnsi="Arial" w:cs="Arial"/>
        </w:rPr>
        <w:lastRenderedPageBreak/>
        <w:t>responsabilidad al Estado, lo cual (estimó la Corte en aquella oportunidad) limita la posibilidad de ampliar la cobertura de los servicios de salud en todo el territorio nacional.</w:t>
      </w:r>
      <w:r>
        <w:rPr>
          <w:rStyle w:val="Refdenotaalpie"/>
          <w:rFonts w:ascii="Arial" w:hAnsi="Arial" w:cs="Arial"/>
        </w:rPr>
        <w:footnoteReference w:id="2"/>
      </w:r>
    </w:p>
    <w:p w14:paraId="5609EABE" w14:textId="77777777" w:rsidR="00B30C3C" w:rsidRDefault="00B30C3C" w:rsidP="00B30C3C">
      <w:pPr>
        <w:rPr>
          <w:rFonts w:ascii="Arial" w:hAnsi="Arial" w:cs="Arial"/>
        </w:rPr>
      </w:pPr>
    </w:p>
    <w:p w14:paraId="557F6F29" w14:textId="77777777" w:rsidR="00B30C3C" w:rsidRDefault="00B30C3C" w:rsidP="00B30C3C">
      <w:pPr>
        <w:rPr>
          <w:rFonts w:ascii="Arial" w:hAnsi="Arial" w:cs="Arial"/>
        </w:rPr>
      </w:pPr>
      <w:r>
        <w:rPr>
          <w:rFonts w:ascii="Arial" w:hAnsi="Arial" w:cs="Arial"/>
        </w:rPr>
        <w:t>Lo anterior nos lleva a la afirmación según la cual el afiliado y sus familiares cercanos son los primeros en ser llamados a asumir este tipo de gastos. Ahora, el Estado concurre ante la incapacidad de pago de los dos primeros. En este sentido, después del propio afiliado, su familia es la primera obligada económica, moral y afectivamente para con este, y si no es posible tal apoyo económico, el cual deberá estar comprobado, será el Estado el que concurra a brindar la protección.</w:t>
      </w:r>
      <w:r>
        <w:rPr>
          <w:rStyle w:val="Refdenotaalpie"/>
          <w:rFonts w:ascii="Arial" w:hAnsi="Arial" w:cs="Arial"/>
        </w:rPr>
        <w:footnoteReference w:id="3"/>
      </w:r>
    </w:p>
    <w:p w14:paraId="14D86691" w14:textId="77777777" w:rsidR="00B30C3C" w:rsidRDefault="00B30C3C" w:rsidP="00B30C3C">
      <w:pPr>
        <w:rPr>
          <w:rFonts w:ascii="Arial" w:hAnsi="Arial" w:cs="Arial"/>
        </w:rPr>
      </w:pPr>
    </w:p>
    <w:p w14:paraId="4CE38704" w14:textId="77777777" w:rsidR="00B30C3C" w:rsidRDefault="00B30C3C" w:rsidP="00B30C3C">
      <w:pPr>
        <w:rPr>
          <w:rFonts w:ascii="Arial" w:hAnsi="Arial" w:cs="Arial"/>
        </w:rPr>
      </w:pPr>
      <w:r>
        <w:rPr>
          <w:rFonts w:ascii="Arial" w:hAnsi="Arial" w:cs="Arial"/>
        </w:rPr>
        <w:t xml:space="preserve">Con esto, se da por sentado que el principio de solidaridad es </w:t>
      </w:r>
      <w:proofErr w:type="gramStart"/>
      <w:r>
        <w:rPr>
          <w:rFonts w:ascii="Arial" w:hAnsi="Arial" w:cs="Arial"/>
        </w:rPr>
        <w:t>el primer referente a ser tenido</w:t>
      </w:r>
      <w:proofErr w:type="gramEnd"/>
      <w:r>
        <w:rPr>
          <w:rFonts w:ascii="Arial" w:hAnsi="Arial" w:cs="Arial"/>
        </w:rPr>
        <w:t xml:space="preserve"> en cuenta cuando en el marco de las acciones de tutela, los accionantes reclaman la prestación de un servicio NO-PBS, pues solo de manera subsidiaria ante la imposibilidad de que el propio afiliado o sus familiares cercanos puedan sufragar estos gastos el Estado concurre. De no cumplirse esta primera condición, y de no resultar probada la ausencia de capacidad económica en el trámite de la acción de tutela, serán el afiliado y su familia los encargados de asumir los costos y cuidado de su pariente necesitado.</w:t>
      </w:r>
    </w:p>
    <w:p w14:paraId="507A1466" w14:textId="77777777" w:rsidR="00177266" w:rsidRDefault="00177266" w:rsidP="00D053F3">
      <w:pPr>
        <w:rPr>
          <w:rFonts w:ascii="Arial" w:hAnsi="Arial" w:cs="Arial"/>
          <w:b/>
        </w:rPr>
      </w:pPr>
    </w:p>
    <w:p w14:paraId="4276E76B" w14:textId="77777777" w:rsidR="003E7026" w:rsidRPr="00786386" w:rsidRDefault="003E7026" w:rsidP="00EE587F">
      <w:pPr>
        <w:pStyle w:val="Prrafodelista"/>
        <w:numPr>
          <w:ilvl w:val="0"/>
          <w:numId w:val="2"/>
        </w:numPr>
        <w:tabs>
          <w:tab w:val="left" w:pos="2977"/>
        </w:tabs>
        <w:jc w:val="center"/>
        <w:rPr>
          <w:rFonts w:ascii="Arial" w:hAnsi="Arial" w:cs="Arial"/>
          <w:b/>
          <w:sz w:val="22"/>
        </w:rPr>
      </w:pPr>
      <w:r w:rsidRPr="00786386">
        <w:rPr>
          <w:rFonts w:ascii="Arial" w:hAnsi="Arial" w:cs="Arial"/>
          <w:b/>
          <w:sz w:val="22"/>
        </w:rPr>
        <w:t>PETICIONES</w:t>
      </w:r>
    </w:p>
    <w:p w14:paraId="6698D4D4" w14:textId="77777777" w:rsidR="00E637B4" w:rsidRPr="00E30418" w:rsidRDefault="00E637B4" w:rsidP="003E7026">
      <w:pPr>
        <w:tabs>
          <w:tab w:val="left" w:pos="2977"/>
        </w:tabs>
        <w:jc w:val="center"/>
        <w:rPr>
          <w:rFonts w:ascii="Arial" w:hAnsi="Arial" w:cs="Arial"/>
          <w:b/>
          <w:sz w:val="22"/>
        </w:rPr>
      </w:pPr>
    </w:p>
    <w:p w14:paraId="1029A482" w14:textId="77777777" w:rsidR="003E7026" w:rsidRPr="00E30418" w:rsidRDefault="003E7026" w:rsidP="003E7026">
      <w:pPr>
        <w:tabs>
          <w:tab w:val="left" w:pos="2977"/>
        </w:tabs>
        <w:spacing w:line="276" w:lineRule="auto"/>
        <w:rPr>
          <w:rFonts w:ascii="Arial" w:hAnsi="Arial" w:cs="Arial"/>
          <w:sz w:val="22"/>
        </w:rPr>
      </w:pPr>
      <w:r w:rsidRPr="00E30418">
        <w:rPr>
          <w:rFonts w:ascii="Arial" w:hAnsi="Arial" w:cs="Arial"/>
          <w:sz w:val="22"/>
        </w:rPr>
        <w:t xml:space="preserve">En mérito de lo anteriormente expuesto, respetuosamente hago las siguientes peticiones:  </w:t>
      </w:r>
    </w:p>
    <w:p w14:paraId="2898BA63" w14:textId="5D26C1E0" w:rsidR="00E637B4" w:rsidRDefault="00E637B4" w:rsidP="003E7026">
      <w:pPr>
        <w:tabs>
          <w:tab w:val="left" w:pos="2977"/>
        </w:tabs>
        <w:spacing w:line="276" w:lineRule="auto"/>
        <w:rPr>
          <w:rFonts w:ascii="Arial" w:hAnsi="Arial" w:cs="Arial"/>
          <w:b/>
          <w:sz w:val="22"/>
        </w:rPr>
      </w:pPr>
    </w:p>
    <w:p w14:paraId="32E89A33" w14:textId="6E835CC9" w:rsidR="007D79B9" w:rsidRDefault="007D79B9" w:rsidP="007D79B9">
      <w:pPr>
        <w:pStyle w:val="Prrafodelista"/>
        <w:numPr>
          <w:ilvl w:val="0"/>
          <w:numId w:val="13"/>
        </w:numPr>
        <w:tabs>
          <w:tab w:val="left" w:pos="2977"/>
        </w:tabs>
        <w:spacing w:line="276" w:lineRule="auto"/>
        <w:rPr>
          <w:rFonts w:ascii="Arial" w:hAnsi="Arial" w:cs="Arial"/>
          <w:b/>
          <w:sz w:val="22"/>
        </w:rPr>
      </w:pPr>
      <w:r>
        <w:rPr>
          <w:rFonts w:ascii="Arial" w:hAnsi="Arial" w:cs="Arial"/>
          <w:b/>
          <w:sz w:val="22"/>
        </w:rPr>
        <w:t xml:space="preserve">PRINCIPALES </w:t>
      </w:r>
    </w:p>
    <w:p w14:paraId="408B8BD2" w14:textId="77777777" w:rsidR="007D79B9" w:rsidRPr="007D79B9" w:rsidRDefault="007D79B9" w:rsidP="007D79B9">
      <w:pPr>
        <w:tabs>
          <w:tab w:val="left" w:pos="2977"/>
        </w:tabs>
        <w:spacing w:line="276" w:lineRule="auto"/>
        <w:rPr>
          <w:rFonts w:ascii="Arial" w:hAnsi="Arial" w:cs="Arial"/>
          <w:b/>
          <w:sz w:val="22"/>
        </w:rPr>
      </w:pPr>
    </w:p>
    <w:p w14:paraId="5FCE0560" w14:textId="7400BB12" w:rsidR="007D79B9" w:rsidRDefault="007D79B9" w:rsidP="007D79B9">
      <w:pPr>
        <w:tabs>
          <w:tab w:val="left" w:pos="2977"/>
        </w:tabs>
        <w:spacing w:line="276" w:lineRule="auto"/>
        <w:rPr>
          <w:rFonts w:ascii="Arial" w:hAnsi="Arial" w:cs="Arial"/>
          <w:bCs/>
          <w:sz w:val="22"/>
        </w:rPr>
      </w:pPr>
      <w:r>
        <w:rPr>
          <w:rFonts w:ascii="Arial" w:hAnsi="Arial" w:cs="Arial"/>
          <w:b/>
          <w:sz w:val="22"/>
        </w:rPr>
        <w:t xml:space="preserve">PRIMERA: </w:t>
      </w:r>
      <w:r>
        <w:rPr>
          <w:rFonts w:ascii="Arial" w:hAnsi="Arial" w:cs="Arial"/>
          <w:bCs/>
          <w:sz w:val="22"/>
        </w:rPr>
        <w:t xml:space="preserve">por las razones expuestas se </w:t>
      </w:r>
      <w:r w:rsidR="00FA053E">
        <w:rPr>
          <w:rFonts w:ascii="Arial" w:hAnsi="Arial" w:cs="Arial"/>
          <w:bCs/>
          <w:sz w:val="22"/>
        </w:rPr>
        <w:t>revoquen las ordenes dadas por Juzgado relacionadas con elementos que no están incluidos dentro del Plan de Beneficios</w:t>
      </w:r>
      <w:r w:rsidR="00B30C3C">
        <w:rPr>
          <w:rFonts w:ascii="Arial" w:hAnsi="Arial" w:cs="Arial"/>
          <w:bCs/>
          <w:sz w:val="22"/>
        </w:rPr>
        <w:t xml:space="preserve"> y tratamiento integral</w:t>
      </w:r>
      <w:r w:rsidR="00FA053E">
        <w:rPr>
          <w:rFonts w:ascii="Arial" w:hAnsi="Arial" w:cs="Arial"/>
          <w:bCs/>
          <w:sz w:val="22"/>
        </w:rPr>
        <w:t xml:space="preserve">. </w:t>
      </w:r>
    </w:p>
    <w:p w14:paraId="7DB11714" w14:textId="77777777" w:rsidR="007D79B9" w:rsidRDefault="007D79B9" w:rsidP="007D79B9">
      <w:pPr>
        <w:tabs>
          <w:tab w:val="left" w:pos="2977"/>
        </w:tabs>
        <w:spacing w:line="276" w:lineRule="auto"/>
        <w:rPr>
          <w:rFonts w:ascii="Arial" w:hAnsi="Arial" w:cs="Arial"/>
          <w:sz w:val="22"/>
        </w:rPr>
      </w:pPr>
    </w:p>
    <w:p w14:paraId="0DCF46FD" w14:textId="77777777" w:rsidR="007D79B9" w:rsidRDefault="007D79B9" w:rsidP="007D79B9">
      <w:pPr>
        <w:pStyle w:val="Prrafodelista"/>
        <w:numPr>
          <w:ilvl w:val="0"/>
          <w:numId w:val="13"/>
        </w:numPr>
        <w:tabs>
          <w:tab w:val="left" w:pos="2977"/>
        </w:tabs>
        <w:spacing w:line="276" w:lineRule="auto"/>
        <w:rPr>
          <w:rFonts w:ascii="Arial" w:hAnsi="Arial" w:cs="Arial"/>
          <w:sz w:val="22"/>
        </w:rPr>
      </w:pPr>
      <w:r>
        <w:rPr>
          <w:rFonts w:ascii="Arial" w:hAnsi="Arial" w:cs="Arial"/>
          <w:b/>
          <w:sz w:val="22"/>
        </w:rPr>
        <w:t xml:space="preserve">SUBSIDIARIAS </w:t>
      </w:r>
    </w:p>
    <w:p w14:paraId="63E320F7" w14:textId="77777777" w:rsidR="007D79B9" w:rsidRDefault="007D79B9" w:rsidP="007D79B9">
      <w:pPr>
        <w:pStyle w:val="Default"/>
        <w:spacing w:line="276" w:lineRule="auto"/>
        <w:jc w:val="both"/>
        <w:rPr>
          <w:rFonts w:ascii="Arial" w:eastAsia="Calibri" w:hAnsi="Arial" w:cs="Arial"/>
          <w:color w:val="auto"/>
          <w:sz w:val="22"/>
          <w:szCs w:val="22"/>
        </w:rPr>
      </w:pPr>
    </w:p>
    <w:p w14:paraId="1B748165" w14:textId="77777777" w:rsidR="007D79B9" w:rsidRDefault="007D79B9" w:rsidP="007D79B9">
      <w:pPr>
        <w:pStyle w:val="Default"/>
        <w:spacing w:line="276" w:lineRule="auto"/>
        <w:jc w:val="both"/>
        <w:rPr>
          <w:rFonts w:ascii="Arial" w:hAnsi="Arial" w:cs="Arial"/>
          <w:b/>
          <w:bCs/>
        </w:rPr>
      </w:pPr>
      <w:r>
        <w:rPr>
          <w:rFonts w:ascii="Arial" w:hAnsi="Arial" w:cs="Arial"/>
          <w:b/>
          <w:sz w:val="22"/>
          <w:szCs w:val="22"/>
        </w:rPr>
        <w:t xml:space="preserve">PRIMERA: </w:t>
      </w:r>
      <w:r>
        <w:rPr>
          <w:rFonts w:ascii="Arial" w:hAnsi="Arial" w:cs="Arial"/>
        </w:rPr>
        <w:t xml:space="preserve">se adicione el fallo indicando que en virtud de la Resolución 205 de 2020, por medio de la cual se establecieron unas disposiciones en relación con el presupuesto máximo para la gestión y financiación de los servicios y tecnologías en salud no financiados con cargo a la UPC, </w:t>
      </w:r>
      <w:r>
        <w:rPr>
          <w:rFonts w:ascii="Arial" w:hAnsi="Arial" w:cs="Arial"/>
          <w:b/>
          <w:bCs/>
        </w:rPr>
        <w:t>se ordene al ADRES reembolsar todos aquellos gastos en que incurra NUEVA EPS en cumplimiento del presente fallo de tutela y que sobrepasen el presupuesto máximo asignado para la cobertura de este tipo de servicios.</w:t>
      </w:r>
    </w:p>
    <w:p w14:paraId="5F94B51D" w14:textId="77777777" w:rsidR="007D79B9" w:rsidRDefault="007D79B9" w:rsidP="007D79B9">
      <w:pPr>
        <w:pStyle w:val="Default"/>
        <w:spacing w:line="276" w:lineRule="auto"/>
        <w:jc w:val="both"/>
        <w:rPr>
          <w:rFonts w:ascii="Arial" w:hAnsi="Arial" w:cs="Arial"/>
          <w:b/>
          <w:bCs/>
          <w:sz w:val="22"/>
          <w:szCs w:val="22"/>
        </w:rPr>
      </w:pPr>
    </w:p>
    <w:p w14:paraId="66F506EE" w14:textId="4E7457A4" w:rsidR="007D79B9" w:rsidRDefault="007D79B9" w:rsidP="007D79B9">
      <w:pPr>
        <w:rPr>
          <w:rFonts w:ascii="Arial" w:hAnsi="Arial" w:cs="Arial"/>
          <w:color w:val="000000"/>
          <w:sz w:val="21"/>
          <w:szCs w:val="21"/>
        </w:rPr>
      </w:pPr>
      <w:r>
        <w:rPr>
          <w:rFonts w:ascii="Arial" w:hAnsi="Arial" w:cs="Arial"/>
          <w:b/>
          <w:bCs/>
          <w:szCs w:val="24"/>
        </w:rPr>
        <w:t>SEGUNDA:</w:t>
      </w:r>
      <w:r>
        <w:rPr>
          <w:rFonts w:ascii="Arial" w:hAnsi="Arial" w:cs="Arial"/>
          <w:snapToGrid w:val="0"/>
          <w:sz w:val="22"/>
        </w:rPr>
        <w:t xml:space="preserve"> Se modifique el fallo en el sentido de ordenar previo al reconocimiento de elementos excluidos de los recursos financiados con recursos de la UPC, que se efectué</w:t>
      </w:r>
      <w:r>
        <w:rPr>
          <w:rFonts w:ascii="Arial" w:hAnsi="Arial" w:cs="Arial"/>
        </w:rPr>
        <w:t xml:space="preserve"> el trámite ante el Comité Técnico Científico (CTC) </w:t>
      </w:r>
      <w:r>
        <w:rPr>
          <w:rFonts w:ascii="Arial" w:hAnsi="Arial" w:cs="Arial"/>
          <w:color w:val="000000"/>
          <w:sz w:val="21"/>
          <w:szCs w:val="21"/>
        </w:rPr>
        <w:t xml:space="preserve">para la autorización de este o se lleve a cabo la ruta MIPRES a cargo de la IPS que atendió el afiliado a través del médico que ordenó esta. </w:t>
      </w:r>
    </w:p>
    <w:p w14:paraId="60530ABD" w14:textId="77777777" w:rsidR="00FA053E" w:rsidRDefault="00FA053E" w:rsidP="007D79B9">
      <w:pPr>
        <w:rPr>
          <w:rFonts w:ascii="Arial" w:hAnsi="Arial" w:cs="Arial"/>
          <w:color w:val="000000"/>
          <w:sz w:val="21"/>
          <w:szCs w:val="21"/>
        </w:rPr>
      </w:pPr>
    </w:p>
    <w:p w14:paraId="6117B9CB" w14:textId="77777777" w:rsidR="007D79B9" w:rsidRDefault="007D79B9" w:rsidP="007D79B9">
      <w:pPr>
        <w:rPr>
          <w:rFonts w:ascii="Arial" w:hAnsi="Arial" w:cs="Arial"/>
          <w:color w:val="000000"/>
          <w:sz w:val="21"/>
          <w:szCs w:val="21"/>
        </w:rPr>
      </w:pPr>
    </w:p>
    <w:p w14:paraId="73120845" w14:textId="77777777" w:rsidR="00AC4A70" w:rsidRDefault="00AC4A70" w:rsidP="00EE587F">
      <w:pPr>
        <w:pStyle w:val="Prrafodelista"/>
        <w:numPr>
          <w:ilvl w:val="0"/>
          <w:numId w:val="2"/>
        </w:numPr>
        <w:tabs>
          <w:tab w:val="left" w:pos="2977"/>
        </w:tabs>
        <w:spacing w:line="276" w:lineRule="auto"/>
        <w:jc w:val="center"/>
        <w:rPr>
          <w:rFonts w:ascii="Arial" w:hAnsi="Arial" w:cs="Arial"/>
          <w:b/>
          <w:sz w:val="22"/>
        </w:rPr>
      </w:pPr>
      <w:r w:rsidRPr="00786386">
        <w:rPr>
          <w:rFonts w:ascii="Arial" w:hAnsi="Arial" w:cs="Arial"/>
          <w:b/>
          <w:sz w:val="22"/>
        </w:rPr>
        <w:t>ANEXOS</w:t>
      </w:r>
    </w:p>
    <w:p w14:paraId="15D4456A" w14:textId="77777777" w:rsidR="00786386" w:rsidRPr="00786386" w:rsidRDefault="00786386" w:rsidP="00786386">
      <w:pPr>
        <w:pStyle w:val="Prrafodelista"/>
        <w:tabs>
          <w:tab w:val="left" w:pos="2977"/>
        </w:tabs>
        <w:spacing w:line="276" w:lineRule="auto"/>
        <w:rPr>
          <w:rFonts w:ascii="Arial" w:hAnsi="Arial" w:cs="Arial"/>
          <w:b/>
          <w:sz w:val="22"/>
        </w:rPr>
      </w:pPr>
    </w:p>
    <w:p w14:paraId="0B77C136" w14:textId="604BCE1A" w:rsidR="00AC4A70" w:rsidRPr="008B54C0" w:rsidRDefault="00AC4A70" w:rsidP="00EE587F">
      <w:pPr>
        <w:pStyle w:val="Prrafodelista"/>
        <w:numPr>
          <w:ilvl w:val="0"/>
          <w:numId w:val="1"/>
        </w:numPr>
        <w:tabs>
          <w:tab w:val="left" w:pos="2977"/>
        </w:tabs>
        <w:spacing w:line="276" w:lineRule="auto"/>
        <w:rPr>
          <w:rFonts w:ascii="Arial" w:hAnsi="Arial" w:cs="Arial"/>
          <w:sz w:val="22"/>
        </w:rPr>
      </w:pPr>
      <w:r w:rsidRPr="008B54C0">
        <w:rPr>
          <w:rFonts w:ascii="Arial" w:hAnsi="Arial" w:cs="Arial"/>
          <w:sz w:val="22"/>
        </w:rPr>
        <w:t xml:space="preserve">Poder </w:t>
      </w:r>
      <w:r w:rsidR="00753EF4">
        <w:rPr>
          <w:rFonts w:ascii="Arial" w:hAnsi="Arial" w:cs="Arial"/>
          <w:sz w:val="22"/>
        </w:rPr>
        <w:t>Especial para actuar</w:t>
      </w:r>
    </w:p>
    <w:p w14:paraId="0C3BF5F5" w14:textId="2C5DFB76" w:rsidR="00AC4A70" w:rsidRDefault="00AC4A70" w:rsidP="00EE587F">
      <w:pPr>
        <w:pStyle w:val="Prrafodelista"/>
        <w:numPr>
          <w:ilvl w:val="0"/>
          <w:numId w:val="1"/>
        </w:numPr>
        <w:tabs>
          <w:tab w:val="left" w:pos="2977"/>
        </w:tabs>
        <w:spacing w:line="276" w:lineRule="auto"/>
        <w:rPr>
          <w:rFonts w:ascii="Arial" w:hAnsi="Arial" w:cs="Arial"/>
          <w:sz w:val="22"/>
        </w:rPr>
      </w:pPr>
      <w:r w:rsidRPr="008B54C0">
        <w:rPr>
          <w:rFonts w:ascii="Arial" w:hAnsi="Arial" w:cs="Arial"/>
          <w:sz w:val="22"/>
        </w:rPr>
        <w:t xml:space="preserve">Certificado de </w:t>
      </w:r>
      <w:r w:rsidR="00F43C60" w:rsidRPr="008B54C0">
        <w:rPr>
          <w:rFonts w:ascii="Arial" w:hAnsi="Arial" w:cs="Arial"/>
          <w:sz w:val="22"/>
        </w:rPr>
        <w:t>Existencia y Representación Legal</w:t>
      </w:r>
      <w:r w:rsidRPr="008B54C0">
        <w:rPr>
          <w:rFonts w:ascii="Arial" w:hAnsi="Arial" w:cs="Arial"/>
          <w:sz w:val="22"/>
        </w:rPr>
        <w:t xml:space="preserve"> de Nueva Empresa Promotora de Salud </w:t>
      </w:r>
      <w:r w:rsidR="00F43C60" w:rsidRPr="008B54C0">
        <w:rPr>
          <w:rFonts w:ascii="Arial" w:hAnsi="Arial" w:cs="Arial"/>
          <w:sz w:val="22"/>
        </w:rPr>
        <w:t xml:space="preserve">- </w:t>
      </w:r>
      <w:r w:rsidRPr="008B54C0">
        <w:rPr>
          <w:rFonts w:ascii="Arial" w:hAnsi="Arial" w:cs="Arial"/>
          <w:b/>
          <w:sz w:val="22"/>
        </w:rPr>
        <w:t>NUEVA EPS S.A</w:t>
      </w:r>
      <w:r w:rsidR="00E32DF2">
        <w:rPr>
          <w:rFonts w:ascii="Arial" w:hAnsi="Arial" w:cs="Arial"/>
          <w:sz w:val="22"/>
        </w:rPr>
        <w:t>.</w:t>
      </w:r>
    </w:p>
    <w:p w14:paraId="2C84B4EF" w14:textId="506EFC2A" w:rsidR="007D79B9" w:rsidRDefault="007D79B9" w:rsidP="007D79B9">
      <w:pPr>
        <w:pStyle w:val="Prrafodelista"/>
        <w:tabs>
          <w:tab w:val="left" w:pos="2977"/>
        </w:tabs>
        <w:spacing w:line="276" w:lineRule="auto"/>
        <w:rPr>
          <w:rFonts w:ascii="Arial" w:hAnsi="Arial" w:cs="Arial"/>
          <w:sz w:val="22"/>
        </w:rPr>
      </w:pPr>
    </w:p>
    <w:p w14:paraId="7E02057D" w14:textId="77777777" w:rsidR="0001408D" w:rsidRPr="00786386" w:rsidRDefault="0001408D" w:rsidP="00EE587F">
      <w:pPr>
        <w:pStyle w:val="Prrafodelista"/>
        <w:numPr>
          <w:ilvl w:val="0"/>
          <w:numId w:val="2"/>
        </w:numPr>
        <w:spacing w:line="276" w:lineRule="auto"/>
        <w:jc w:val="center"/>
        <w:rPr>
          <w:rFonts w:ascii="Arial" w:hAnsi="Arial" w:cs="Arial"/>
          <w:b/>
          <w:sz w:val="22"/>
        </w:rPr>
      </w:pPr>
      <w:r w:rsidRPr="00786386">
        <w:rPr>
          <w:rFonts w:ascii="Arial" w:hAnsi="Arial" w:cs="Arial"/>
          <w:b/>
          <w:sz w:val="22"/>
        </w:rPr>
        <w:t>NOTIFICACIONES</w:t>
      </w:r>
    </w:p>
    <w:p w14:paraId="2E9979BB" w14:textId="77777777" w:rsidR="0001408D" w:rsidRPr="008B54C0" w:rsidRDefault="0001408D" w:rsidP="0001408D">
      <w:pPr>
        <w:spacing w:line="276" w:lineRule="auto"/>
        <w:rPr>
          <w:rFonts w:ascii="Arial" w:hAnsi="Arial" w:cs="Arial"/>
          <w:sz w:val="22"/>
        </w:rPr>
      </w:pPr>
    </w:p>
    <w:p w14:paraId="50DFD55F" w14:textId="2EFF123D" w:rsidR="0001408D" w:rsidRPr="008B54C0" w:rsidRDefault="0001408D" w:rsidP="0001408D">
      <w:pPr>
        <w:spacing w:line="276" w:lineRule="auto"/>
        <w:rPr>
          <w:rStyle w:val="Hipervnculo"/>
          <w:rFonts w:ascii="Arial" w:hAnsi="Arial" w:cs="Arial"/>
          <w:b/>
          <w:i/>
          <w:sz w:val="22"/>
        </w:rPr>
      </w:pPr>
      <w:r w:rsidRPr="008B54C0">
        <w:rPr>
          <w:rFonts w:ascii="Arial" w:hAnsi="Arial" w:cs="Arial"/>
          <w:sz w:val="22"/>
        </w:rPr>
        <w:t xml:space="preserve">Las notificaciones las recibiré en la Secretaría de su Despacho y en la Carrera 85k </w:t>
      </w:r>
      <w:proofErr w:type="spellStart"/>
      <w:r w:rsidRPr="008B54C0">
        <w:rPr>
          <w:rFonts w:ascii="Arial" w:hAnsi="Arial" w:cs="Arial"/>
          <w:sz w:val="22"/>
        </w:rPr>
        <w:t>N°</w:t>
      </w:r>
      <w:proofErr w:type="spellEnd"/>
      <w:r w:rsidRPr="008B54C0">
        <w:rPr>
          <w:rFonts w:ascii="Arial" w:hAnsi="Arial" w:cs="Arial"/>
          <w:sz w:val="22"/>
        </w:rPr>
        <w:t xml:space="preserve"> 46 A -</w:t>
      </w:r>
      <w:proofErr w:type="gramStart"/>
      <w:r w:rsidRPr="008B54C0">
        <w:rPr>
          <w:rFonts w:ascii="Arial" w:hAnsi="Arial" w:cs="Arial"/>
          <w:sz w:val="22"/>
        </w:rPr>
        <w:t>66  y</w:t>
      </w:r>
      <w:proofErr w:type="gramEnd"/>
      <w:r w:rsidRPr="008B54C0">
        <w:rPr>
          <w:rFonts w:ascii="Arial" w:hAnsi="Arial" w:cs="Arial"/>
          <w:sz w:val="22"/>
        </w:rPr>
        <w:t xml:space="preserve">/o Correo electrónico </w:t>
      </w:r>
      <w:hyperlink r:id="rId11" w:history="1">
        <w:r w:rsidRPr="008B54C0">
          <w:rPr>
            <w:rStyle w:val="Hipervnculo"/>
            <w:rFonts w:ascii="Arial" w:hAnsi="Arial" w:cs="Arial"/>
            <w:b/>
            <w:i/>
            <w:sz w:val="22"/>
          </w:rPr>
          <w:t>secretaria.general@nuevaeps.com.co</w:t>
        </w:r>
      </w:hyperlink>
      <w:r w:rsidRPr="008B54C0">
        <w:rPr>
          <w:rStyle w:val="Hipervnculo"/>
          <w:rFonts w:ascii="Arial" w:hAnsi="Arial" w:cs="Arial"/>
          <w:b/>
          <w:i/>
          <w:sz w:val="22"/>
        </w:rPr>
        <w:t>.</w:t>
      </w:r>
      <w:r w:rsidR="004A24DE" w:rsidRPr="008B54C0">
        <w:rPr>
          <w:rFonts w:ascii="Arial" w:hAnsi="Arial" w:cs="Arial"/>
          <w:sz w:val="22"/>
        </w:rPr>
        <w:t>, t</w:t>
      </w:r>
      <w:r w:rsidRPr="008B54C0">
        <w:rPr>
          <w:rFonts w:ascii="Arial" w:hAnsi="Arial" w:cs="Arial"/>
          <w:sz w:val="22"/>
        </w:rPr>
        <w:t>eléfono de Bogotá.</w:t>
      </w:r>
    </w:p>
    <w:p w14:paraId="36098091" w14:textId="77777777" w:rsidR="0001408D" w:rsidRPr="008B54C0" w:rsidRDefault="0001408D" w:rsidP="005C5887">
      <w:pPr>
        <w:tabs>
          <w:tab w:val="left" w:pos="2977"/>
        </w:tabs>
        <w:spacing w:line="276" w:lineRule="auto"/>
        <w:rPr>
          <w:rFonts w:ascii="Arial" w:hAnsi="Arial" w:cs="Arial"/>
          <w:sz w:val="22"/>
        </w:rPr>
      </w:pPr>
    </w:p>
    <w:p w14:paraId="25961976" w14:textId="77777777" w:rsidR="00C0184E" w:rsidRPr="008B54C0" w:rsidRDefault="00C0184E" w:rsidP="00E32DF2">
      <w:pPr>
        <w:spacing w:line="276" w:lineRule="auto"/>
        <w:rPr>
          <w:rFonts w:ascii="Arial" w:hAnsi="Arial" w:cs="Arial"/>
          <w:b/>
        </w:rPr>
      </w:pPr>
      <w:r w:rsidRPr="008B54C0">
        <w:rPr>
          <w:rFonts w:ascii="Arial" w:hAnsi="Arial" w:cs="Arial"/>
          <w:sz w:val="22"/>
        </w:rPr>
        <w:t xml:space="preserve">Atentamente, </w:t>
      </w:r>
      <w:r w:rsidR="00D608A9" w:rsidRPr="008B54C0">
        <w:rPr>
          <w:rFonts w:ascii="Arial" w:hAnsi="Arial" w:cs="Arial"/>
          <w:noProof/>
          <w:lang w:eastAsia="es-CO"/>
        </w:rPr>
        <w:drawing>
          <wp:anchor distT="0" distB="0" distL="114300" distR="114300" simplePos="0" relativeHeight="251669504" behindDoc="1" locked="0" layoutInCell="1" allowOverlap="1" wp14:anchorId="3E7A7D3F" wp14:editId="7C23B18D">
            <wp:simplePos x="0" y="0"/>
            <wp:positionH relativeFrom="margin">
              <wp:posOffset>91440</wp:posOffset>
            </wp:positionH>
            <wp:positionV relativeFrom="paragraph">
              <wp:posOffset>10795</wp:posOffset>
            </wp:positionV>
            <wp:extent cx="1143000" cy="986790"/>
            <wp:effectExtent l="0" t="0" r="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30889" t="17810" r="23116" b="11551"/>
                    <a:stretch/>
                  </pic:blipFill>
                  <pic:spPr bwMode="auto">
                    <a:xfrm>
                      <a:off x="0" y="0"/>
                      <a:ext cx="1143000" cy="98679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5B9518" w14:textId="77777777" w:rsidR="00C0184E" w:rsidRPr="008B54C0" w:rsidRDefault="00C0184E" w:rsidP="00C0184E">
      <w:pPr>
        <w:pStyle w:val="Sinespaciado"/>
        <w:spacing w:line="276" w:lineRule="auto"/>
        <w:contextualSpacing/>
        <w:jc w:val="both"/>
        <w:rPr>
          <w:rFonts w:ascii="Arial" w:hAnsi="Arial" w:cs="Arial"/>
          <w:b/>
        </w:rPr>
      </w:pPr>
    </w:p>
    <w:p w14:paraId="7673694C" w14:textId="77777777" w:rsidR="00C0184E" w:rsidRPr="008B54C0" w:rsidRDefault="00C0184E" w:rsidP="00C0184E">
      <w:pPr>
        <w:pStyle w:val="Sinespaciado"/>
        <w:spacing w:line="276" w:lineRule="auto"/>
        <w:contextualSpacing/>
        <w:jc w:val="both"/>
        <w:rPr>
          <w:rFonts w:ascii="Arial" w:hAnsi="Arial" w:cs="Arial"/>
          <w:b/>
        </w:rPr>
      </w:pPr>
    </w:p>
    <w:p w14:paraId="449B6F90" w14:textId="77777777" w:rsidR="00C0184E" w:rsidRPr="008B54C0" w:rsidRDefault="00C0184E" w:rsidP="00C0184E">
      <w:pPr>
        <w:pStyle w:val="Sinespaciado"/>
        <w:spacing w:line="276" w:lineRule="auto"/>
        <w:contextualSpacing/>
        <w:jc w:val="both"/>
        <w:rPr>
          <w:rFonts w:ascii="Arial" w:hAnsi="Arial" w:cs="Arial"/>
          <w:b/>
        </w:rPr>
      </w:pPr>
    </w:p>
    <w:p w14:paraId="1A13B0F8" w14:textId="77777777" w:rsidR="00C0184E" w:rsidRPr="008B54C0" w:rsidRDefault="00C0184E" w:rsidP="00C0184E">
      <w:pPr>
        <w:pStyle w:val="Sinespaciado"/>
        <w:spacing w:line="276" w:lineRule="auto"/>
        <w:contextualSpacing/>
        <w:jc w:val="both"/>
        <w:rPr>
          <w:rFonts w:ascii="Arial" w:hAnsi="Arial" w:cs="Arial"/>
          <w:b/>
        </w:rPr>
      </w:pPr>
      <w:r w:rsidRPr="008B54C0">
        <w:rPr>
          <w:rFonts w:ascii="Arial" w:hAnsi="Arial" w:cs="Arial"/>
          <w:b/>
        </w:rPr>
        <w:t>OSCAR EDUARDO SILVA GÓMEZ</w:t>
      </w:r>
    </w:p>
    <w:p w14:paraId="0078E2C7" w14:textId="77777777" w:rsidR="00C0184E" w:rsidRPr="008B54C0" w:rsidRDefault="00C0184E" w:rsidP="00C0184E">
      <w:pPr>
        <w:pStyle w:val="Sinespaciado"/>
        <w:spacing w:line="276" w:lineRule="auto"/>
        <w:contextualSpacing/>
        <w:jc w:val="both"/>
        <w:rPr>
          <w:rFonts w:ascii="Arial" w:hAnsi="Arial" w:cs="Arial"/>
        </w:rPr>
      </w:pPr>
      <w:r w:rsidRPr="008B54C0">
        <w:rPr>
          <w:rFonts w:ascii="Arial" w:hAnsi="Arial" w:cs="Arial"/>
        </w:rPr>
        <w:t xml:space="preserve">Profesional Jurídico II </w:t>
      </w:r>
      <w:proofErr w:type="gramStart"/>
      <w:r w:rsidRPr="008B54C0">
        <w:rPr>
          <w:rFonts w:ascii="Arial" w:hAnsi="Arial" w:cs="Arial"/>
        </w:rPr>
        <w:t>-  Apoderado</w:t>
      </w:r>
      <w:proofErr w:type="gramEnd"/>
      <w:r w:rsidRPr="008B54C0">
        <w:rPr>
          <w:rFonts w:ascii="Arial" w:hAnsi="Arial" w:cs="Arial"/>
        </w:rPr>
        <w:t xml:space="preserve"> Especial </w:t>
      </w:r>
    </w:p>
    <w:p w14:paraId="38A0A71D" w14:textId="77777777" w:rsidR="00C0184E" w:rsidRPr="008B54C0" w:rsidRDefault="00A50994" w:rsidP="00C0184E">
      <w:pPr>
        <w:pStyle w:val="Sinespaciado"/>
        <w:spacing w:line="276" w:lineRule="auto"/>
        <w:contextualSpacing/>
        <w:jc w:val="both"/>
        <w:rPr>
          <w:rFonts w:ascii="Arial" w:hAnsi="Arial" w:cs="Arial"/>
        </w:rPr>
      </w:pPr>
      <w:r>
        <w:rPr>
          <w:rFonts w:ascii="Arial" w:hAnsi="Arial" w:cs="Arial"/>
        </w:rPr>
        <w:t>Secretaría General y Jurídica</w:t>
      </w:r>
    </w:p>
    <w:p w14:paraId="0637CD92" w14:textId="675D0213" w:rsidR="00EA3C42" w:rsidRDefault="00C0184E" w:rsidP="00C0184E">
      <w:pPr>
        <w:pStyle w:val="Sinespaciado"/>
        <w:spacing w:line="276" w:lineRule="auto"/>
        <w:contextualSpacing/>
        <w:jc w:val="both"/>
        <w:rPr>
          <w:rFonts w:ascii="Arial" w:hAnsi="Arial" w:cs="Arial"/>
          <w:b/>
          <w:lang w:val="es-CO"/>
        </w:rPr>
      </w:pPr>
      <w:r w:rsidRPr="008B54C0">
        <w:rPr>
          <w:rFonts w:ascii="Arial" w:hAnsi="Arial" w:cs="Arial"/>
          <w:b/>
          <w:lang w:val="es-CO"/>
        </w:rPr>
        <w:t>NUEVA EPS S.A.</w:t>
      </w:r>
    </w:p>
    <w:p w14:paraId="762579ED" w14:textId="16C36FF0" w:rsidR="00C14685" w:rsidRDefault="00C14685" w:rsidP="00C0184E">
      <w:pPr>
        <w:pStyle w:val="Sinespaciado"/>
        <w:spacing w:line="276" w:lineRule="auto"/>
        <w:contextualSpacing/>
        <w:jc w:val="both"/>
        <w:rPr>
          <w:rFonts w:ascii="Arial" w:hAnsi="Arial" w:cs="Arial"/>
          <w:b/>
          <w:lang w:val="es-CO"/>
        </w:rPr>
      </w:pPr>
    </w:p>
    <w:p w14:paraId="62AA00F5" w14:textId="5B15A244" w:rsidR="00C14685" w:rsidRDefault="00C14685" w:rsidP="00C0184E">
      <w:pPr>
        <w:pStyle w:val="Sinespaciado"/>
        <w:spacing w:line="276" w:lineRule="auto"/>
        <w:contextualSpacing/>
        <w:jc w:val="both"/>
        <w:rPr>
          <w:rFonts w:ascii="Arial" w:hAnsi="Arial" w:cs="Arial"/>
          <w:b/>
          <w:lang w:val="es-CO"/>
        </w:rPr>
      </w:pPr>
    </w:p>
    <w:sectPr w:rsidR="00C14685" w:rsidSect="001705A3">
      <w:headerReference w:type="default" r:id="rId13"/>
      <w:footerReference w:type="default" r:id="rId14"/>
      <w:pgSz w:w="12240" w:h="18720" w:code="14"/>
      <w:pgMar w:top="1566"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8A8C6" w14:textId="77777777" w:rsidR="006D5036" w:rsidRDefault="006D5036">
      <w:r>
        <w:separator/>
      </w:r>
    </w:p>
  </w:endnote>
  <w:endnote w:type="continuationSeparator" w:id="0">
    <w:p w14:paraId="0AC52DC9" w14:textId="77777777" w:rsidR="006D5036" w:rsidRDefault="006D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269466"/>
      <w:docPartObj>
        <w:docPartGallery w:val="Page Numbers (Bottom of Page)"/>
        <w:docPartUnique/>
      </w:docPartObj>
    </w:sdtPr>
    <w:sdtEndPr/>
    <w:sdtContent>
      <w:sdt>
        <w:sdtPr>
          <w:id w:val="860082579"/>
          <w:docPartObj>
            <w:docPartGallery w:val="Page Numbers (Top of Page)"/>
            <w:docPartUnique/>
          </w:docPartObj>
        </w:sdtPr>
        <w:sdtEndPr/>
        <w:sdtContent>
          <w:p w14:paraId="532FD91A" w14:textId="77777777" w:rsidR="006425C2" w:rsidRPr="006425C2" w:rsidRDefault="003E6D64" w:rsidP="006425C2">
            <w:pPr>
              <w:pStyle w:val="Piedepgina"/>
              <w:jc w:val="right"/>
            </w:pPr>
            <w:r>
              <w:rPr>
                <w:lang w:val="es-ES"/>
              </w:rPr>
              <w:t xml:space="preserve">Página </w:t>
            </w:r>
            <w:r>
              <w:rPr>
                <w:b/>
                <w:bCs/>
                <w:szCs w:val="24"/>
              </w:rPr>
              <w:fldChar w:fldCharType="begin"/>
            </w:r>
            <w:r>
              <w:rPr>
                <w:b/>
                <w:bCs/>
              </w:rPr>
              <w:instrText>PAGE</w:instrText>
            </w:r>
            <w:r>
              <w:rPr>
                <w:b/>
                <w:bCs/>
                <w:szCs w:val="24"/>
              </w:rPr>
              <w:fldChar w:fldCharType="separate"/>
            </w:r>
            <w:r w:rsidR="00D65DF5">
              <w:rPr>
                <w:b/>
                <w:bCs/>
                <w:noProof/>
              </w:rPr>
              <w:t>1</w:t>
            </w:r>
            <w:r>
              <w:rPr>
                <w:b/>
                <w:bCs/>
                <w:szCs w:val="24"/>
              </w:rPr>
              <w:fldChar w:fldCharType="end"/>
            </w:r>
            <w:r>
              <w:rPr>
                <w:lang w:val="es-ES"/>
              </w:rPr>
              <w:t xml:space="preserve"> de </w:t>
            </w:r>
            <w:r>
              <w:rPr>
                <w:b/>
                <w:bCs/>
                <w:szCs w:val="24"/>
              </w:rPr>
              <w:fldChar w:fldCharType="begin"/>
            </w:r>
            <w:r>
              <w:rPr>
                <w:b/>
                <w:bCs/>
              </w:rPr>
              <w:instrText>NUMPAGES</w:instrText>
            </w:r>
            <w:r>
              <w:rPr>
                <w:b/>
                <w:bCs/>
                <w:szCs w:val="24"/>
              </w:rPr>
              <w:fldChar w:fldCharType="separate"/>
            </w:r>
            <w:r w:rsidR="00D65DF5">
              <w:rPr>
                <w:b/>
                <w:bCs/>
                <w:noProof/>
              </w:rPr>
              <w:t>3</w:t>
            </w:r>
            <w:r>
              <w:rPr>
                <w:b/>
                <w:bCs/>
                <w:szCs w:val="24"/>
              </w:rPr>
              <w:fldChar w:fldCharType="end"/>
            </w:r>
          </w:p>
        </w:sdtContent>
      </w:sdt>
    </w:sdtContent>
  </w:sdt>
  <w:p w14:paraId="6DA8A956" w14:textId="77777777" w:rsidR="006425C2" w:rsidRDefault="006425C2" w:rsidP="006425C2">
    <w:pPr>
      <w:pStyle w:val="Piedepgina"/>
      <w:jc w:val="center"/>
      <w:rPr>
        <w:rFonts w:ascii="Arial" w:hAnsi="Arial" w:cs="Arial"/>
        <w:b/>
        <w:sz w:val="20"/>
        <w:szCs w:val="20"/>
      </w:rPr>
    </w:pPr>
    <w:r>
      <w:rPr>
        <w:noProof/>
        <w:lang w:eastAsia="es-CO"/>
      </w:rPr>
      <mc:AlternateContent>
        <mc:Choice Requires="wps">
          <w:drawing>
            <wp:anchor distT="0" distB="0" distL="114300" distR="114300" simplePos="0" relativeHeight="251660288" behindDoc="0" locked="0" layoutInCell="1" allowOverlap="1" wp14:anchorId="7658E10B" wp14:editId="4ABE50B1">
              <wp:simplePos x="0" y="0"/>
              <wp:positionH relativeFrom="column">
                <wp:posOffset>-99695</wp:posOffset>
              </wp:positionH>
              <wp:positionV relativeFrom="paragraph">
                <wp:posOffset>61595</wp:posOffset>
              </wp:positionV>
              <wp:extent cx="5661660" cy="6350"/>
              <wp:effectExtent l="0" t="0" r="15240" b="31750"/>
              <wp:wrapNone/>
              <wp:docPr id="15"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1660" cy="6350"/>
                      </a:xfrm>
                      <a:prstGeom prst="straightConnector1">
                        <a:avLst/>
                      </a:prstGeom>
                      <a:noFill/>
                      <a:ln w="19050">
                        <a:solidFill>
                          <a:srgbClr val="4F81BD">
                            <a:lumMod val="60000"/>
                            <a:lumOff val="4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744012" id="_x0000_t32" coordsize="21600,21600" o:spt="32" o:oned="t" path="m,l21600,21600e" filled="f">
              <v:path arrowok="t" fillok="f" o:connecttype="none"/>
              <o:lock v:ext="edit" shapetype="t"/>
            </v:shapetype>
            <v:shape id="Conector recto de flecha 7" o:spid="_x0000_s1026" type="#_x0000_t32" style="position:absolute;margin-left:-7.85pt;margin-top:4.85pt;width:445.8pt;height:.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" strokecolor="#95b3d7" strokeweight="1.5pt"/>
          </w:pict>
        </mc:Fallback>
      </mc:AlternateContent>
    </w:r>
  </w:p>
  <w:p w14:paraId="7A7541D9" w14:textId="77777777" w:rsidR="006425C2" w:rsidRPr="00662DE4" w:rsidRDefault="006425C2" w:rsidP="006425C2">
    <w:pPr>
      <w:pStyle w:val="Piedepgina"/>
      <w:jc w:val="center"/>
      <w:rPr>
        <w:rFonts w:ascii="Arial" w:hAnsi="Arial" w:cs="Arial"/>
        <w:b/>
        <w:sz w:val="20"/>
        <w:szCs w:val="20"/>
      </w:rPr>
    </w:pPr>
    <w:r>
      <w:rPr>
        <w:rFonts w:ascii="Arial" w:hAnsi="Arial" w:cs="Arial"/>
        <w:b/>
        <w:sz w:val="20"/>
        <w:szCs w:val="20"/>
      </w:rPr>
      <w:t xml:space="preserve">Bogotá. Complejo San Cayetano. Carrera 85 K </w:t>
    </w:r>
    <w:proofErr w:type="spellStart"/>
    <w:r>
      <w:rPr>
        <w:rFonts w:ascii="Arial" w:hAnsi="Arial" w:cs="Arial"/>
        <w:b/>
        <w:sz w:val="20"/>
        <w:szCs w:val="20"/>
      </w:rPr>
      <w:t>N°</w:t>
    </w:r>
    <w:proofErr w:type="spellEnd"/>
    <w:r>
      <w:rPr>
        <w:rFonts w:ascii="Arial" w:hAnsi="Arial" w:cs="Arial"/>
        <w:b/>
        <w:sz w:val="20"/>
        <w:szCs w:val="20"/>
      </w:rPr>
      <w:t xml:space="preserve"> 46 A – 66, piso 2. Teléfono 4193000 </w:t>
    </w:r>
    <w:r w:rsidRPr="00662DE4">
      <w:rPr>
        <w:rFonts w:ascii="Arial" w:hAnsi="Arial" w:cs="Arial"/>
        <w:b/>
        <w:sz w:val="20"/>
        <w:szCs w:val="20"/>
      </w:rPr>
      <w:t xml:space="preserve"> </w:t>
    </w:r>
  </w:p>
  <w:p w14:paraId="7F6C1A8A" w14:textId="77777777" w:rsidR="006425C2" w:rsidRPr="00911C94" w:rsidRDefault="006425C2" w:rsidP="006425C2">
    <w:pPr>
      <w:widowControl w:val="0"/>
      <w:tabs>
        <w:tab w:val="center" w:pos="4252"/>
        <w:tab w:val="right" w:pos="8504"/>
      </w:tabs>
      <w:suppressAutoHyphens/>
      <w:jc w:val="center"/>
      <w:rPr>
        <w:rFonts w:ascii="Arial" w:eastAsia="Arial Unicode MS" w:hAnsi="Arial" w:cs="Arial"/>
        <w:kern w:val="1"/>
        <w:sz w:val="18"/>
        <w:szCs w:val="18"/>
        <w:lang w:val="es-ES_tradnl" w:eastAsia="ar-SA"/>
      </w:rPr>
    </w:pPr>
    <w:r w:rsidRPr="00911C94">
      <w:rPr>
        <w:rFonts w:ascii="Arial" w:eastAsia="Arial Unicode MS" w:hAnsi="Arial" w:cs="Arial"/>
        <w:kern w:val="1"/>
        <w:sz w:val="18"/>
        <w:szCs w:val="18"/>
        <w:lang w:val="es-ES_tradnl" w:eastAsia="ar-SA"/>
      </w:rPr>
      <w:t xml:space="preserve">Correo electrónico de notificaciones judiciales y administrativas: </w:t>
    </w:r>
  </w:p>
  <w:p w14:paraId="714311F2" w14:textId="77777777" w:rsidR="006425C2" w:rsidRPr="00911C94" w:rsidRDefault="006D5036" w:rsidP="006425C2">
    <w:pPr>
      <w:widowControl w:val="0"/>
      <w:tabs>
        <w:tab w:val="center" w:pos="4252"/>
        <w:tab w:val="right" w:pos="8504"/>
      </w:tabs>
      <w:suppressAutoHyphens/>
      <w:jc w:val="center"/>
      <w:rPr>
        <w:rFonts w:ascii="Arial" w:eastAsia="Arial Unicode MS" w:hAnsi="Arial" w:cs="Arial"/>
        <w:kern w:val="1"/>
        <w:sz w:val="18"/>
        <w:szCs w:val="18"/>
        <w:lang w:val="es-ES_tradnl" w:eastAsia="ar-SA"/>
      </w:rPr>
    </w:pPr>
    <w:hyperlink r:id="rId1" w:history="1">
      <w:r w:rsidR="006425C2" w:rsidRPr="00911C94">
        <w:rPr>
          <w:rFonts w:ascii="Arial" w:eastAsia="Arial Unicode MS" w:hAnsi="Arial" w:cs="Arial"/>
          <w:color w:val="0000FF"/>
          <w:kern w:val="1"/>
          <w:sz w:val="18"/>
          <w:szCs w:val="18"/>
          <w:u w:val="single"/>
          <w:lang w:val="es-ES_tradnl" w:eastAsia="ar-SA"/>
        </w:rPr>
        <w:t>secretraria.general@nuevaeps.com.co</w:t>
      </w:r>
    </w:hyperlink>
    <w:r w:rsidR="006425C2" w:rsidRPr="00911C94">
      <w:rPr>
        <w:rFonts w:ascii="Arial" w:eastAsia="Arial Unicode MS" w:hAnsi="Arial" w:cs="Arial"/>
        <w:kern w:val="1"/>
        <w:sz w:val="18"/>
        <w:szCs w:val="18"/>
        <w:lang w:val="es-ES_tradnl" w:eastAsia="ar-SA"/>
      </w:rPr>
      <w:t xml:space="preserve"> </w:t>
    </w:r>
  </w:p>
  <w:p w14:paraId="35146DD2" w14:textId="77777777" w:rsidR="003E6D64" w:rsidRPr="006425C2" w:rsidRDefault="006425C2" w:rsidP="006425C2">
    <w:pPr>
      <w:pStyle w:val="Piedepgina"/>
      <w:jc w:val="center"/>
      <w:rPr>
        <w:rFonts w:ascii="Arial" w:hAnsi="Arial" w:cs="Arial"/>
        <w:sz w:val="20"/>
        <w:szCs w:val="20"/>
      </w:rPr>
    </w:pPr>
    <w:r w:rsidRPr="00662DE4">
      <w:rPr>
        <w:rFonts w:ascii="Arial" w:hAnsi="Arial" w:cs="Arial"/>
        <w:b/>
        <w:sz w:val="20"/>
        <w:szCs w:val="20"/>
      </w:rPr>
      <w:t>Nueva EPS, gente cuidando gente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56F59" w14:textId="77777777" w:rsidR="006D5036" w:rsidRDefault="006D5036">
      <w:r>
        <w:separator/>
      </w:r>
    </w:p>
  </w:footnote>
  <w:footnote w:type="continuationSeparator" w:id="0">
    <w:p w14:paraId="796B7C34" w14:textId="77777777" w:rsidR="006D5036" w:rsidRDefault="006D5036">
      <w:r>
        <w:continuationSeparator/>
      </w:r>
    </w:p>
  </w:footnote>
  <w:footnote w:id="1">
    <w:p w14:paraId="4FBF8316" w14:textId="77777777" w:rsidR="00B30C3C" w:rsidRDefault="00B30C3C" w:rsidP="00B30C3C">
      <w:pPr>
        <w:pStyle w:val="Textonotapie"/>
        <w:rPr>
          <w:i/>
        </w:rPr>
      </w:pPr>
      <w:r>
        <w:rPr>
          <w:rStyle w:val="Refdenotaalpie"/>
        </w:rPr>
        <w:footnoteRef/>
      </w:r>
      <w:r>
        <w:t xml:space="preserve"> </w:t>
      </w:r>
      <w:r>
        <w:rPr>
          <w:rFonts w:ascii="Arial Narrow" w:hAnsi="Arial Narrow"/>
          <w:b/>
          <w:sz w:val="18"/>
          <w:szCs w:val="18"/>
        </w:rPr>
        <w:t xml:space="preserve">Constitución Política de Colombia. Artículo 1º. </w:t>
      </w:r>
      <w:r>
        <w:rPr>
          <w:rFonts w:ascii="Arial Narrow" w:hAnsi="Arial Narrow"/>
          <w:i/>
          <w:sz w:val="18"/>
          <w:szCs w:val="18"/>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footnote>
  <w:footnote w:id="2">
    <w:p w14:paraId="0114CCA5" w14:textId="77777777" w:rsidR="00B30C3C" w:rsidRDefault="00B30C3C" w:rsidP="00B30C3C">
      <w:pPr>
        <w:pStyle w:val="Textonotapie"/>
        <w:jc w:val="both"/>
        <w:rPr>
          <w:rFonts w:ascii="Arial Narrow" w:hAnsi="Arial Narrow"/>
          <w:i/>
          <w:sz w:val="18"/>
          <w:szCs w:val="18"/>
        </w:rPr>
      </w:pPr>
      <w:r>
        <w:rPr>
          <w:rStyle w:val="Refdenotaalpie"/>
        </w:rPr>
        <w:footnoteRef/>
      </w:r>
      <w:r>
        <w:t xml:space="preserve"> </w:t>
      </w:r>
      <w:r>
        <w:rPr>
          <w:rFonts w:ascii="Arial Narrow" w:hAnsi="Arial Narrow"/>
          <w:b/>
          <w:sz w:val="18"/>
          <w:szCs w:val="18"/>
        </w:rPr>
        <w:t xml:space="preserve">Corte Constitucional. Sentencia T-017 de 2013. </w:t>
      </w:r>
      <w:r>
        <w:rPr>
          <w:rFonts w:ascii="Arial Narrow" w:hAnsi="Arial Narrow"/>
          <w:i/>
          <w:sz w:val="18"/>
          <w:szCs w:val="18"/>
        </w:rPr>
        <w:t xml:space="preserve">“La idea de que los recursos del Sistema de Seguridad Social en Salud son limitados y normalmente escasos ha llevado a un consenso sobre la relevancia de reservarlos a asuntos prioritarios. En el ámbito de la acción de tutela, esto significa que deben ser invertidos en la financiación de prestaciones que no pueden ser asumidas directamente por sus destinatarios. La falta de capacidad para sufragar los medicamentos, tratamientos, procedimientos, e insumos que son ordenados por el médico </w:t>
      </w:r>
      <w:proofErr w:type="gramStart"/>
      <w:r>
        <w:rPr>
          <w:rFonts w:ascii="Arial Narrow" w:hAnsi="Arial Narrow"/>
          <w:i/>
          <w:sz w:val="18"/>
          <w:szCs w:val="18"/>
        </w:rPr>
        <w:t>tratante  pero</w:t>
      </w:r>
      <w:proofErr w:type="gramEnd"/>
      <w:r>
        <w:rPr>
          <w:rFonts w:ascii="Arial Narrow" w:hAnsi="Arial Narrow"/>
          <w:i/>
          <w:sz w:val="18"/>
          <w:szCs w:val="18"/>
        </w:rPr>
        <w:t xml:space="preserve"> no están incluidos en el plan de beneficios de salud del paciente es, en efecto, y de conformidad con lo reseñado en el acápite anterior; uno de los requisitos que deben acreditarse en orden a obtener su autorización por esta vía excepcional. Tal exigencia ha sido asociada a la prevalencia del interés general y, sobre todo, al principio de solidaridad que les impone a los particulares el deber de vincular su propio esfuerzo y actividad en beneficio o apoyo de otros asociados o en interés colectivo. Así, la jurisprudencia constitucional ha entendido que quienes cuentan con capacidad de pago deben contribuir al equilibrio del Sistema, sufragando los medicamentos y servicios médicos NO POS que requieren, en lugar de trasladarse dicha carga al Estado, que se vería limitado para hacer realidad su propósito de ampliar progresivamente la obertura del servicio de salud”.</w:t>
      </w:r>
    </w:p>
  </w:footnote>
  <w:footnote w:id="3">
    <w:p w14:paraId="15FB8DC4" w14:textId="77777777" w:rsidR="00B30C3C" w:rsidRDefault="00B30C3C" w:rsidP="00B30C3C">
      <w:pPr>
        <w:pStyle w:val="Textonotapie"/>
        <w:jc w:val="both"/>
        <w:rPr>
          <w:rFonts w:ascii="Arial Narrow" w:hAnsi="Arial Narrow"/>
          <w:i/>
          <w:sz w:val="18"/>
          <w:szCs w:val="18"/>
        </w:rPr>
      </w:pPr>
      <w:r>
        <w:rPr>
          <w:rStyle w:val="Refdenotaalpie"/>
        </w:rPr>
        <w:footnoteRef/>
      </w:r>
      <w:r>
        <w:t xml:space="preserve"> </w:t>
      </w:r>
      <w:r>
        <w:rPr>
          <w:rFonts w:ascii="Arial Narrow" w:hAnsi="Arial Narrow"/>
          <w:b/>
          <w:sz w:val="18"/>
          <w:szCs w:val="18"/>
        </w:rPr>
        <w:t>Corte Constitucional. Sentencia T-610 de 2013</w:t>
      </w:r>
      <w:proofErr w:type="gramStart"/>
      <w:r>
        <w:rPr>
          <w:rFonts w:ascii="Arial Narrow" w:hAnsi="Arial Narrow"/>
          <w:b/>
          <w:sz w:val="18"/>
          <w:szCs w:val="18"/>
        </w:rPr>
        <w:t>.</w:t>
      </w:r>
      <w:r>
        <w:rPr>
          <w:rFonts w:ascii="Arial Narrow" w:hAnsi="Arial Narrow"/>
          <w:i/>
          <w:sz w:val="18"/>
          <w:szCs w:val="18"/>
        </w:rPr>
        <w:t>”La</w:t>
      </w:r>
      <w:proofErr w:type="gramEnd"/>
      <w:r>
        <w:rPr>
          <w:rFonts w:ascii="Arial Narrow" w:hAnsi="Arial Narrow"/>
          <w:i/>
          <w:sz w:val="18"/>
          <w:szCs w:val="18"/>
        </w:rPr>
        <w:t xml:space="preserve"> Constitución dispone la concurrencia del Estado, la sociedad y la familia para brindar protección y asistencia a las personas en situación de discapacidad. Claro está que la familia es la primera obligada económica, moral y afectivamente para sobrellevar y atender cada uno de los padecimientos, en este orden de ideas, la Corte ha dicho que, solo cuando la ausencia de capacidad económica se convierte en una barrera infranqueable para las personas, debido a que por esa causa no pueden acceder a un requerimiento de salud y se afecta la dignidad humana, el Estado está obligado a suplir dicha falencia”.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D6CC9" w14:textId="329A5FC7" w:rsidR="003E6D64" w:rsidRDefault="001F1EB2">
    <w:pPr>
      <w:pStyle w:val="Encabezado"/>
    </w:pPr>
    <w:r>
      <w:rPr>
        <w:noProof/>
        <w:lang w:eastAsia="es-CO"/>
      </w:rPr>
      <w:drawing>
        <wp:anchor distT="0" distB="0" distL="114300" distR="114300" simplePos="0" relativeHeight="251662336" behindDoc="0" locked="0" layoutInCell="1" allowOverlap="1" wp14:anchorId="675919A0" wp14:editId="35432C83">
          <wp:simplePos x="0" y="0"/>
          <wp:positionH relativeFrom="margin">
            <wp:posOffset>4152900</wp:posOffset>
          </wp:positionH>
          <wp:positionV relativeFrom="paragraph">
            <wp:posOffset>-276860</wp:posOffset>
          </wp:positionV>
          <wp:extent cx="1511935" cy="647700"/>
          <wp:effectExtent l="0" t="0" r="0"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6477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73FC6"/>
    <w:multiLevelType w:val="hybridMultilevel"/>
    <w:tmpl w:val="C210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0A1932"/>
    <w:multiLevelType w:val="hybridMultilevel"/>
    <w:tmpl w:val="8E06E3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82089E"/>
    <w:multiLevelType w:val="hybridMultilevel"/>
    <w:tmpl w:val="B55036A0"/>
    <w:lvl w:ilvl="0" w:tplc="6A00FC74">
      <w:start w:val="1"/>
      <w:numFmt w:val="decimal"/>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 w15:restartNumberingAfterBreak="0">
    <w:nsid w:val="08F6780C"/>
    <w:multiLevelType w:val="hybridMultilevel"/>
    <w:tmpl w:val="5A90C1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91C20EB"/>
    <w:multiLevelType w:val="hybridMultilevel"/>
    <w:tmpl w:val="A73C3F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CF84432"/>
    <w:multiLevelType w:val="hybridMultilevel"/>
    <w:tmpl w:val="E5FEC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2742D5"/>
    <w:multiLevelType w:val="hybridMultilevel"/>
    <w:tmpl w:val="2A905732"/>
    <w:lvl w:ilvl="0" w:tplc="F30A46B0">
      <w:start w:val="5"/>
      <w:numFmt w:val="bullet"/>
      <w:lvlText w:val=""/>
      <w:lvlJc w:val="left"/>
      <w:pPr>
        <w:ind w:left="720" w:hanging="360"/>
      </w:pPr>
      <w:rPr>
        <w:rFonts w:ascii="Symbol" w:eastAsia="Calibri"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17F9534F"/>
    <w:multiLevelType w:val="hybridMultilevel"/>
    <w:tmpl w:val="9FFE697A"/>
    <w:lvl w:ilvl="0" w:tplc="9D241826">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1DF330DE"/>
    <w:multiLevelType w:val="hybridMultilevel"/>
    <w:tmpl w:val="1A904F1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C64270D"/>
    <w:multiLevelType w:val="hybridMultilevel"/>
    <w:tmpl w:val="65BE91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EEA0F3E"/>
    <w:multiLevelType w:val="hybridMultilevel"/>
    <w:tmpl w:val="550293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1070EC9"/>
    <w:multiLevelType w:val="hybridMultilevel"/>
    <w:tmpl w:val="209C8C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127439B"/>
    <w:multiLevelType w:val="hybridMultilevel"/>
    <w:tmpl w:val="4F140C70"/>
    <w:lvl w:ilvl="0" w:tplc="BE0C7E86">
      <w:start w:val="1"/>
      <w:numFmt w:val="decimal"/>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13" w15:restartNumberingAfterBreak="0">
    <w:nsid w:val="467364C2"/>
    <w:multiLevelType w:val="hybridMultilevel"/>
    <w:tmpl w:val="1528E8EE"/>
    <w:lvl w:ilvl="0" w:tplc="C314806C">
      <w:start w:val="4"/>
      <w:numFmt w:val="bullet"/>
      <w:lvlText w:val="-"/>
      <w:lvlJc w:val="left"/>
      <w:pPr>
        <w:ind w:left="435" w:hanging="360"/>
      </w:pPr>
      <w:rPr>
        <w:rFonts w:ascii="Verdana" w:eastAsiaTheme="minorHAnsi" w:hAnsi="Verdana" w:cs="Arial" w:hint="default"/>
      </w:rPr>
    </w:lvl>
    <w:lvl w:ilvl="1" w:tplc="240A0003">
      <w:start w:val="1"/>
      <w:numFmt w:val="bullet"/>
      <w:lvlText w:val="o"/>
      <w:lvlJc w:val="left"/>
      <w:pPr>
        <w:ind w:left="1155" w:hanging="360"/>
      </w:pPr>
      <w:rPr>
        <w:rFonts w:ascii="Courier New" w:hAnsi="Courier New" w:cs="Courier New" w:hint="default"/>
      </w:rPr>
    </w:lvl>
    <w:lvl w:ilvl="2" w:tplc="240A0005">
      <w:start w:val="1"/>
      <w:numFmt w:val="bullet"/>
      <w:lvlText w:val=""/>
      <w:lvlJc w:val="left"/>
      <w:pPr>
        <w:ind w:left="1875" w:hanging="360"/>
      </w:pPr>
      <w:rPr>
        <w:rFonts w:ascii="Wingdings" w:hAnsi="Wingdings" w:hint="default"/>
      </w:rPr>
    </w:lvl>
    <w:lvl w:ilvl="3" w:tplc="240A0001">
      <w:start w:val="1"/>
      <w:numFmt w:val="bullet"/>
      <w:lvlText w:val=""/>
      <w:lvlJc w:val="left"/>
      <w:pPr>
        <w:ind w:left="2595" w:hanging="360"/>
      </w:pPr>
      <w:rPr>
        <w:rFonts w:ascii="Symbol" w:hAnsi="Symbol" w:hint="default"/>
      </w:rPr>
    </w:lvl>
    <w:lvl w:ilvl="4" w:tplc="240A0003">
      <w:start w:val="1"/>
      <w:numFmt w:val="bullet"/>
      <w:lvlText w:val="o"/>
      <w:lvlJc w:val="left"/>
      <w:pPr>
        <w:ind w:left="3315" w:hanging="360"/>
      </w:pPr>
      <w:rPr>
        <w:rFonts w:ascii="Courier New" w:hAnsi="Courier New" w:cs="Courier New" w:hint="default"/>
      </w:rPr>
    </w:lvl>
    <w:lvl w:ilvl="5" w:tplc="240A0005">
      <w:start w:val="1"/>
      <w:numFmt w:val="bullet"/>
      <w:lvlText w:val=""/>
      <w:lvlJc w:val="left"/>
      <w:pPr>
        <w:ind w:left="4035" w:hanging="360"/>
      </w:pPr>
      <w:rPr>
        <w:rFonts w:ascii="Wingdings" w:hAnsi="Wingdings" w:hint="default"/>
      </w:rPr>
    </w:lvl>
    <w:lvl w:ilvl="6" w:tplc="240A0001">
      <w:start w:val="1"/>
      <w:numFmt w:val="bullet"/>
      <w:lvlText w:val=""/>
      <w:lvlJc w:val="left"/>
      <w:pPr>
        <w:ind w:left="4755" w:hanging="360"/>
      </w:pPr>
      <w:rPr>
        <w:rFonts w:ascii="Symbol" w:hAnsi="Symbol" w:hint="default"/>
      </w:rPr>
    </w:lvl>
    <w:lvl w:ilvl="7" w:tplc="240A0003">
      <w:start w:val="1"/>
      <w:numFmt w:val="bullet"/>
      <w:lvlText w:val="o"/>
      <w:lvlJc w:val="left"/>
      <w:pPr>
        <w:ind w:left="5475" w:hanging="360"/>
      </w:pPr>
      <w:rPr>
        <w:rFonts w:ascii="Courier New" w:hAnsi="Courier New" w:cs="Courier New" w:hint="default"/>
      </w:rPr>
    </w:lvl>
    <w:lvl w:ilvl="8" w:tplc="240A0005">
      <w:start w:val="1"/>
      <w:numFmt w:val="bullet"/>
      <w:lvlText w:val=""/>
      <w:lvlJc w:val="left"/>
      <w:pPr>
        <w:ind w:left="6195" w:hanging="360"/>
      </w:pPr>
      <w:rPr>
        <w:rFonts w:ascii="Wingdings" w:hAnsi="Wingdings" w:hint="default"/>
      </w:rPr>
    </w:lvl>
  </w:abstractNum>
  <w:abstractNum w:abstractNumId="14" w15:restartNumberingAfterBreak="0">
    <w:nsid w:val="6DCD276F"/>
    <w:multiLevelType w:val="hybridMultilevel"/>
    <w:tmpl w:val="CEE602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E405EF8"/>
    <w:multiLevelType w:val="hybridMultilevel"/>
    <w:tmpl w:val="AF606B18"/>
    <w:lvl w:ilvl="0" w:tplc="A1E44E96">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78287606"/>
    <w:multiLevelType w:val="multilevel"/>
    <w:tmpl w:val="4CBAD498"/>
    <w:lvl w:ilvl="0">
      <w:start w:val="1"/>
      <w:numFmt w:val="decimal"/>
      <w:lvlText w:val="%1."/>
      <w:lvlJc w:val="left"/>
      <w:pPr>
        <w:ind w:left="720" w:hanging="360"/>
      </w:p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7" w15:restartNumberingAfterBreak="0">
    <w:nsid w:val="79405559"/>
    <w:multiLevelType w:val="hybridMultilevel"/>
    <w:tmpl w:val="DD3AB1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5"/>
  </w:num>
  <w:num w:numId="15">
    <w:abstractNumId w:val="1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4"/>
  </w:num>
  <w:num w:numId="20">
    <w:abstractNumId w:val="9"/>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437"/>
    <w:rsid w:val="000019AD"/>
    <w:rsid w:val="000063CA"/>
    <w:rsid w:val="0001072B"/>
    <w:rsid w:val="00013F1B"/>
    <w:rsid w:val="0001408D"/>
    <w:rsid w:val="000155FA"/>
    <w:rsid w:val="00017843"/>
    <w:rsid w:val="000230AE"/>
    <w:rsid w:val="00024124"/>
    <w:rsid w:val="00024CD4"/>
    <w:rsid w:val="0003091E"/>
    <w:rsid w:val="00031089"/>
    <w:rsid w:val="000318E0"/>
    <w:rsid w:val="00033447"/>
    <w:rsid w:val="00033752"/>
    <w:rsid w:val="00035A3D"/>
    <w:rsid w:val="0003616D"/>
    <w:rsid w:val="0003631F"/>
    <w:rsid w:val="00040EC4"/>
    <w:rsid w:val="0004500B"/>
    <w:rsid w:val="00046133"/>
    <w:rsid w:val="00046807"/>
    <w:rsid w:val="000533F9"/>
    <w:rsid w:val="00060EAB"/>
    <w:rsid w:val="0006226E"/>
    <w:rsid w:val="0006454C"/>
    <w:rsid w:val="00065D6C"/>
    <w:rsid w:val="00066167"/>
    <w:rsid w:val="000666CF"/>
    <w:rsid w:val="00067CFD"/>
    <w:rsid w:val="00072AFD"/>
    <w:rsid w:val="00074383"/>
    <w:rsid w:val="00074940"/>
    <w:rsid w:val="00074B5F"/>
    <w:rsid w:val="00075F33"/>
    <w:rsid w:val="00077EC7"/>
    <w:rsid w:val="000805ED"/>
    <w:rsid w:val="0008074B"/>
    <w:rsid w:val="000833F2"/>
    <w:rsid w:val="00084478"/>
    <w:rsid w:val="00085482"/>
    <w:rsid w:val="00085B64"/>
    <w:rsid w:val="00085CAE"/>
    <w:rsid w:val="0008757A"/>
    <w:rsid w:val="00087B1F"/>
    <w:rsid w:val="0009174B"/>
    <w:rsid w:val="000928ED"/>
    <w:rsid w:val="000943E8"/>
    <w:rsid w:val="00094F32"/>
    <w:rsid w:val="000A1FC1"/>
    <w:rsid w:val="000A5290"/>
    <w:rsid w:val="000A7E42"/>
    <w:rsid w:val="000B1489"/>
    <w:rsid w:val="000B6E80"/>
    <w:rsid w:val="000B7FF8"/>
    <w:rsid w:val="000C0BF0"/>
    <w:rsid w:val="000C0DB3"/>
    <w:rsid w:val="000C37CF"/>
    <w:rsid w:val="000C38BC"/>
    <w:rsid w:val="000C61B4"/>
    <w:rsid w:val="000C70A9"/>
    <w:rsid w:val="000D1F63"/>
    <w:rsid w:val="000D3CBE"/>
    <w:rsid w:val="000D5AB8"/>
    <w:rsid w:val="000D6A78"/>
    <w:rsid w:val="000D736E"/>
    <w:rsid w:val="000E4085"/>
    <w:rsid w:val="000F6E90"/>
    <w:rsid w:val="000F7231"/>
    <w:rsid w:val="001023C8"/>
    <w:rsid w:val="00102AFD"/>
    <w:rsid w:val="00103490"/>
    <w:rsid w:val="00103941"/>
    <w:rsid w:val="00104C57"/>
    <w:rsid w:val="00105922"/>
    <w:rsid w:val="00105FA2"/>
    <w:rsid w:val="001065DA"/>
    <w:rsid w:val="00107004"/>
    <w:rsid w:val="00114A65"/>
    <w:rsid w:val="00115106"/>
    <w:rsid w:val="00124EA0"/>
    <w:rsid w:val="00132F0D"/>
    <w:rsid w:val="001332B2"/>
    <w:rsid w:val="00133D97"/>
    <w:rsid w:val="00144AD4"/>
    <w:rsid w:val="00145054"/>
    <w:rsid w:val="0014604B"/>
    <w:rsid w:val="001557A6"/>
    <w:rsid w:val="00155910"/>
    <w:rsid w:val="00155FFD"/>
    <w:rsid w:val="0016157B"/>
    <w:rsid w:val="00162DB5"/>
    <w:rsid w:val="00164218"/>
    <w:rsid w:val="00164348"/>
    <w:rsid w:val="00165806"/>
    <w:rsid w:val="00166124"/>
    <w:rsid w:val="001705A3"/>
    <w:rsid w:val="0017512E"/>
    <w:rsid w:val="00176B8F"/>
    <w:rsid w:val="00176D74"/>
    <w:rsid w:val="00177068"/>
    <w:rsid w:val="00177266"/>
    <w:rsid w:val="00182529"/>
    <w:rsid w:val="001837E8"/>
    <w:rsid w:val="00184A8B"/>
    <w:rsid w:val="00185FD4"/>
    <w:rsid w:val="00187BC0"/>
    <w:rsid w:val="001928EB"/>
    <w:rsid w:val="00192BFD"/>
    <w:rsid w:val="0019611A"/>
    <w:rsid w:val="00196389"/>
    <w:rsid w:val="001A32B5"/>
    <w:rsid w:val="001A33F5"/>
    <w:rsid w:val="001A4141"/>
    <w:rsid w:val="001A66B6"/>
    <w:rsid w:val="001B0EF2"/>
    <w:rsid w:val="001B12FD"/>
    <w:rsid w:val="001B15A8"/>
    <w:rsid w:val="001B2B22"/>
    <w:rsid w:val="001B37F1"/>
    <w:rsid w:val="001B4189"/>
    <w:rsid w:val="001B4599"/>
    <w:rsid w:val="001C2E8F"/>
    <w:rsid w:val="001C334F"/>
    <w:rsid w:val="001C3733"/>
    <w:rsid w:val="001C4143"/>
    <w:rsid w:val="001D2AA7"/>
    <w:rsid w:val="001D41BB"/>
    <w:rsid w:val="001D7A36"/>
    <w:rsid w:val="001E16DA"/>
    <w:rsid w:val="001E6AA3"/>
    <w:rsid w:val="001F1EB2"/>
    <w:rsid w:val="001F2887"/>
    <w:rsid w:val="001F2D13"/>
    <w:rsid w:val="0020412E"/>
    <w:rsid w:val="00204272"/>
    <w:rsid w:val="00207827"/>
    <w:rsid w:val="00211A9D"/>
    <w:rsid w:val="00213BD3"/>
    <w:rsid w:val="00214628"/>
    <w:rsid w:val="00216B77"/>
    <w:rsid w:val="00222F6F"/>
    <w:rsid w:val="00227C30"/>
    <w:rsid w:val="00236309"/>
    <w:rsid w:val="002417B7"/>
    <w:rsid w:val="002475C8"/>
    <w:rsid w:val="0025121D"/>
    <w:rsid w:val="00251480"/>
    <w:rsid w:val="00262BC9"/>
    <w:rsid w:val="00274D82"/>
    <w:rsid w:val="00277E87"/>
    <w:rsid w:val="00280ACB"/>
    <w:rsid w:val="0028623F"/>
    <w:rsid w:val="00290755"/>
    <w:rsid w:val="00291F6C"/>
    <w:rsid w:val="00293BAB"/>
    <w:rsid w:val="002958FF"/>
    <w:rsid w:val="00297E52"/>
    <w:rsid w:val="002A009B"/>
    <w:rsid w:val="002A16EF"/>
    <w:rsid w:val="002A348D"/>
    <w:rsid w:val="002A64E0"/>
    <w:rsid w:val="002A753E"/>
    <w:rsid w:val="002B21F9"/>
    <w:rsid w:val="002B39EB"/>
    <w:rsid w:val="002B5B9E"/>
    <w:rsid w:val="002C2774"/>
    <w:rsid w:val="002C3CD8"/>
    <w:rsid w:val="002C3F62"/>
    <w:rsid w:val="002D2C83"/>
    <w:rsid w:val="002D4090"/>
    <w:rsid w:val="002D4818"/>
    <w:rsid w:val="002D664E"/>
    <w:rsid w:val="002D75A8"/>
    <w:rsid w:val="002E23A2"/>
    <w:rsid w:val="002E70BA"/>
    <w:rsid w:val="002F0057"/>
    <w:rsid w:val="002F1EE6"/>
    <w:rsid w:val="002F4164"/>
    <w:rsid w:val="002F62F2"/>
    <w:rsid w:val="002F63D1"/>
    <w:rsid w:val="002F77D8"/>
    <w:rsid w:val="003023DF"/>
    <w:rsid w:val="0030621A"/>
    <w:rsid w:val="003100FB"/>
    <w:rsid w:val="00311DCC"/>
    <w:rsid w:val="003150E4"/>
    <w:rsid w:val="00315E2A"/>
    <w:rsid w:val="00316233"/>
    <w:rsid w:val="0032144A"/>
    <w:rsid w:val="00323FA8"/>
    <w:rsid w:val="00326FF6"/>
    <w:rsid w:val="00327244"/>
    <w:rsid w:val="003321AC"/>
    <w:rsid w:val="003332EE"/>
    <w:rsid w:val="00334944"/>
    <w:rsid w:val="00334BD4"/>
    <w:rsid w:val="0033656B"/>
    <w:rsid w:val="00340855"/>
    <w:rsid w:val="00341A58"/>
    <w:rsid w:val="00343C09"/>
    <w:rsid w:val="0034429B"/>
    <w:rsid w:val="003457F3"/>
    <w:rsid w:val="003465EC"/>
    <w:rsid w:val="00347D58"/>
    <w:rsid w:val="00351585"/>
    <w:rsid w:val="00351AB9"/>
    <w:rsid w:val="00353E9F"/>
    <w:rsid w:val="00355BCA"/>
    <w:rsid w:val="003566A7"/>
    <w:rsid w:val="00361A89"/>
    <w:rsid w:val="003641BC"/>
    <w:rsid w:val="003651D3"/>
    <w:rsid w:val="0036794C"/>
    <w:rsid w:val="003709DA"/>
    <w:rsid w:val="003725CD"/>
    <w:rsid w:val="00373A12"/>
    <w:rsid w:val="00374929"/>
    <w:rsid w:val="00381D37"/>
    <w:rsid w:val="00383958"/>
    <w:rsid w:val="00383BD2"/>
    <w:rsid w:val="00390E56"/>
    <w:rsid w:val="003923EA"/>
    <w:rsid w:val="00392DE7"/>
    <w:rsid w:val="0039382C"/>
    <w:rsid w:val="00397ADF"/>
    <w:rsid w:val="003A0BFE"/>
    <w:rsid w:val="003A2491"/>
    <w:rsid w:val="003A3F60"/>
    <w:rsid w:val="003A570A"/>
    <w:rsid w:val="003A7188"/>
    <w:rsid w:val="003A71CD"/>
    <w:rsid w:val="003A78FB"/>
    <w:rsid w:val="003A7B1C"/>
    <w:rsid w:val="003B0014"/>
    <w:rsid w:val="003B0CE1"/>
    <w:rsid w:val="003B1AB5"/>
    <w:rsid w:val="003B1AC8"/>
    <w:rsid w:val="003B1D50"/>
    <w:rsid w:val="003B298B"/>
    <w:rsid w:val="003B47DE"/>
    <w:rsid w:val="003C2BDC"/>
    <w:rsid w:val="003C4638"/>
    <w:rsid w:val="003C6388"/>
    <w:rsid w:val="003C647D"/>
    <w:rsid w:val="003C7CE3"/>
    <w:rsid w:val="003D227A"/>
    <w:rsid w:val="003D5654"/>
    <w:rsid w:val="003E04C9"/>
    <w:rsid w:val="003E13B9"/>
    <w:rsid w:val="003E2B4B"/>
    <w:rsid w:val="003E548E"/>
    <w:rsid w:val="003E6D64"/>
    <w:rsid w:val="003E7026"/>
    <w:rsid w:val="003E70AC"/>
    <w:rsid w:val="003E7E76"/>
    <w:rsid w:val="003F047E"/>
    <w:rsid w:val="003F082E"/>
    <w:rsid w:val="003F1F95"/>
    <w:rsid w:val="003F20F9"/>
    <w:rsid w:val="003F714A"/>
    <w:rsid w:val="00401706"/>
    <w:rsid w:val="00401816"/>
    <w:rsid w:val="004105AB"/>
    <w:rsid w:val="00410B8F"/>
    <w:rsid w:val="00410BF3"/>
    <w:rsid w:val="00410D34"/>
    <w:rsid w:val="0041200D"/>
    <w:rsid w:val="00422C3E"/>
    <w:rsid w:val="0042649B"/>
    <w:rsid w:val="0043378C"/>
    <w:rsid w:val="004344C9"/>
    <w:rsid w:val="00442662"/>
    <w:rsid w:val="0044366E"/>
    <w:rsid w:val="00446157"/>
    <w:rsid w:val="00446ABF"/>
    <w:rsid w:val="0044735E"/>
    <w:rsid w:val="00447A83"/>
    <w:rsid w:val="00450228"/>
    <w:rsid w:val="0045116B"/>
    <w:rsid w:val="00453433"/>
    <w:rsid w:val="00460152"/>
    <w:rsid w:val="0046100C"/>
    <w:rsid w:val="004628AF"/>
    <w:rsid w:val="004648BD"/>
    <w:rsid w:val="00473AAE"/>
    <w:rsid w:val="004742A8"/>
    <w:rsid w:val="004859ED"/>
    <w:rsid w:val="004873C6"/>
    <w:rsid w:val="00487D27"/>
    <w:rsid w:val="00490C42"/>
    <w:rsid w:val="00491C2D"/>
    <w:rsid w:val="00492F00"/>
    <w:rsid w:val="00494915"/>
    <w:rsid w:val="00495009"/>
    <w:rsid w:val="00495DE5"/>
    <w:rsid w:val="004A0E17"/>
    <w:rsid w:val="004A24DE"/>
    <w:rsid w:val="004A2C48"/>
    <w:rsid w:val="004A3B49"/>
    <w:rsid w:val="004A5711"/>
    <w:rsid w:val="004A5819"/>
    <w:rsid w:val="004B07A4"/>
    <w:rsid w:val="004B2424"/>
    <w:rsid w:val="004B381D"/>
    <w:rsid w:val="004B3AAF"/>
    <w:rsid w:val="004B4CD9"/>
    <w:rsid w:val="004B4DF1"/>
    <w:rsid w:val="004C0C8F"/>
    <w:rsid w:val="004C124A"/>
    <w:rsid w:val="004C1F3A"/>
    <w:rsid w:val="004C3FA5"/>
    <w:rsid w:val="004C4DCC"/>
    <w:rsid w:val="004C528D"/>
    <w:rsid w:val="004D1600"/>
    <w:rsid w:val="004D3B39"/>
    <w:rsid w:val="004E5398"/>
    <w:rsid w:val="004F2D7F"/>
    <w:rsid w:val="004F360D"/>
    <w:rsid w:val="004F4AAA"/>
    <w:rsid w:val="004F4D16"/>
    <w:rsid w:val="00507ACC"/>
    <w:rsid w:val="0051006C"/>
    <w:rsid w:val="005101E1"/>
    <w:rsid w:val="005114A3"/>
    <w:rsid w:val="00513040"/>
    <w:rsid w:val="00515174"/>
    <w:rsid w:val="00517869"/>
    <w:rsid w:val="005218F4"/>
    <w:rsid w:val="00521D16"/>
    <w:rsid w:val="005238A5"/>
    <w:rsid w:val="00524DF0"/>
    <w:rsid w:val="0052602B"/>
    <w:rsid w:val="00526F55"/>
    <w:rsid w:val="00527F19"/>
    <w:rsid w:val="00527F84"/>
    <w:rsid w:val="00531953"/>
    <w:rsid w:val="00532DF2"/>
    <w:rsid w:val="0053302A"/>
    <w:rsid w:val="00536490"/>
    <w:rsid w:val="00536E4C"/>
    <w:rsid w:val="005378C3"/>
    <w:rsid w:val="00546FFD"/>
    <w:rsid w:val="00551B30"/>
    <w:rsid w:val="00555A14"/>
    <w:rsid w:val="00561B95"/>
    <w:rsid w:val="00566405"/>
    <w:rsid w:val="00566702"/>
    <w:rsid w:val="00567BB6"/>
    <w:rsid w:val="00574B79"/>
    <w:rsid w:val="00577345"/>
    <w:rsid w:val="00577437"/>
    <w:rsid w:val="00577B61"/>
    <w:rsid w:val="00583545"/>
    <w:rsid w:val="00586C3C"/>
    <w:rsid w:val="0059007F"/>
    <w:rsid w:val="00592F6B"/>
    <w:rsid w:val="005A1424"/>
    <w:rsid w:val="005A207B"/>
    <w:rsid w:val="005A21ED"/>
    <w:rsid w:val="005A5C17"/>
    <w:rsid w:val="005B1B85"/>
    <w:rsid w:val="005B288C"/>
    <w:rsid w:val="005B3C1F"/>
    <w:rsid w:val="005B404F"/>
    <w:rsid w:val="005B4753"/>
    <w:rsid w:val="005C4A50"/>
    <w:rsid w:val="005C5887"/>
    <w:rsid w:val="005D346B"/>
    <w:rsid w:val="005D3A81"/>
    <w:rsid w:val="005D3AF9"/>
    <w:rsid w:val="005E02F7"/>
    <w:rsid w:val="005E390A"/>
    <w:rsid w:val="005E5DBE"/>
    <w:rsid w:val="005E6FFB"/>
    <w:rsid w:val="005F5020"/>
    <w:rsid w:val="005F5598"/>
    <w:rsid w:val="005F597E"/>
    <w:rsid w:val="005F6E49"/>
    <w:rsid w:val="005F74C4"/>
    <w:rsid w:val="005F7760"/>
    <w:rsid w:val="00600F81"/>
    <w:rsid w:val="00602E08"/>
    <w:rsid w:val="00603CCE"/>
    <w:rsid w:val="0060465E"/>
    <w:rsid w:val="00610D23"/>
    <w:rsid w:val="00612A44"/>
    <w:rsid w:val="0061460E"/>
    <w:rsid w:val="00617FF3"/>
    <w:rsid w:val="006202B3"/>
    <w:rsid w:val="006225BF"/>
    <w:rsid w:val="00623B18"/>
    <w:rsid w:val="00623F6C"/>
    <w:rsid w:val="00625795"/>
    <w:rsid w:val="00637150"/>
    <w:rsid w:val="0063748F"/>
    <w:rsid w:val="00637947"/>
    <w:rsid w:val="006425C2"/>
    <w:rsid w:val="00642D69"/>
    <w:rsid w:val="00643CD6"/>
    <w:rsid w:val="0064675D"/>
    <w:rsid w:val="00647B2E"/>
    <w:rsid w:val="00647F84"/>
    <w:rsid w:val="0065305F"/>
    <w:rsid w:val="0065580E"/>
    <w:rsid w:val="0065622D"/>
    <w:rsid w:val="006565DF"/>
    <w:rsid w:val="00656814"/>
    <w:rsid w:val="00656974"/>
    <w:rsid w:val="00656CC9"/>
    <w:rsid w:val="00657ED9"/>
    <w:rsid w:val="006643D5"/>
    <w:rsid w:val="006671B1"/>
    <w:rsid w:val="006677E0"/>
    <w:rsid w:val="006744F3"/>
    <w:rsid w:val="00677DC5"/>
    <w:rsid w:val="006820E3"/>
    <w:rsid w:val="00685FA5"/>
    <w:rsid w:val="0068641D"/>
    <w:rsid w:val="0068684F"/>
    <w:rsid w:val="00687B3D"/>
    <w:rsid w:val="00691363"/>
    <w:rsid w:val="006913D4"/>
    <w:rsid w:val="00692903"/>
    <w:rsid w:val="00697A7D"/>
    <w:rsid w:val="006A11A6"/>
    <w:rsid w:val="006A14A9"/>
    <w:rsid w:val="006A1E7E"/>
    <w:rsid w:val="006A2707"/>
    <w:rsid w:val="006A4186"/>
    <w:rsid w:val="006A4965"/>
    <w:rsid w:val="006A6D4F"/>
    <w:rsid w:val="006B792C"/>
    <w:rsid w:val="006C0C8A"/>
    <w:rsid w:val="006C10B0"/>
    <w:rsid w:val="006C1270"/>
    <w:rsid w:val="006D3EC3"/>
    <w:rsid w:val="006D4A4E"/>
    <w:rsid w:val="006D5036"/>
    <w:rsid w:val="006D533D"/>
    <w:rsid w:val="006D5A67"/>
    <w:rsid w:val="006D5C7B"/>
    <w:rsid w:val="006E64E7"/>
    <w:rsid w:val="006E6C23"/>
    <w:rsid w:val="006E7020"/>
    <w:rsid w:val="006F192A"/>
    <w:rsid w:val="006F4661"/>
    <w:rsid w:val="0070616E"/>
    <w:rsid w:val="00706337"/>
    <w:rsid w:val="00710FE8"/>
    <w:rsid w:val="007124D1"/>
    <w:rsid w:val="0071673A"/>
    <w:rsid w:val="00720646"/>
    <w:rsid w:val="00722E38"/>
    <w:rsid w:val="007249C9"/>
    <w:rsid w:val="0073261F"/>
    <w:rsid w:val="007345FF"/>
    <w:rsid w:val="00734F96"/>
    <w:rsid w:val="00745287"/>
    <w:rsid w:val="00751997"/>
    <w:rsid w:val="00752198"/>
    <w:rsid w:val="007534B1"/>
    <w:rsid w:val="00753AB9"/>
    <w:rsid w:val="00753EF4"/>
    <w:rsid w:val="007542C3"/>
    <w:rsid w:val="00755D51"/>
    <w:rsid w:val="00757882"/>
    <w:rsid w:val="00757C92"/>
    <w:rsid w:val="00761BEC"/>
    <w:rsid w:val="00762F08"/>
    <w:rsid w:val="007645E6"/>
    <w:rsid w:val="00764F28"/>
    <w:rsid w:val="0077128B"/>
    <w:rsid w:val="00771982"/>
    <w:rsid w:val="00772F8E"/>
    <w:rsid w:val="007739C9"/>
    <w:rsid w:val="007740A2"/>
    <w:rsid w:val="007744A6"/>
    <w:rsid w:val="00775281"/>
    <w:rsid w:val="00781153"/>
    <w:rsid w:val="007826B2"/>
    <w:rsid w:val="00782DBB"/>
    <w:rsid w:val="00782FCA"/>
    <w:rsid w:val="00784CE0"/>
    <w:rsid w:val="00784F4E"/>
    <w:rsid w:val="00785A75"/>
    <w:rsid w:val="00786386"/>
    <w:rsid w:val="007926B2"/>
    <w:rsid w:val="007926B9"/>
    <w:rsid w:val="007A63F8"/>
    <w:rsid w:val="007A6C82"/>
    <w:rsid w:val="007B2D47"/>
    <w:rsid w:val="007B391C"/>
    <w:rsid w:val="007B4CD8"/>
    <w:rsid w:val="007C0D0D"/>
    <w:rsid w:val="007D3DD4"/>
    <w:rsid w:val="007D3F24"/>
    <w:rsid w:val="007D51A9"/>
    <w:rsid w:val="007D52D9"/>
    <w:rsid w:val="007D79B9"/>
    <w:rsid w:val="007E16B3"/>
    <w:rsid w:val="007E332D"/>
    <w:rsid w:val="007E391B"/>
    <w:rsid w:val="007E3E40"/>
    <w:rsid w:val="007F0748"/>
    <w:rsid w:val="007F302D"/>
    <w:rsid w:val="007F3370"/>
    <w:rsid w:val="007F7167"/>
    <w:rsid w:val="007F723F"/>
    <w:rsid w:val="00801058"/>
    <w:rsid w:val="0080294E"/>
    <w:rsid w:val="00804577"/>
    <w:rsid w:val="00807AFE"/>
    <w:rsid w:val="0081039C"/>
    <w:rsid w:val="00810662"/>
    <w:rsid w:val="00811E97"/>
    <w:rsid w:val="00812FB2"/>
    <w:rsid w:val="00815B26"/>
    <w:rsid w:val="00816AAC"/>
    <w:rsid w:val="00816F5A"/>
    <w:rsid w:val="00820726"/>
    <w:rsid w:val="008240D1"/>
    <w:rsid w:val="008254EF"/>
    <w:rsid w:val="0082694C"/>
    <w:rsid w:val="00827F1C"/>
    <w:rsid w:val="00835174"/>
    <w:rsid w:val="0083716D"/>
    <w:rsid w:val="0083729A"/>
    <w:rsid w:val="00841D6D"/>
    <w:rsid w:val="00844EBD"/>
    <w:rsid w:val="008474F8"/>
    <w:rsid w:val="00847DD0"/>
    <w:rsid w:val="0085079B"/>
    <w:rsid w:val="00850F81"/>
    <w:rsid w:val="00851482"/>
    <w:rsid w:val="008573F1"/>
    <w:rsid w:val="00863D92"/>
    <w:rsid w:val="00870410"/>
    <w:rsid w:val="00875773"/>
    <w:rsid w:val="00876C7B"/>
    <w:rsid w:val="00882502"/>
    <w:rsid w:val="008854CC"/>
    <w:rsid w:val="00885DA6"/>
    <w:rsid w:val="00886C11"/>
    <w:rsid w:val="00886E75"/>
    <w:rsid w:val="008879AE"/>
    <w:rsid w:val="0089451C"/>
    <w:rsid w:val="008A19C3"/>
    <w:rsid w:val="008A3848"/>
    <w:rsid w:val="008A6084"/>
    <w:rsid w:val="008B43F3"/>
    <w:rsid w:val="008B495A"/>
    <w:rsid w:val="008B54C0"/>
    <w:rsid w:val="008B60DB"/>
    <w:rsid w:val="008B662C"/>
    <w:rsid w:val="008B6C64"/>
    <w:rsid w:val="008B7145"/>
    <w:rsid w:val="008B7780"/>
    <w:rsid w:val="008C26C3"/>
    <w:rsid w:val="008C2EFA"/>
    <w:rsid w:val="008C3659"/>
    <w:rsid w:val="008C3AFC"/>
    <w:rsid w:val="008C3D44"/>
    <w:rsid w:val="008C4536"/>
    <w:rsid w:val="008D0492"/>
    <w:rsid w:val="008D2A57"/>
    <w:rsid w:val="008E01EB"/>
    <w:rsid w:val="008E0678"/>
    <w:rsid w:val="008E55D3"/>
    <w:rsid w:val="008F2642"/>
    <w:rsid w:val="008F636A"/>
    <w:rsid w:val="009003D2"/>
    <w:rsid w:val="009076C2"/>
    <w:rsid w:val="00910569"/>
    <w:rsid w:val="00911757"/>
    <w:rsid w:val="009124B4"/>
    <w:rsid w:val="00913E51"/>
    <w:rsid w:val="00917F11"/>
    <w:rsid w:val="00922E75"/>
    <w:rsid w:val="00924771"/>
    <w:rsid w:val="00924829"/>
    <w:rsid w:val="00924E9E"/>
    <w:rsid w:val="009251FC"/>
    <w:rsid w:val="0092521E"/>
    <w:rsid w:val="009323D5"/>
    <w:rsid w:val="00932497"/>
    <w:rsid w:val="00933742"/>
    <w:rsid w:val="0093582A"/>
    <w:rsid w:val="00941E6D"/>
    <w:rsid w:val="0094483B"/>
    <w:rsid w:val="00944F29"/>
    <w:rsid w:val="00956CA8"/>
    <w:rsid w:val="00956EB9"/>
    <w:rsid w:val="00966D3D"/>
    <w:rsid w:val="00972186"/>
    <w:rsid w:val="0097418A"/>
    <w:rsid w:val="00982417"/>
    <w:rsid w:val="00983D8E"/>
    <w:rsid w:val="00984DEB"/>
    <w:rsid w:val="0098686A"/>
    <w:rsid w:val="00990CE1"/>
    <w:rsid w:val="00996775"/>
    <w:rsid w:val="009A363D"/>
    <w:rsid w:val="009B050B"/>
    <w:rsid w:val="009B09F6"/>
    <w:rsid w:val="009B5BBF"/>
    <w:rsid w:val="009C0800"/>
    <w:rsid w:val="009C1F3E"/>
    <w:rsid w:val="009C3574"/>
    <w:rsid w:val="009C5B6D"/>
    <w:rsid w:val="009D080A"/>
    <w:rsid w:val="009D23BB"/>
    <w:rsid w:val="009D37F4"/>
    <w:rsid w:val="009D3F1F"/>
    <w:rsid w:val="009D5045"/>
    <w:rsid w:val="009D5121"/>
    <w:rsid w:val="009F1C5F"/>
    <w:rsid w:val="00A00674"/>
    <w:rsid w:val="00A01108"/>
    <w:rsid w:val="00A06ED4"/>
    <w:rsid w:val="00A100F8"/>
    <w:rsid w:val="00A10A62"/>
    <w:rsid w:val="00A10DAB"/>
    <w:rsid w:val="00A110E1"/>
    <w:rsid w:val="00A1243B"/>
    <w:rsid w:val="00A1382E"/>
    <w:rsid w:val="00A147AF"/>
    <w:rsid w:val="00A20449"/>
    <w:rsid w:val="00A24CC3"/>
    <w:rsid w:val="00A24D74"/>
    <w:rsid w:val="00A25A5C"/>
    <w:rsid w:val="00A265A9"/>
    <w:rsid w:val="00A265CD"/>
    <w:rsid w:val="00A32A31"/>
    <w:rsid w:val="00A32BB1"/>
    <w:rsid w:val="00A35571"/>
    <w:rsid w:val="00A361F0"/>
    <w:rsid w:val="00A42274"/>
    <w:rsid w:val="00A50670"/>
    <w:rsid w:val="00A50994"/>
    <w:rsid w:val="00A50E43"/>
    <w:rsid w:val="00A527AB"/>
    <w:rsid w:val="00A54418"/>
    <w:rsid w:val="00A553B0"/>
    <w:rsid w:val="00A604FE"/>
    <w:rsid w:val="00A62FE4"/>
    <w:rsid w:val="00A63BD6"/>
    <w:rsid w:val="00A641AE"/>
    <w:rsid w:val="00A64656"/>
    <w:rsid w:val="00A717E2"/>
    <w:rsid w:val="00A7267A"/>
    <w:rsid w:val="00A73329"/>
    <w:rsid w:val="00A73C09"/>
    <w:rsid w:val="00A747BD"/>
    <w:rsid w:val="00A74E03"/>
    <w:rsid w:val="00A937DF"/>
    <w:rsid w:val="00A94CF0"/>
    <w:rsid w:val="00A95F21"/>
    <w:rsid w:val="00AB0028"/>
    <w:rsid w:val="00AB0BEE"/>
    <w:rsid w:val="00AB2559"/>
    <w:rsid w:val="00AB4003"/>
    <w:rsid w:val="00AB699C"/>
    <w:rsid w:val="00AC0729"/>
    <w:rsid w:val="00AC4A70"/>
    <w:rsid w:val="00AD217F"/>
    <w:rsid w:val="00AD6EEA"/>
    <w:rsid w:val="00AE05D5"/>
    <w:rsid w:val="00AE0C3B"/>
    <w:rsid w:val="00AE3D79"/>
    <w:rsid w:val="00AE5A3E"/>
    <w:rsid w:val="00AF753E"/>
    <w:rsid w:val="00AF7D52"/>
    <w:rsid w:val="00B01218"/>
    <w:rsid w:val="00B12EA0"/>
    <w:rsid w:val="00B15708"/>
    <w:rsid w:val="00B15EDA"/>
    <w:rsid w:val="00B21A12"/>
    <w:rsid w:val="00B22187"/>
    <w:rsid w:val="00B27A35"/>
    <w:rsid w:val="00B27B8F"/>
    <w:rsid w:val="00B30435"/>
    <w:rsid w:val="00B30C3C"/>
    <w:rsid w:val="00B3110D"/>
    <w:rsid w:val="00B344A1"/>
    <w:rsid w:val="00B347D7"/>
    <w:rsid w:val="00B36B37"/>
    <w:rsid w:val="00B44046"/>
    <w:rsid w:val="00B453B9"/>
    <w:rsid w:val="00B476A7"/>
    <w:rsid w:val="00B55077"/>
    <w:rsid w:val="00B5600B"/>
    <w:rsid w:val="00B6017A"/>
    <w:rsid w:val="00B62CB2"/>
    <w:rsid w:val="00B67BD3"/>
    <w:rsid w:val="00B75A28"/>
    <w:rsid w:val="00B75A53"/>
    <w:rsid w:val="00B76C0C"/>
    <w:rsid w:val="00B77387"/>
    <w:rsid w:val="00B8090D"/>
    <w:rsid w:val="00B822F9"/>
    <w:rsid w:val="00B83391"/>
    <w:rsid w:val="00B83756"/>
    <w:rsid w:val="00B8484F"/>
    <w:rsid w:val="00B84CAE"/>
    <w:rsid w:val="00B8601E"/>
    <w:rsid w:val="00B8732C"/>
    <w:rsid w:val="00B94F62"/>
    <w:rsid w:val="00B950DA"/>
    <w:rsid w:val="00B95B68"/>
    <w:rsid w:val="00B96D90"/>
    <w:rsid w:val="00B9750D"/>
    <w:rsid w:val="00BA4ABB"/>
    <w:rsid w:val="00BB25C5"/>
    <w:rsid w:val="00BB45DF"/>
    <w:rsid w:val="00BB4A30"/>
    <w:rsid w:val="00BB7582"/>
    <w:rsid w:val="00BC036D"/>
    <w:rsid w:val="00BC3959"/>
    <w:rsid w:val="00BC4F86"/>
    <w:rsid w:val="00BC5732"/>
    <w:rsid w:val="00BD3F79"/>
    <w:rsid w:val="00BD5DF2"/>
    <w:rsid w:val="00BD640B"/>
    <w:rsid w:val="00BE62B6"/>
    <w:rsid w:val="00BF3C0D"/>
    <w:rsid w:val="00BF44E5"/>
    <w:rsid w:val="00BF65D2"/>
    <w:rsid w:val="00C0184E"/>
    <w:rsid w:val="00C05B0E"/>
    <w:rsid w:val="00C14685"/>
    <w:rsid w:val="00C146C2"/>
    <w:rsid w:val="00C16851"/>
    <w:rsid w:val="00C20BB6"/>
    <w:rsid w:val="00C21054"/>
    <w:rsid w:val="00C21CD0"/>
    <w:rsid w:val="00C236FE"/>
    <w:rsid w:val="00C23F68"/>
    <w:rsid w:val="00C277DF"/>
    <w:rsid w:val="00C307D9"/>
    <w:rsid w:val="00C31D8A"/>
    <w:rsid w:val="00C333DC"/>
    <w:rsid w:val="00C347F8"/>
    <w:rsid w:val="00C42283"/>
    <w:rsid w:val="00C42ACC"/>
    <w:rsid w:val="00C44301"/>
    <w:rsid w:val="00C456C8"/>
    <w:rsid w:val="00C47358"/>
    <w:rsid w:val="00C51BF6"/>
    <w:rsid w:val="00C52768"/>
    <w:rsid w:val="00C53D3A"/>
    <w:rsid w:val="00C561FA"/>
    <w:rsid w:val="00C61081"/>
    <w:rsid w:val="00C61ED0"/>
    <w:rsid w:val="00C6398A"/>
    <w:rsid w:val="00C643B2"/>
    <w:rsid w:val="00C67CD6"/>
    <w:rsid w:val="00C73F2B"/>
    <w:rsid w:val="00C74C04"/>
    <w:rsid w:val="00C76F38"/>
    <w:rsid w:val="00C8193C"/>
    <w:rsid w:val="00C82C07"/>
    <w:rsid w:val="00C82E64"/>
    <w:rsid w:val="00C851F0"/>
    <w:rsid w:val="00C86F88"/>
    <w:rsid w:val="00C90F76"/>
    <w:rsid w:val="00C94619"/>
    <w:rsid w:val="00C95EC3"/>
    <w:rsid w:val="00CA066C"/>
    <w:rsid w:val="00CA1225"/>
    <w:rsid w:val="00CB0718"/>
    <w:rsid w:val="00CB1DBF"/>
    <w:rsid w:val="00CB23EE"/>
    <w:rsid w:val="00CB366B"/>
    <w:rsid w:val="00CC028D"/>
    <w:rsid w:val="00CC0447"/>
    <w:rsid w:val="00CC0FD2"/>
    <w:rsid w:val="00CC2A6C"/>
    <w:rsid w:val="00CC36BC"/>
    <w:rsid w:val="00CC3914"/>
    <w:rsid w:val="00CC6EEB"/>
    <w:rsid w:val="00CC779E"/>
    <w:rsid w:val="00CD082A"/>
    <w:rsid w:val="00CD2EDD"/>
    <w:rsid w:val="00CD72F1"/>
    <w:rsid w:val="00CE0B92"/>
    <w:rsid w:val="00CE1BF8"/>
    <w:rsid w:val="00CE32E0"/>
    <w:rsid w:val="00CE6AC2"/>
    <w:rsid w:val="00CE6E60"/>
    <w:rsid w:val="00CF7E11"/>
    <w:rsid w:val="00D01606"/>
    <w:rsid w:val="00D01FDD"/>
    <w:rsid w:val="00D02CAD"/>
    <w:rsid w:val="00D053F3"/>
    <w:rsid w:val="00D0684A"/>
    <w:rsid w:val="00D11F9A"/>
    <w:rsid w:val="00D13901"/>
    <w:rsid w:val="00D14F57"/>
    <w:rsid w:val="00D15E80"/>
    <w:rsid w:val="00D17492"/>
    <w:rsid w:val="00D2033A"/>
    <w:rsid w:val="00D22B2A"/>
    <w:rsid w:val="00D242E6"/>
    <w:rsid w:val="00D33278"/>
    <w:rsid w:val="00D339DE"/>
    <w:rsid w:val="00D36D68"/>
    <w:rsid w:val="00D379B0"/>
    <w:rsid w:val="00D41948"/>
    <w:rsid w:val="00D4209B"/>
    <w:rsid w:val="00D51950"/>
    <w:rsid w:val="00D52448"/>
    <w:rsid w:val="00D52A1B"/>
    <w:rsid w:val="00D604A8"/>
    <w:rsid w:val="00D608A9"/>
    <w:rsid w:val="00D64C38"/>
    <w:rsid w:val="00D65DF5"/>
    <w:rsid w:val="00D75DAD"/>
    <w:rsid w:val="00D77034"/>
    <w:rsid w:val="00D82111"/>
    <w:rsid w:val="00D82944"/>
    <w:rsid w:val="00D91DE2"/>
    <w:rsid w:val="00D921DE"/>
    <w:rsid w:val="00D92C76"/>
    <w:rsid w:val="00D9612E"/>
    <w:rsid w:val="00D96294"/>
    <w:rsid w:val="00D96C59"/>
    <w:rsid w:val="00DA00BE"/>
    <w:rsid w:val="00DA08D2"/>
    <w:rsid w:val="00DA134A"/>
    <w:rsid w:val="00DA4538"/>
    <w:rsid w:val="00DB00AA"/>
    <w:rsid w:val="00DB564F"/>
    <w:rsid w:val="00DC25A9"/>
    <w:rsid w:val="00DC4938"/>
    <w:rsid w:val="00DC58A7"/>
    <w:rsid w:val="00DC643D"/>
    <w:rsid w:val="00DD5B91"/>
    <w:rsid w:val="00DE1F6D"/>
    <w:rsid w:val="00DE56A0"/>
    <w:rsid w:val="00DF4105"/>
    <w:rsid w:val="00E03A3C"/>
    <w:rsid w:val="00E05716"/>
    <w:rsid w:val="00E06F29"/>
    <w:rsid w:val="00E0789A"/>
    <w:rsid w:val="00E11AD3"/>
    <w:rsid w:val="00E13386"/>
    <w:rsid w:val="00E1419F"/>
    <w:rsid w:val="00E149FA"/>
    <w:rsid w:val="00E1580F"/>
    <w:rsid w:val="00E217E1"/>
    <w:rsid w:val="00E276CB"/>
    <w:rsid w:val="00E32DF2"/>
    <w:rsid w:val="00E34C19"/>
    <w:rsid w:val="00E36B27"/>
    <w:rsid w:val="00E37C4A"/>
    <w:rsid w:val="00E40BA0"/>
    <w:rsid w:val="00E46590"/>
    <w:rsid w:val="00E5053E"/>
    <w:rsid w:val="00E50C98"/>
    <w:rsid w:val="00E50F6C"/>
    <w:rsid w:val="00E51797"/>
    <w:rsid w:val="00E53B63"/>
    <w:rsid w:val="00E54EF3"/>
    <w:rsid w:val="00E55AAB"/>
    <w:rsid w:val="00E62707"/>
    <w:rsid w:val="00E637B4"/>
    <w:rsid w:val="00E64553"/>
    <w:rsid w:val="00E710F0"/>
    <w:rsid w:val="00E719DA"/>
    <w:rsid w:val="00E7276C"/>
    <w:rsid w:val="00E72DF4"/>
    <w:rsid w:val="00E73B7E"/>
    <w:rsid w:val="00E767F5"/>
    <w:rsid w:val="00E8033F"/>
    <w:rsid w:val="00E8209C"/>
    <w:rsid w:val="00E84EBE"/>
    <w:rsid w:val="00E84F9E"/>
    <w:rsid w:val="00E85936"/>
    <w:rsid w:val="00E90557"/>
    <w:rsid w:val="00E90C53"/>
    <w:rsid w:val="00E92A5A"/>
    <w:rsid w:val="00E949E5"/>
    <w:rsid w:val="00E96838"/>
    <w:rsid w:val="00EA00D7"/>
    <w:rsid w:val="00EA0680"/>
    <w:rsid w:val="00EA29C6"/>
    <w:rsid w:val="00EA3C42"/>
    <w:rsid w:val="00EB0490"/>
    <w:rsid w:val="00EB222A"/>
    <w:rsid w:val="00EB2697"/>
    <w:rsid w:val="00EB41CD"/>
    <w:rsid w:val="00EB5AD8"/>
    <w:rsid w:val="00EB72DF"/>
    <w:rsid w:val="00EB7572"/>
    <w:rsid w:val="00EC2760"/>
    <w:rsid w:val="00EC2ABC"/>
    <w:rsid w:val="00EC7541"/>
    <w:rsid w:val="00ED246B"/>
    <w:rsid w:val="00ED2723"/>
    <w:rsid w:val="00ED385F"/>
    <w:rsid w:val="00EE0321"/>
    <w:rsid w:val="00EE2D4C"/>
    <w:rsid w:val="00EE587F"/>
    <w:rsid w:val="00EE7648"/>
    <w:rsid w:val="00EF29A2"/>
    <w:rsid w:val="00EF3CC7"/>
    <w:rsid w:val="00F00857"/>
    <w:rsid w:val="00F10C07"/>
    <w:rsid w:val="00F12D5B"/>
    <w:rsid w:val="00F13F95"/>
    <w:rsid w:val="00F154D1"/>
    <w:rsid w:val="00F20E45"/>
    <w:rsid w:val="00F2332F"/>
    <w:rsid w:val="00F244BB"/>
    <w:rsid w:val="00F245B0"/>
    <w:rsid w:val="00F26132"/>
    <w:rsid w:val="00F270FF"/>
    <w:rsid w:val="00F30E8B"/>
    <w:rsid w:val="00F342E8"/>
    <w:rsid w:val="00F3564E"/>
    <w:rsid w:val="00F35AD8"/>
    <w:rsid w:val="00F36136"/>
    <w:rsid w:val="00F4159B"/>
    <w:rsid w:val="00F41867"/>
    <w:rsid w:val="00F432E2"/>
    <w:rsid w:val="00F43C60"/>
    <w:rsid w:val="00F43CFE"/>
    <w:rsid w:val="00F45B0C"/>
    <w:rsid w:val="00F53221"/>
    <w:rsid w:val="00F53907"/>
    <w:rsid w:val="00F5490B"/>
    <w:rsid w:val="00F54C32"/>
    <w:rsid w:val="00F60C2A"/>
    <w:rsid w:val="00F61027"/>
    <w:rsid w:val="00F66138"/>
    <w:rsid w:val="00F6696C"/>
    <w:rsid w:val="00F66F42"/>
    <w:rsid w:val="00F72C20"/>
    <w:rsid w:val="00F731C9"/>
    <w:rsid w:val="00F73376"/>
    <w:rsid w:val="00F82FA7"/>
    <w:rsid w:val="00F872DB"/>
    <w:rsid w:val="00F92436"/>
    <w:rsid w:val="00F975F9"/>
    <w:rsid w:val="00FA053E"/>
    <w:rsid w:val="00FA0F63"/>
    <w:rsid w:val="00FA1DC2"/>
    <w:rsid w:val="00FA452E"/>
    <w:rsid w:val="00FB6316"/>
    <w:rsid w:val="00FB6950"/>
    <w:rsid w:val="00FC2C63"/>
    <w:rsid w:val="00FC2D94"/>
    <w:rsid w:val="00FC335C"/>
    <w:rsid w:val="00FC4DFA"/>
    <w:rsid w:val="00FC5637"/>
    <w:rsid w:val="00FD15A8"/>
    <w:rsid w:val="00FE0C2D"/>
    <w:rsid w:val="00FE16EB"/>
    <w:rsid w:val="00FE25E3"/>
    <w:rsid w:val="00FE3194"/>
    <w:rsid w:val="00FE359A"/>
    <w:rsid w:val="00FE7F49"/>
    <w:rsid w:val="00FF02C0"/>
    <w:rsid w:val="00FF3D45"/>
    <w:rsid w:val="00FF5DA4"/>
    <w:rsid w:val="00FF78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1DC22"/>
  <w15:docId w15:val="{B2708CC7-FEA2-4C76-8460-6C66F973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437"/>
    <w:pPr>
      <w:spacing w:after="0" w:line="240" w:lineRule="auto"/>
      <w:jc w:val="both"/>
    </w:pPr>
    <w:rPr>
      <w:rFonts w:ascii="Century Gothic" w:eastAsia="Calibri" w:hAnsi="Century Gothic" w:cs="Times New Roman"/>
      <w:sz w:val="24"/>
    </w:rPr>
  </w:style>
  <w:style w:type="paragraph" w:styleId="Ttulo2">
    <w:name w:val="heading 2"/>
    <w:basedOn w:val="Normal"/>
    <w:next w:val="Normal"/>
    <w:link w:val="Ttulo2Car"/>
    <w:qFormat/>
    <w:rsid w:val="00577437"/>
    <w:pPr>
      <w:keepNext/>
      <w:ind w:left="2832" w:firstLine="708"/>
      <w:outlineLvl w:val="1"/>
    </w:pPr>
    <w:rPr>
      <w:rFonts w:ascii="Times New Roman" w:eastAsia="Times New Roman" w:hAnsi="Times New Roman"/>
      <w:b/>
      <w:sz w:val="22"/>
      <w:szCs w:val="24"/>
      <w:lang w:val="es-ES" w:eastAsia="es-ES"/>
    </w:rPr>
  </w:style>
  <w:style w:type="paragraph" w:styleId="Ttulo3">
    <w:name w:val="heading 3"/>
    <w:basedOn w:val="Normal"/>
    <w:next w:val="Normal"/>
    <w:link w:val="Ttulo3Car"/>
    <w:uiPriority w:val="9"/>
    <w:semiHidden/>
    <w:unhideWhenUsed/>
    <w:qFormat/>
    <w:rsid w:val="00FA053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7437"/>
    <w:rPr>
      <w:rFonts w:ascii="Times New Roman" w:eastAsia="Times New Roman" w:hAnsi="Times New Roman" w:cs="Times New Roman"/>
      <w:b/>
      <w:szCs w:val="24"/>
      <w:lang w:val="es-ES" w:eastAsia="es-ES"/>
    </w:rPr>
  </w:style>
  <w:style w:type="paragraph" w:styleId="Encabezado">
    <w:name w:val="header"/>
    <w:basedOn w:val="Normal"/>
    <w:link w:val="EncabezadoCar"/>
    <w:uiPriority w:val="99"/>
    <w:unhideWhenUsed/>
    <w:rsid w:val="00577437"/>
    <w:pPr>
      <w:tabs>
        <w:tab w:val="center" w:pos="4419"/>
        <w:tab w:val="right" w:pos="8838"/>
      </w:tabs>
    </w:pPr>
  </w:style>
  <w:style w:type="character" w:customStyle="1" w:styleId="EncabezadoCar">
    <w:name w:val="Encabezado Car"/>
    <w:basedOn w:val="Fuentedeprrafopredeter"/>
    <w:link w:val="Encabezado"/>
    <w:uiPriority w:val="99"/>
    <w:rsid w:val="00577437"/>
    <w:rPr>
      <w:rFonts w:ascii="Century Gothic" w:eastAsia="Calibri" w:hAnsi="Century Gothic" w:cs="Times New Roman"/>
      <w:sz w:val="24"/>
    </w:rPr>
  </w:style>
  <w:style w:type="paragraph" w:styleId="Piedepgina">
    <w:name w:val="footer"/>
    <w:basedOn w:val="Normal"/>
    <w:link w:val="PiedepginaCar"/>
    <w:uiPriority w:val="99"/>
    <w:unhideWhenUsed/>
    <w:rsid w:val="00577437"/>
    <w:pPr>
      <w:tabs>
        <w:tab w:val="center" w:pos="4419"/>
        <w:tab w:val="right" w:pos="8838"/>
      </w:tabs>
    </w:pPr>
  </w:style>
  <w:style w:type="character" w:customStyle="1" w:styleId="PiedepginaCar">
    <w:name w:val="Pie de página Car"/>
    <w:basedOn w:val="Fuentedeprrafopredeter"/>
    <w:link w:val="Piedepgina"/>
    <w:uiPriority w:val="99"/>
    <w:rsid w:val="00577437"/>
    <w:rPr>
      <w:rFonts w:ascii="Century Gothic" w:eastAsia="Calibri" w:hAnsi="Century Gothic" w:cs="Times New Roman"/>
      <w:sz w:val="24"/>
    </w:rPr>
  </w:style>
  <w:style w:type="paragraph" w:styleId="Textoindependiente2">
    <w:name w:val="Body Text 2"/>
    <w:basedOn w:val="Normal"/>
    <w:link w:val="Textoindependiente2Car"/>
    <w:uiPriority w:val="99"/>
    <w:semiHidden/>
    <w:unhideWhenUsed/>
    <w:rsid w:val="00577437"/>
    <w:pPr>
      <w:spacing w:after="120" w:line="480" w:lineRule="auto"/>
    </w:pPr>
  </w:style>
  <w:style w:type="character" w:customStyle="1" w:styleId="Textoindependiente2Car">
    <w:name w:val="Texto independiente 2 Car"/>
    <w:basedOn w:val="Fuentedeprrafopredeter"/>
    <w:link w:val="Textoindependiente2"/>
    <w:uiPriority w:val="99"/>
    <w:semiHidden/>
    <w:rsid w:val="00577437"/>
    <w:rPr>
      <w:rFonts w:ascii="Century Gothic" w:eastAsia="Calibri" w:hAnsi="Century Gothic" w:cs="Times New Roman"/>
      <w:sz w:val="24"/>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Párrafo Numerado"/>
    <w:basedOn w:val="Normal"/>
    <w:link w:val="PrrafodelistaCar"/>
    <w:uiPriority w:val="34"/>
    <w:qFormat/>
    <w:rsid w:val="00577437"/>
    <w:pPr>
      <w:ind w:left="720"/>
      <w:contextualSpacing/>
    </w:pPr>
  </w:style>
  <w:style w:type="paragraph" w:customStyle="1" w:styleId="Default">
    <w:name w:val="Default"/>
    <w:uiPriority w:val="99"/>
    <w:rsid w:val="00577437"/>
    <w:pPr>
      <w:autoSpaceDE w:val="0"/>
      <w:autoSpaceDN w:val="0"/>
      <w:adjustRightInd w:val="0"/>
      <w:spacing w:after="0" w:line="240" w:lineRule="auto"/>
    </w:pPr>
    <w:rPr>
      <w:rFonts w:ascii="Georgia" w:hAnsi="Georgia" w:cs="Georgia"/>
      <w:color w:val="000000"/>
      <w:sz w:val="24"/>
      <w:szCs w:val="24"/>
    </w:rPr>
  </w:style>
  <w:style w:type="paragraph" w:styleId="NormalWeb">
    <w:name w:val="Normal (Web)"/>
    <w:basedOn w:val="Normal"/>
    <w:uiPriority w:val="99"/>
    <w:unhideWhenUsed/>
    <w:rsid w:val="00577437"/>
    <w:pPr>
      <w:spacing w:before="100" w:beforeAutospacing="1" w:after="100" w:afterAutospacing="1"/>
      <w:jc w:val="left"/>
    </w:pPr>
    <w:rPr>
      <w:rFonts w:ascii="Times New Roman" w:eastAsia="Times New Roman" w:hAnsi="Times New Roman"/>
      <w:szCs w:val="24"/>
      <w:lang w:eastAsia="es-CO"/>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rsid w:val="00577437"/>
    <w:rPr>
      <w:rFonts w:ascii="Century Gothic" w:eastAsia="Calibri" w:hAnsi="Century Gothic" w:cs="Times New Roman"/>
      <w:sz w:val="24"/>
    </w:rPr>
  </w:style>
  <w:style w:type="character" w:styleId="Hipervnculo">
    <w:name w:val="Hyperlink"/>
    <w:basedOn w:val="Fuentedeprrafopredeter"/>
    <w:uiPriority w:val="99"/>
    <w:unhideWhenUsed/>
    <w:rsid w:val="00577437"/>
    <w:rPr>
      <w:color w:val="0000FF" w:themeColor="hyperlink"/>
      <w:u w:val="single"/>
    </w:rPr>
  </w:style>
  <w:style w:type="paragraph" w:styleId="Textodeglobo">
    <w:name w:val="Balloon Text"/>
    <w:basedOn w:val="Normal"/>
    <w:link w:val="TextodegloboCar"/>
    <w:uiPriority w:val="99"/>
    <w:semiHidden/>
    <w:unhideWhenUsed/>
    <w:rsid w:val="00577437"/>
    <w:rPr>
      <w:rFonts w:ascii="Tahoma" w:hAnsi="Tahoma" w:cs="Tahoma"/>
      <w:sz w:val="16"/>
      <w:szCs w:val="16"/>
    </w:rPr>
  </w:style>
  <w:style w:type="character" w:customStyle="1" w:styleId="TextodegloboCar">
    <w:name w:val="Texto de globo Car"/>
    <w:basedOn w:val="Fuentedeprrafopredeter"/>
    <w:link w:val="Textodeglobo"/>
    <w:uiPriority w:val="99"/>
    <w:semiHidden/>
    <w:rsid w:val="00577437"/>
    <w:rPr>
      <w:rFonts w:ascii="Tahoma" w:eastAsia="Calibri" w:hAnsi="Tahoma" w:cs="Tahoma"/>
      <w:sz w:val="16"/>
      <w:szCs w:val="16"/>
    </w:rPr>
  </w:style>
  <w:style w:type="character" w:customStyle="1" w:styleId="apple-converted-space">
    <w:name w:val="apple-converted-space"/>
    <w:basedOn w:val="Fuentedeprrafopredeter"/>
    <w:rsid w:val="008254EF"/>
  </w:style>
  <w:style w:type="paragraph" w:styleId="Sinespaciado">
    <w:name w:val="No Spacing"/>
    <w:link w:val="SinespaciadoCar"/>
    <w:uiPriority w:val="1"/>
    <w:qFormat/>
    <w:rsid w:val="008B43F3"/>
    <w:pPr>
      <w:spacing w:after="0" w:line="240" w:lineRule="auto"/>
    </w:pPr>
    <w:rPr>
      <w:rFonts w:ascii="Calibri" w:eastAsia="Calibri" w:hAnsi="Calibri" w:cs="Times New Roman"/>
      <w:lang w:val="es-ES"/>
    </w:rPr>
  </w:style>
  <w:style w:type="paragraph" w:styleId="Textoindependiente">
    <w:name w:val="Body Text"/>
    <w:basedOn w:val="Normal"/>
    <w:link w:val="TextoindependienteCar"/>
    <w:uiPriority w:val="99"/>
    <w:unhideWhenUsed/>
    <w:rsid w:val="00734F96"/>
    <w:pPr>
      <w:spacing w:after="120"/>
    </w:pPr>
  </w:style>
  <w:style w:type="character" w:customStyle="1" w:styleId="TextoindependienteCar">
    <w:name w:val="Texto independiente Car"/>
    <w:basedOn w:val="Fuentedeprrafopredeter"/>
    <w:link w:val="Textoindependiente"/>
    <w:uiPriority w:val="99"/>
    <w:rsid w:val="00734F96"/>
    <w:rPr>
      <w:rFonts w:ascii="Century Gothic" w:eastAsia="Calibri" w:hAnsi="Century Gothic" w:cs="Times New Roman"/>
      <w:sz w:val="24"/>
    </w:rPr>
  </w:style>
  <w:style w:type="paragraph" w:styleId="Textonotapie">
    <w:name w:val="footnote text"/>
    <w:aliases w:val="Ref. de nota al pie1,Texto de nota al pie,referencia nota al pie,Footnote Text Char Char Char Char Char,Footnote Text Char Char Char Char,Footnote reference,FA Fu,Footnote Text Char Char Char,Footnote Text Char,Texto nota pie Ca,ft"/>
    <w:basedOn w:val="Normal"/>
    <w:link w:val="TextonotapieCar"/>
    <w:uiPriority w:val="99"/>
    <w:unhideWhenUsed/>
    <w:qFormat/>
    <w:rsid w:val="00290755"/>
    <w:pPr>
      <w:jc w:val="left"/>
    </w:pPr>
    <w:rPr>
      <w:rFonts w:asciiTheme="minorHAnsi" w:eastAsiaTheme="minorHAnsi" w:hAnsiTheme="minorHAnsi" w:cstheme="minorBidi"/>
      <w:sz w:val="20"/>
      <w:szCs w:val="20"/>
    </w:rPr>
  </w:style>
  <w:style w:type="character" w:customStyle="1" w:styleId="TextonotapieCar">
    <w:name w:val="Texto nota pie Car"/>
    <w:aliases w:val="Ref. de nota al pie1 Car,Texto de nota al pie Car,referencia nota al pie Car,Footnote Text Char Char Char Char Char Car1,Footnote Text Char Char Char Char Car1,Footnote reference Car1,FA Fu Car1,Footnote Text Char Char Char Car1"/>
    <w:basedOn w:val="Fuentedeprrafopredeter"/>
    <w:link w:val="Textonotapie"/>
    <w:uiPriority w:val="99"/>
    <w:rsid w:val="00290755"/>
    <w:rPr>
      <w:sz w:val="20"/>
      <w:szCs w:val="20"/>
    </w:rPr>
  </w:style>
  <w:style w:type="character" w:styleId="Refdenotaalpie">
    <w:name w:val="footnote reference"/>
    <w:aliases w:val="Texto nota pie Car2,texto de nota al pi Car1,Ref. de nota al pie 2,Fago Fußnotenzeichen,Footnote symbol,Footnote,Footnotes refss,Appel note de bas de page,FC,Ref,de nota al pie,Nota de pie,Texto nota al pie,Footnote number,BVI fnr,f"/>
    <w:basedOn w:val="Fuentedeprrafopredeter"/>
    <w:uiPriority w:val="99"/>
    <w:unhideWhenUsed/>
    <w:qFormat/>
    <w:rsid w:val="00290755"/>
    <w:rPr>
      <w:vertAlign w:val="superscript"/>
    </w:rPr>
  </w:style>
  <w:style w:type="paragraph" w:customStyle="1" w:styleId="cuerpotexto">
    <w:name w:val="cuerpotexto"/>
    <w:basedOn w:val="Normal"/>
    <w:rsid w:val="000833F2"/>
    <w:pPr>
      <w:spacing w:before="100" w:beforeAutospacing="1" w:after="100" w:afterAutospacing="1"/>
      <w:jc w:val="left"/>
    </w:pPr>
    <w:rPr>
      <w:rFonts w:ascii="Arial Unicode MS" w:eastAsia="Arial Unicode MS" w:hAnsi="Arial Unicode MS" w:cs="Arial Unicode MS"/>
      <w:szCs w:val="24"/>
      <w:lang w:val="es-ES" w:eastAsia="es-ES"/>
    </w:rPr>
  </w:style>
  <w:style w:type="paragraph" w:styleId="Encabezadodemensaje">
    <w:name w:val="Message Header"/>
    <w:basedOn w:val="Normal"/>
    <w:link w:val="EncabezadodemensajeCar"/>
    <w:uiPriority w:val="99"/>
    <w:unhideWhenUsed/>
    <w:rsid w:val="00A50670"/>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jc w:val="left"/>
    </w:pPr>
    <w:rPr>
      <w:rFonts w:ascii="Cambria" w:eastAsia="Times New Roman" w:hAnsi="Cambria"/>
      <w:szCs w:val="24"/>
      <w:lang w:val="es-ES"/>
    </w:rPr>
  </w:style>
  <w:style w:type="character" w:customStyle="1" w:styleId="EncabezadodemensajeCar">
    <w:name w:val="Encabezado de mensaje Car"/>
    <w:basedOn w:val="Fuentedeprrafopredeter"/>
    <w:link w:val="Encabezadodemensaje"/>
    <w:uiPriority w:val="99"/>
    <w:rsid w:val="00A50670"/>
    <w:rPr>
      <w:rFonts w:ascii="Cambria" w:eastAsia="Times New Roman" w:hAnsi="Cambria" w:cs="Times New Roman"/>
      <w:sz w:val="24"/>
      <w:szCs w:val="24"/>
      <w:shd w:val="pct20" w:color="auto" w:fill="auto"/>
      <w:lang w:val="es-ES"/>
    </w:rPr>
  </w:style>
  <w:style w:type="paragraph" w:styleId="Textoindependiente3">
    <w:name w:val="Body Text 3"/>
    <w:basedOn w:val="Normal"/>
    <w:link w:val="Textoindependiente3Car"/>
    <w:uiPriority w:val="99"/>
    <w:semiHidden/>
    <w:unhideWhenUsed/>
    <w:rsid w:val="0006454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6454C"/>
    <w:rPr>
      <w:rFonts w:ascii="Century Gothic" w:eastAsia="Calibri" w:hAnsi="Century Gothic" w:cs="Times New Roman"/>
      <w:sz w:val="16"/>
      <w:szCs w:val="16"/>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Car"/>
    <w:uiPriority w:val="99"/>
    <w:locked/>
    <w:rsid w:val="0006454C"/>
    <w:rPr>
      <w:lang w:val="es-ES" w:eastAsia="es-ES"/>
    </w:rPr>
  </w:style>
  <w:style w:type="character" w:customStyle="1" w:styleId="SinespaciadoCar">
    <w:name w:val="Sin espaciado Car"/>
    <w:basedOn w:val="Fuentedeprrafopredeter"/>
    <w:link w:val="Sinespaciado"/>
    <w:uiPriority w:val="1"/>
    <w:locked/>
    <w:rsid w:val="00990CE1"/>
    <w:rPr>
      <w:rFonts w:ascii="Calibri" w:eastAsia="Calibri" w:hAnsi="Calibri" w:cs="Times New Roman"/>
      <w:lang w:val="es-ES"/>
    </w:rPr>
  </w:style>
  <w:style w:type="paragraph" w:styleId="Textosinformato">
    <w:name w:val="Plain Text"/>
    <w:basedOn w:val="Normal"/>
    <w:link w:val="TextosinformatoCar"/>
    <w:uiPriority w:val="99"/>
    <w:unhideWhenUsed/>
    <w:rsid w:val="002D4818"/>
    <w:pPr>
      <w:jc w:val="left"/>
    </w:pPr>
    <w:rPr>
      <w:rFonts w:ascii="Calibri" w:hAnsi="Calibri"/>
      <w:sz w:val="22"/>
      <w:szCs w:val="21"/>
      <w:lang w:val="x-none"/>
    </w:rPr>
  </w:style>
  <w:style w:type="character" w:customStyle="1" w:styleId="TextosinformatoCar">
    <w:name w:val="Texto sin formato Car"/>
    <w:basedOn w:val="Fuentedeprrafopredeter"/>
    <w:link w:val="Textosinformato"/>
    <w:uiPriority w:val="99"/>
    <w:rsid w:val="002D4818"/>
    <w:rPr>
      <w:rFonts w:ascii="Calibri" w:eastAsia="Calibri" w:hAnsi="Calibri" w:cs="Times New Roman"/>
      <w:szCs w:val="21"/>
      <w:lang w:val="x-none"/>
    </w:rPr>
  </w:style>
  <w:style w:type="paragraph" w:styleId="Sangradetextonormal">
    <w:name w:val="Body Text Indent"/>
    <w:basedOn w:val="Normal"/>
    <w:link w:val="SangradetextonormalCar"/>
    <w:uiPriority w:val="99"/>
    <w:semiHidden/>
    <w:unhideWhenUsed/>
    <w:rsid w:val="009A363D"/>
    <w:pPr>
      <w:spacing w:after="120"/>
      <w:ind w:left="283"/>
    </w:pPr>
  </w:style>
  <w:style w:type="character" w:customStyle="1" w:styleId="SangradetextonormalCar">
    <w:name w:val="Sangría de texto normal Car"/>
    <w:basedOn w:val="Fuentedeprrafopredeter"/>
    <w:link w:val="Sangradetextonormal"/>
    <w:uiPriority w:val="99"/>
    <w:semiHidden/>
    <w:rsid w:val="009A363D"/>
    <w:rPr>
      <w:rFonts w:ascii="Century Gothic" w:eastAsia="Calibri" w:hAnsi="Century Gothic" w:cs="Times New Roman"/>
      <w:sz w:val="24"/>
    </w:rPr>
  </w:style>
  <w:style w:type="paragraph" w:customStyle="1" w:styleId="Textopredeterminado">
    <w:name w:val="Texto predeterminado"/>
    <w:basedOn w:val="Normal"/>
    <w:uiPriority w:val="99"/>
    <w:rsid w:val="00177068"/>
    <w:pPr>
      <w:autoSpaceDE w:val="0"/>
      <w:autoSpaceDN w:val="0"/>
      <w:adjustRightInd w:val="0"/>
      <w:jc w:val="left"/>
    </w:pPr>
    <w:rPr>
      <w:rFonts w:ascii="Times New Roman" w:eastAsia="Times New Roman" w:hAnsi="Times New Roman"/>
      <w:szCs w:val="24"/>
      <w:lang w:val="es-ES" w:eastAsia="es-ES"/>
    </w:rPr>
  </w:style>
  <w:style w:type="character" w:styleId="Refdecomentario">
    <w:name w:val="annotation reference"/>
    <w:basedOn w:val="Fuentedeprrafopredeter"/>
    <w:uiPriority w:val="99"/>
    <w:semiHidden/>
    <w:unhideWhenUsed/>
    <w:rsid w:val="007249C9"/>
    <w:rPr>
      <w:sz w:val="16"/>
      <w:szCs w:val="16"/>
    </w:rPr>
  </w:style>
  <w:style w:type="character" w:styleId="Mencinsinresolver">
    <w:name w:val="Unresolved Mention"/>
    <w:basedOn w:val="Fuentedeprrafopredeter"/>
    <w:uiPriority w:val="99"/>
    <w:semiHidden/>
    <w:unhideWhenUsed/>
    <w:rsid w:val="007E332D"/>
    <w:rPr>
      <w:color w:val="605E5C"/>
      <w:shd w:val="clear" w:color="auto" w:fill="E1DFDD"/>
    </w:rPr>
  </w:style>
  <w:style w:type="character" w:customStyle="1" w:styleId="baj">
    <w:name w:val="b_aj"/>
    <w:basedOn w:val="Fuentedeprrafopredeter"/>
    <w:rsid w:val="00F13F95"/>
  </w:style>
  <w:style w:type="character" w:customStyle="1" w:styleId="Ttulo3Car">
    <w:name w:val="Título 3 Car"/>
    <w:basedOn w:val="Fuentedeprrafopredeter"/>
    <w:link w:val="Ttulo3"/>
    <w:uiPriority w:val="9"/>
    <w:semiHidden/>
    <w:rsid w:val="00FA053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47121">
      <w:bodyDiv w:val="1"/>
      <w:marLeft w:val="0"/>
      <w:marRight w:val="0"/>
      <w:marTop w:val="0"/>
      <w:marBottom w:val="0"/>
      <w:divBdr>
        <w:top w:val="none" w:sz="0" w:space="0" w:color="auto"/>
        <w:left w:val="none" w:sz="0" w:space="0" w:color="auto"/>
        <w:bottom w:val="none" w:sz="0" w:space="0" w:color="auto"/>
        <w:right w:val="none" w:sz="0" w:space="0" w:color="auto"/>
      </w:divBdr>
    </w:div>
    <w:div w:id="59137058">
      <w:bodyDiv w:val="1"/>
      <w:marLeft w:val="0"/>
      <w:marRight w:val="0"/>
      <w:marTop w:val="0"/>
      <w:marBottom w:val="0"/>
      <w:divBdr>
        <w:top w:val="none" w:sz="0" w:space="0" w:color="auto"/>
        <w:left w:val="none" w:sz="0" w:space="0" w:color="auto"/>
        <w:bottom w:val="none" w:sz="0" w:space="0" w:color="auto"/>
        <w:right w:val="none" w:sz="0" w:space="0" w:color="auto"/>
      </w:divBdr>
    </w:div>
    <w:div w:id="86076767">
      <w:bodyDiv w:val="1"/>
      <w:marLeft w:val="0"/>
      <w:marRight w:val="0"/>
      <w:marTop w:val="0"/>
      <w:marBottom w:val="0"/>
      <w:divBdr>
        <w:top w:val="none" w:sz="0" w:space="0" w:color="auto"/>
        <w:left w:val="none" w:sz="0" w:space="0" w:color="auto"/>
        <w:bottom w:val="none" w:sz="0" w:space="0" w:color="auto"/>
        <w:right w:val="none" w:sz="0" w:space="0" w:color="auto"/>
      </w:divBdr>
    </w:div>
    <w:div w:id="91244284">
      <w:bodyDiv w:val="1"/>
      <w:marLeft w:val="0"/>
      <w:marRight w:val="0"/>
      <w:marTop w:val="0"/>
      <w:marBottom w:val="0"/>
      <w:divBdr>
        <w:top w:val="none" w:sz="0" w:space="0" w:color="auto"/>
        <w:left w:val="none" w:sz="0" w:space="0" w:color="auto"/>
        <w:bottom w:val="none" w:sz="0" w:space="0" w:color="auto"/>
        <w:right w:val="none" w:sz="0" w:space="0" w:color="auto"/>
      </w:divBdr>
    </w:div>
    <w:div w:id="106050555">
      <w:bodyDiv w:val="1"/>
      <w:marLeft w:val="0"/>
      <w:marRight w:val="0"/>
      <w:marTop w:val="0"/>
      <w:marBottom w:val="0"/>
      <w:divBdr>
        <w:top w:val="none" w:sz="0" w:space="0" w:color="auto"/>
        <w:left w:val="none" w:sz="0" w:space="0" w:color="auto"/>
        <w:bottom w:val="none" w:sz="0" w:space="0" w:color="auto"/>
        <w:right w:val="none" w:sz="0" w:space="0" w:color="auto"/>
      </w:divBdr>
    </w:div>
    <w:div w:id="158078890">
      <w:bodyDiv w:val="1"/>
      <w:marLeft w:val="0"/>
      <w:marRight w:val="0"/>
      <w:marTop w:val="0"/>
      <w:marBottom w:val="0"/>
      <w:divBdr>
        <w:top w:val="none" w:sz="0" w:space="0" w:color="auto"/>
        <w:left w:val="none" w:sz="0" w:space="0" w:color="auto"/>
        <w:bottom w:val="none" w:sz="0" w:space="0" w:color="auto"/>
        <w:right w:val="none" w:sz="0" w:space="0" w:color="auto"/>
      </w:divBdr>
    </w:div>
    <w:div w:id="161051538">
      <w:bodyDiv w:val="1"/>
      <w:marLeft w:val="0"/>
      <w:marRight w:val="0"/>
      <w:marTop w:val="0"/>
      <w:marBottom w:val="0"/>
      <w:divBdr>
        <w:top w:val="none" w:sz="0" w:space="0" w:color="auto"/>
        <w:left w:val="none" w:sz="0" w:space="0" w:color="auto"/>
        <w:bottom w:val="none" w:sz="0" w:space="0" w:color="auto"/>
        <w:right w:val="none" w:sz="0" w:space="0" w:color="auto"/>
      </w:divBdr>
    </w:div>
    <w:div w:id="168371863">
      <w:bodyDiv w:val="1"/>
      <w:marLeft w:val="0"/>
      <w:marRight w:val="0"/>
      <w:marTop w:val="0"/>
      <w:marBottom w:val="0"/>
      <w:divBdr>
        <w:top w:val="none" w:sz="0" w:space="0" w:color="auto"/>
        <w:left w:val="none" w:sz="0" w:space="0" w:color="auto"/>
        <w:bottom w:val="none" w:sz="0" w:space="0" w:color="auto"/>
        <w:right w:val="none" w:sz="0" w:space="0" w:color="auto"/>
      </w:divBdr>
    </w:div>
    <w:div w:id="295843821">
      <w:bodyDiv w:val="1"/>
      <w:marLeft w:val="0"/>
      <w:marRight w:val="0"/>
      <w:marTop w:val="0"/>
      <w:marBottom w:val="0"/>
      <w:divBdr>
        <w:top w:val="none" w:sz="0" w:space="0" w:color="auto"/>
        <w:left w:val="none" w:sz="0" w:space="0" w:color="auto"/>
        <w:bottom w:val="none" w:sz="0" w:space="0" w:color="auto"/>
        <w:right w:val="none" w:sz="0" w:space="0" w:color="auto"/>
      </w:divBdr>
    </w:div>
    <w:div w:id="302397127">
      <w:bodyDiv w:val="1"/>
      <w:marLeft w:val="0"/>
      <w:marRight w:val="0"/>
      <w:marTop w:val="0"/>
      <w:marBottom w:val="0"/>
      <w:divBdr>
        <w:top w:val="none" w:sz="0" w:space="0" w:color="auto"/>
        <w:left w:val="none" w:sz="0" w:space="0" w:color="auto"/>
        <w:bottom w:val="none" w:sz="0" w:space="0" w:color="auto"/>
        <w:right w:val="none" w:sz="0" w:space="0" w:color="auto"/>
      </w:divBdr>
    </w:div>
    <w:div w:id="357630160">
      <w:bodyDiv w:val="1"/>
      <w:marLeft w:val="0"/>
      <w:marRight w:val="0"/>
      <w:marTop w:val="0"/>
      <w:marBottom w:val="0"/>
      <w:divBdr>
        <w:top w:val="none" w:sz="0" w:space="0" w:color="auto"/>
        <w:left w:val="none" w:sz="0" w:space="0" w:color="auto"/>
        <w:bottom w:val="none" w:sz="0" w:space="0" w:color="auto"/>
        <w:right w:val="none" w:sz="0" w:space="0" w:color="auto"/>
      </w:divBdr>
    </w:div>
    <w:div w:id="501702483">
      <w:bodyDiv w:val="1"/>
      <w:marLeft w:val="0"/>
      <w:marRight w:val="0"/>
      <w:marTop w:val="0"/>
      <w:marBottom w:val="0"/>
      <w:divBdr>
        <w:top w:val="none" w:sz="0" w:space="0" w:color="auto"/>
        <w:left w:val="none" w:sz="0" w:space="0" w:color="auto"/>
        <w:bottom w:val="none" w:sz="0" w:space="0" w:color="auto"/>
        <w:right w:val="none" w:sz="0" w:space="0" w:color="auto"/>
      </w:divBdr>
      <w:divsChild>
        <w:div w:id="883709982">
          <w:marLeft w:val="0"/>
          <w:marRight w:val="0"/>
          <w:marTop w:val="0"/>
          <w:marBottom w:val="0"/>
          <w:divBdr>
            <w:top w:val="none" w:sz="0" w:space="0" w:color="auto"/>
            <w:left w:val="none" w:sz="0" w:space="0" w:color="auto"/>
            <w:bottom w:val="none" w:sz="0" w:space="0" w:color="auto"/>
            <w:right w:val="none" w:sz="0" w:space="0" w:color="auto"/>
          </w:divBdr>
        </w:div>
      </w:divsChild>
    </w:div>
    <w:div w:id="596333828">
      <w:bodyDiv w:val="1"/>
      <w:marLeft w:val="0"/>
      <w:marRight w:val="0"/>
      <w:marTop w:val="0"/>
      <w:marBottom w:val="0"/>
      <w:divBdr>
        <w:top w:val="none" w:sz="0" w:space="0" w:color="auto"/>
        <w:left w:val="none" w:sz="0" w:space="0" w:color="auto"/>
        <w:bottom w:val="none" w:sz="0" w:space="0" w:color="auto"/>
        <w:right w:val="none" w:sz="0" w:space="0" w:color="auto"/>
      </w:divBdr>
    </w:div>
    <w:div w:id="597905812">
      <w:bodyDiv w:val="1"/>
      <w:marLeft w:val="0"/>
      <w:marRight w:val="0"/>
      <w:marTop w:val="0"/>
      <w:marBottom w:val="0"/>
      <w:divBdr>
        <w:top w:val="none" w:sz="0" w:space="0" w:color="auto"/>
        <w:left w:val="none" w:sz="0" w:space="0" w:color="auto"/>
        <w:bottom w:val="none" w:sz="0" w:space="0" w:color="auto"/>
        <w:right w:val="none" w:sz="0" w:space="0" w:color="auto"/>
      </w:divBdr>
    </w:div>
    <w:div w:id="599606098">
      <w:bodyDiv w:val="1"/>
      <w:marLeft w:val="0"/>
      <w:marRight w:val="0"/>
      <w:marTop w:val="0"/>
      <w:marBottom w:val="0"/>
      <w:divBdr>
        <w:top w:val="none" w:sz="0" w:space="0" w:color="auto"/>
        <w:left w:val="none" w:sz="0" w:space="0" w:color="auto"/>
        <w:bottom w:val="none" w:sz="0" w:space="0" w:color="auto"/>
        <w:right w:val="none" w:sz="0" w:space="0" w:color="auto"/>
      </w:divBdr>
    </w:div>
    <w:div w:id="695539602">
      <w:bodyDiv w:val="1"/>
      <w:marLeft w:val="0"/>
      <w:marRight w:val="0"/>
      <w:marTop w:val="0"/>
      <w:marBottom w:val="0"/>
      <w:divBdr>
        <w:top w:val="none" w:sz="0" w:space="0" w:color="auto"/>
        <w:left w:val="none" w:sz="0" w:space="0" w:color="auto"/>
        <w:bottom w:val="none" w:sz="0" w:space="0" w:color="auto"/>
        <w:right w:val="none" w:sz="0" w:space="0" w:color="auto"/>
      </w:divBdr>
    </w:div>
    <w:div w:id="699161965">
      <w:bodyDiv w:val="1"/>
      <w:marLeft w:val="0"/>
      <w:marRight w:val="0"/>
      <w:marTop w:val="0"/>
      <w:marBottom w:val="0"/>
      <w:divBdr>
        <w:top w:val="none" w:sz="0" w:space="0" w:color="auto"/>
        <w:left w:val="none" w:sz="0" w:space="0" w:color="auto"/>
        <w:bottom w:val="none" w:sz="0" w:space="0" w:color="auto"/>
        <w:right w:val="none" w:sz="0" w:space="0" w:color="auto"/>
      </w:divBdr>
    </w:div>
    <w:div w:id="717973875">
      <w:bodyDiv w:val="1"/>
      <w:marLeft w:val="0"/>
      <w:marRight w:val="0"/>
      <w:marTop w:val="0"/>
      <w:marBottom w:val="0"/>
      <w:divBdr>
        <w:top w:val="none" w:sz="0" w:space="0" w:color="auto"/>
        <w:left w:val="none" w:sz="0" w:space="0" w:color="auto"/>
        <w:bottom w:val="none" w:sz="0" w:space="0" w:color="auto"/>
        <w:right w:val="none" w:sz="0" w:space="0" w:color="auto"/>
      </w:divBdr>
    </w:div>
    <w:div w:id="763498947">
      <w:bodyDiv w:val="1"/>
      <w:marLeft w:val="0"/>
      <w:marRight w:val="0"/>
      <w:marTop w:val="0"/>
      <w:marBottom w:val="0"/>
      <w:divBdr>
        <w:top w:val="none" w:sz="0" w:space="0" w:color="auto"/>
        <w:left w:val="none" w:sz="0" w:space="0" w:color="auto"/>
        <w:bottom w:val="none" w:sz="0" w:space="0" w:color="auto"/>
        <w:right w:val="none" w:sz="0" w:space="0" w:color="auto"/>
      </w:divBdr>
    </w:div>
    <w:div w:id="810637898">
      <w:bodyDiv w:val="1"/>
      <w:marLeft w:val="0"/>
      <w:marRight w:val="0"/>
      <w:marTop w:val="0"/>
      <w:marBottom w:val="0"/>
      <w:divBdr>
        <w:top w:val="none" w:sz="0" w:space="0" w:color="auto"/>
        <w:left w:val="none" w:sz="0" w:space="0" w:color="auto"/>
        <w:bottom w:val="none" w:sz="0" w:space="0" w:color="auto"/>
        <w:right w:val="none" w:sz="0" w:space="0" w:color="auto"/>
      </w:divBdr>
    </w:div>
    <w:div w:id="881209155">
      <w:bodyDiv w:val="1"/>
      <w:marLeft w:val="0"/>
      <w:marRight w:val="0"/>
      <w:marTop w:val="0"/>
      <w:marBottom w:val="0"/>
      <w:divBdr>
        <w:top w:val="none" w:sz="0" w:space="0" w:color="auto"/>
        <w:left w:val="none" w:sz="0" w:space="0" w:color="auto"/>
        <w:bottom w:val="none" w:sz="0" w:space="0" w:color="auto"/>
        <w:right w:val="none" w:sz="0" w:space="0" w:color="auto"/>
      </w:divBdr>
    </w:div>
    <w:div w:id="881287415">
      <w:bodyDiv w:val="1"/>
      <w:marLeft w:val="0"/>
      <w:marRight w:val="0"/>
      <w:marTop w:val="0"/>
      <w:marBottom w:val="0"/>
      <w:divBdr>
        <w:top w:val="none" w:sz="0" w:space="0" w:color="auto"/>
        <w:left w:val="none" w:sz="0" w:space="0" w:color="auto"/>
        <w:bottom w:val="none" w:sz="0" w:space="0" w:color="auto"/>
        <w:right w:val="none" w:sz="0" w:space="0" w:color="auto"/>
      </w:divBdr>
    </w:div>
    <w:div w:id="909121133">
      <w:bodyDiv w:val="1"/>
      <w:marLeft w:val="0"/>
      <w:marRight w:val="0"/>
      <w:marTop w:val="0"/>
      <w:marBottom w:val="0"/>
      <w:divBdr>
        <w:top w:val="none" w:sz="0" w:space="0" w:color="auto"/>
        <w:left w:val="none" w:sz="0" w:space="0" w:color="auto"/>
        <w:bottom w:val="none" w:sz="0" w:space="0" w:color="auto"/>
        <w:right w:val="none" w:sz="0" w:space="0" w:color="auto"/>
      </w:divBdr>
    </w:div>
    <w:div w:id="950208566">
      <w:bodyDiv w:val="1"/>
      <w:marLeft w:val="0"/>
      <w:marRight w:val="0"/>
      <w:marTop w:val="0"/>
      <w:marBottom w:val="0"/>
      <w:divBdr>
        <w:top w:val="none" w:sz="0" w:space="0" w:color="auto"/>
        <w:left w:val="none" w:sz="0" w:space="0" w:color="auto"/>
        <w:bottom w:val="none" w:sz="0" w:space="0" w:color="auto"/>
        <w:right w:val="none" w:sz="0" w:space="0" w:color="auto"/>
      </w:divBdr>
      <w:divsChild>
        <w:div w:id="1867012538">
          <w:marLeft w:val="0"/>
          <w:marRight w:val="0"/>
          <w:marTop w:val="0"/>
          <w:marBottom w:val="0"/>
          <w:divBdr>
            <w:top w:val="none" w:sz="0" w:space="0" w:color="auto"/>
            <w:left w:val="none" w:sz="0" w:space="0" w:color="auto"/>
            <w:bottom w:val="none" w:sz="0" w:space="0" w:color="auto"/>
            <w:right w:val="none" w:sz="0" w:space="0" w:color="auto"/>
          </w:divBdr>
          <w:divsChild>
            <w:div w:id="1607956011">
              <w:marLeft w:val="0"/>
              <w:marRight w:val="0"/>
              <w:marTop w:val="0"/>
              <w:marBottom w:val="0"/>
              <w:divBdr>
                <w:top w:val="none" w:sz="0" w:space="0" w:color="auto"/>
                <w:left w:val="none" w:sz="0" w:space="0" w:color="auto"/>
                <w:bottom w:val="none" w:sz="0" w:space="0" w:color="auto"/>
                <w:right w:val="none" w:sz="0" w:space="0" w:color="auto"/>
              </w:divBdr>
            </w:div>
          </w:divsChild>
        </w:div>
        <w:div w:id="1942252022">
          <w:marLeft w:val="0"/>
          <w:marRight w:val="0"/>
          <w:marTop w:val="0"/>
          <w:marBottom w:val="0"/>
          <w:divBdr>
            <w:top w:val="none" w:sz="0" w:space="0" w:color="auto"/>
            <w:left w:val="none" w:sz="0" w:space="0" w:color="auto"/>
            <w:bottom w:val="none" w:sz="0" w:space="0" w:color="auto"/>
            <w:right w:val="none" w:sz="0" w:space="0" w:color="auto"/>
          </w:divBdr>
          <w:divsChild>
            <w:div w:id="13717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59931">
      <w:bodyDiv w:val="1"/>
      <w:marLeft w:val="0"/>
      <w:marRight w:val="0"/>
      <w:marTop w:val="0"/>
      <w:marBottom w:val="0"/>
      <w:divBdr>
        <w:top w:val="none" w:sz="0" w:space="0" w:color="auto"/>
        <w:left w:val="none" w:sz="0" w:space="0" w:color="auto"/>
        <w:bottom w:val="none" w:sz="0" w:space="0" w:color="auto"/>
        <w:right w:val="none" w:sz="0" w:space="0" w:color="auto"/>
      </w:divBdr>
    </w:div>
    <w:div w:id="999775497">
      <w:bodyDiv w:val="1"/>
      <w:marLeft w:val="0"/>
      <w:marRight w:val="0"/>
      <w:marTop w:val="0"/>
      <w:marBottom w:val="0"/>
      <w:divBdr>
        <w:top w:val="none" w:sz="0" w:space="0" w:color="auto"/>
        <w:left w:val="none" w:sz="0" w:space="0" w:color="auto"/>
        <w:bottom w:val="none" w:sz="0" w:space="0" w:color="auto"/>
        <w:right w:val="none" w:sz="0" w:space="0" w:color="auto"/>
      </w:divBdr>
    </w:div>
    <w:div w:id="1017542753">
      <w:bodyDiv w:val="1"/>
      <w:marLeft w:val="0"/>
      <w:marRight w:val="0"/>
      <w:marTop w:val="0"/>
      <w:marBottom w:val="0"/>
      <w:divBdr>
        <w:top w:val="none" w:sz="0" w:space="0" w:color="auto"/>
        <w:left w:val="none" w:sz="0" w:space="0" w:color="auto"/>
        <w:bottom w:val="none" w:sz="0" w:space="0" w:color="auto"/>
        <w:right w:val="none" w:sz="0" w:space="0" w:color="auto"/>
      </w:divBdr>
    </w:div>
    <w:div w:id="1072965720">
      <w:bodyDiv w:val="1"/>
      <w:marLeft w:val="0"/>
      <w:marRight w:val="0"/>
      <w:marTop w:val="0"/>
      <w:marBottom w:val="0"/>
      <w:divBdr>
        <w:top w:val="none" w:sz="0" w:space="0" w:color="auto"/>
        <w:left w:val="none" w:sz="0" w:space="0" w:color="auto"/>
        <w:bottom w:val="none" w:sz="0" w:space="0" w:color="auto"/>
        <w:right w:val="none" w:sz="0" w:space="0" w:color="auto"/>
      </w:divBdr>
    </w:div>
    <w:div w:id="1095050048">
      <w:bodyDiv w:val="1"/>
      <w:marLeft w:val="0"/>
      <w:marRight w:val="0"/>
      <w:marTop w:val="0"/>
      <w:marBottom w:val="0"/>
      <w:divBdr>
        <w:top w:val="none" w:sz="0" w:space="0" w:color="auto"/>
        <w:left w:val="none" w:sz="0" w:space="0" w:color="auto"/>
        <w:bottom w:val="none" w:sz="0" w:space="0" w:color="auto"/>
        <w:right w:val="none" w:sz="0" w:space="0" w:color="auto"/>
      </w:divBdr>
    </w:div>
    <w:div w:id="1122001020">
      <w:bodyDiv w:val="1"/>
      <w:marLeft w:val="0"/>
      <w:marRight w:val="0"/>
      <w:marTop w:val="0"/>
      <w:marBottom w:val="0"/>
      <w:divBdr>
        <w:top w:val="none" w:sz="0" w:space="0" w:color="auto"/>
        <w:left w:val="none" w:sz="0" w:space="0" w:color="auto"/>
        <w:bottom w:val="none" w:sz="0" w:space="0" w:color="auto"/>
        <w:right w:val="none" w:sz="0" w:space="0" w:color="auto"/>
      </w:divBdr>
    </w:div>
    <w:div w:id="1131020895">
      <w:bodyDiv w:val="1"/>
      <w:marLeft w:val="0"/>
      <w:marRight w:val="0"/>
      <w:marTop w:val="0"/>
      <w:marBottom w:val="0"/>
      <w:divBdr>
        <w:top w:val="none" w:sz="0" w:space="0" w:color="auto"/>
        <w:left w:val="none" w:sz="0" w:space="0" w:color="auto"/>
        <w:bottom w:val="none" w:sz="0" w:space="0" w:color="auto"/>
        <w:right w:val="none" w:sz="0" w:space="0" w:color="auto"/>
      </w:divBdr>
    </w:div>
    <w:div w:id="1157453269">
      <w:bodyDiv w:val="1"/>
      <w:marLeft w:val="0"/>
      <w:marRight w:val="0"/>
      <w:marTop w:val="0"/>
      <w:marBottom w:val="0"/>
      <w:divBdr>
        <w:top w:val="none" w:sz="0" w:space="0" w:color="auto"/>
        <w:left w:val="none" w:sz="0" w:space="0" w:color="auto"/>
        <w:bottom w:val="none" w:sz="0" w:space="0" w:color="auto"/>
        <w:right w:val="none" w:sz="0" w:space="0" w:color="auto"/>
      </w:divBdr>
    </w:div>
    <w:div w:id="1216818957">
      <w:bodyDiv w:val="1"/>
      <w:marLeft w:val="0"/>
      <w:marRight w:val="0"/>
      <w:marTop w:val="0"/>
      <w:marBottom w:val="0"/>
      <w:divBdr>
        <w:top w:val="none" w:sz="0" w:space="0" w:color="auto"/>
        <w:left w:val="none" w:sz="0" w:space="0" w:color="auto"/>
        <w:bottom w:val="none" w:sz="0" w:space="0" w:color="auto"/>
        <w:right w:val="none" w:sz="0" w:space="0" w:color="auto"/>
      </w:divBdr>
    </w:div>
    <w:div w:id="1228806348">
      <w:bodyDiv w:val="1"/>
      <w:marLeft w:val="0"/>
      <w:marRight w:val="0"/>
      <w:marTop w:val="0"/>
      <w:marBottom w:val="0"/>
      <w:divBdr>
        <w:top w:val="none" w:sz="0" w:space="0" w:color="auto"/>
        <w:left w:val="none" w:sz="0" w:space="0" w:color="auto"/>
        <w:bottom w:val="none" w:sz="0" w:space="0" w:color="auto"/>
        <w:right w:val="none" w:sz="0" w:space="0" w:color="auto"/>
      </w:divBdr>
    </w:div>
    <w:div w:id="1244074347">
      <w:bodyDiv w:val="1"/>
      <w:marLeft w:val="0"/>
      <w:marRight w:val="0"/>
      <w:marTop w:val="0"/>
      <w:marBottom w:val="0"/>
      <w:divBdr>
        <w:top w:val="none" w:sz="0" w:space="0" w:color="auto"/>
        <w:left w:val="none" w:sz="0" w:space="0" w:color="auto"/>
        <w:bottom w:val="none" w:sz="0" w:space="0" w:color="auto"/>
        <w:right w:val="none" w:sz="0" w:space="0" w:color="auto"/>
      </w:divBdr>
    </w:div>
    <w:div w:id="1282419987">
      <w:bodyDiv w:val="1"/>
      <w:marLeft w:val="0"/>
      <w:marRight w:val="0"/>
      <w:marTop w:val="0"/>
      <w:marBottom w:val="0"/>
      <w:divBdr>
        <w:top w:val="none" w:sz="0" w:space="0" w:color="auto"/>
        <w:left w:val="none" w:sz="0" w:space="0" w:color="auto"/>
        <w:bottom w:val="none" w:sz="0" w:space="0" w:color="auto"/>
        <w:right w:val="none" w:sz="0" w:space="0" w:color="auto"/>
      </w:divBdr>
    </w:div>
    <w:div w:id="1291669895">
      <w:bodyDiv w:val="1"/>
      <w:marLeft w:val="0"/>
      <w:marRight w:val="0"/>
      <w:marTop w:val="0"/>
      <w:marBottom w:val="0"/>
      <w:divBdr>
        <w:top w:val="none" w:sz="0" w:space="0" w:color="auto"/>
        <w:left w:val="none" w:sz="0" w:space="0" w:color="auto"/>
        <w:bottom w:val="none" w:sz="0" w:space="0" w:color="auto"/>
        <w:right w:val="none" w:sz="0" w:space="0" w:color="auto"/>
      </w:divBdr>
    </w:div>
    <w:div w:id="1335718818">
      <w:bodyDiv w:val="1"/>
      <w:marLeft w:val="0"/>
      <w:marRight w:val="0"/>
      <w:marTop w:val="0"/>
      <w:marBottom w:val="0"/>
      <w:divBdr>
        <w:top w:val="none" w:sz="0" w:space="0" w:color="auto"/>
        <w:left w:val="none" w:sz="0" w:space="0" w:color="auto"/>
        <w:bottom w:val="none" w:sz="0" w:space="0" w:color="auto"/>
        <w:right w:val="none" w:sz="0" w:space="0" w:color="auto"/>
      </w:divBdr>
    </w:div>
    <w:div w:id="1372531431">
      <w:bodyDiv w:val="1"/>
      <w:marLeft w:val="0"/>
      <w:marRight w:val="0"/>
      <w:marTop w:val="0"/>
      <w:marBottom w:val="0"/>
      <w:divBdr>
        <w:top w:val="none" w:sz="0" w:space="0" w:color="auto"/>
        <w:left w:val="none" w:sz="0" w:space="0" w:color="auto"/>
        <w:bottom w:val="none" w:sz="0" w:space="0" w:color="auto"/>
        <w:right w:val="none" w:sz="0" w:space="0" w:color="auto"/>
      </w:divBdr>
    </w:div>
    <w:div w:id="1386101366">
      <w:bodyDiv w:val="1"/>
      <w:marLeft w:val="0"/>
      <w:marRight w:val="0"/>
      <w:marTop w:val="0"/>
      <w:marBottom w:val="0"/>
      <w:divBdr>
        <w:top w:val="none" w:sz="0" w:space="0" w:color="auto"/>
        <w:left w:val="none" w:sz="0" w:space="0" w:color="auto"/>
        <w:bottom w:val="none" w:sz="0" w:space="0" w:color="auto"/>
        <w:right w:val="none" w:sz="0" w:space="0" w:color="auto"/>
      </w:divBdr>
    </w:div>
    <w:div w:id="1404373048">
      <w:bodyDiv w:val="1"/>
      <w:marLeft w:val="0"/>
      <w:marRight w:val="0"/>
      <w:marTop w:val="0"/>
      <w:marBottom w:val="0"/>
      <w:divBdr>
        <w:top w:val="none" w:sz="0" w:space="0" w:color="auto"/>
        <w:left w:val="none" w:sz="0" w:space="0" w:color="auto"/>
        <w:bottom w:val="none" w:sz="0" w:space="0" w:color="auto"/>
        <w:right w:val="none" w:sz="0" w:space="0" w:color="auto"/>
      </w:divBdr>
    </w:div>
    <w:div w:id="1410544830">
      <w:bodyDiv w:val="1"/>
      <w:marLeft w:val="0"/>
      <w:marRight w:val="0"/>
      <w:marTop w:val="0"/>
      <w:marBottom w:val="0"/>
      <w:divBdr>
        <w:top w:val="none" w:sz="0" w:space="0" w:color="auto"/>
        <w:left w:val="none" w:sz="0" w:space="0" w:color="auto"/>
        <w:bottom w:val="none" w:sz="0" w:space="0" w:color="auto"/>
        <w:right w:val="none" w:sz="0" w:space="0" w:color="auto"/>
      </w:divBdr>
    </w:div>
    <w:div w:id="1426807139">
      <w:bodyDiv w:val="1"/>
      <w:marLeft w:val="0"/>
      <w:marRight w:val="0"/>
      <w:marTop w:val="0"/>
      <w:marBottom w:val="0"/>
      <w:divBdr>
        <w:top w:val="none" w:sz="0" w:space="0" w:color="auto"/>
        <w:left w:val="none" w:sz="0" w:space="0" w:color="auto"/>
        <w:bottom w:val="none" w:sz="0" w:space="0" w:color="auto"/>
        <w:right w:val="none" w:sz="0" w:space="0" w:color="auto"/>
      </w:divBdr>
    </w:div>
    <w:div w:id="1462193017">
      <w:bodyDiv w:val="1"/>
      <w:marLeft w:val="0"/>
      <w:marRight w:val="0"/>
      <w:marTop w:val="0"/>
      <w:marBottom w:val="0"/>
      <w:divBdr>
        <w:top w:val="none" w:sz="0" w:space="0" w:color="auto"/>
        <w:left w:val="none" w:sz="0" w:space="0" w:color="auto"/>
        <w:bottom w:val="none" w:sz="0" w:space="0" w:color="auto"/>
        <w:right w:val="none" w:sz="0" w:space="0" w:color="auto"/>
      </w:divBdr>
    </w:div>
    <w:div w:id="1505784691">
      <w:bodyDiv w:val="1"/>
      <w:marLeft w:val="0"/>
      <w:marRight w:val="0"/>
      <w:marTop w:val="0"/>
      <w:marBottom w:val="0"/>
      <w:divBdr>
        <w:top w:val="none" w:sz="0" w:space="0" w:color="auto"/>
        <w:left w:val="none" w:sz="0" w:space="0" w:color="auto"/>
        <w:bottom w:val="none" w:sz="0" w:space="0" w:color="auto"/>
        <w:right w:val="none" w:sz="0" w:space="0" w:color="auto"/>
      </w:divBdr>
    </w:div>
    <w:div w:id="1570580628">
      <w:bodyDiv w:val="1"/>
      <w:marLeft w:val="0"/>
      <w:marRight w:val="0"/>
      <w:marTop w:val="0"/>
      <w:marBottom w:val="0"/>
      <w:divBdr>
        <w:top w:val="none" w:sz="0" w:space="0" w:color="auto"/>
        <w:left w:val="none" w:sz="0" w:space="0" w:color="auto"/>
        <w:bottom w:val="none" w:sz="0" w:space="0" w:color="auto"/>
        <w:right w:val="none" w:sz="0" w:space="0" w:color="auto"/>
      </w:divBdr>
    </w:div>
    <w:div w:id="1575625915">
      <w:bodyDiv w:val="1"/>
      <w:marLeft w:val="0"/>
      <w:marRight w:val="0"/>
      <w:marTop w:val="0"/>
      <w:marBottom w:val="0"/>
      <w:divBdr>
        <w:top w:val="none" w:sz="0" w:space="0" w:color="auto"/>
        <w:left w:val="none" w:sz="0" w:space="0" w:color="auto"/>
        <w:bottom w:val="none" w:sz="0" w:space="0" w:color="auto"/>
        <w:right w:val="none" w:sz="0" w:space="0" w:color="auto"/>
      </w:divBdr>
    </w:div>
    <w:div w:id="1587759943">
      <w:bodyDiv w:val="1"/>
      <w:marLeft w:val="0"/>
      <w:marRight w:val="0"/>
      <w:marTop w:val="0"/>
      <w:marBottom w:val="0"/>
      <w:divBdr>
        <w:top w:val="none" w:sz="0" w:space="0" w:color="auto"/>
        <w:left w:val="none" w:sz="0" w:space="0" w:color="auto"/>
        <w:bottom w:val="none" w:sz="0" w:space="0" w:color="auto"/>
        <w:right w:val="none" w:sz="0" w:space="0" w:color="auto"/>
      </w:divBdr>
      <w:divsChild>
        <w:div w:id="2016111272">
          <w:marLeft w:val="0"/>
          <w:marRight w:val="0"/>
          <w:marTop w:val="0"/>
          <w:marBottom w:val="0"/>
          <w:divBdr>
            <w:top w:val="none" w:sz="0" w:space="0" w:color="auto"/>
            <w:left w:val="none" w:sz="0" w:space="0" w:color="auto"/>
            <w:bottom w:val="none" w:sz="0" w:space="0" w:color="auto"/>
            <w:right w:val="none" w:sz="0" w:space="0" w:color="auto"/>
          </w:divBdr>
        </w:div>
      </w:divsChild>
    </w:div>
    <w:div w:id="1593053018">
      <w:bodyDiv w:val="1"/>
      <w:marLeft w:val="0"/>
      <w:marRight w:val="0"/>
      <w:marTop w:val="0"/>
      <w:marBottom w:val="0"/>
      <w:divBdr>
        <w:top w:val="none" w:sz="0" w:space="0" w:color="auto"/>
        <w:left w:val="none" w:sz="0" w:space="0" w:color="auto"/>
        <w:bottom w:val="none" w:sz="0" w:space="0" w:color="auto"/>
        <w:right w:val="none" w:sz="0" w:space="0" w:color="auto"/>
      </w:divBdr>
    </w:div>
    <w:div w:id="1603758037">
      <w:bodyDiv w:val="1"/>
      <w:marLeft w:val="0"/>
      <w:marRight w:val="0"/>
      <w:marTop w:val="0"/>
      <w:marBottom w:val="0"/>
      <w:divBdr>
        <w:top w:val="none" w:sz="0" w:space="0" w:color="auto"/>
        <w:left w:val="none" w:sz="0" w:space="0" w:color="auto"/>
        <w:bottom w:val="none" w:sz="0" w:space="0" w:color="auto"/>
        <w:right w:val="none" w:sz="0" w:space="0" w:color="auto"/>
      </w:divBdr>
    </w:div>
    <w:div w:id="1679767822">
      <w:bodyDiv w:val="1"/>
      <w:marLeft w:val="0"/>
      <w:marRight w:val="0"/>
      <w:marTop w:val="0"/>
      <w:marBottom w:val="0"/>
      <w:divBdr>
        <w:top w:val="none" w:sz="0" w:space="0" w:color="auto"/>
        <w:left w:val="none" w:sz="0" w:space="0" w:color="auto"/>
        <w:bottom w:val="none" w:sz="0" w:space="0" w:color="auto"/>
        <w:right w:val="none" w:sz="0" w:space="0" w:color="auto"/>
      </w:divBdr>
    </w:div>
    <w:div w:id="1729256043">
      <w:bodyDiv w:val="1"/>
      <w:marLeft w:val="0"/>
      <w:marRight w:val="0"/>
      <w:marTop w:val="0"/>
      <w:marBottom w:val="0"/>
      <w:divBdr>
        <w:top w:val="none" w:sz="0" w:space="0" w:color="auto"/>
        <w:left w:val="none" w:sz="0" w:space="0" w:color="auto"/>
        <w:bottom w:val="none" w:sz="0" w:space="0" w:color="auto"/>
        <w:right w:val="none" w:sz="0" w:space="0" w:color="auto"/>
      </w:divBdr>
    </w:div>
    <w:div w:id="1747680294">
      <w:bodyDiv w:val="1"/>
      <w:marLeft w:val="0"/>
      <w:marRight w:val="0"/>
      <w:marTop w:val="0"/>
      <w:marBottom w:val="0"/>
      <w:divBdr>
        <w:top w:val="none" w:sz="0" w:space="0" w:color="auto"/>
        <w:left w:val="none" w:sz="0" w:space="0" w:color="auto"/>
        <w:bottom w:val="none" w:sz="0" w:space="0" w:color="auto"/>
        <w:right w:val="none" w:sz="0" w:space="0" w:color="auto"/>
      </w:divBdr>
    </w:div>
    <w:div w:id="1839690121">
      <w:bodyDiv w:val="1"/>
      <w:marLeft w:val="0"/>
      <w:marRight w:val="0"/>
      <w:marTop w:val="0"/>
      <w:marBottom w:val="0"/>
      <w:divBdr>
        <w:top w:val="none" w:sz="0" w:space="0" w:color="auto"/>
        <w:left w:val="none" w:sz="0" w:space="0" w:color="auto"/>
        <w:bottom w:val="none" w:sz="0" w:space="0" w:color="auto"/>
        <w:right w:val="none" w:sz="0" w:space="0" w:color="auto"/>
      </w:divBdr>
    </w:div>
    <w:div w:id="1884058711">
      <w:bodyDiv w:val="1"/>
      <w:marLeft w:val="0"/>
      <w:marRight w:val="0"/>
      <w:marTop w:val="0"/>
      <w:marBottom w:val="0"/>
      <w:divBdr>
        <w:top w:val="none" w:sz="0" w:space="0" w:color="auto"/>
        <w:left w:val="none" w:sz="0" w:space="0" w:color="auto"/>
        <w:bottom w:val="none" w:sz="0" w:space="0" w:color="auto"/>
        <w:right w:val="none" w:sz="0" w:space="0" w:color="auto"/>
      </w:divBdr>
    </w:div>
    <w:div w:id="1904486135">
      <w:bodyDiv w:val="1"/>
      <w:marLeft w:val="0"/>
      <w:marRight w:val="0"/>
      <w:marTop w:val="0"/>
      <w:marBottom w:val="0"/>
      <w:divBdr>
        <w:top w:val="none" w:sz="0" w:space="0" w:color="auto"/>
        <w:left w:val="none" w:sz="0" w:space="0" w:color="auto"/>
        <w:bottom w:val="none" w:sz="0" w:space="0" w:color="auto"/>
        <w:right w:val="none" w:sz="0" w:space="0" w:color="auto"/>
      </w:divBdr>
    </w:div>
    <w:div w:id="1977178896">
      <w:bodyDiv w:val="1"/>
      <w:marLeft w:val="0"/>
      <w:marRight w:val="0"/>
      <w:marTop w:val="0"/>
      <w:marBottom w:val="0"/>
      <w:divBdr>
        <w:top w:val="none" w:sz="0" w:space="0" w:color="auto"/>
        <w:left w:val="none" w:sz="0" w:space="0" w:color="auto"/>
        <w:bottom w:val="none" w:sz="0" w:space="0" w:color="auto"/>
        <w:right w:val="none" w:sz="0" w:space="0" w:color="auto"/>
      </w:divBdr>
    </w:div>
    <w:div w:id="2024623627">
      <w:bodyDiv w:val="1"/>
      <w:marLeft w:val="0"/>
      <w:marRight w:val="0"/>
      <w:marTop w:val="0"/>
      <w:marBottom w:val="0"/>
      <w:divBdr>
        <w:top w:val="none" w:sz="0" w:space="0" w:color="auto"/>
        <w:left w:val="none" w:sz="0" w:space="0" w:color="auto"/>
        <w:bottom w:val="none" w:sz="0" w:space="0" w:color="auto"/>
        <w:right w:val="none" w:sz="0" w:space="0" w:color="auto"/>
      </w:divBdr>
    </w:div>
    <w:div w:id="2030523055">
      <w:bodyDiv w:val="1"/>
      <w:marLeft w:val="0"/>
      <w:marRight w:val="0"/>
      <w:marTop w:val="0"/>
      <w:marBottom w:val="0"/>
      <w:divBdr>
        <w:top w:val="none" w:sz="0" w:space="0" w:color="auto"/>
        <w:left w:val="none" w:sz="0" w:space="0" w:color="auto"/>
        <w:bottom w:val="none" w:sz="0" w:space="0" w:color="auto"/>
        <w:right w:val="none" w:sz="0" w:space="0" w:color="auto"/>
      </w:divBdr>
    </w:div>
    <w:div w:id="2050569669">
      <w:bodyDiv w:val="1"/>
      <w:marLeft w:val="0"/>
      <w:marRight w:val="0"/>
      <w:marTop w:val="0"/>
      <w:marBottom w:val="0"/>
      <w:divBdr>
        <w:top w:val="none" w:sz="0" w:space="0" w:color="auto"/>
        <w:left w:val="none" w:sz="0" w:space="0" w:color="auto"/>
        <w:bottom w:val="none" w:sz="0" w:space="0" w:color="auto"/>
        <w:right w:val="none" w:sz="0" w:space="0" w:color="auto"/>
      </w:divBdr>
      <w:divsChild>
        <w:div w:id="1415081388">
          <w:marLeft w:val="0"/>
          <w:marRight w:val="0"/>
          <w:marTop w:val="0"/>
          <w:marBottom w:val="0"/>
          <w:divBdr>
            <w:top w:val="none" w:sz="0" w:space="0" w:color="auto"/>
            <w:left w:val="none" w:sz="0" w:space="0" w:color="auto"/>
            <w:bottom w:val="none" w:sz="0" w:space="0" w:color="auto"/>
            <w:right w:val="none" w:sz="0" w:space="0" w:color="auto"/>
          </w:divBdr>
        </w:div>
      </w:divsChild>
    </w:div>
    <w:div w:id="2088263070">
      <w:bodyDiv w:val="1"/>
      <w:marLeft w:val="0"/>
      <w:marRight w:val="0"/>
      <w:marTop w:val="0"/>
      <w:marBottom w:val="0"/>
      <w:divBdr>
        <w:top w:val="none" w:sz="0" w:space="0" w:color="auto"/>
        <w:left w:val="none" w:sz="0" w:space="0" w:color="auto"/>
        <w:bottom w:val="none" w:sz="0" w:space="0" w:color="auto"/>
        <w:right w:val="none" w:sz="0" w:space="0" w:color="auto"/>
      </w:divBdr>
    </w:div>
    <w:div w:id="214607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3cctosogamoso@cendoj.ramajudicial.gov.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general@nuevaeps.com.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cbf.gov.co/cargues/avance/docs/decreto_0780_2016.htm" TargetMode="External"/><Relationship Id="rId4" Type="http://schemas.openxmlformats.org/officeDocument/2006/relationships/settings" Target="settings.xml"/><Relationship Id="rId9" Type="http://schemas.openxmlformats.org/officeDocument/2006/relationships/hyperlink" Target="https://www.icbf.gov.co/cargues/avance/docs/decreto_0481_2004.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cretraria.general@nuevaeps.com.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39F7C-D677-43E0-8B8C-AD95D5398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3730</Words>
  <Characters>20517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Nueva EPS</Company>
  <LinksUpToDate>false</LinksUpToDate>
  <CharactersWithSpaces>24199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Patricia Ruiz Saray</dc:creator>
  <cp:lastModifiedBy>Oscar Eduardo Silva Gomez</cp:lastModifiedBy>
  <cp:revision>2</cp:revision>
  <cp:lastPrinted>2020-06-16T16:19:00Z</cp:lastPrinted>
  <dcterms:created xsi:type="dcterms:W3CDTF">2020-07-06T20:51:00Z</dcterms:created>
  <dcterms:modified xsi:type="dcterms:W3CDTF">2020-07-06T20:51:00Z</dcterms:modified>
</cp:coreProperties>
</file>