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CF6A7" w14:textId="2564F1F1" w:rsidR="00D256D5" w:rsidRPr="00B3763F" w:rsidRDefault="00D256D5" w:rsidP="00D256D5">
      <w:pPr>
        <w:pStyle w:val="Sinespaciado"/>
        <w:jc w:val="both"/>
        <w:rPr>
          <w:rFonts w:ascii="Verdana" w:hAnsi="Verdana" w:cs="Tahoma"/>
          <w:sz w:val="18"/>
          <w:szCs w:val="18"/>
        </w:rPr>
      </w:pPr>
      <w:r w:rsidRPr="00B3763F">
        <w:rPr>
          <w:rFonts w:ascii="Verdana" w:hAnsi="Verdana" w:cs="Tahoma"/>
          <w:b/>
          <w:sz w:val="18"/>
          <w:szCs w:val="18"/>
        </w:rPr>
        <w:t xml:space="preserve">Constancia: </w:t>
      </w:r>
      <w:r w:rsidR="001270F0" w:rsidRPr="00B3763F">
        <w:rPr>
          <w:rFonts w:ascii="Verdana" w:hAnsi="Verdana" w:cs="Tahoma"/>
          <w:sz w:val="18"/>
          <w:szCs w:val="18"/>
        </w:rPr>
        <w:t xml:space="preserve">Manizales, </w:t>
      </w:r>
      <w:r w:rsidR="00943847" w:rsidRPr="00B3763F">
        <w:rPr>
          <w:rFonts w:ascii="Verdana" w:hAnsi="Verdana" w:cs="Tahoma"/>
          <w:sz w:val="18"/>
          <w:szCs w:val="18"/>
        </w:rPr>
        <w:t>27</w:t>
      </w:r>
      <w:r w:rsidR="001270F0" w:rsidRPr="00B3763F">
        <w:rPr>
          <w:rFonts w:ascii="Verdana" w:hAnsi="Verdana" w:cs="Tahoma"/>
          <w:sz w:val="18"/>
          <w:szCs w:val="18"/>
        </w:rPr>
        <w:t xml:space="preserve"> de </w:t>
      </w:r>
      <w:r w:rsidR="00943847" w:rsidRPr="00B3763F">
        <w:rPr>
          <w:rFonts w:ascii="Verdana" w:hAnsi="Verdana" w:cs="Tahoma"/>
          <w:sz w:val="18"/>
          <w:szCs w:val="18"/>
        </w:rPr>
        <w:t>octubre</w:t>
      </w:r>
      <w:r w:rsidRPr="00B3763F">
        <w:rPr>
          <w:rFonts w:ascii="Verdana" w:hAnsi="Verdana" w:cs="Tahoma"/>
          <w:sz w:val="18"/>
          <w:szCs w:val="18"/>
        </w:rPr>
        <w:t xml:space="preserve"> de 202</w:t>
      </w:r>
      <w:r w:rsidR="00943847" w:rsidRPr="00B3763F">
        <w:rPr>
          <w:rFonts w:ascii="Verdana" w:hAnsi="Verdana" w:cs="Tahoma"/>
          <w:sz w:val="18"/>
          <w:szCs w:val="18"/>
        </w:rPr>
        <w:t>1</w:t>
      </w:r>
      <w:r w:rsidRPr="00B3763F">
        <w:rPr>
          <w:rFonts w:ascii="Verdana" w:hAnsi="Verdana" w:cs="Tahoma"/>
          <w:sz w:val="18"/>
          <w:szCs w:val="18"/>
        </w:rPr>
        <w:t>, le informo señora Juez, que el presente proceso pasa a Despacho para res</w:t>
      </w:r>
      <w:r w:rsidR="001270F0" w:rsidRPr="00B3763F">
        <w:rPr>
          <w:rFonts w:ascii="Verdana" w:hAnsi="Verdana" w:cs="Tahoma"/>
          <w:sz w:val="18"/>
          <w:szCs w:val="18"/>
        </w:rPr>
        <w:t>olver</w:t>
      </w:r>
      <w:r w:rsidRPr="00B3763F">
        <w:rPr>
          <w:rFonts w:ascii="Verdana" w:hAnsi="Verdana" w:cs="Tahoma"/>
          <w:sz w:val="18"/>
          <w:szCs w:val="18"/>
        </w:rPr>
        <w:t xml:space="preserve"> </w:t>
      </w:r>
      <w:r w:rsidR="003972EC">
        <w:rPr>
          <w:rFonts w:ascii="Verdana" w:hAnsi="Verdana" w:cs="Tahoma"/>
          <w:sz w:val="18"/>
          <w:szCs w:val="18"/>
        </w:rPr>
        <w:t>derecho de petición.</w:t>
      </w:r>
    </w:p>
    <w:p w14:paraId="339F4434" w14:textId="77777777" w:rsidR="001270F0" w:rsidRPr="00B3763F" w:rsidRDefault="001270F0" w:rsidP="00D256D5">
      <w:pPr>
        <w:pStyle w:val="Sinespaciado"/>
        <w:jc w:val="both"/>
        <w:rPr>
          <w:rFonts w:ascii="Verdana" w:hAnsi="Verdana" w:cs="Tahoma"/>
          <w:sz w:val="18"/>
          <w:szCs w:val="18"/>
        </w:rPr>
      </w:pPr>
      <w:r w:rsidRPr="00B3763F">
        <w:rPr>
          <w:noProof/>
          <w:sz w:val="18"/>
          <w:szCs w:val="18"/>
          <w:lang w:eastAsia="es-CO"/>
        </w:rPr>
        <w:drawing>
          <wp:inline distT="0" distB="0" distL="0" distR="0" wp14:anchorId="141F25B4" wp14:editId="0AB02C79">
            <wp:extent cx="295275" cy="114300"/>
            <wp:effectExtent l="0" t="0" r="9525" b="0"/>
            <wp:docPr id="2" name="Imagen 2" descr="C:\Users\Lina\Desktop\LUISA\fIRMA.jpeg"/>
            <wp:cNvGraphicFramePr/>
            <a:graphic xmlns:a="http://schemas.openxmlformats.org/drawingml/2006/main">
              <a:graphicData uri="http://schemas.openxmlformats.org/drawingml/2006/picture">
                <pic:pic xmlns:pic="http://schemas.openxmlformats.org/drawingml/2006/picture">
                  <pic:nvPicPr>
                    <pic:cNvPr id="2" name="Imagen 2" descr="C:\Users\Lina\Desktop\LUISA\fIRMA.jpeg"/>
                    <pic:cNvPicPr/>
                  </pic:nvPicPr>
                  <pic:blipFill rotWithShape="1">
                    <a:blip r:embed="rId10" cstate="print">
                      <a:extLst>
                        <a:ext uri="{28A0092B-C50C-407E-A947-70E740481C1C}">
                          <a14:useLocalDpi xmlns:a14="http://schemas.microsoft.com/office/drawing/2010/main" val="0"/>
                        </a:ext>
                      </a:extLst>
                    </a:blip>
                    <a:srcRect l="24270" t="44679" r="22098" b="23753"/>
                    <a:stretch/>
                  </pic:blipFill>
                  <pic:spPr bwMode="auto">
                    <a:xfrm>
                      <a:off x="0" y="0"/>
                      <a:ext cx="295275" cy="114300"/>
                    </a:xfrm>
                    <a:prstGeom prst="rect">
                      <a:avLst/>
                    </a:prstGeom>
                    <a:noFill/>
                    <a:ln>
                      <a:noFill/>
                    </a:ln>
                    <a:extLst>
                      <a:ext uri="{53640926-AAD7-44D8-BBD7-CCE9431645EC}">
                        <a14:shadowObscured xmlns:a14="http://schemas.microsoft.com/office/drawing/2010/main"/>
                      </a:ext>
                    </a:extLst>
                  </pic:spPr>
                </pic:pic>
              </a:graphicData>
            </a:graphic>
          </wp:inline>
        </w:drawing>
      </w:r>
    </w:p>
    <w:p w14:paraId="00084913" w14:textId="77777777" w:rsidR="00D256D5" w:rsidRPr="00B3763F" w:rsidRDefault="00D256D5" w:rsidP="00D256D5">
      <w:pPr>
        <w:pStyle w:val="Sinespaciado"/>
        <w:jc w:val="both"/>
        <w:rPr>
          <w:rFonts w:ascii="Verdana" w:hAnsi="Verdana" w:cs="Tahoma"/>
          <w:sz w:val="18"/>
          <w:szCs w:val="18"/>
        </w:rPr>
      </w:pPr>
      <w:r w:rsidRPr="00B3763F">
        <w:rPr>
          <w:rFonts w:ascii="Verdana" w:hAnsi="Verdana" w:cs="Tahoma"/>
          <w:sz w:val="18"/>
          <w:szCs w:val="18"/>
        </w:rPr>
        <w:t>LFMC.</w:t>
      </w:r>
    </w:p>
    <w:p w14:paraId="58E80AA2" w14:textId="77777777" w:rsidR="00D256D5" w:rsidRPr="00B3763F" w:rsidRDefault="00D256D5" w:rsidP="00D256D5">
      <w:pPr>
        <w:pStyle w:val="Sinespaciado"/>
        <w:jc w:val="both"/>
        <w:rPr>
          <w:rFonts w:ascii="Verdana" w:hAnsi="Verdana" w:cs="Tahoma"/>
          <w:sz w:val="18"/>
          <w:szCs w:val="18"/>
        </w:rPr>
      </w:pPr>
      <w:r w:rsidRPr="00B3763F">
        <w:rPr>
          <w:rFonts w:ascii="Verdana" w:hAnsi="Verdana" w:cs="Tahoma"/>
          <w:sz w:val="18"/>
          <w:szCs w:val="18"/>
        </w:rPr>
        <w:t>Oficial Mayor</w:t>
      </w:r>
    </w:p>
    <w:p w14:paraId="58ECD38D" w14:textId="77777777" w:rsidR="00C859F3" w:rsidRPr="00B3763F" w:rsidRDefault="00C859F3" w:rsidP="00C859F3">
      <w:pPr>
        <w:pStyle w:val="Sinespaciado"/>
        <w:jc w:val="center"/>
        <w:rPr>
          <w:rFonts w:ascii="Tahoma" w:hAnsi="Tahoma" w:cs="Tahoma"/>
          <w:sz w:val="21"/>
          <w:szCs w:val="21"/>
        </w:rPr>
      </w:pPr>
      <w:r w:rsidRPr="00B3763F">
        <w:rPr>
          <w:noProof/>
          <w:sz w:val="21"/>
          <w:szCs w:val="21"/>
          <w:lang w:eastAsia="es-CO"/>
        </w:rPr>
        <w:drawing>
          <wp:inline distT="0" distB="0" distL="0" distR="0" wp14:anchorId="40972E53" wp14:editId="5496D817">
            <wp:extent cx="821580" cy="7524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6889" cy="757338"/>
                    </a:xfrm>
                    <a:prstGeom prst="rect">
                      <a:avLst/>
                    </a:prstGeom>
                    <a:noFill/>
                    <a:ln>
                      <a:noFill/>
                    </a:ln>
                  </pic:spPr>
                </pic:pic>
              </a:graphicData>
            </a:graphic>
          </wp:inline>
        </w:drawing>
      </w:r>
    </w:p>
    <w:p w14:paraId="107CA284" w14:textId="77777777" w:rsidR="00C859F3" w:rsidRPr="00B3763F" w:rsidRDefault="00C859F3" w:rsidP="00C859F3">
      <w:pPr>
        <w:pStyle w:val="Sinespaciado"/>
        <w:jc w:val="center"/>
        <w:rPr>
          <w:rFonts w:ascii="Verdana" w:hAnsi="Verdana" w:cs="Tahoma"/>
          <w:b/>
          <w:sz w:val="21"/>
          <w:szCs w:val="21"/>
        </w:rPr>
      </w:pPr>
      <w:r w:rsidRPr="00B3763F">
        <w:rPr>
          <w:rFonts w:ascii="Verdana" w:hAnsi="Verdana" w:cs="Tahoma"/>
          <w:b/>
          <w:sz w:val="21"/>
          <w:szCs w:val="21"/>
        </w:rPr>
        <w:t>JUZGADO PRIMERO CIVIL MUNICIPAL DE MANIZALES</w:t>
      </w:r>
    </w:p>
    <w:p w14:paraId="187350B6" w14:textId="5A931670" w:rsidR="00C859F3" w:rsidRPr="00B3763F" w:rsidRDefault="00C859F3" w:rsidP="00C859F3">
      <w:pPr>
        <w:pStyle w:val="Sinespaciado"/>
        <w:jc w:val="center"/>
        <w:rPr>
          <w:rFonts w:ascii="Verdana" w:hAnsi="Verdana"/>
          <w:sz w:val="21"/>
          <w:szCs w:val="21"/>
        </w:rPr>
      </w:pPr>
      <w:r w:rsidRPr="00B3763F">
        <w:rPr>
          <w:rFonts w:ascii="Verdana" w:hAnsi="Verdana"/>
          <w:sz w:val="21"/>
          <w:szCs w:val="21"/>
        </w:rPr>
        <w:t xml:space="preserve"> Manizales,</w:t>
      </w:r>
      <w:r w:rsidR="001270F0" w:rsidRPr="00B3763F">
        <w:rPr>
          <w:rFonts w:ascii="Verdana" w:hAnsi="Verdana"/>
          <w:sz w:val="21"/>
          <w:szCs w:val="21"/>
        </w:rPr>
        <w:t xml:space="preserve"> veinti</w:t>
      </w:r>
      <w:r w:rsidR="00943847" w:rsidRPr="00B3763F">
        <w:rPr>
          <w:rFonts w:ascii="Verdana" w:hAnsi="Verdana"/>
          <w:sz w:val="21"/>
          <w:szCs w:val="21"/>
        </w:rPr>
        <w:t>siete</w:t>
      </w:r>
      <w:r w:rsidR="00E225BC" w:rsidRPr="00B3763F">
        <w:rPr>
          <w:rFonts w:ascii="Verdana" w:hAnsi="Verdana"/>
          <w:sz w:val="21"/>
          <w:szCs w:val="21"/>
        </w:rPr>
        <w:t xml:space="preserve"> </w:t>
      </w:r>
      <w:r w:rsidRPr="00B3763F">
        <w:rPr>
          <w:rFonts w:ascii="Verdana" w:hAnsi="Verdana"/>
          <w:sz w:val="21"/>
          <w:szCs w:val="21"/>
        </w:rPr>
        <w:t>(</w:t>
      </w:r>
      <w:r w:rsidR="001270F0" w:rsidRPr="00B3763F">
        <w:rPr>
          <w:rFonts w:ascii="Verdana" w:hAnsi="Verdana"/>
          <w:sz w:val="21"/>
          <w:szCs w:val="21"/>
        </w:rPr>
        <w:t>2</w:t>
      </w:r>
      <w:r w:rsidR="00943847" w:rsidRPr="00B3763F">
        <w:rPr>
          <w:rFonts w:ascii="Verdana" w:hAnsi="Verdana"/>
          <w:sz w:val="21"/>
          <w:szCs w:val="21"/>
        </w:rPr>
        <w:t>7</w:t>
      </w:r>
      <w:r w:rsidR="00A703C9" w:rsidRPr="00B3763F">
        <w:rPr>
          <w:rFonts w:ascii="Verdana" w:hAnsi="Verdana"/>
          <w:sz w:val="21"/>
          <w:szCs w:val="21"/>
        </w:rPr>
        <w:t xml:space="preserve">) de </w:t>
      </w:r>
      <w:r w:rsidR="00943847" w:rsidRPr="00B3763F">
        <w:rPr>
          <w:rFonts w:ascii="Verdana" w:hAnsi="Verdana"/>
          <w:sz w:val="21"/>
          <w:szCs w:val="21"/>
        </w:rPr>
        <w:t>octubre</w:t>
      </w:r>
      <w:r w:rsidR="00063EA2" w:rsidRPr="00B3763F">
        <w:rPr>
          <w:rFonts w:ascii="Verdana" w:hAnsi="Verdana"/>
          <w:sz w:val="21"/>
          <w:szCs w:val="21"/>
        </w:rPr>
        <w:t xml:space="preserve"> de dos mil veint</w:t>
      </w:r>
      <w:r w:rsidR="00943847" w:rsidRPr="00B3763F">
        <w:rPr>
          <w:rFonts w:ascii="Verdana" w:hAnsi="Verdana"/>
          <w:sz w:val="21"/>
          <w:szCs w:val="21"/>
        </w:rPr>
        <w:t>iuno</w:t>
      </w:r>
      <w:r w:rsidR="00063EA2" w:rsidRPr="00B3763F">
        <w:rPr>
          <w:rFonts w:ascii="Verdana" w:hAnsi="Verdana"/>
          <w:sz w:val="21"/>
          <w:szCs w:val="21"/>
        </w:rPr>
        <w:t xml:space="preserve"> (202</w:t>
      </w:r>
      <w:r w:rsidR="00943847" w:rsidRPr="00B3763F">
        <w:rPr>
          <w:rFonts w:ascii="Verdana" w:hAnsi="Verdana"/>
          <w:sz w:val="21"/>
          <w:szCs w:val="21"/>
        </w:rPr>
        <w:t>1</w:t>
      </w:r>
      <w:r w:rsidRPr="00B3763F">
        <w:rPr>
          <w:rFonts w:ascii="Verdana" w:hAnsi="Verdana"/>
          <w:sz w:val="21"/>
          <w:szCs w:val="21"/>
        </w:rPr>
        <w:t>)</w:t>
      </w:r>
    </w:p>
    <w:p w14:paraId="6E32C720" w14:textId="77777777" w:rsidR="00C859F3" w:rsidRPr="00B3763F" w:rsidRDefault="00C859F3" w:rsidP="00B3763F">
      <w:pPr>
        <w:pStyle w:val="Sinespaciado"/>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794"/>
        <w:gridCol w:w="4896"/>
      </w:tblGrid>
      <w:tr w:rsidR="000C28C0" w:rsidRPr="000C28C0" w14:paraId="607B3C9B" w14:textId="77777777" w:rsidTr="007835B0">
        <w:trPr>
          <w:tblCellSpacing w:w="20" w:type="dxa"/>
          <w:jc w:val="center"/>
        </w:trPr>
        <w:tc>
          <w:tcPr>
            <w:tcW w:w="1734" w:type="dxa"/>
          </w:tcPr>
          <w:p w14:paraId="2D0E19FA" w14:textId="77777777" w:rsidR="00C859F3" w:rsidRPr="00B3763F" w:rsidRDefault="00C859F3" w:rsidP="007835B0">
            <w:pPr>
              <w:pStyle w:val="Sinespaciado"/>
              <w:rPr>
                <w:rFonts w:ascii="Verdana" w:hAnsi="Verdana"/>
                <w:bCs/>
                <w:sz w:val="20"/>
                <w:szCs w:val="20"/>
              </w:rPr>
            </w:pPr>
            <w:r w:rsidRPr="00B3763F">
              <w:rPr>
                <w:rFonts w:ascii="Verdana" w:hAnsi="Verdana"/>
                <w:bCs/>
                <w:sz w:val="20"/>
                <w:szCs w:val="20"/>
              </w:rPr>
              <w:t>RADICADO</w:t>
            </w:r>
          </w:p>
        </w:tc>
        <w:tc>
          <w:tcPr>
            <w:tcW w:w="4836" w:type="dxa"/>
          </w:tcPr>
          <w:p w14:paraId="11074F55" w14:textId="03403A17" w:rsidR="00C859F3" w:rsidRPr="008D3F50" w:rsidRDefault="00C859F3" w:rsidP="00863CBC">
            <w:pPr>
              <w:pStyle w:val="Sinespaciado"/>
              <w:rPr>
                <w:rFonts w:ascii="Verdana" w:hAnsi="Verdana"/>
                <w:bCs/>
                <w:sz w:val="20"/>
                <w:szCs w:val="20"/>
              </w:rPr>
            </w:pPr>
            <w:r w:rsidRPr="008D3F50">
              <w:rPr>
                <w:rFonts w:ascii="Verdana" w:hAnsi="Verdana"/>
                <w:bCs/>
                <w:sz w:val="20"/>
                <w:szCs w:val="20"/>
              </w:rPr>
              <w:t xml:space="preserve">170014003001 </w:t>
            </w:r>
            <w:r w:rsidR="00A703C9" w:rsidRPr="008D3F50">
              <w:rPr>
                <w:rFonts w:ascii="Verdana" w:hAnsi="Verdana"/>
                <w:b/>
                <w:bCs/>
                <w:sz w:val="20"/>
                <w:szCs w:val="20"/>
              </w:rPr>
              <w:t>20</w:t>
            </w:r>
            <w:r w:rsidR="00943847" w:rsidRPr="008D3F50">
              <w:rPr>
                <w:rFonts w:ascii="Verdana" w:hAnsi="Verdana"/>
                <w:b/>
                <w:bCs/>
                <w:sz w:val="20"/>
                <w:szCs w:val="20"/>
              </w:rPr>
              <w:t>20</w:t>
            </w:r>
            <w:r w:rsidRPr="008D3F50">
              <w:rPr>
                <w:rFonts w:ascii="Verdana" w:hAnsi="Verdana"/>
                <w:b/>
                <w:bCs/>
                <w:sz w:val="20"/>
                <w:szCs w:val="20"/>
              </w:rPr>
              <w:t xml:space="preserve"> 00</w:t>
            </w:r>
            <w:r w:rsidR="00A703C9" w:rsidRPr="008D3F50">
              <w:rPr>
                <w:rFonts w:ascii="Verdana" w:hAnsi="Verdana"/>
                <w:b/>
                <w:bCs/>
                <w:sz w:val="20"/>
                <w:szCs w:val="20"/>
              </w:rPr>
              <w:t>4</w:t>
            </w:r>
            <w:r w:rsidR="00943847" w:rsidRPr="008D3F50">
              <w:rPr>
                <w:rFonts w:ascii="Verdana" w:hAnsi="Verdana"/>
                <w:b/>
                <w:bCs/>
                <w:sz w:val="20"/>
                <w:szCs w:val="20"/>
              </w:rPr>
              <w:t>09</w:t>
            </w:r>
            <w:r w:rsidRPr="008D3F50">
              <w:rPr>
                <w:rFonts w:ascii="Verdana" w:hAnsi="Verdana"/>
                <w:bCs/>
                <w:sz w:val="20"/>
                <w:szCs w:val="20"/>
              </w:rPr>
              <w:t xml:space="preserve"> 00</w:t>
            </w:r>
          </w:p>
        </w:tc>
      </w:tr>
      <w:tr w:rsidR="000C28C0" w:rsidRPr="000C28C0" w14:paraId="2BAA98DC" w14:textId="77777777" w:rsidTr="007835B0">
        <w:trPr>
          <w:tblCellSpacing w:w="20" w:type="dxa"/>
          <w:jc w:val="center"/>
        </w:trPr>
        <w:tc>
          <w:tcPr>
            <w:tcW w:w="1734" w:type="dxa"/>
          </w:tcPr>
          <w:p w14:paraId="72D0E025" w14:textId="77777777" w:rsidR="00C859F3" w:rsidRPr="00B3763F" w:rsidRDefault="00C859F3" w:rsidP="007835B0">
            <w:pPr>
              <w:pStyle w:val="Sinespaciado"/>
              <w:rPr>
                <w:rFonts w:ascii="Verdana" w:hAnsi="Verdana"/>
                <w:bCs/>
                <w:sz w:val="20"/>
                <w:szCs w:val="20"/>
              </w:rPr>
            </w:pPr>
            <w:r w:rsidRPr="00B3763F">
              <w:rPr>
                <w:rFonts w:ascii="Verdana" w:hAnsi="Verdana"/>
                <w:bCs/>
                <w:sz w:val="20"/>
                <w:szCs w:val="20"/>
              </w:rPr>
              <w:t>ASUNTO</w:t>
            </w:r>
          </w:p>
        </w:tc>
        <w:tc>
          <w:tcPr>
            <w:tcW w:w="4836" w:type="dxa"/>
          </w:tcPr>
          <w:p w14:paraId="5233E37A" w14:textId="16D8A94D" w:rsidR="00C859F3" w:rsidRPr="008D3F50" w:rsidRDefault="00532655" w:rsidP="007835B0">
            <w:pPr>
              <w:pStyle w:val="Sinespaciado"/>
              <w:rPr>
                <w:rFonts w:ascii="Verdana" w:hAnsi="Verdana"/>
                <w:sz w:val="20"/>
                <w:szCs w:val="20"/>
              </w:rPr>
            </w:pPr>
            <w:r w:rsidRPr="008D3F50">
              <w:rPr>
                <w:rFonts w:ascii="Verdana" w:hAnsi="Verdana"/>
                <w:sz w:val="20"/>
                <w:szCs w:val="20"/>
              </w:rPr>
              <w:t xml:space="preserve">RESUELVE </w:t>
            </w:r>
            <w:r w:rsidR="003972EC" w:rsidRPr="008D3F50">
              <w:rPr>
                <w:rFonts w:ascii="Verdana" w:hAnsi="Verdana"/>
                <w:sz w:val="20"/>
                <w:szCs w:val="20"/>
              </w:rPr>
              <w:t>DERECHO DE PETICIÓN</w:t>
            </w:r>
            <w:r w:rsidR="008D3F50" w:rsidRPr="008D3F50">
              <w:rPr>
                <w:rFonts w:ascii="Verdana" w:hAnsi="Verdana"/>
                <w:sz w:val="20"/>
                <w:szCs w:val="20"/>
              </w:rPr>
              <w:t xml:space="preserve"> y REQUIERE PAGADOR</w:t>
            </w:r>
          </w:p>
        </w:tc>
      </w:tr>
    </w:tbl>
    <w:p w14:paraId="76C15F66" w14:textId="4D90DE6E" w:rsidR="003972EC" w:rsidRDefault="003972EC" w:rsidP="003972EC">
      <w:pPr>
        <w:pStyle w:val="Sinespaciado"/>
      </w:pPr>
    </w:p>
    <w:p w14:paraId="49B207F0" w14:textId="77777777" w:rsidR="008D3F50" w:rsidRPr="003972EC" w:rsidRDefault="008D3F50" w:rsidP="003972EC">
      <w:pPr>
        <w:pStyle w:val="Sinespaciado"/>
      </w:pPr>
    </w:p>
    <w:p w14:paraId="1540471D" w14:textId="30DAA5D7" w:rsidR="00943847" w:rsidRPr="003972EC" w:rsidRDefault="008A0C00" w:rsidP="006C368B">
      <w:pPr>
        <w:pStyle w:val="Sinespaciado"/>
        <w:spacing w:line="360" w:lineRule="auto"/>
        <w:jc w:val="both"/>
        <w:rPr>
          <w:rFonts w:ascii="Verdana" w:hAnsi="Verdana"/>
        </w:rPr>
      </w:pPr>
      <w:r w:rsidRPr="003972EC">
        <w:rPr>
          <w:rFonts w:ascii="Verdana" w:hAnsi="Verdana"/>
        </w:rPr>
        <w:t xml:space="preserve">El </w:t>
      </w:r>
      <w:r w:rsidR="00943847" w:rsidRPr="003972EC">
        <w:rPr>
          <w:rFonts w:ascii="Verdana" w:hAnsi="Verdana"/>
        </w:rPr>
        <w:t xml:space="preserve">demandado HERNAN ANDRÉS MURCIA SÁNCHEZ presenta solicitud por medio de derecho de petición en el sentido que se allegue copia </w:t>
      </w:r>
      <w:r w:rsidR="008D3F50">
        <w:rPr>
          <w:rFonts w:ascii="Verdana" w:hAnsi="Verdana"/>
        </w:rPr>
        <w:t>í</w:t>
      </w:r>
      <w:r w:rsidR="00943847" w:rsidRPr="003972EC">
        <w:rPr>
          <w:rFonts w:ascii="Verdana" w:hAnsi="Verdana"/>
        </w:rPr>
        <w:t>ntegra de la imagen donde se evidencie la dirección electrónica exacta y la fecha en la cual se realiz</w:t>
      </w:r>
      <w:r w:rsidR="00C60E67" w:rsidRPr="003972EC">
        <w:rPr>
          <w:rFonts w:ascii="Verdana" w:hAnsi="Verdana"/>
        </w:rPr>
        <w:t>ó</w:t>
      </w:r>
      <w:r w:rsidR="00943847" w:rsidRPr="003972EC">
        <w:rPr>
          <w:rFonts w:ascii="Verdana" w:hAnsi="Verdana"/>
        </w:rPr>
        <w:t xml:space="preserve"> la notificación de la demand</w:t>
      </w:r>
      <w:r w:rsidR="00C60E67" w:rsidRPr="003972EC">
        <w:rPr>
          <w:rFonts w:ascii="Verdana" w:hAnsi="Verdana"/>
        </w:rPr>
        <w:t xml:space="preserve">a, pues indica que conforme la información otorgada por este Despacho la notificación se efectúo al correo electrónico </w:t>
      </w:r>
      <w:hyperlink r:id="rId12" w:history="1">
        <w:r w:rsidR="0033235D" w:rsidRPr="003972EC">
          <w:rPr>
            <w:rStyle w:val="Hipervnculo"/>
            <w:rFonts w:ascii="Verdana" w:hAnsi="Verdana"/>
          </w:rPr>
          <w:t>piedadcardenas07@hotmail.com</w:t>
        </w:r>
      </w:hyperlink>
      <w:r w:rsidR="007A177D" w:rsidRPr="003972EC">
        <w:rPr>
          <w:rFonts w:ascii="Verdana" w:hAnsi="Verdana"/>
        </w:rPr>
        <w:t>, pero que al revisar dicha cuenta e incluso la bandeja de correo no deseado, no encuentra el mencionado correo.</w:t>
      </w:r>
    </w:p>
    <w:p w14:paraId="7BD1C4D9" w14:textId="3C42A1F6" w:rsidR="003972EC" w:rsidRDefault="003972EC" w:rsidP="006C368B">
      <w:pPr>
        <w:pStyle w:val="Sinespaciado"/>
        <w:spacing w:line="360" w:lineRule="auto"/>
        <w:jc w:val="both"/>
        <w:rPr>
          <w:rFonts w:ascii="Verdana" w:hAnsi="Verdana"/>
        </w:rPr>
      </w:pPr>
    </w:p>
    <w:p w14:paraId="634C2897" w14:textId="43D27EC5" w:rsidR="00C031CD" w:rsidRDefault="0066334C" w:rsidP="006C368B">
      <w:pPr>
        <w:pStyle w:val="Sinespaciado"/>
        <w:spacing w:line="360" w:lineRule="auto"/>
        <w:jc w:val="both"/>
        <w:rPr>
          <w:rFonts w:ascii="Verdana" w:hAnsi="Verdana"/>
        </w:rPr>
      </w:pPr>
      <w:proofErr w:type="spellStart"/>
      <w:r>
        <w:rPr>
          <w:rFonts w:ascii="Verdana" w:hAnsi="Verdana"/>
        </w:rPr>
        <w:t>El</w:t>
      </w:r>
      <w:proofErr w:type="spellEnd"/>
      <w:r>
        <w:rPr>
          <w:rFonts w:ascii="Verdana" w:hAnsi="Verdana"/>
        </w:rPr>
        <w:t xml:space="preserve"> </w:t>
      </w:r>
      <w:r w:rsidR="00C031CD" w:rsidRPr="37FA7008">
        <w:rPr>
          <w:rFonts w:ascii="Verdana" w:hAnsi="Verdana"/>
        </w:rPr>
        <w:t xml:space="preserve">artículo 8 del </w:t>
      </w:r>
      <w:r w:rsidR="569E8A8A" w:rsidRPr="37FA7008">
        <w:rPr>
          <w:rFonts w:ascii="Verdana" w:hAnsi="Verdana"/>
        </w:rPr>
        <w:t>D</w:t>
      </w:r>
      <w:r w:rsidR="00C031CD" w:rsidRPr="37FA7008">
        <w:rPr>
          <w:rFonts w:ascii="Verdana" w:hAnsi="Verdana"/>
        </w:rPr>
        <w:t xml:space="preserve">ecreto 806 de 2020, sobre </w:t>
      </w:r>
      <w:r>
        <w:rPr>
          <w:rFonts w:ascii="Verdana" w:hAnsi="Verdana"/>
        </w:rPr>
        <w:t xml:space="preserve">las </w:t>
      </w:r>
      <w:r w:rsidR="00C031CD" w:rsidRPr="37FA7008">
        <w:rPr>
          <w:rFonts w:ascii="Verdana" w:hAnsi="Verdana"/>
        </w:rPr>
        <w:t>notificaciones personales</w:t>
      </w:r>
      <w:r>
        <w:rPr>
          <w:rFonts w:ascii="Verdana" w:hAnsi="Verdana"/>
        </w:rPr>
        <w:t>,</w:t>
      </w:r>
      <w:r w:rsidR="00C031CD" w:rsidRPr="37FA7008">
        <w:rPr>
          <w:rFonts w:ascii="Verdana" w:hAnsi="Verdana"/>
        </w:rPr>
        <w:t xml:space="preserve"> dispone: </w:t>
      </w:r>
    </w:p>
    <w:p w14:paraId="14924D5A" w14:textId="4BAE268C" w:rsidR="00C031CD" w:rsidRDefault="00C031CD" w:rsidP="37FA7008">
      <w:pPr>
        <w:pStyle w:val="Sinespaciado"/>
        <w:spacing w:line="360" w:lineRule="auto"/>
        <w:ind w:left="180" w:right="540"/>
        <w:jc w:val="both"/>
        <w:rPr>
          <w:rFonts w:ascii="Verdana" w:hAnsi="Verdana"/>
          <w:i/>
          <w:iCs/>
        </w:rPr>
      </w:pPr>
    </w:p>
    <w:p w14:paraId="68F5982C" w14:textId="77777777" w:rsidR="00C031CD" w:rsidRPr="00F51335" w:rsidRDefault="00C031CD" w:rsidP="37FA7008">
      <w:pPr>
        <w:pStyle w:val="Sinespaciado"/>
        <w:spacing w:line="240" w:lineRule="atLeast"/>
        <w:ind w:left="180" w:right="540"/>
        <w:jc w:val="both"/>
        <w:rPr>
          <w:rFonts w:ascii="Verdana" w:hAnsi="Verdana"/>
          <w:i/>
          <w:iCs/>
          <w:sz w:val="20"/>
          <w:szCs w:val="20"/>
        </w:rPr>
      </w:pPr>
      <w:r w:rsidRPr="37FA7008">
        <w:rPr>
          <w:rFonts w:ascii="Verdana" w:hAnsi="Verdana"/>
          <w:i/>
          <w:iCs/>
          <w:sz w:val="20"/>
          <w:szCs w:val="20"/>
        </w:rPr>
        <w:t xml:space="preserve">“Las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 </w:t>
      </w:r>
    </w:p>
    <w:p w14:paraId="78229D65" w14:textId="77777777" w:rsidR="00C031CD" w:rsidRPr="00F51335" w:rsidRDefault="00C031CD" w:rsidP="37FA7008">
      <w:pPr>
        <w:pStyle w:val="Sinespaciado"/>
        <w:spacing w:line="240" w:lineRule="atLeast"/>
        <w:ind w:left="180" w:right="540"/>
        <w:jc w:val="both"/>
        <w:rPr>
          <w:rFonts w:ascii="Verdana" w:hAnsi="Verdana"/>
          <w:i/>
          <w:iCs/>
          <w:sz w:val="20"/>
          <w:szCs w:val="20"/>
        </w:rPr>
      </w:pPr>
    </w:p>
    <w:p w14:paraId="26335A63" w14:textId="77777777" w:rsidR="00C031CD" w:rsidRPr="00F51335" w:rsidRDefault="00C031CD" w:rsidP="37FA7008">
      <w:pPr>
        <w:pStyle w:val="Sinespaciado"/>
        <w:spacing w:line="240" w:lineRule="atLeast"/>
        <w:ind w:left="180" w:right="540"/>
        <w:jc w:val="both"/>
        <w:rPr>
          <w:rFonts w:ascii="Verdana" w:hAnsi="Verdana"/>
          <w:i/>
          <w:iCs/>
          <w:sz w:val="20"/>
          <w:szCs w:val="20"/>
        </w:rPr>
      </w:pPr>
      <w:r w:rsidRPr="37FA7008">
        <w:rPr>
          <w:rFonts w:ascii="Verdana" w:hAnsi="Verdana"/>
          <w:i/>
          <w:iCs/>
          <w:sz w:val="20"/>
          <w:szCs w:val="20"/>
        </w:rPr>
        <w:t xml:space="preserve">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 </w:t>
      </w:r>
    </w:p>
    <w:p w14:paraId="184C4ED2" w14:textId="77777777" w:rsidR="00C031CD" w:rsidRPr="00F51335" w:rsidRDefault="00C031CD" w:rsidP="37FA7008">
      <w:pPr>
        <w:pStyle w:val="Sinespaciado"/>
        <w:spacing w:line="240" w:lineRule="atLeast"/>
        <w:ind w:left="180" w:right="540"/>
        <w:jc w:val="both"/>
        <w:rPr>
          <w:rFonts w:ascii="Verdana" w:hAnsi="Verdana"/>
          <w:i/>
          <w:iCs/>
          <w:sz w:val="20"/>
          <w:szCs w:val="20"/>
        </w:rPr>
      </w:pPr>
    </w:p>
    <w:p w14:paraId="2572DE3A" w14:textId="77777777" w:rsidR="00C031CD" w:rsidRPr="00F51335" w:rsidRDefault="00C031CD" w:rsidP="37FA7008">
      <w:pPr>
        <w:pStyle w:val="Sinespaciado"/>
        <w:spacing w:line="240" w:lineRule="atLeast"/>
        <w:ind w:left="180" w:right="540"/>
        <w:jc w:val="both"/>
        <w:rPr>
          <w:rFonts w:ascii="Verdana" w:hAnsi="Verdana"/>
          <w:i/>
          <w:iCs/>
          <w:sz w:val="20"/>
          <w:szCs w:val="20"/>
        </w:rPr>
      </w:pPr>
      <w:r w:rsidRPr="37FA7008">
        <w:rPr>
          <w:rFonts w:ascii="Verdana" w:hAnsi="Verdana"/>
          <w:i/>
          <w:iCs/>
          <w:sz w:val="20"/>
          <w:szCs w:val="20"/>
        </w:rPr>
        <w:t xml:space="preserve">La notificación personal se entenderá realizada una vez transcurridos dos días hábiles siguientes al envío del mensaje y los términos empezarán a correr a partir del día siguiente al de la notificación. </w:t>
      </w:r>
    </w:p>
    <w:p w14:paraId="7B86CCF6" w14:textId="77777777" w:rsidR="00C031CD" w:rsidRPr="00F51335" w:rsidRDefault="00C031CD" w:rsidP="37FA7008">
      <w:pPr>
        <w:pStyle w:val="Sinespaciado"/>
        <w:spacing w:line="240" w:lineRule="atLeast"/>
        <w:ind w:left="180" w:right="540"/>
        <w:jc w:val="both"/>
        <w:rPr>
          <w:rFonts w:ascii="Verdana" w:hAnsi="Verdana"/>
          <w:i/>
          <w:iCs/>
          <w:sz w:val="20"/>
          <w:szCs w:val="20"/>
        </w:rPr>
      </w:pPr>
    </w:p>
    <w:p w14:paraId="15C5A724" w14:textId="77777777" w:rsidR="00C031CD" w:rsidRPr="00F51335" w:rsidRDefault="00C031CD" w:rsidP="37FA7008">
      <w:pPr>
        <w:pStyle w:val="Sinespaciado"/>
        <w:spacing w:line="240" w:lineRule="atLeast"/>
        <w:ind w:left="180" w:right="540"/>
        <w:jc w:val="both"/>
        <w:rPr>
          <w:rFonts w:ascii="Verdana" w:hAnsi="Verdana"/>
          <w:i/>
          <w:iCs/>
          <w:sz w:val="20"/>
          <w:szCs w:val="20"/>
        </w:rPr>
      </w:pPr>
      <w:r w:rsidRPr="37FA7008">
        <w:rPr>
          <w:rFonts w:ascii="Verdana" w:hAnsi="Verdana"/>
          <w:i/>
          <w:iCs/>
          <w:sz w:val="20"/>
          <w:szCs w:val="20"/>
        </w:rPr>
        <w:t xml:space="preserve">Para los fines de esta norma se podrán implementar o utilizar sistemas de confirmación del recibo de los correos electrónicos o mensajes de datos. </w:t>
      </w:r>
    </w:p>
    <w:p w14:paraId="3E49EA0D" w14:textId="77777777" w:rsidR="00C031CD" w:rsidRPr="00F51335" w:rsidRDefault="00C031CD" w:rsidP="37FA7008">
      <w:pPr>
        <w:pStyle w:val="Sinespaciado"/>
        <w:spacing w:line="240" w:lineRule="atLeast"/>
        <w:ind w:left="180" w:right="540"/>
        <w:jc w:val="both"/>
        <w:rPr>
          <w:rFonts w:ascii="Verdana" w:hAnsi="Verdana"/>
          <w:i/>
          <w:iCs/>
          <w:sz w:val="20"/>
          <w:szCs w:val="20"/>
        </w:rPr>
      </w:pPr>
      <w:r w:rsidRPr="37FA7008">
        <w:rPr>
          <w:rFonts w:ascii="Verdana" w:hAnsi="Verdana"/>
          <w:i/>
          <w:iCs/>
          <w:sz w:val="20"/>
          <w:szCs w:val="20"/>
        </w:rPr>
        <w:t xml:space="preserve">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 </w:t>
      </w:r>
    </w:p>
    <w:p w14:paraId="309E071C" w14:textId="77777777" w:rsidR="00C031CD" w:rsidRPr="00F51335" w:rsidRDefault="00C031CD" w:rsidP="37FA7008">
      <w:pPr>
        <w:pStyle w:val="Sinespaciado"/>
        <w:spacing w:line="240" w:lineRule="atLeast"/>
        <w:ind w:left="180" w:right="540"/>
        <w:jc w:val="both"/>
        <w:rPr>
          <w:rFonts w:ascii="Verdana" w:hAnsi="Verdana"/>
          <w:i/>
          <w:iCs/>
          <w:sz w:val="20"/>
          <w:szCs w:val="20"/>
        </w:rPr>
      </w:pPr>
    </w:p>
    <w:p w14:paraId="03D2D2FB" w14:textId="77777777" w:rsidR="00C031CD" w:rsidRPr="00F51335" w:rsidRDefault="00C031CD" w:rsidP="37FA7008">
      <w:pPr>
        <w:pStyle w:val="Sinespaciado"/>
        <w:spacing w:line="240" w:lineRule="atLeast"/>
        <w:ind w:left="180" w:right="540"/>
        <w:jc w:val="both"/>
        <w:rPr>
          <w:rFonts w:ascii="Verdana" w:hAnsi="Verdana"/>
          <w:i/>
          <w:iCs/>
          <w:sz w:val="20"/>
          <w:szCs w:val="20"/>
        </w:rPr>
      </w:pPr>
      <w:r w:rsidRPr="37FA7008">
        <w:rPr>
          <w:rFonts w:ascii="Verdana" w:hAnsi="Verdana"/>
          <w:i/>
          <w:iCs/>
          <w:sz w:val="20"/>
          <w:szCs w:val="20"/>
        </w:rPr>
        <w:t xml:space="preserve">Parágrafo 1. Lo previsto en este artículo se aplicará cualquiera sea la naturaleza de la actuación, incluidas las pruebas extraprocesales o del proceso, sea este declarativo, declarativo especial, monitorio, ejecutivo o cualquiera otro. </w:t>
      </w:r>
    </w:p>
    <w:p w14:paraId="4526765D" w14:textId="77777777" w:rsidR="00C031CD" w:rsidRPr="00F51335" w:rsidRDefault="00C031CD" w:rsidP="37FA7008">
      <w:pPr>
        <w:pStyle w:val="Sinespaciado"/>
        <w:spacing w:line="240" w:lineRule="atLeast"/>
        <w:ind w:left="180" w:right="540"/>
        <w:jc w:val="both"/>
        <w:rPr>
          <w:rFonts w:ascii="Verdana" w:hAnsi="Verdana"/>
          <w:i/>
          <w:iCs/>
          <w:sz w:val="20"/>
          <w:szCs w:val="20"/>
        </w:rPr>
      </w:pPr>
    </w:p>
    <w:p w14:paraId="7309B32E" w14:textId="7FB1B6BA" w:rsidR="00C031CD" w:rsidRPr="00F51335" w:rsidRDefault="00C031CD" w:rsidP="37FA7008">
      <w:pPr>
        <w:pStyle w:val="Sinespaciado"/>
        <w:spacing w:line="240" w:lineRule="atLeast"/>
        <w:ind w:left="180" w:right="540"/>
        <w:jc w:val="both"/>
        <w:rPr>
          <w:rFonts w:ascii="Verdana" w:hAnsi="Verdana"/>
          <w:i/>
          <w:iCs/>
          <w:sz w:val="20"/>
          <w:szCs w:val="20"/>
        </w:rPr>
      </w:pPr>
      <w:r w:rsidRPr="37FA7008">
        <w:rPr>
          <w:rFonts w:ascii="Verdana" w:hAnsi="Verdana"/>
          <w:i/>
          <w:iCs/>
          <w:sz w:val="20"/>
          <w:szCs w:val="20"/>
        </w:rPr>
        <w:lastRenderedPageBreak/>
        <w:t xml:space="preserve">Parágrafo 2. La autoridad judicial, de oficio o a petición de parte, podrá solicitar información de las direcciones electrónicas o sitios de la parte por notificar que estén en las Cámaras de Comercio, superintendencias, entidades </w:t>
      </w:r>
      <w:r w:rsidR="00F51335" w:rsidRPr="37FA7008">
        <w:rPr>
          <w:rFonts w:ascii="Verdana" w:hAnsi="Verdana"/>
          <w:i/>
          <w:iCs/>
          <w:sz w:val="20"/>
          <w:szCs w:val="20"/>
        </w:rPr>
        <w:t>públicas</w:t>
      </w:r>
      <w:r w:rsidRPr="37FA7008">
        <w:rPr>
          <w:rFonts w:ascii="Verdana" w:hAnsi="Verdana"/>
          <w:i/>
          <w:iCs/>
          <w:sz w:val="20"/>
          <w:szCs w:val="20"/>
        </w:rPr>
        <w:t xml:space="preserve"> o privadas, o utilizar aquellas que estén informadas en páginas Web o en redes sociales</w:t>
      </w:r>
      <w:r w:rsidR="00F51335" w:rsidRPr="37FA7008">
        <w:rPr>
          <w:rFonts w:ascii="Verdana" w:hAnsi="Verdana"/>
          <w:i/>
          <w:iCs/>
          <w:sz w:val="20"/>
          <w:szCs w:val="20"/>
        </w:rPr>
        <w:t>”</w:t>
      </w:r>
      <w:r w:rsidRPr="37FA7008">
        <w:rPr>
          <w:rFonts w:ascii="Verdana" w:hAnsi="Verdana"/>
          <w:i/>
          <w:iCs/>
          <w:sz w:val="20"/>
          <w:szCs w:val="20"/>
        </w:rPr>
        <w:t>.</w:t>
      </w:r>
    </w:p>
    <w:p w14:paraId="68BAF589" w14:textId="67CFE8B7" w:rsidR="00F51335" w:rsidRDefault="00F51335" w:rsidP="37FA7008">
      <w:pPr>
        <w:pStyle w:val="Sinespaciado"/>
        <w:spacing w:line="360" w:lineRule="auto"/>
        <w:ind w:left="180" w:right="540"/>
        <w:jc w:val="both"/>
        <w:rPr>
          <w:rFonts w:ascii="Verdana" w:hAnsi="Verdana"/>
          <w:i/>
          <w:iCs/>
          <w:sz w:val="21"/>
          <w:szCs w:val="21"/>
        </w:rPr>
      </w:pPr>
    </w:p>
    <w:p w14:paraId="3E0ECCE2" w14:textId="0172E16D" w:rsidR="00A563D3" w:rsidRPr="0005519D" w:rsidRDefault="00F51335" w:rsidP="006C368B">
      <w:pPr>
        <w:pStyle w:val="Sinespaciado"/>
        <w:spacing w:line="360" w:lineRule="auto"/>
        <w:jc w:val="both"/>
        <w:rPr>
          <w:rFonts w:ascii="Verdana" w:hAnsi="Verdana"/>
        </w:rPr>
      </w:pPr>
      <w:r w:rsidRPr="0005519D">
        <w:rPr>
          <w:rFonts w:ascii="Verdana" w:hAnsi="Verdana"/>
        </w:rPr>
        <w:t xml:space="preserve">Tal norma fue objeto de control a automático de constitucionalidad por parte de la Corte Constitucional, que mediante sentencia </w:t>
      </w:r>
      <w:r w:rsidR="00A563D3" w:rsidRPr="0005519D">
        <w:rPr>
          <w:rFonts w:ascii="Verdana" w:hAnsi="Verdana"/>
        </w:rPr>
        <w:t xml:space="preserve">C-420 de 2020, dispuso sobre el particular: </w:t>
      </w:r>
    </w:p>
    <w:p w14:paraId="2F3ED343" w14:textId="183B81D1" w:rsidR="00F77A1A" w:rsidRDefault="00F77A1A" w:rsidP="006C368B">
      <w:pPr>
        <w:pStyle w:val="Sinespaciado"/>
        <w:spacing w:line="360" w:lineRule="auto"/>
        <w:jc w:val="both"/>
        <w:rPr>
          <w:rFonts w:ascii="Arial" w:hAnsi="Arial" w:cs="Arial"/>
          <w:b/>
          <w:bCs/>
          <w:color w:val="333333"/>
          <w:shd w:val="clear" w:color="auto" w:fill="FFFFFF"/>
        </w:rPr>
      </w:pPr>
    </w:p>
    <w:p w14:paraId="38FF51CF" w14:textId="10CDC96D" w:rsidR="00F77A1A" w:rsidRPr="0005519D" w:rsidRDefault="00F77A1A" w:rsidP="0005519D">
      <w:pPr>
        <w:pStyle w:val="Sinespaciado"/>
        <w:spacing w:line="240" w:lineRule="atLeast"/>
        <w:ind w:left="180" w:right="540"/>
        <w:jc w:val="both"/>
        <w:rPr>
          <w:rFonts w:ascii="Verdana" w:hAnsi="Verdana"/>
          <w:i/>
          <w:iCs/>
          <w:sz w:val="20"/>
          <w:szCs w:val="20"/>
        </w:rPr>
      </w:pPr>
      <w:r w:rsidRPr="0005519D">
        <w:rPr>
          <w:rFonts w:ascii="Verdana" w:hAnsi="Verdana"/>
          <w:i/>
          <w:iCs/>
          <w:sz w:val="20"/>
          <w:szCs w:val="20"/>
        </w:rPr>
        <w:t xml:space="preserve">“Tercero. Declarar EXEQUIBLE de manera condicionada el inciso 3 del artículo 8 y el parágrafo del artículo 9 del Decreto Legislativo 806 de 2020, en el entendido de que el término allí dispuesto empezará a contarse cuando el iniciador </w:t>
      </w:r>
      <w:proofErr w:type="spellStart"/>
      <w:r w:rsidRPr="0005519D">
        <w:rPr>
          <w:rFonts w:ascii="Verdana" w:hAnsi="Verdana"/>
          <w:i/>
          <w:iCs/>
          <w:sz w:val="20"/>
          <w:szCs w:val="20"/>
        </w:rPr>
        <w:t>recepcione</w:t>
      </w:r>
      <w:proofErr w:type="spellEnd"/>
      <w:r w:rsidRPr="0005519D">
        <w:rPr>
          <w:rFonts w:ascii="Verdana" w:hAnsi="Verdana"/>
          <w:i/>
          <w:iCs/>
          <w:sz w:val="20"/>
          <w:szCs w:val="20"/>
        </w:rPr>
        <w:t xml:space="preserve"> acuse de recibo o se pueda por otro medio constatar el acceso del destinatario al mensaje”.</w:t>
      </w:r>
    </w:p>
    <w:p w14:paraId="41DEAC22" w14:textId="77777777" w:rsidR="00A563D3" w:rsidRDefault="00A563D3" w:rsidP="006C368B">
      <w:pPr>
        <w:pStyle w:val="Sinespaciado"/>
        <w:spacing w:line="360" w:lineRule="auto"/>
        <w:jc w:val="both"/>
        <w:rPr>
          <w:rFonts w:ascii="Arial" w:hAnsi="Arial" w:cs="Arial"/>
          <w:b/>
          <w:bCs/>
          <w:color w:val="333333"/>
          <w:shd w:val="clear" w:color="auto" w:fill="FFFFFF"/>
        </w:rPr>
      </w:pPr>
    </w:p>
    <w:p w14:paraId="0DAD1A0B" w14:textId="1BFCD611" w:rsidR="00B3763F" w:rsidRPr="00532D04" w:rsidRDefault="0033235D" w:rsidP="006C368B">
      <w:pPr>
        <w:pStyle w:val="Sinespaciado"/>
        <w:spacing w:line="360" w:lineRule="auto"/>
        <w:jc w:val="both"/>
        <w:rPr>
          <w:rFonts w:ascii="Verdana" w:hAnsi="Verdana"/>
          <w:sz w:val="21"/>
          <w:szCs w:val="21"/>
        </w:rPr>
      </w:pPr>
      <w:r w:rsidRPr="37FA7008">
        <w:rPr>
          <w:rFonts w:ascii="Verdana" w:hAnsi="Verdana"/>
          <w:sz w:val="21"/>
          <w:szCs w:val="21"/>
        </w:rPr>
        <w:t xml:space="preserve">Ahora bien, </w:t>
      </w:r>
      <w:r w:rsidR="00F77A1A" w:rsidRPr="37FA7008">
        <w:rPr>
          <w:rFonts w:ascii="Verdana" w:hAnsi="Verdana"/>
          <w:sz w:val="21"/>
          <w:szCs w:val="21"/>
        </w:rPr>
        <w:t xml:space="preserve">aterrizando los </w:t>
      </w:r>
      <w:r w:rsidR="471C36D8" w:rsidRPr="37FA7008">
        <w:rPr>
          <w:rFonts w:ascii="Verdana" w:hAnsi="Verdana"/>
          <w:sz w:val="21"/>
          <w:szCs w:val="21"/>
        </w:rPr>
        <w:t>anteriores derroteros</w:t>
      </w:r>
      <w:r w:rsidR="00F77A1A" w:rsidRPr="37FA7008">
        <w:rPr>
          <w:rFonts w:ascii="Verdana" w:hAnsi="Verdana"/>
          <w:sz w:val="21"/>
          <w:szCs w:val="21"/>
        </w:rPr>
        <w:t xml:space="preserve"> al caso particular, </w:t>
      </w:r>
      <w:r w:rsidRPr="37FA7008">
        <w:rPr>
          <w:rFonts w:ascii="Verdana" w:hAnsi="Verdana"/>
          <w:sz w:val="21"/>
          <w:szCs w:val="21"/>
        </w:rPr>
        <w:t xml:space="preserve">revisando el expediente en aras de resolver la solicitud presentada por el sujeto pasivo MURCIA SÁNCHEZ, tenemos que en el archivo digital </w:t>
      </w:r>
      <w:proofErr w:type="spellStart"/>
      <w:r w:rsidRPr="37FA7008">
        <w:rPr>
          <w:rFonts w:ascii="Verdana" w:hAnsi="Verdana"/>
          <w:sz w:val="21"/>
          <w:szCs w:val="21"/>
        </w:rPr>
        <w:t>N°</w:t>
      </w:r>
      <w:proofErr w:type="spellEnd"/>
      <w:r w:rsidRPr="37FA7008">
        <w:rPr>
          <w:rFonts w:ascii="Verdana" w:hAnsi="Verdana"/>
          <w:sz w:val="21"/>
          <w:szCs w:val="21"/>
        </w:rPr>
        <w:t xml:space="preserve"> 08 encontramos la respuesta otorgada por la EPS SALUD TOTAL al requerimiento efectuado por este Despacho mediante auto del 15 de octubre de 2020 para que informara la dirección electrónica de los demandados, teniendo por respuesta lo siguiente:</w:t>
      </w:r>
    </w:p>
    <w:p w14:paraId="02B1AF96" w14:textId="6EB91DB2" w:rsidR="00B3763F" w:rsidRDefault="00B3763F" w:rsidP="00B3763F">
      <w:pPr>
        <w:pStyle w:val="Sinespaciado"/>
        <w:spacing w:line="360" w:lineRule="auto"/>
        <w:jc w:val="center"/>
        <w:rPr>
          <w:rFonts w:ascii="Verdana" w:hAnsi="Verdana"/>
        </w:rPr>
      </w:pPr>
      <w:r>
        <w:rPr>
          <w:noProof/>
        </w:rPr>
        <w:drawing>
          <wp:inline distT="0" distB="0" distL="0" distR="0" wp14:anchorId="3BB813B6" wp14:editId="3B6B9047">
            <wp:extent cx="4750721" cy="39338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92047" cy="3968045"/>
                    </a:xfrm>
                    <a:prstGeom prst="rect">
                      <a:avLst/>
                    </a:prstGeom>
                  </pic:spPr>
                </pic:pic>
              </a:graphicData>
            </a:graphic>
          </wp:inline>
        </w:drawing>
      </w:r>
    </w:p>
    <w:p w14:paraId="4EB531AB" w14:textId="77777777" w:rsidR="0086551D" w:rsidRDefault="0086551D" w:rsidP="00B3763F">
      <w:pPr>
        <w:pStyle w:val="Sinespaciado"/>
        <w:spacing w:line="360" w:lineRule="auto"/>
        <w:jc w:val="center"/>
        <w:rPr>
          <w:rFonts w:ascii="Verdana" w:hAnsi="Verdana"/>
        </w:rPr>
      </w:pPr>
    </w:p>
    <w:p w14:paraId="1BBEC956" w14:textId="2E65E529" w:rsidR="0033235D" w:rsidRDefault="00532D04" w:rsidP="006C368B">
      <w:pPr>
        <w:pStyle w:val="Sinespaciado"/>
        <w:spacing w:line="360" w:lineRule="auto"/>
        <w:jc w:val="both"/>
        <w:rPr>
          <w:rFonts w:ascii="Verdana" w:hAnsi="Verdana"/>
        </w:rPr>
      </w:pPr>
      <w:r>
        <w:rPr>
          <w:rFonts w:ascii="Verdana" w:hAnsi="Verdana"/>
        </w:rPr>
        <w:t xml:space="preserve">Así entonces, considerando la solicitud realizada por la apoderada de la parte demandante (Archivo digital </w:t>
      </w:r>
      <w:proofErr w:type="spellStart"/>
      <w:r>
        <w:rPr>
          <w:rFonts w:ascii="Verdana" w:hAnsi="Verdana"/>
        </w:rPr>
        <w:t>N°</w:t>
      </w:r>
      <w:proofErr w:type="spellEnd"/>
      <w:r>
        <w:rPr>
          <w:rFonts w:ascii="Verdana" w:hAnsi="Verdana"/>
        </w:rPr>
        <w:t xml:space="preserve"> 13)</w:t>
      </w:r>
      <w:r w:rsidR="0012025B">
        <w:rPr>
          <w:rFonts w:ascii="Verdana" w:hAnsi="Verdana"/>
        </w:rPr>
        <w:t>,</w:t>
      </w:r>
      <w:r>
        <w:rPr>
          <w:rFonts w:ascii="Verdana" w:hAnsi="Verdana"/>
        </w:rPr>
        <w:t xml:space="preserve"> se remiten las piezas procesales necesarias para que el Centro de Servicios Judiciales para los Juzgados Civiles y de Familia de Manizales realice la notifica</w:t>
      </w:r>
      <w:r w:rsidR="00B01083">
        <w:rPr>
          <w:rFonts w:ascii="Verdana" w:hAnsi="Verdana"/>
        </w:rPr>
        <w:t>ción del demandado HERNAN ANDRÉS MURCIA conforme a lo establecido en el Decreto 806 de 2020.</w:t>
      </w:r>
    </w:p>
    <w:p w14:paraId="161510A4" w14:textId="412C26A4" w:rsidR="0012025B" w:rsidRDefault="0012025B" w:rsidP="006C368B">
      <w:pPr>
        <w:pStyle w:val="Sinespaciado"/>
        <w:spacing w:line="360" w:lineRule="auto"/>
        <w:jc w:val="both"/>
        <w:rPr>
          <w:rFonts w:ascii="Verdana" w:hAnsi="Verdana"/>
        </w:rPr>
      </w:pPr>
    </w:p>
    <w:p w14:paraId="55D32ADB" w14:textId="66661D07" w:rsidR="0012025B" w:rsidRDefault="0012025B" w:rsidP="006C368B">
      <w:pPr>
        <w:pStyle w:val="Sinespaciado"/>
        <w:spacing w:line="360" w:lineRule="auto"/>
        <w:jc w:val="both"/>
        <w:rPr>
          <w:rFonts w:ascii="Verdana" w:hAnsi="Verdana"/>
        </w:rPr>
      </w:pPr>
      <w:r>
        <w:rPr>
          <w:rFonts w:ascii="Verdana" w:hAnsi="Verdana"/>
        </w:rPr>
        <w:t xml:space="preserve">Ante lo cual, dicha dependencia el 06 de abril de 2021 (archivo digital </w:t>
      </w:r>
      <w:proofErr w:type="spellStart"/>
      <w:r>
        <w:rPr>
          <w:rFonts w:ascii="Verdana" w:hAnsi="Verdana"/>
        </w:rPr>
        <w:t>N°</w:t>
      </w:r>
      <w:proofErr w:type="spellEnd"/>
      <w:r w:rsidR="00380FEE">
        <w:rPr>
          <w:rFonts w:ascii="Verdana" w:hAnsi="Verdana"/>
        </w:rPr>
        <w:t xml:space="preserve"> 16)</w:t>
      </w:r>
      <w:r w:rsidR="009B63C0">
        <w:rPr>
          <w:rFonts w:ascii="Verdana" w:hAnsi="Verdana"/>
        </w:rPr>
        <w:t xml:space="preserve"> </w:t>
      </w:r>
      <w:r w:rsidR="0086551D">
        <w:rPr>
          <w:rFonts w:ascii="Verdana" w:hAnsi="Verdana"/>
        </w:rPr>
        <w:t xml:space="preserve">envió </w:t>
      </w:r>
      <w:r w:rsidR="009B63C0">
        <w:rPr>
          <w:rFonts w:ascii="Verdana" w:hAnsi="Verdana"/>
        </w:rPr>
        <w:t xml:space="preserve">la respectiva notificación del proceso 17001400300120200040900 al demandado HERNAN ANDRÉS MURCIA SÁNCHEZ al correo electrónico </w:t>
      </w:r>
      <w:hyperlink r:id="rId14" w:history="1">
        <w:r w:rsidR="000B5BAF" w:rsidRPr="009130FB">
          <w:rPr>
            <w:rStyle w:val="Hipervnculo"/>
            <w:rFonts w:ascii="Verdana" w:hAnsi="Verdana"/>
          </w:rPr>
          <w:t>piedadcardenas07@hotmail.com</w:t>
        </w:r>
      </w:hyperlink>
      <w:r w:rsidR="000B5BAF">
        <w:rPr>
          <w:rFonts w:ascii="Verdana" w:hAnsi="Verdana"/>
        </w:rPr>
        <w:t>, como lo muestran las siguientes imágenes:</w:t>
      </w:r>
    </w:p>
    <w:p w14:paraId="5C82E1A8" w14:textId="2ADB55E3" w:rsidR="000B5BAF" w:rsidRDefault="000B5BAF" w:rsidP="006C368B">
      <w:pPr>
        <w:pStyle w:val="Sinespaciado"/>
        <w:spacing w:line="360" w:lineRule="auto"/>
        <w:jc w:val="both"/>
        <w:rPr>
          <w:rFonts w:ascii="Verdana" w:hAnsi="Verdana"/>
        </w:rPr>
      </w:pPr>
    </w:p>
    <w:p w14:paraId="3B7AAE72" w14:textId="77777777" w:rsidR="005226F2" w:rsidRDefault="005226F2" w:rsidP="006C368B">
      <w:pPr>
        <w:pStyle w:val="Sinespaciado"/>
        <w:spacing w:line="360" w:lineRule="auto"/>
        <w:jc w:val="both"/>
        <w:rPr>
          <w:rFonts w:ascii="Verdana" w:hAnsi="Verdana"/>
        </w:rPr>
      </w:pPr>
    </w:p>
    <w:p w14:paraId="41F26EF5" w14:textId="5A499E49" w:rsidR="000B5BAF" w:rsidRDefault="005226F2" w:rsidP="006C368B">
      <w:pPr>
        <w:pStyle w:val="Sinespaciado"/>
        <w:spacing w:line="360" w:lineRule="auto"/>
        <w:jc w:val="both"/>
        <w:rPr>
          <w:rFonts w:ascii="Verdana" w:hAnsi="Verdana"/>
        </w:rPr>
      </w:pPr>
      <w:r>
        <w:rPr>
          <w:noProof/>
        </w:rPr>
        <w:drawing>
          <wp:inline distT="0" distB="0" distL="0" distR="0" wp14:anchorId="554A2C50" wp14:editId="5D3DE732">
            <wp:extent cx="5799455" cy="554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2984" cy="5546923"/>
                    </a:xfrm>
                    <a:prstGeom prst="rect">
                      <a:avLst/>
                    </a:prstGeom>
                  </pic:spPr>
                </pic:pic>
              </a:graphicData>
            </a:graphic>
          </wp:inline>
        </w:drawing>
      </w:r>
    </w:p>
    <w:p w14:paraId="7FCA96BA" w14:textId="77777777" w:rsidR="00F91901" w:rsidRPr="005D1816" w:rsidRDefault="00F91901" w:rsidP="005D1816">
      <w:pPr>
        <w:pStyle w:val="Sinespaciado"/>
      </w:pPr>
    </w:p>
    <w:p w14:paraId="5E2462C2" w14:textId="6FB5B0B4" w:rsidR="0033235D" w:rsidRDefault="005226F2" w:rsidP="006C368B">
      <w:pPr>
        <w:pStyle w:val="Sinespaciado"/>
        <w:spacing w:line="360" w:lineRule="auto"/>
        <w:jc w:val="both"/>
        <w:rPr>
          <w:rFonts w:ascii="Verdana" w:hAnsi="Verdana"/>
        </w:rPr>
      </w:pPr>
      <w:r>
        <w:rPr>
          <w:noProof/>
        </w:rPr>
        <w:drawing>
          <wp:inline distT="0" distB="0" distL="0" distR="0" wp14:anchorId="2848C9FA" wp14:editId="1F6B6535">
            <wp:extent cx="5825957" cy="220027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8113" cy="2201089"/>
                    </a:xfrm>
                    <a:prstGeom prst="rect">
                      <a:avLst/>
                    </a:prstGeom>
                  </pic:spPr>
                </pic:pic>
              </a:graphicData>
            </a:graphic>
          </wp:inline>
        </w:drawing>
      </w:r>
    </w:p>
    <w:p w14:paraId="669A96A6" w14:textId="4333CA6D" w:rsidR="002128C5" w:rsidRPr="005D1816" w:rsidRDefault="002128C5" w:rsidP="005D1816">
      <w:pPr>
        <w:pStyle w:val="Sinespaciado"/>
      </w:pPr>
    </w:p>
    <w:p w14:paraId="34E9A1C6" w14:textId="5C3DC2A4" w:rsidR="00200B5E" w:rsidRDefault="00200B5E" w:rsidP="006C368B">
      <w:pPr>
        <w:pStyle w:val="Sinespaciado"/>
        <w:spacing w:line="360" w:lineRule="auto"/>
        <w:jc w:val="both"/>
        <w:rPr>
          <w:rFonts w:ascii="Verdana" w:hAnsi="Verdana"/>
        </w:rPr>
      </w:pPr>
      <w:r>
        <w:rPr>
          <w:rFonts w:ascii="Verdana" w:hAnsi="Verdana"/>
        </w:rPr>
        <w:lastRenderedPageBreak/>
        <w:t xml:space="preserve">Por lo anterior es que conforme a las </w:t>
      </w:r>
      <w:r w:rsidR="003D0D3E">
        <w:rPr>
          <w:rFonts w:ascii="Verdana" w:hAnsi="Verdana"/>
        </w:rPr>
        <w:t>disposiciones del Decreto 806 de 2020 el demandado HERNAN ANDRÉS MURCIA SÁNCHEZ se tiene por notificado desde el 09 de abril de 2021</w:t>
      </w:r>
      <w:r w:rsidR="00BB705B">
        <w:rPr>
          <w:rFonts w:ascii="Verdana" w:hAnsi="Verdana"/>
        </w:rPr>
        <w:t>,</w:t>
      </w:r>
      <w:r w:rsidR="00317755">
        <w:rPr>
          <w:rFonts w:ascii="Verdana" w:hAnsi="Verdana"/>
        </w:rPr>
        <w:t xml:space="preserve"> pues efectivamente la dirección electrónica reportada por la Entidad Promotora de Salud es la misma a la cual se envió la notificación,</w:t>
      </w:r>
      <w:r w:rsidR="00BB705B">
        <w:rPr>
          <w:rFonts w:ascii="Verdana" w:hAnsi="Verdana"/>
        </w:rPr>
        <w:t xml:space="preserve"> por esta razón se le respondió vía correo electrónico </w:t>
      </w:r>
      <w:r w:rsidR="00C81EC2">
        <w:rPr>
          <w:rFonts w:ascii="Verdana" w:hAnsi="Verdana"/>
        </w:rPr>
        <w:t xml:space="preserve">que no es posible realizar la notificación </w:t>
      </w:r>
      <w:r w:rsidR="00317755">
        <w:rPr>
          <w:rFonts w:ascii="Verdana" w:hAnsi="Verdana"/>
        </w:rPr>
        <w:t xml:space="preserve">nuevamente </w:t>
      </w:r>
      <w:r w:rsidR="00C81EC2">
        <w:rPr>
          <w:rFonts w:ascii="Verdana" w:hAnsi="Verdana"/>
        </w:rPr>
        <w:t>a dicho ejecutado.</w:t>
      </w:r>
    </w:p>
    <w:p w14:paraId="4D4438B2" w14:textId="43678FA7" w:rsidR="00317755" w:rsidRDefault="00317755" w:rsidP="006C368B">
      <w:pPr>
        <w:pStyle w:val="Sinespaciado"/>
        <w:spacing w:line="360" w:lineRule="auto"/>
        <w:jc w:val="both"/>
        <w:rPr>
          <w:rFonts w:ascii="Verdana" w:hAnsi="Verdana"/>
        </w:rPr>
      </w:pPr>
    </w:p>
    <w:p w14:paraId="2889E518" w14:textId="7F638335" w:rsidR="002662C7" w:rsidRDefault="00317755" w:rsidP="006C368B">
      <w:pPr>
        <w:pStyle w:val="Sinespaciado"/>
        <w:spacing w:line="360" w:lineRule="auto"/>
        <w:jc w:val="both"/>
        <w:rPr>
          <w:rFonts w:ascii="Verdana" w:hAnsi="Verdana"/>
        </w:rPr>
      </w:pPr>
      <w:r w:rsidRPr="37FA7008">
        <w:rPr>
          <w:rFonts w:ascii="Verdana" w:hAnsi="Verdana"/>
        </w:rPr>
        <w:t xml:space="preserve">Adicionalmente, el señor MURCIA SÁNCHEZ en ningún momento ha manifestado que ese correo electrónico no sea el suyo, </w:t>
      </w:r>
      <w:r w:rsidR="002C6ACD" w:rsidRPr="37FA7008">
        <w:rPr>
          <w:rFonts w:ascii="Verdana" w:hAnsi="Verdana"/>
        </w:rPr>
        <w:t xml:space="preserve">sólo </w:t>
      </w:r>
      <w:r w:rsidRPr="37FA7008">
        <w:rPr>
          <w:rFonts w:ascii="Verdana" w:hAnsi="Verdana"/>
        </w:rPr>
        <w:t>aporta una foto incompleta de la bandeja de entrada del mismo</w:t>
      </w:r>
      <w:r w:rsidR="002662C7" w:rsidRPr="37FA7008">
        <w:rPr>
          <w:rFonts w:ascii="Verdana" w:hAnsi="Verdana"/>
        </w:rPr>
        <w:t xml:space="preserve">, y simplemente se limita a indicar que no recibió el correo electrónico sin que se valide dicha información </w:t>
      </w:r>
      <w:r w:rsidR="006F197F" w:rsidRPr="37FA7008">
        <w:rPr>
          <w:rFonts w:ascii="Verdana" w:hAnsi="Verdana"/>
        </w:rPr>
        <w:t>mediante algún servicio especializado que emita certificación o constancia de la</w:t>
      </w:r>
      <w:r w:rsidR="002662C7" w:rsidRPr="37FA7008">
        <w:rPr>
          <w:rFonts w:ascii="Verdana" w:hAnsi="Verdana"/>
        </w:rPr>
        <w:t xml:space="preserve"> ocurrencia de tal acto. Lo anterior en concordancia con lo dispuesto en la </w:t>
      </w:r>
      <w:r w:rsidR="49D3F99B" w:rsidRPr="37FA7008">
        <w:rPr>
          <w:rFonts w:ascii="Verdana" w:hAnsi="Verdana"/>
        </w:rPr>
        <w:t>L</w:t>
      </w:r>
      <w:r w:rsidR="002662C7" w:rsidRPr="37FA7008">
        <w:rPr>
          <w:rFonts w:ascii="Verdana" w:hAnsi="Verdana"/>
        </w:rPr>
        <w:t>ey 527 de 1999, artículos 6, 8, 9, 10, 12 y 20 y demás normas concordantes</w:t>
      </w:r>
      <w:r w:rsidR="003972EC" w:rsidRPr="37FA7008">
        <w:rPr>
          <w:rFonts w:ascii="Verdana" w:hAnsi="Verdana"/>
        </w:rPr>
        <w:t>; y tampoco hizo uso del mecanismo establecido en el Decreto 806 de 2020.</w:t>
      </w:r>
    </w:p>
    <w:p w14:paraId="09E70594" w14:textId="7ECDA9B2" w:rsidR="00895ABB" w:rsidRDefault="00895ABB" w:rsidP="006C368B">
      <w:pPr>
        <w:pStyle w:val="Sinespaciado"/>
        <w:spacing w:line="360" w:lineRule="auto"/>
        <w:jc w:val="both"/>
        <w:rPr>
          <w:rFonts w:ascii="Verdana" w:hAnsi="Verdana"/>
        </w:rPr>
      </w:pPr>
    </w:p>
    <w:p w14:paraId="32F414F1" w14:textId="24945A13" w:rsidR="00895ABB" w:rsidRDefault="00AF3F32" w:rsidP="006C368B">
      <w:pPr>
        <w:pStyle w:val="Sinespaciado"/>
        <w:spacing w:line="360" w:lineRule="auto"/>
        <w:jc w:val="both"/>
        <w:rPr>
          <w:rFonts w:ascii="Verdana" w:hAnsi="Verdana"/>
        </w:rPr>
      </w:pPr>
      <w:r>
        <w:rPr>
          <w:rFonts w:ascii="Verdana" w:hAnsi="Verdana"/>
        </w:rPr>
        <w:t xml:space="preserve">Contrario a expresar que el correo al cual se envió la notificación no le corresponde, las solicitudes remitidas por el demandado provienen de la cuenta de correo electrónico </w:t>
      </w:r>
      <w:hyperlink r:id="rId17" w:history="1">
        <w:r w:rsidRPr="00407FDD">
          <w:rPr>
            <w:rStyle w:val="Hipervnculo"/>
            <w:rFonts w:ascii="Verdana" w:hAnsi="Verdana"/>
          </w:rPr>
          <w:t>piedadcardenas07@gmail.com</w:t>
        </w:r>
      </w:hyperlink>
      <w:r>
        <w:rPr>
          <w:rFonts w:ascii="Verdana" w:hAnsi="Verdana"/>
        </w:rPr>
        <w:t>, y al pie de su solicitud es el mismo deudor quién anota como suya tal dirección; lo anterior conforme las siguientes imágenes tomadas de los archivos 32 y 33 obrantes en la carpeta respectiva:</w:t>
      </w:r>
    </w:p>
    <w:p w14:paraId="6E92F52C" w14:textId="5EE6BFE9" w:rsidR="00AF3F32" w:rsidRDefault="00AF3F32" w:rsidP="006C368B">
      <w:pPr>
        <w:pStyle w:val="Sinespaciado"/>
        <w:spacing w:line="360" w:lineRule="auto"/>
        <w:jc w:val="both"/>
        <w:rPr>
          <w:rFonts w:ascii="Verdana" w:hAnsi="Verdana"/>
        </w:rPr>
      </w:pPr>
    </w:p>
    <w:p w14:paraId="555D40F5" w14:textId="4BF47EA9" w:rsidR="00AF3F32" w:rsidRDefault="00AF3F32" w:rsidP="006C368B">
      <w:pPr>
        <w:pStyle w:val="Sinespaciado"/>
        <w:spacing w:line="360" w:lineRule="auto"/>
        <w:jc w:val="both"/>
        <w:rPr>
          <w:rFonts w:ascii="Verdana" w:hAnsi="Verdana"/>
        </w:rPr>
      </w:pPr>
      <w:r>
        <w:rPr>
          <w:noProof/>
        </w:rPr>
        <w:drawing>
          <wp:inline distT="0" distB="0" distL="0" distR="0" wp14:anchorId="7DAC0523" wp14:editId="29777256">
            <wp:extent cx="5248275" cy="31432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8275" cy="3143250"/>
                    </a:xfrm>
                    <a:prstGeom prst="rect">
                      <a:avLst/>
                    </a:prstGeom>
                  </pic:spPr>
                </pic:pic>
              </a:graphicData>
            </a:graphic>
          </wp:inline>
        </w:drawing>
      </w:r>
    </w:p>
    <w:p w14:paraId="7927BC0E" w14:textId="0466660B" w:rsidR="00AF3F32" w:rsidRDefault="00AF3F32" w:rsidP="006C368B">
      <w:pPr>
        <w:pStyle w:val="Sinespaciado"/>
        <w:spacing w:line="360" w:lineRule="auto"/>
        <w:jc w:val="both"/>
        <w:rPr>
          <w:rFonts w:ascii="Verdana" w:hAnsi="Verdana"/>
        </w:rPr>
      </w:pPr>
    </w:p>
    <w:p w14:paraId="6E8E91F6" w14:textId="0F0BE496" w:rsidR="00AF3F32" w:rsidRDefault="00AF3F32" w:rsidP="006C368B">
      <w:pPr>
        <w:pStyle w:val="Sinespaciado"/>
        <w:spacing w:line="360" w:lineRule="auto"/>
        <w:jc w:val="both"/>
        <w:rPr>
          <w:rFonts w:ascii="Verdana" w:hAnsi="Verdana"/>
        </w:rPr>
      </w:pPr>
      <w:r>
        <w:rPr>
          <w:noProof/>
        </w:rPr>
        <w:lastRenderedPageBreak/>
        <w:drawing>
          <wp:inline distT="0" distB="0" distL="0" distR="0" wp14:anchorId="564D14A0" wp14:editId="35319C04">
            <wp:extent cx="4248150" cy="2412646"/>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76891" cy="2428969"/>
                    </a:xfrm>
                    <a:prstGeom prst="rect">
                      <a:avLst/>
                    </a:prstGeom>
                  </pic:spPr>
                </pic:pic>
              </a:graphicData>
            </a:graphic>
          </wp:inline>
        </w:drawing>
      </w:r>
    </w:p>
    <w:p w14:paraId="1B7ECD48" w14:textId="76747107" w:rsidR="003972EC" w:rsidRPr="005D1816" w:rsidRDefault="003972EC" w:rsidP="005D1816">
      <w:pPr>
        <w:pStyle w:val="Sinespaciado"/>
      </w:pPr>
    </w:p>
    <w:p w14:paraId="14C4BE01" w14:textId="77777777" w:rsidR="00F77A1A" w:rsidRDefault="001658E6" w:rsidP="006C368B">
      <w:pPr>
        <w:pStyle w:val="Sinespaciado"/>
        <w:spacing w:line="360" w:lineRule="auto"/>
        <w:jc w:val="both"/>
        <w:rPr>
          <w:rFonts w:ascii="Verdana" w:hAnsi="Verdana"/>
        </w:rPr>
      </w:pPr>
      <w:r w:rsidRPr="001658E6">
        <w:rPr>
          <w:rFonts w:ascii="Verdana" w:hAnsi="Verdana"/>
        </w:rPr>
        <w:t>Reiterando</w:t>
      </w:r>
      <w:r w:rsidR="0086551D" w:rsidRPr="001658E6">
        <w:rPr>
          <w:rFonts w:ascii="Verdana" w:hAnsi="Verdana"/>
        </w:rPr>
        <w:t xml:space="preserve"> entonces, que el demandado HERNAN ANDRÉS MURCIA SÁNCHEZ se encuentra notifi</w:t>
      </w:r>
      <w:r w:rsidRPr="001658E6">
        <w:rPr>
          <w:rFonts w:ascii="Verdana" w:hAnsi="Verdana"/>
        </w:rPr>
        <w:t>cado desde el 09 de abril de 2021, sin que pueda realizarse una nueva notificación, pues bien es sabido que los términos judiciales son perentorios e improrrogables</w:t>
      </w:r>
      <w:r w:rsidRPr="001658E6">
        <w:rPr>
          <w:rStyle w:val="Refdenotaalpie"/>
          <w:rFonts w:ascii="Verdana" w:hAnsi="Verdana"/>
        </w:rPr>
        <w:footnoteReference w:id="1"/>
      </w:r>
      <w:r w:rsidRPr="001658E6">
        <w:rPr>
          <w:rFonts w:ascii="Verdana" w:hAnsi="Verdana"/>
        </w:rPr>
        <w:t>.</w:t>
      </w:r>
      <w:r>
        <w:rPr>
          <w:rFonts w:ascii="Verdana" w:hAnsi="Verdana"/>
        </w:rPr>
        <w:t xml:space="preserve"> </w:t>
      </w:r>
    </w:p>
    <w:p w14:paraId="2BFA5CAB" w14:textId="3EC1E702" w:rsidR="00F77A1A" w:rsidRDefault="00F77A1A" w:rsidP="006C368B">
      <w:pPr>
        <w:pStyle w:val="Sinespaciado"/>
        <w:spacing w:line="360" w:lineRule="auto"/>
        <w:jc w:val="both"/>
        <w:rPr>
          <w:rFonts w:ascii="Verdana" w:hAnsi="Verdana"/>
        </w:rPr>
      </w:pPr>
    </w:p>
    <w:p w14:paraId="2FC81E3B" w14:textId="65568AAA" w:rsidR="00F77A1A" w:rsidRDefault="00F77A1A" w:rsidP="006C368B">
      <w:pPr>
        <w:pStyle w:val="Sinespaciado"/>
        <w:spacing w:line="360" w:lineRule="auto"/>
        <w:jc w:val="both"/>
        <w:rPr>
          <w:rFonts w:ascii="Verdana" w:hAnsi="Verdana"/>
        </w:rPr>
      </w:pPr>
      <w:r>
        <w:rPr>
          <w:rFonts w:ascii="Verdana" w:hAnsi="Verdana"/>
        </w:rPr>
        <w:t>La notificación efectuada se llevó a cabo en la dirección obtenida en entidad privada que maneja información en este caso del deudor, misma que reconoce el accionado es la que utiliza, y la constatación de su recibido se llevó a cabo a través de medios tecnológicos ya que la cuenta</w:t>
      </w:r>
      <w:r w:rsidR="007A6992">
        <w:rPr>
          <w:rFonts w:ascii="Verdana" w:hAnsi="Verdana"/>
        </w:rPr>
        <w:t xml:space="preserve"> por medio de la cual </w:t>
      </w:r>
      <w:r>
        <w:rPr>
          <w:rFonts w:ascii="Verdana" w:hAnsi="Verdana"/>
        </w:rPr>
        <w:t xml:space="preserve">se realiza </w:t>
      </w:r>
      <w:proofErr w:type="spellStart"/>
      <w:r>
        <w:rPr>
          <w:rFonts w:ascii="Verdana" w:hAnsi="Verdana"/>
        </w:rPr>
        <w:t>el</w:t>
      </w:r>
      <w:proofErr w:type="spellEnd"/>
      <w:r>
        <w:rPr>
          <w:rFonts w:ascii="Verdana" w:hAnsi="Verdana"/>
        </w:rPr>
        <w:t xml:space="preserve"> envió arroja </w:t>
      </w:r>
      <w:r w:rsidR="007A6992">
        <w:rPr>
          <w:rFonts w:ascii="Verdana" w:hAnsi="Verdana"/>
        </w:rPr>
        <w:t>información que permite constatar el acceso al mismo como lo dispone la norma ya citada en esta decisión, declarada exequible por la Honorable Corte Constitucional.</w:t>
      </w:r>
    </w:p>
    <w:p w14:paraId="374BBCF6" w14:textId="77777777" w:rsidR="007A6992" w:rsidRDefault="007A6992" w:rsidP="006C368B">
      <w:pPr>
        <w:pStyle w:val="Sinespaciado"/>
        <w:spacing w:line="360" w:lineRule="auto"/>
        <w:jc w:val="both"/>
        <w:rPr>
          <w:rFonts w:ascii="Verdana" w:hAnsi="Verdana"/>
        </w:rPr>
      </w:pPr>
    </w:p>
    <w:p w14:paraId="1B585E72" w14:textId="2DBAB429" w:rsidR="003972EC" w:rsidRDefault="001658E6" w:rsidP="006C368B">
      <w:pPr>
        <w:pStyle w:val="Sinespaciado"/>
        <w:spacing w:line="360" w:lineRule="auto"/>
        <w:jc w:val="both"/>
        <w:rPr>
          <w:rFonts w:ascii="Verdana" w:hAnsi="Verdana"/>
        </w:rPr>
      </w:pPr>
      <w:r>
        <w:rPr>
          <w:rFonts w:ascii="Verdana" w:hAnsi="Verdana"/>
        </w:rPr>
        <w:t>C</w:t>
      </w:r>
      <w:r w:rsidR="00ED0D99" w:rsidRPr="001658E6">
        <w:rPr>
          <w:rFonts w:ascii="Verdana" w:hAnsi="Verdana"/>
        </w:rPr>
        <w:t>omuníquese por Secretaría al peticionario la decisión contenida en la presente providencia</w:t>
      </w:r>
      <w:r w:rsidRPr="001658E6">
        <w:rPr>
          <w:rFonts w:ascii="Verdana" w:hAnsi="Verdana"/>
        </w:rPr>
        <w:t>.</w:t>
      </w:r>
    </w:p>
    <w:p w14:paraId="6E9E52FF" w14:textId="77777777" w:rsidR="00AC47DA" w:rsidRDefault="00AC47DA" w:rsidP="006C368B">
      <w:pPr>
        <w:pStyle w:val="Sinespaciado"/>
        <w:spacing w:line="360" w:lineRule="auto"/>
        <w:jc w:val="both"/>
        <w:rPr>
          <w:rFonts w:ascii="Verdana" w:hAnsi="Verdana"/>
        </w:rPr>
      </w:pPr>
    </w:p>
    <w:p w14:paraId="7E9B8D26" w14:textId="4AE2F320" w:rsidR="00AC47DA" w:rsidRPr="003972EC" w:rsidRDefault="00AC47DA" w:rsidP="00AC47DA">
      <w:pPr>
        <w:pStyle w:val="Sinespaciado"/>
        <w:spacing w:line="360" w:lineRule="auto"/>
        <w:jc w:val="both"/>
        <w:rPr>
          <w:rFonts w:ascii="Verdana" w:hAnsi="Verdana"/>
        </w:rPr>
      </w:pPr>
      <w:r>
        <w:rPr>
          <w:rFonts w:ascii="Verdana" w:hAnsi="Verdana"/>
        </w:rPr>
        <w:t>Finalmente, a</w:t>
      </w:r>
      <w:r w:rsidRPr="003972EC">
        <w:rPr>
          <w:rFonts w:ascii="Verdana" w:hAnsi="Verdana"/>
        </w:rPr>
        <w:t xml:space="preserve">tendiendo </w:t>
      </w:r>
      <w:r>
        <w:rPr>
          <w:rFonts w:ascii="Verdana" w:hAnsi="Verdana"/>
        </w:rPr>
        <w:t xml:space="preserve">que la solicitud formulada se hizo a través de derecho de petición, </w:t>
      </w:r>
      <w:r w:rsidRPr="003972EC">
        <w:rPr>
          <w:rFonts w:ascii="Verdana" w:hAnsi="Verdana"/>
        </w:rPr>
        <w:t xml:space="preserve">ha de advertirse a dicho sujeto procesal que, </w:t>
      </w:r>
      <w:r w:rsidRPr="003972EC">
        <w:rPr>
          <w:rFonts w:ascii="Verdana" w:hAnsi="Verdana"/>
          <w:iCs/>
          <w:shd w:val="clear" w:color="auto" w:fill="FFFFFF"/>
        </w:rPr>
        <w:t>las peticiones que se formulen ante l</w:t>
      </w:r>
      <w:r>
        <w:rPr>
          <w:rFonts w:ascii="Verdana" w:hAnsi="Verdana"/>
          <w:iCs/>
          <w:shd w:val="clear" w:color="auto" w:fill="FFFFFF"/>
        </w:rPr>
        <w:t>o</w:t>
      </w:r>
      <w:r w:rsidRPr="003972EC">
        <w:rPr>
          <w:rFonts w:ascii="Verdana" w:hAnsi="Verdana"/>
          <w:iCs/>
          <w:shd w:val="clear" w:color="auto" w:fill="FFFFFF"/>
        </w:rPr>
        <w:t>s jueces</w:t>
      </w:r>
      <w:r>
        <w:rPr>
          <w:rFonts w:ascii="Verdana" w:hAnsi="Verdana"/>
          <w:iCs/>
          <w:shd w:val="clear" w:color="auto" w:fill="FFFFFF"/>
        </w:rPr>
        <w:t>,</w:t>
      </w:r>
      <w:r w:rsidRPr="003972EC">
        <w:rPr>
          <w:rFonts w:ascii="Verdana" w:hAnsi="Verdana"/>
          <w:iCs/>
          <w:shd w:val="clear" w:color="auto" w:fill="FFFFFF"/>
        </w:rPr>
        <w:t xml:space="preserve"> referidas a actuaciones estrictamente judiciales, como es el caso que se trata, se encuentran reguladas en el Código General del Proceso, y como tal se sujetan a los términos y etapas procesales previstos para el efecto. Al respecto, la Corte Constitucional en sentencia T-311 de 2013 reiteró su tesis jurisprudencial según la cual:</w:t>
      </w:r>
    </w:p>
    <w:p w14:paraId="3082E145" w14:textId="77777777" w:rsidR="00AC47DA" w:rsidRPr="00E277F0" w:rsidRDefault="00AC47DA" w:rsidP="00AC47DA">
      <w:pPr>
        <w:pStyle w:val="Sinespaciado"/>
        <w:jc w:val="both"/>
        <w:rPr>
          <w:rFonts w:ascii="Verdana" w:hAnsi="Verdana"/>
          <w:sz w:val="21"/>
          <w:szCs w:val="21"/>
        </w:rPr>
      </w:pPr>
      <w:bookmarkStart w:id="0" w:name="_GoBack"/>
      <w:bookmarkEnd w:id="0"/>
    </w:p>
    <w:p w14:paraId="2808CE4A" w14:textId="77777777" w:rsidR="00AC47DA" w:rsidRPr="003972EC" w:rsidRDefault="00AC47DA" w:rsidP="00AC47DA">
      <w:pPr>
        <w:shd w:val="clear" w:color="auto" w:fill="FFFFFF"/>
        <w:spacing w:after="0" w:line="240" w:lineRule="auto"/>
        <w:ind w:left="280" w:right="300"/>
        <w:jc w:val="both"/>
        <w:rPr>
          <w:rFonts w:ascii="Verdana" w:eastAsia="Times New Roman" w:hAnsi="Verdana" w:cs="Times New Roman"/>
          <w:i/>
          <w:iCs/>
          <w:color w:val="000000"/>
          <w:sz w:val="20"/>
          <w:szCs w:val="20"/>
          <w:lang w:eastAsia="es-CO"/>
        </w:rPr>
      </w:pPr>
      <w:r w:rsidRPr="003972EC">
        <w:rPr>
          <w:rFonts w:ascii="Verdana" w:eastAsia="Times New Roman" w:hAnsi="Verdana" w:cs="Times New Roman"/>
          <w:i/>
          <w:iCs/>
          <w:color w:val="000000"/>
          <w:sz w:val="20"/>
          <w:szCs w:val="20"/>
          <w:lang w:eastAsia="es-CO"/>
        </w:rPr>
        <w:t>El derecho de petición no procede para poner en marcha el aparato judicial o para solicitar a un servidor público que cumpla sus funciones jurisdiccionales, ya que esta es una actuación reglada que está sometida a la ley procesal. Ahora bien, en caso de mora judicial puede existir transgresión del debido proceso y del derecho de acceso efectivo a la justicia; pero no del derecho de petición.</w:t>
      </w:r>
    </w:p>
    <w:p w14:paraId="74DEA587" w14:textId="77777777" w:rsidR="00AC47DA" w:rsidRPr="003972EC" w:rsidRDefault="00AC47DA" w:rsidP="00AC47DA">
      <w:pPr>
        <w:shd w:val="clear" w:color="auto" w:fill="FFFFFF"/>
        <w:spacing w:after="0" w:line="240" w:lineRule="auto"/>
        <w:ind w:left="280" w:right="300"/>
        <w:jc w:val="both"/>
        <w:rPr>
          <w:rFonts w:ascii="Verdana" w:eastAsia="Times New Roman" w:hAnsi="Verdana" w:cs="Times New Roman"/>
          <w:i/>
          <w:iCs/>
          <w:color w:val="000000"/>
          <w:sz w:val="20"/>
          <w:szCs w:val="20"/>
          <w:lang w:eastAsia="es-CO"/>
        </w:rPr>
      </w:pPr>
      <w:r w:rsidRPr="003972EC">
        <w:rPr>
          <w:rFonts w:ascii="Verdana" w:eastAsia="Times New Roman" w:hAnsi="Verdana" w:cs="Times New Roman"/>
          <w:i/>
          <w:iCs/>
          <w:color w:val="000000"/>
          <w:sz w:val="20"/>
          <w:szCs w:val="20"/>
          <w:lang w:eastAsia="es-CO"/>
        </w:rPr>
        <w:t> </w:t>
      </w:r>
    </w:p>
    <w:p w14:paraId="1C81122C" w14:textId="77777777" w:rsidR="00AC47DA" w:rsidRPr="003972EC" w:rsidRDefault="00AC47DA" w:rsidP="00AC47DA">
      <w:pPr>
        <w:shd w:val="clear" w:color="auto" w:fill="FFFFFF"/>
        <w:spacing w:after="0" w:line="240" w:lineRule="auto"/>
        <w:ind w:left="280" w:right="300"/>
        <w:jc w:val="both"/>
        <w:rPr>
          <w:rFonts w:ascii="Verdana" w:eastAsia="Times New Roman" w:hAnsi="Verdana" w:cs="Times New Roman"/>
          <w:i/>
          <w:iCs/>
          <w:color w:val="000000"/>
          <w:sz w:val="20"/>
          <w:szCs w:val="20"/>
          <w:lang w:eastAsia="es-CO"/>
        </w:rPr>
      </w:pPr>
      <w:r w:rsidRPr="003972EC">
        <w:rPr>
          <w:rFonts w:ascii="Verdana" w:eastAsia="Times New Roman" w:hAnsi="Verdana" w:cs="Times New Roman"/>
          <w:i/>
          <w:iCs/>
          <w:color w:val="000000"/>
          <w:sz w:val="20"/>
          <w:szCs w:val="20"/>
          <w:lang w:eastAsia="es-CO"/>
        </w:rPr>
        <w:lastRenderedPageBreak/>
        <w:t xml:space="preserve">Dentro de las actuaciones ante los jueces pueden distinguirse dos. De un lado, los actos estrictamente judiciales y, de otro lado, los actos administrativos. Respecto de éstos últimos se aplican las normas que rigen la administración, esto es, el Código Contencioso Administrativo. Por el contrario, las peticiones en relación con actuaciones judiciales no pueden ser resueltas bajo los lineamientos propios de las actuaciones administrativas, como quiera que las solicitudes que presenten las partes y los intervinientes dentro de aquél [del proceso] en asuntos relacionados con la litis tienen un trámite en el que prevalecen las reglas del proceso. </w:t>
      </w:r>
    </w:p>
    <w:p w14:paraId="1EA2EBA4" w14:textId="77777777" w:rsidR="00AC47DA" w:rsidRPr="003972EC" w:rsidRDefault="00AC47DA" w:rsidP="00AC47DA">
      <w:pPr>
        <w:shd w:val="clear" w:color="auto" w:fill="FFFFFF"/>
        <w:spacing w:after="0" w:line="240" w:lineRule="auto"/>
        <w:ind w:left="280" w:right="51"/>
        <w:jc w:val="both"/>
        <w:rPr>
          <w:rFonts w:ascii="Verdana" w:eastAsia="Times New Roman" w:hAnsi="Verdana" w:cs="Times New Roman"/>
          <w:i/>
          <w:iCs/>
          <w:color w:val="000000"/>
          <w:sz w:val="20"/>
          <w:szCs w:val="20"/>
          <w:lang w:eastAsia="es-CO"/>
        </w:rPr>
      </w:pPr>
      <w:r w:rsidRPr="003972EC">
        <w:rPr>
          <w:rFonts w:ascii="Verdana" w:eastAsia="Times New Roman" w:hAnsi="Verdana" w:cs="Times New Roman"/>
          <w:i/>
          <w:iCs/>
          <w:color w:val="000000"/>
          <w:sz w:val="20"/>
          <w:szCs w:val="20"/>
          <w:lang w:eastAsia="es-CO"/>
        </w:rPr>
        <w:t> </w:t>
      </w:r>
    </w:p>
    <w:p w14:paraId="6B36BB42" w14:textId="77777777" w:rsidR="00AC47DA" w:rsidRPr="003972EC" w:rsidRDefault="00AC47DA" w:rsidP="00AC47DA">
      <w:pPr>
        <w:shd w:val="clear" w:color="auto" w:fill="FFFFFF"/>
        <w:spacing w:after="0" w:line="240" w:lineRule="auto"/>
        <w:ind w:left="280" w:right="305"/>
        <w:jc w:val="both"/>
        <w:rPr>
          <w:rFonts w:ascii="Verdana" w:eastAsia="Times New Roman" w:hAnsi="Verdana" w:cs="Times New Roman"/>
          <w:i/>
          <w:iCs/>
          <w:color w:val="000000"/>
          <w:sz w:val="20"/>
          <w:szCs w:val="20"/>
          <w:lang w:eastAsia="es-CO"/>
        </w:rPr>
      </w:pPr>
      <w:r w:rsidRPr="003972EC">
        <w:rPr>
          <w:rFonts w:ascii="Verdana" w:eastAsia="Times New Roman" w:hAnsi="Verdana" w:cs="Times New Roman"/>
          <w:i/>
          <w:iCs/>
          <w:color w:val="000000"/>
          <w:sz w:val="20"/>
          <w:szCs w:val="20"/>
          <w:lang w:eastAsia="es-CO"/>
        </w:rPr>
        <w:t xml:space="preserve">Así las cosas, puede entonces concluirse que para distinguir si las solicitudes presentadas en un proceso judicial en curso constituyen una petición independiente o sí, por el contrario, hace alusión a una actuación procesal, es necesario establecer su esencia de tal manera que, se debe identificar si la respuesta implica una decisión judicial sobre algún asunto relacionado con la litis o con el procedimiento, casos en los cuales la contestación equivaldría a un acto expedido en función jurisdiccional y así, el juez, por más que lo invoque el </w:t>
      </w:r>
      <w:proofErr w:type="spellStart"/>
      <w:r w:rsidRPr="003972EC">
        <w:rPr>
          <w:rFonts w:ascii="Verdana" w:eastAsia="Times New Roman" w:hAnsi="Verdana" w:cs="Times New Roman"/>
          <w:i/>
          <w:iCs/>
          <w:color w:val="000000"/>
          <w:sz w:val="20"/>
          <w:szCs w:val="20"/>
          <w:lang w:eastAsia="es-CO"/>
        </w:rPr>
        <w:t>petente</w:t>
      </w:r>
      <w:proofErr w:type="spellEnd"/>
      <w:r w:rsidRPr="003972EC">
        <w:rPr>
          <w:rFonts w:ascii="Verdana" w:eastAsia="Times New Roman" w:hAnsi="Verdana" w:cs="Times New Roman"/>
          <w:i/>
          <w:iCs/>
          <w:color w:val="000000"/>
          <w:sz w:val="20"/>
          <w:szCs w:val="20"/>
          <w:lang w:eastAsia="es-CO"/>
        </w:rPr>
        <w:t>, no está obligado a responder bajo las previsiones normativas del derecho de petición sino que, en acatamiento al debido proceso, deberá dar prevalencia a los términos, procedimiento y contenidos de las actuaciones que correspondan a la situación, a las cuales deben sujetarse tanto el juez como las partes.</w:t>
      </w:r>
    </w:p>
    <w:p w14:paraId="1F3CE7F6" w14:textId="77777777" w:rsidR="00AC47DA" w:rsidRDefault="00AC47DA" w:rsidP="006C368B">
      <w:pPr>
        <w:pStyle w:val="Sinespaciado"/>
        <w:spacing w:line="360" w:lineRule="auto"/>
        <w:jc w:val="both"/>
        <w:rPr>
          <w:rFonts w:ascii="Verdana" w:hAnsi="Verdana"/>
        </w:rPr>
      </w:pPr>
    </w:p>
    <w:p w14:paraId="5C95E388" w14:textId="7D46C593" w:rsidR="00AB2AEF" w:rsidRDefault="00AB2AEF" w:rsidP="006C368B">
      <w:pPr>
        <w:pStyle w:val="Sinespaciado"/>
        <w:spacing w:line="360" w:lineRule="auto"/>
        <w:jc w:val="both"/>
        <w:rPr>
          <w:rFonts w:ascii="Verdana" w:hAnsi="Verdana"/>
        </w:rPr>
      </w:pPr>
    </w:p>
    <w:p w14:paraId="285CBA00" w14:textId="5CDC3478" w:rsidR="0074135D" w:rsidRPr="008D3F50" w:rsidRDefault="00AB2AEF" w:rsidP="0074135D">
      <w:pPr>
        <w:pStyle w:val="Sinespaciado"/>
        <w:spacing w:line="360" w:lineRule="auto"/>
        <w:jc w:val="both"/>
        <w:rPr>
          <w:rFonts w:ascii="Verdana" w:hAnsi="Verdana" w:cs="Tahoma"/>
        </w:rPr>
      </w:pPr>
      <w:r w:rsidRPr="008D3F50">
        <w:rPr>
          <w:rFonts w:ascii="Verdana" w:hAnsi="Verdana"/>
        </w:rPr>
        <w:t xml:space="preserve">Por otra parte, </w:t>
      </w:r>
      <w:r w:rsidR="0074135D" w:rsidRPr="008D3F50">
        <w:rPr>
          <w:rFonts w:ascii="Verdana" w:hAnsi="Verdana" w:cs="Tahoma"/>
        </w:rPr>
        <w:t>se ordena requerir al pagador</w:t>
      </w:r>
      <w:r w:rsidR="0074135D" w:rsidRPr="008D3F50">
        <w:rPr>
          <w:rFonts w:ascii="Verdana" w:hAnsi="Verdana" w:cs="Tahoma"/>
          <w:b/>
        </w:rPr>
        <w:t xml:space="preserve"> </w:t>
      </w:r>
      <w:r w:rsidR="0074135D" w:rsidRPr="008D3F50">
        <w:rPr>
          <w:rFonts w:ascii="Verdana" w:hAnsi="Verdana" w:cs="Tahoma"/>
        </w:rPr>
        <w:t xml:space="preserve">de </w:t>
      </w:r>
      <w:r w:rsidR="00D418A0" w:rsidRPr="008D3F50">
        <w:rPr>
          <w:rFonts w:ascii="Verdana" w:hAnsi="Verdana" w:cs="Tahoma"/>
        </w:rPr>
        <w:t xml:space="preserve">Industrias SPT S.A.S para que en el término de </w:t>
      </w:r>
      <w:r w:rsidR="0074135D" w:rsidRPr="008D3F50">
        <w:rPr>
          <w:rFonts w:ascii="Verdana" w:hAnsi="Verdana" w:cs="Tahoma"/>
          <w:b/>
          <w:bCs/>
        </w:rPr>
        <w:t>tres (03) días contados</w:t>
      </w:r>
      <w:r w:rsidR="0074135D" w:rsidRPr="008D3F50">
        <w:rPr>
          <w:rFonts w:ascii="Verdana" w:hAnsi="Verdana" w:cs="Tahoma"/>
        </w:rPr>
        <w:t xml:space="preserve"> a partir del recibido del oficio que se ordena, informe </w:t>
      </w:r>
      <w:r w:rsidR="00D418A0" w:rsidRPr="008D3F50">
        <w:rPr>
          <w:rFonts w:ascii="Verdana" w:hAnsi="Verdana" w:cs="Tahoma"/>
        </w:rPr>
        <w:t>la dirección física y electrónica que tiene reportada en su hoja de vida el señor HERNAN DAVIDA MURCIA CARDENAS, tal como fue requerido en providencia del</w:t>
      </w:r>
      <w:r w:rsidR="00816CB4" w:rsidRPr="008D3F50">
        <w:rPr>
          <w:rFonts w:ascii="Verdana" w:hAnsi="Verdana" w:cs="Tahoma"/>
        </w:rPr>
        <w:t xml:space="preserve"> 17 de junio de 2021</w:t>
      </w:r>
      <w:r w:rsidR="00D418A0" w:rsidRPr="008D3F50">
        <w:rPr>
          <w:rFonts w:ascii="Verdana" w:hAnsi="Verdana" w:cs="Tahoma"/>
        </w:rPr>
        <w:t xml:space="preserve">, que le fuera comunicada mediante oficio </w:t>
      </w:r>
      <w:proofErr w:type="spellStart"/>
      <w:r w:rsidR="00D418A0" w:rsidRPr="008D3F50">
        <w:rPr>
          <w:rFonts w:ascii="Verdana" w:hAnsi="Verdana" w:cs="Tahoma"/>
        </w:rPr>
        <w:t>N°</w:t>
      </w:r>
      <w:proofErr w:type="spellEnd"/>
      <w:r w:rsidR="00D418A0" w:rsidRPr="008D3F50">
        <w:rPr>
          <w:rFonts w:ascii="Verdana" w:hAnsi="Verdana" w:cs="Tahoma"/>
        </w:rPr>
        <w:t xml:space="preserve"> 1009  del 07 de julio de 2021</w:t>
      </w:r>
      <w:r w:rsidR="0074135D" w:rsidRPr="008D3F50">
        <w:rPr>
          <w:rFonts w:ascii="Verdana" w:hAnsi="Verdana" w:cs="Tahoma"/>
        </w:rPr>
        <w:t>, so pena de ser sancionado con multa de hasta diez (10) salarios mínimos mensuales, de conformidad con lo establecido en el numeral tercero del artículo 44 del Código General del Proceso.</w:t>
      </w:r>
    </w:p>
    <w:p w14:paraId="085850F2" w14:textId="77777777" w:rsidR="0074135D" w:rsidRPr="008D3F50" w:rsidRDefault="0074135D" w:rsidP="005D1816">
      <w:pPr>
        <w:pStyle w:val="Sinespaciado"/>
      </w:pPr>
    </w:p>
    <w:p w14:paraId="719C4C3F" w14:textId="7779EE6D" w:rsidR="002662C7" w:rsidRPr="008D3F50" w:rsidRDefault="0074135D" w:rsidP="00816CB4">
      <w:pPr>
        <w:pStyle w:val="Sinespaciado"/>
        <w:tabs>
          <w:tab w:val="left" w:pos="6384"/>
        </w:tabs>
        <w:spacing w:line="360" w:lineRule="auto"/>
        <w:jc w:val="both"/>
        <w:rPr>
          <w:rFonts w:ascii="Verdana" w:hAnsi="Verdana" w:cs="Tahoma"/>
        </w:rPr>
      </w:pPr>
      <w:r w:rsidRPr="008D3F50">
        <w:rPr>
          <w:rFonts w:ascii="Verdana" w:hAnsi="Verdana" w:cs="Tahoma"/>
        </w:rPr>
        <w:t xml:space="preserve">Líbrese oficio y envíese por </w:t>
      </w:r>
      <w:r w:rsidR="00816CB4" w:rsidRPr="008D3F50">
        <w:rPr>
          <w:rFonts w:ascii="Verdana" w:hAnsi="Verdana" w:cs="Tahoma"/>
        </w:rPr>
        <w:t>Secretaría.</w:t>
      </w:r>
    </w:p>
    <w:p w14:paraId="5AD4F3D4" w14:textId="4F47F423" w:rsidR="00153DEC" w:rsidRDefault="00153DEC" w:rsidP="00153DEC">
      <w:pPr>
        <w:pStyle w:val="Sinespaciado"/>
      </w:pPr>
    </w:p>
    <w:p w14:paraId="1750CAF0" w14:textId="77777777" w:rsidR="002E4AA2" w:rsidRPr="003972EC" w:rsidRDefault="002E4AA2" w:rsidP="002E4AA2">
      <w:pPr>
        <w:pStyle w:val="Sinespaciado"/>
        <w:spacing w:line="360" w:lineRule="auto"/>
        <w:rPr>
          <w:rFonts w:ascii="Verdana" w:hAnsi="Verdana"/>
          <w:i/>
          <w:iCs/>
          <w:sz w:val="20"/>
          <w:szCs w:val="20"/>
          <w:lang w:eastAsia="es-CO"/>
        </w:rPr>
      </w:pPr>
      <w:r w:rsidRPr="003972EC">
        <w:rPr>
          <w:rFonts w:ascii="Verdana" w:hAnsi="Verdana"/>
          <w:i/>
          <w:iCs/>
          <w:sz w:val="20"/>
          <w:szCs w:val="20"/>
          <w:lang w:eastAsia="es-CO"/>
        </w:rPr>
        <w:t> </w:t>
      </w:r>
    </w:p>
    <w:p w14:paraId="166DBEA8" w14:textId="606BD45E" w:rsidR="002E4AA2" w:rsidRPr="00500E80" w:rsidRDefault="002E4AA2" w:rsidP="00153DEC">
      <w:pPr>
        <w:pStyle w:val="Sinespaciado"/>
      </w:pPr>
    </w:p>
    <w:p w14:paraId="369B0361" w14:textId="77777777" w:rsidR="00C859F3" w:rsidRPr="00500E80" w:rsidRDefault="00C859F3" w:rsidP="00C859F3">
      <w:pPr>
        <w:pStyle w:val="Sinespaciado"/>
        <w:spacing w:line="360" w:lineRule="auto"/>
        <w:jc w:val="center"/>
        <w:rPr>
          <w:rFonts w:ascii="Verdana" w:hAnsi="Verdana"/>
          <w:b/>
        </w:rPr>
      </w:pPr>
      <w:r w:rsidRPr="00500E80">
        <w:rPr>
          <w:rFonts w:ascii="Verdana" w:hAnsi="Verdana"/>
          <w:b/>
        </w:rPr>
        <w:t>NOTIFÍQUESE</w:t>
      </w:r>
      <w:r w:rsidR="009517A7">
        <w:rPr>
          <w:rStyle w:val="Refdenotaalpie"/>
          <w:rFonts w:ascii="Verdana" w:hAnsi="Verdana"/>
          <w:b/>
        </w:rPr>
        <w:footnoteReference w:id="2"/>
      </w:r>
    </w:p>
    <w:p w14:paraId="1B2F744D" w14:textId="77777777" w:rsidR="00EC58C1" w:rsidRPr="000C28C0" w:rsidRDefault="00EC58C1" w:rsidP="00C859F3">
      <w:pPr>
        <w:pStyle w:val="Sinespaciado"/>
        <w:jc w:val="right"/>
        <w:rPr>
          <w:rFonts w:ascii="Verdana" w:hAnsi="Verdana"/>
        </w:rPr>
      </w:pPr>
    </w:p>
    <w:p w14:paraId="068D5C48" w14:textId="0512C975" w:rsidR="006B3018" w:rsidRPr="005D1816" w:rsidRDefault="005D1816" w:rsidP="005D1816">
      <w:pPr>
        <w:pStyle w:val="Sinespaciado"/>
        <w:jc w:val="both"/>
        <w:rPr>
          <w:rFonts w:ascii="Verdana" w:hAnsi="Verdana"/>
          <w:sz w:val="16"/>
          <w:szCs w:val="16"/>
        </w:rPr>
      </w:pPr>
      <w:r w:rsidRPr="000C28C0">
        <w:rPr>
          <w:rFonts w:ascii="Verdana" w:hAnsi="Verdana"/>
          <w:sz w:val="16"/>
          <w:szCs w:val="16"/>
        </w:rPr>
        <w:t>LFMC</w:t>
      </w:r>
    </w:p>
    <w:sectPr w:rsidR="006B3018" w:rsidRPr="005D1816" w:rsidSect="00B3763F">
      <w:pgSz w:w="12242" w:h="18722" w:code="1"/>
      <w:pgMar w:top="1304" w:right="158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1CE00" w14:textId="77777777" w:rsidR="002D63DC" w:rsidRDefault="002D63DC" w:rsidP="00447455">
      <w:pPr>
        <w:spacing w:after="0" w:line="240" w:lineRule="auto"/>
      </w:pPr>
      <w:r>
        <w:separator/>
      </w:r>
    </w:p>
  </w:endnote>
  <w:endnote w:type="continuationSeparator" w:id="0">
    <w:p w14:paraId="1089FD0E" w14:textId="77777777" w:rsidR="002D63DC" w:rsidRDefault="002D63DC" w:rsidP="0044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9461" w14:textId="77777777" w:rsidR="002D63DC" w:rsidRDefault="002D63DC" w:rsidP="00447455">
      <w:pPr>
        <w:spacing w:after="0" w:line="240" w:lineRule="auto"/>
      </w:pPr>
      <w:r>
        <w:separator/>
      </w:r>
    </w:p>
  </w:footnote>
  <w:footnote w:type="continuationSeparator" w:id="0">
    <w:p w14:paraId="6E145B3B" w14:textId="77777777" w:rsidR="002D63DC" w:rsidRDefault="002D63DC" w:rsidP="00447455">
      <w:pPr>
        <w:spacing w:after="0" w:line="240" w:lineRule="auto"/>
      </w:pPr>
      <w:r>
        <w:continuationSeparator/>
      </w:r>
    </w:p>
  </w:footnote>
  <w:footnote w:id="1">
    <w:p w14:paraId="379BCD97" w14:textId="1506B01F" w:rsidR="001658E6" w:rsidRPr="001658E6" w:rsidRDefault="001658E6">
      <w:pPr>
        <w:pStyle w:val="Textonotapie"/>
        <w:rPr>
          <w:lang w:val="es-ES"/>
        </w:rPr>
      </w:pPr>
      <w:r>
        <w:rPr>
          <w:rStyle w:val="Refdenotaalpie"/>
        </w:rPr>
        <w:footnoteRef/>
      </w:r>
      <w:r>
        <w:t xml:space="preserve"> </w:t>
      </w:r>
      <w:r>
        <w:rPr>
          <w:lang w:val="es-ES"/>
        </w:rPr>
        <w:t>Artículo 117 del Código General del Proceso.</w:t>
      </w:r>
    </w:p>
  </w:footnote>
  <w:footnote w:id="2">
    <w:p w14:paraId="1B60EB4F" w14:textId="6C35AA45" w:rsidR="00594299" w:rsidRPr="003C1759" w:rsidRDefault="009517A7" w:rsidP="00594299">
      <w:pPr>
        <w:pStyle w:val="paragraph"/>
        <w:spacing w:before="0" w:beforeAutospacing="0" w:after="0" w:afterAutospacing="0"/>
        <w:textAlignment w:val="baseline"/>
        <w:rPr>
          <w:lang w:val="es-CO"/>
        </w:rPr>
      </w:pPr>
      <w:r>
        <w:rPr>
          <w:rStyle w:val="Refdenotaalpie"/>
        </w:rPr>
        <w:footnoteRef/>
      </w:r>
      <w:r>
        <w:t xml:space="preserve"> </w:t>
      </w:r>
      <w:r w:rsidR="00594299">
        <w:rPr>
          <w:rStyle w:val="normaltextrun"/>
          <w:rFonts w:ascii="Verdana" w:eastAsia="Verdana" w:hAnsi="Verdana" w:cs="Segoe UI"/>
          <w:sz w:val="16"/>
          <w:szCs w:val="16"/>
        </w:rPr>
        <w:t>Publicado por estado No. 180 fijado el 28</w:t>
      </w:r>
      <w:r w:rsidR="00594299" w:rsidRPr="0064774B">
        <w:rPr>
          <w:rStyle w:val="normaltextrun"/>
          <w:rFonts w:ascii="Verdana" w:eastAsia="Verdana" w:hAnsi="Verdana" w:cs="Segoe UI"/>
          <w:sz w:val="16"/>
          <w:szCs w:val="16"/>
        </w:rPr>
        <w:t xml:space="preserve"> de octubre de 202</w:t>
      </w:r>
      <w:r w:rsidR="00594299">
        <w:rPr>
          <w:rStyle w:val="normaltextrun"/>
          <w:rFonts w:ascii="Verdana" w:eastAsia="Verdana" w:hAnsi="Verdana" w:cs="Segoe UI"/>
          <w:sz w:val="16"/>
          <w:szCs w:val="16"/>
        </w:rPr>
        <w:t>1</w:t>
      </w:r>
      <w:r w:rsidR="00594299" w:rsidRPr="0064774B">
        <w:rPr>
          <w:rStyle w:val="normaltextrun"/>
          <w:rFonts w:ascii="Verdana" w:eastAsia="Verdana" w:hAnsi="Verdana" w:cs="Segoe UI"/>
          <w:sz w:val="16"/>
          <w:szCs w:val="16"/>
        </w:rPr>
        <w:t xml:space="preserve"> a las 7:30 a.m.</w:t>
      </w:r>
      <w:r w:rsidR="00594299" w:rsidRPr="0064774B">
        <w:rPr>
          <w:rStyle w:val="eop"/>
          <w:rFonts w:ascii="Verdana" w:eastAsiaTheme="majorEastAsia" w:hAnsi="Verdana" w:cs="Segoe UI"/>
          <w:sz w:val="16"/>
          <w:szCs w:val="16"/>
        </w:rPr>
        <w:t> </w:t>
      </w:r>
    </w:p>
    <w:p w14:paraId="703005F2" w14:textId="77777777" w:rsidR="00594299" w:rsidRPr="0064774B" w:rsidRDefault="00594299" w:rsidP="00594299">
      <w:pPr>
        <w:pStyle w:val="paragraph"/>
        <w:spacing w:before="0" w:beforeAutospacing="0" w:after="0" w:afterAutospacing="0"/>
        <w:textAlignment w:val="baseline"/>
        <w:rPr>
          <w:rFonts w:ascii="Verdana" w:hAnsi="Verdana" w:cs="Segoe UI"/>
          <w:sz w:val="18"/>
          <w:szCs w:val="18"/>
        </w:rPr>
      </w:pPr>
      <w:r w:rsidRPr="0064774B">
        <w:rPr>
          <w:rFonts w:ascii="Verdana" w:hAnsi="Verdana"/>
          <w:noProof/>
          <w:lang w:val="es-CO" w:eastAsia="es-CO"/>
        </w:rPr>
        <w:drawing>
          <wp:inline distT="0" distB="0" distL="0" distR="0" wp14:anchorId="403588C8" wp14:editId="60CD4608">
            <wp:extent cx="514350" cy="333375"/>
            <wp:effectExtent l="0" t="0" r="0" b="0"/>
            <wp:docPr id="2071387836" name="Imagen 207138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4350" cy="333375"/>
                    </a:xfrm>
                    <a:prstGeom prst="rect">
                      <a:avLst/>
                    </a:prstGeom>
                  </pic:spPr>
                </pic:pic>
              </a:graphicData>
            </a:graphic>
          </wp:inline>
        </w:drawing>
      </w:r>
    </w:p>
    <w:p w14:paraId="7D61035B" w14:textId="77777777" w:rsidR="00594299" w:rsidRPr="0064774B" w:rsidRDefault="00594299" w:rsidP="00594299">
      <w:pPr>
        <w:pStyle w:val="paragraph"/>
        <w:spacing w:before="0" w:beforeAutospacing="0" w:after="0" w:afterAutospacing="0"/>
        <w:textAlignment w:val="baseline"/>
        <w:rPr>
          <w:rFonts w:ascii="Verdana" w:hAnsi="Verdana" w:cs="Segoe UI"/>
          <w:sz w:val="18"/>
          <w:szCs w:val="18"/>
        </w:rPr>
      </w:pPr>
      <w:r w:rsidRPr="0064774B">
        <w:rPr>
          <w:rStyle w:val="normaltextrun"/>
          <w:rFonts w:ascii="Verdana" w:eastAsia="Verdana" w:hAnsi="Verdana" w:cs="Segoe UI"/>
          <w:sz w:val="16"/>
          <w:szCs w:val="16"/>
        </w:rPr>
        <w:t>SANDRA LUCIA PALACIOS CEBALLOS</w:t>
      </w:r>
      <w:r w:rsidRPr="0064774B">
        <w:rPr>
          <w:rStyle w:val="eop"/>
          <w:rFonts w:ascii="Verdana" w:eastAsiaTheme="majorEastAsia" w:hAnsi="Verdana" w:cs="Segoe UI"/>
          <w:sz w:val="16"/>
          <w:szCs w:val="16"/>
        </w:rPr>
        <w:t> </w:t>
      </w:r>
    </w:p>
    <w:p w14:paraId="0DCAB060" w14:textId="77777777" w:rsidR="00594299" w:rsidRPr="00C37BBB" w:rsidRDefault="00594299" w:rsidP="00594299">
      <w:pPr>
        <w:pStyle w:val="paragraph"/>
        <w:spacing w:before="0" w:beforeAutospacing="0" w:after="0" w:afterAutospacing="0"/>
        <w:textAlignment w:val="baseline"/>
        <w:rPr>
          <w:rFonts w:ascii="Segoe UI" w:hAnsi="Segoe UI" w:cs="Segoe UI"/>
          <w:sz w:val="18"/>
          <w:szCs w:val="18"/>
        </w:rPr>
      </w:pPr>
      <w:r w:rsidRPr="0064774B">
        <w:rPr>
          <w:rStyle w:val="normaltextrun"/>
          <w:rFonts w:ascii="Verdana" w:eastAsia="Verdana" w:hAnsi="Verdana" w:cs="Segoe UI"/>
          <w:sz w:val="16"/>
          <w:szCs w:val="16"/>
        </w:rPr>
        <w:t>Secretaria</w:t>
      </w:r>
    </w:p>
    <w:p w14:paraId="13EEBA0E" w14:textId="33DCFF29" w:rsidR="009517A7" w:rsidRDefault="009517A7" w:rsidP="00594299">
      <w:pPr>
        <w:pStyle w:val="paragraph"/>
        <w:spacing w:before="0" w:beforeAutospacing="0" w:after="0" w:afterAutospacing="0"/>
        <w:textAlignment w:val="baseline"/>
        <w:rPr>
          <w:rFonts w:ascii="Segoe UI" w:hAnsi="Segoe UI" w:cs="Segoe UI"/>
          <w:sz w:val="18"/>
          <w:szCs w:val="18"/>
        </w:rPr>
      </w:pPr>
    </w:p>
    <w:p w14:paraId="48645B0A" w14:textId="77777777" w:rsidR="009517A7" w:rsidRDefault="009517A7">
      <w:pPr>
        <w:pStyle w:val="Textonotapie"/>
      </w:pPr>
    </w:p>
  </w:footnote>
</w:footnotes>
</file>

<file path=word/intelligence.xml><?xml version="1.0" encoding="utf-8"?>
<int:Intelligence xmlns:int="http://schemas.microsoft.com/office/intelligence/2019/intelligence">
  <int:IntelligenceSettings/>
  <int:Manifest>
    <int:WordHash hashCode="3mK385nKs1GOvJ" id="pAxkmJm4"/>
  </int:Manifest>
  <int:Observations>
    <int:Content id="pAxkmJm4">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F3"/>
    <w:rsid w:val="00016D1B"/>
    <w:rsid w:val="000211A0"/>
    <w:rsid w:val="00040C54"/>
    <w:rsid w:val="00046C34"/>
    <w:rsid w:val="0005519D"/>
    <w:rsid w:val="00055518"/>
    <w:rsid w:val="00062301"/>
    <w:rsid w:val="00063EA2"/>
    <w:rsid w:val="00067EA5"/>
    <w:rsid w:val="00070086"/>
    <w:rsid w:val="00092BF8"/>
    <w:rsid w:val="000B5BAF"/>
    <w:rsid w:val="000C28C0"/>
    <w:rsid w:val="000F025C"/>
    <w:rsid w:val="000F1C02"/>
    <w:rsid w:val="000F7513"/>
    <w:rsid w:val="00112E04"/>
    <w:rsid w:val="00115B4E"/>
    <w:rsid w:val="0012025B"/>
    <w:rsid w:val="001270F0"/>
    <w:rsid w:val="001449F7"/>
    <w:rsid w:val="00150913"/>
    <w:rsid w:val="00153DEC"/>
    <w:rsid w:val="001658E6"/>
    <w:rsid w:val="001704FE"/>
    <w:rsid w:val="001C212B"/>
    <w:rsid w:val="001F68AB"/>
    <w:rsid w:val="00200B5E"/>
    <w:rsid w:val="002128C5"/>
    <w:rsid w:val="002662C7"/>
    <w:rsid w:val="002826D8"/>
    <w:rsid w:val="002C6ACD"/>
    <w:rsid w:val="002D63DC"/>
    <w:rsid w:val="002E4AA2"/>
    <w:rsid w:val="002E4D64"/>
    <w:rsid w:val="002F6338"/>
    <w:rsid w:val="00317755"/>
    <w:rsid w:val="00322244"/>
    <w:rsid w:val="0033235D"/>
    <w:rsid w:val="00355E31"/>
    <w:rsid w:val="00374243"/>
    <w:rsid w:val="00380FEE"/>
    <w:rsid w:val="003972EC"/>
    <w:rsid w:val="003A2D90"/>
    <w:rsid w:val="003D0D3E"/>
    <w:rsid w:val="004134D2"/>
    <w:rsid w:val="00447455"/>
    <w:rsid w:val="00454064"/>
    <w:rsid w:val="00455A11"/>
    <w:rsid w:val="004B214E"/>
    <w:rsid w:val="004D23E2"/>
    <w:rsid w:val="004D6468"/>
    <w:rsid w:val="00500E80"/>
    <w:rsid w:val="005226F2"/>
    <w:rsid w:val="00532655"/>
    <w:rsid w:val="00532D04"/>
    <w:rsid w:val="00557BAE"/>
    <w:rsid w:val="005673D6"/>
    <w:rsid w:val="00570271"/>
    <w:rsid w:val="00594299"/>
    <w:rsid w:val="00597D7F"/>
    <w:rsid w:val="005A004F"/>
    <w:rsid w:val="005D1816"/>
    <w:rsid w:val="005F6495"/>
    <w:rsid w:val="0061155E"/>
    <w:rsid w:val="00613D1B"/>
    <w:rsid w:val="0066334C"/>
    <w:rsid w:val="006B3018"/>
    <w:rsid w:val="006B73AB"/>
    <w:rsid w:val="006C368B"/>
    <w:rsid w:val="006D25B2"/>
    <w:rsid w:val="006D7F69"/>
    <w:rsid w:val="006F197F"/>
    <w:rsid w:val="007076A1"/>
    <w:rsid w:val="007078CF"/>
    <w:rsid w:val="00716FD4"/>
    <w:rsid w:val="00726333"/>
    <w:rsid w:val="00726D98"/>
    <w:rsid w:val="00740EC9"/>
    <w:rsid w:val="0074135D"/>
    <w:rsid w:val="00751B97"/>
    <w:rsid w:val="007571F6"/>
    <w:rsid w:val="007978F9"/>
    <w:rsid w:val="007A177D"/>
    <w:rsid w:val="007A6992"/>
    <w:rsid w:val="007B2EC8"/>
    <w:rsid w:val="007C093E"/>
    <w:rsid w:val="007C42E3"/>
    <w:rsid w:val="007F609C"/>
    <w:rsid w:val="00811E63"/>
    <w:rsid w:val="00816CB4"/>
    <w:rsid w:val="00863CBC"/>
    <w:rsid w:val="0086551D"/>
    <w:rsid w:val="00870B6A"/>
    <w:rsid w:val="00871EA5"/>
    <w:rsid w:val="008927A2"/>
    <w:rsid w:val="00895ABB"/>
    <w:rsid w:val="00896DA6"/>
    <w:rsid w:val="00897DDB"/>
    <w:rsid w:val="008A0C00"/>
    <w:rsid w:val="008A5FB5"/>
    <w:rsid w:val="008B46BB"/>
    <w:rsid w:val="008D3F50"/>
    <w:rsid w:val="008E2B23"/>
    <w:rsid w:val="00932052"/>
    <w:rsid w:val="0093382A"/>
    <w:rsid w:val="00943847"/>
    <w:rsid w:val="009517A7"/>
    <w:rsid w:val="00957F61"/>
    <w:rsid w:val="009677D9"/>
    <w:rsid w:val="009704DC"/>
    <w:rsid w:val="0097319D"/>
    <w:rsid w:val="00980E16"/>
    <w:rsid w:val="009A0AAC"/>
    <w:rsid w:val="009B63C0"/>
    <w:rsid w:val="009C5113"/>
    <w:rsid w:val="00A050AF"/>
    <w:rsid w:val="00A13F55"/>
    <w:rsid w:val="00A2659F"/>
    <w:rsid w:val="00A563D3"/>
    <w:rsid w:val="00A703C9"/>
    <w:rsid w:val="00A758A9"/>
    <w:rsid w:val="00A82326"/>
    <w:rsid w:val="00A849C0"/>
    <w:rsid w:val="00A91D53"/>
    <w:rsid w:val="00AB2AEF"/>
    <w:rsid w:val="00AC47DA"/>
    <w:rsid w:val="00AD00C9"/>
    <w:rsid w:val="00AF3F32"/>
    <w:rsid w:val="00B01083"/>
    <w:rsid w:val="00B174D6"/>
    <w:rsid w:val="00B2489A"/>
    <w:rsid w:val="00B3763F"/>
    <w:rsid w:val="00B40066"/>
    <w:rsid w:val="00B7535E"/>
    <w:rsid w:val="00B7714D"/>
    <w:rsid w:val="00BB705B"/>
    <w:rsid w:val="00BD2A90"/>
    <w:rsid w:val="00BF2A17"/>
    <w:rsid w:val="00C031CD"/>
    <w:rsid w:val="00C07BAE"/>
    <w:rsid w:val="00C22D01"/>
    <w:rsid w:val="00C37CC4"/>
    <w:rsid w:val="00C44674"/>
    <w:rsid w:val="00C54906"/>
    <w:rsid w:val="00C60E67"/>
    <w:rsid w:val="00C81EC2"/>
    <w:rsid w:val="00C859F3"/>
    <w:rsid w:val="00CC1984"/>
    <w:rsid w:val="00D256D5"/>
    <w:rsid w:val="00D2659F"/>
    <w:rsid w:val="00D36395"/>
    <w:rsid w:val="00D418A0"/>
    <w:rsid w:val="00D520C6"/>
    <w:rsid w:val="00DB4C61"/>
    <w:rsid w:val="00DB7C69"/>
    <w:rsid w:val="00DC24B1"/>
    <w:rsid w:val="00DC2C47"/>
    <w:rsid w:val="00DC4394"/>
    <w:rsid w:val="00DF117B"/>
    <w:rsid w:val="00DF1740"/>
    <w:rsid w:val="00DF6A8B"/>
    <w:rsid w:val="00E04B5C"/>
    <w:rsid w:val="00E225BC"/>
    <w:rsid w:val="00E5411B"/>
    <w:rsid w:val="00E87470"/>
    <w:rsid w:val="00E94EA3"/>
    <w:rsid w:val="00EA00B1"/>
    <w:rsid w:val="00EA7631"/>
    <w:rsid w:val="00EB5735"/>
    <w:rsid w:val="00EC58C1"/>
    <w:rsid w:val="00ED0D99"/>
    <w:rsid w:val="00ED0E5E"/>
    <w:rsid w:val="00EE7EDC"/>
    <w:rsid w:val="00EF4320"/>
    <w:rsid w:val="00F33EE2"/>
    <w:rsid w:val="00F3536B"/>
    <w:rsid w:val="00F51198"/>
    <w:rsid w:val="00F51335"/>
    <w:rsid w:val="00F66360"/>
    <w:rsid w:val="00F77A1A"/>
    <w:rsid w:val="00F91901"/>
    <w:rsid w:val="00FA6FCB"/>
    <w:rsid w:val="00FB29D5"/>
    <w:rsid w:val="00FC20C5"/>
    <w:rsid w:val="00FD0206"/>
    <w:rsid w:val="00FD6E1B"/>
    <w:rsid w:val="00FE496F"/>
    <w:rsid w:val="00FE7B38"/>
    <w:rsid w:val="00FF4FAB"/>
    <w:rsid w:val="216D1D34"/>
    <w:rsid w:val="37FA7008"/>
    <w:rsid w:val="471C36D8"/>
    <w:rsid w:val="49D3F99B"/>
    <w:rsid w:val="569E8A8A"/>
    <w:rsid w:val="5DB9FD72"/>
    <w:rsid w:val="6A16E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F7B7"/>
  <w15:chartTrackingRefBased/>
  <w15:docId w15:val="{2B07F916-FCD6-4609-A172-DA8AD259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9F3"/>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859F3"/>
    <w:pPr>
      <w:spacing w:after="0" w:line="240" w:lineRule="auto"/>
    </w:pPr>
    <w:rPr>
      <w:lang w:val="es-CO"/>
    </w:rPr>
  </w:style>
  <w:style w:type="table" w:styleId="Tablaconcuadrcula">
    <w:name w:val="Table Grid"/>
    <w:basedOn w:val="Tablanormal"/>
    <w:uiPriority w:val="59"/>
    <w:rsid w:val="00C859F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636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63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360"/>
    <w:rPr>
      <w:rFonts w:ascii="Segoe UI" w:hAnsi="Segoe UI" w:cs="Segoe UI"/>
      <w:sz w:val="18"/>
      <w:szCs w:val="18"/>
      <w:lang w:val="es-CO"/>
    </w:rPr>
  </w:style>
  <w:style w:type="character" w:styleId="Hipervnculo">
    <w:name w:val="Hyperlink"/>
    <w:basedOn w:val="Fuentedeprrafopredeter"/>
    <w:uiPriority w:val="99"/>
    <w:unhideWhenUsed/>
    <w:rsid w:val="009677D9"/>
    <w:rPr>
      <w:color w:val="0563C1" w:themeColor="hyperlink"/>
      <w:u w:val="single"/>
    </w:rPr>
  </w:style>
  <w:style w:type="paragraph" w:styleId="Textonotapie">
    <w:name w:val="footnote text"/>
    <w:basedOn w:val="Normal"/>
    <w:link w:val="TextonotapieCar"/>
    <w:uiPriority w:val="99"/>
    <w:semiHidden/>
    <w:unhideWhenUsed/>
    <w:rsid w:val="004474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7455"/>
    <w:rPr>
      <w:sz w:val="20"/>
      <w:szCs w:val="20"/>
      <w:lang w:val="es-CO"/>
    </w:rPr>
  </w:style>
  <w:style w:type="character" w:styleId="Refdenotaalpie">
    <w:name w:val="footnote reference"/>
    <w:basedOn w:val="Fuentedeprrafopredeter"/>
    <w:uiPriority w:val="99"/>
    <w:semiHidden/>
    <w:unhideWhenUsed/>
    <w:rsid w:val="00447455"/>
    <w:rPr>
      <w:vertAlign w:val="superscript"/>
    </w:rPr>
  </w:style>
  <w:style w:type="paragraph" w:customStyle="1" w:styleId="Default">
    <w:name w:val="Default"/>
    <w:rsid w:val="00447455"/>
    <w:pPr>
      <w:autoSpaceDE w:val="0"/>
      <w:autoSpaceDN w:val="0"/>
      <w:adjustRightInd w:val="0"/>
      <w:spacing w:after="0" w:line="240" w:lineRule="auto"/>
    </w:pPr>
    <w:rPr>
      <w:rFonts w:ascii="Arial" w:hAnsi="Arial" w:cs="Arial"/>
      <w:color w:val="000000"/>
      <w:sz w:val="24"/>
      <w:szCs w:val="24"/>
      <w:lang w:val="es-CO"/>
    </w:rPr>
  </w:style>
  <w:style w:type="paragraph" w:customStyle="1" w:styleId="CM14">
    <w:name w:val="CM14"/>
    <w:basedOn w:val="Default"/>
    <w:next w:val="Default"/>
    <w:uiPriority w:val="99"/>
    <w:rsid w:val="00447455"/>
    <w:rPr>
      <w:color w:val="auto"/>
    </w:rPr>
  </w:style>
  <w:style w:type="paragraph" w:styleId="Encabezado">
    <w:name w:val="header"/>
    <w:basedOn w:val="Normal"/>
    <w:link w:val="EncabezadoCar"/>
    <w:uiPriority w:val="99"/>
    <w:unhideWhenUsed/>
    <w:rsid w:val="004474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455"/>
    <w:rPr>
      <w:lang w:val="es-CO"/>
    </w:rPr>
  </w:style>
  <w:style w:type="paragraph" w:styleId="Piedepgina">
    <w:name w:val="footer"/>
    <w:basedOn w:val="Normal"/>
    <w:link w:val="PiedepginaCar"/>
    <w:uiPriority w:val="99"/>
    <w:unhideWhenUsed/>
    <w:rsid w:val="004474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455"/>
    <w:rPr>
      <w:lang w:val="es-CO"/>
    </w:rPr>
  </w:style>
  <w:style w:type="paragraph" w:customStyle="1" w:styleId="paragraph">
    <w:name w:val="paragraph"/>
    <w:basedOn w:val="Normal"/>
    <w:rsid w:val="00951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9517A7"/>
  </w:style>
  <w:style w:type="character" w:customStyle="1" w:styleId="eop">
    <w:name w:val="eop"/>
    <w:basedOn w:val="Fuentedeprrafopredeter"/>
    <w:rsid w:val="009517A7"/>
  </w:style>
  <w:style w:type="character" w:styleId="Mencinsinresolver">
    <w:name w:val="Unresolved Mention"/>
    <w:basedOn w:val="Fuentedeprrafopredeter"/>
    <w:uiPriority w:val="99"/>
    <w:semiHidden/>
    <w:unhideWhenUsed/>
    <w:rsid w:val="002128C5"/>
    <w:rPr>
      <w:color w:val="605E5C"/>
      <w:shd w:val="clear" w:color="auto" w:fill="E1DFDD"/>
    </w:rPr>
  </w:style>
  <w:style w:type="character" w:customStyle="1" w:styleId="SinespaciadoCar">
    <w:name w:val="Sin espaciado Car"/>
    <w:link w:val="Sinespaciado"/>
    <w:uiPriority w:val="1"/>
    <w:locked/>
    <w:rsid w:val="003972EC"/>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47701">
      <w:bodyDiv w:val="1"/>
      <w:marLeft w:val="0"/>
      <w:marRight w:val="0"/>
      <w:marTop w:val="0"/>
      <w:marBottom w:val="0"/>
      <w:divBdr>
        <w:top w:val="none" w:sz="0" w:space="0" w:color="auto"/>
        <w:left w:val="none" w:sz="0" w:space="0" w:color="auto"/>
        <w:bottom w:val="none" w:sz="0" w:space="0" w:color="auto"/>
        <w:right w:val="none" w:sz="0" w:space="0" w:color="auto"/>
      </w:divBdr>
      <w:divsChild>
        <w:div w:id="1825972825">
          <w:marLeft w:val="0"/>
          <w:marRight w:val="0"/>
          <w:marTop w:val="0"/>
          <w:marBottom w:val="0"/>
          <w:divBdr>
            <w:top w:val="single" w:sz="6" w:space="3" w:color="808080"/>
            <w:left w:val="single" w:sz="6" w:space="15" w:color="808080"/>
            <w:bottom w:val="single" w:sz="6" w:space="8" w:color="808080"/>
            <w:right w:val="single" w:sz="6" w:space="15" w:color="808080"/>
          </w:divBdr>
          <w:divsChild>
            <w:div w:id="670060809">
              <w:marLeft w:val="0"/>
              <w:marRight w:val="0"/>
              <w:marTop w:val="0"/>
              <w:marBottom w:val="0"/>
              <w:divBdr>
                <w:top w:val="none" w:sz="0" w:space="0" w:color="auto"/>
                <w:left w:val="none" w:sz="0" w:space="0" w:color="auto"/>
                <w:bottom w:val="none" w:sz="0" w:space="0" w:color="auto"/>
                <w:right w:val="none" w:sz="0" w:space="0" w:color="auto"/>
              </w:divBdr>
            </w:div>
          </w:divsChild>
        </w:div>
        <w:div w:id="1370374705">
          <w:marLeft w:val="0"/>
          <w:marRight w:val="0"/>
          <w:marTop w:val="0"/>
          <w:marBottom w:val="0"/>
          <w:divBdr>
            <w:top w:val="none" w:sz="0" w:space="0" w:color="auto"/>
            <w:left w:val="none" w:sz="0" w:space="0" w:color="auto"/>
            <w:bottom w:val="none" w:sz="0" w:space="0" w:color="auto"/>
            <w:right w:val="none" w:sz="0" w:space="0" w:color="auto"/>
          </w:divBdr>
        </w:div>
        <w:div w:id="513886072">
          <w:marLeft w:val="0"/>
          <w:marRight w:val="0"/>
          <w:marTop w:val="0"/>
          <w:marBottom w:val="0"/>
          <w:divBdr>
            <w:top w:val="none" w:sz="0" w:space="0" w:color="auto"/>
            <w:left w:val="none" w:sz="0" w:space="0" w:color="auto"/>
            <w:bottom w:val="none" w:sz="0" w:space="0" w:color="auto"/>
            <w:right w:val="none" w:sz="0" w:space="0" w:color="auto"/>
          </w:divBdr>
        </w:div>
        <w:div w:id="838421819">
          <w:marLeft w:val="0"/>
          <w:marRight w:val="0"/>
          <w:marTop w:val="0"/>
          <w:marBottom w:val="0"/>
          <w:divBdr>
            <w:top w:val="none" w:sz="0" w:space="0" w:color="auto"/>
            <w:left w:val="none" w:sz="0" w:space="0" w:color="auto"/>
            <w:bottom w:val="none" w:sz="0" w:space="0" w:color="auto"/>
            <w:right w:val="none" w:sz="0" w:space="0" w:color="auto"/>
          </w:divBdr>
        </w:div>
        <w:div w:id="283123314">
          <w:marLeft w:val="0"/>
          <w:marRight w:val="0"/>
          <w:marTop w:val="0"/>
          <w:marBottom w:val="0"/>
          <w:divBdr>
            <w:top w:val="none" w:sz="0" w:space="0" w:color="auto"/>
            <w:left w:val="none" w:sz="0" w:space="0" w:color="auto"/>
            <w:bottom w:val="none" w:sz="0" w:space="0" w:color="auto"/>
            <w:right w:val="none" w:sz="0" w:space="0" w:color="auto"/>
          </w:divBdr>
        </w:div>
        <w:div w:id="477192321">
          <w:marLeft w:val="0"/>
          <w:marRight w:val="0"/>
          <w:marTop w:val="0"/>
          <w:marBottom w:val="0"/>
          <w:divBdr>
            <w:top w:val="none" w:sz="0" w:space="0" w:color="auto"/>
            <w:left w:val="none" w:sz="0" w:space="0" w:color="auto"/>
            <w:bottom w:val="none" w:sz="0" w:space="0" w:color="auto"/>
            <w:right w:val="none" w:sz="0" w:space="0" w:color="auto"/>
          </w:divBdr>
        </w:div>
        <w:div w:id="98855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iedadcardenas07@hotmail.com" TargetMode="External"/><Relationship Id="rId17" Type="http://schemas.openxmlformats.org/officeDocument/2006/relationships/hyperlink" Target="mailto:piedadcardenas07@gmai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iedadcardenas07@hotmail.com" TargetMode="External"/><Relationship Id="R61931c05e7e1418e" Type="http://schemas.microsoft.com/office/2019/09/relationships/intelligence" Target="intelligence.xml"/></Relationships>
</file>

<file path=word/_rels/footnotes.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2" ma:contentTypeDescription="Crear nuevo documento." ma:contentTypeScope="" ma:versionID="75784afdd2cc7b77fc470dcc76dd53cf">
  <xsd:schema xmlns:xsd="http://www.w3.org/2001/XMLSchema" xmlns:xs="http://www.w3.org/2001/XMLSchema" xmlns:p="http://schemas.microsoft.com/office/2006/metadata/properties" xmlns:ns2="f713b45c-a511-40bd-b89e-cd2117ce9f07" xmlns:ns3="f43d367b-dca0-433b-a61e-31e73b7b56a1" targetNamespace="http://schemas.microsoft.com/office/2006/metadata/properties" ma:root="true" ma:fieldsID="290a195b5280fec0f3a073677f85684e" ns2:_="" ns3:_="">
    <xsd:import namespace="f713b45c-a511-40bd-b89e-cd2117ce9f07"/>
    <xsd:import namespace="f43d367b-dca0-433b-a61e-31e73b7b5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3d367b-dca0-433b-a61e-31e73b7b56a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4DB23-1507-4C7C-8F09-90C5FE8143AA}">
  <ds:schemaRefs>
    <ds:schemaRef ds:uri="http://schemas.microsoft.com/sharepoint/v3/contenttype/forms"/>
  </ds:schemaRefs>
</ds:datastoreItem>
</file>

<file path=customXml/itemProps2.xml><?xml version="1.0" encoding="utf-8"?>
<ds:datastoreItem xmlns:ds="http://schemas.openxmlformats.org/officeDocument/2006/customXml" ds:itemID="{D105EBEE-8753-4AE5-B497-C9A01D465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f43d367b-dca0-433b-a61e-31e73b7b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EAA0A-CB30-4C69-935B-632F99CE70A6}">
  <ds:schemaRef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f43d367b-dca0-433b-a61e-31e73b7b56a1"/>
    <ds:schemaRef ds:uri="f713b45c-a511-40bd-b89e-cd2117ce9f07"/>
    <ds:schemaRef ds:uri="http://purl.org/dc/dcmitype/"/>
  </ds:schemaRefs>
</ds:datastoreItem>
</file>

<file path=customXml/itemProps4.xml><?xml version="1.0" encoding="utf-8"?>
<ds:datastoreItem xmlns:ds="http://schemas.openxmlformats.org/officeDocument/2006/customXml" ds:itemID="{CEB3E869-A389-43DA-9C28-D6700470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1568</Words>
  <Characters>8624</Characters>
  <Application>Microsoft Office Word</Application>
  <DocSecurity>0</DocSecurity>
  <Lines>71</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Torres Lopez</dc:creator>
  <cp:keywords/>
  <dc:description/>
  <cp:lastModifiedBy>Sandra Maria Aguirre Lopez</cp:lastModifiedBy>
  <cp:revision>263</cp:revision>
  <cp:lastPrinted>2020-01-22T19:24:00Z</cp:lastPrinted>
  <dcterms:created xsi:type="dcterms:W3CDTF">2017-03-02T21:37:00Z</dcterms:created>
  <dcterms:modified xsi:type="dcterms:W3CDTF">2021-10-27T21:59:00Z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