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0CAC" w14:textId="3B532EBB" w:rsidR="0007492E" w:rsidRPr="00DF105D" w:rsidRDefault="0007492E" w:rsidP="00286533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  <w:r w:rsidRPr="00DF105D">
        <w:rPr>
          <w:rFonts w:ascii="Bangla Sangam MN" w:hAnsi="Bangla Sangam MN" w:cs="Bangla Sangam MN"/>
          <w:sz w:val="24"/>
          <w:szCs w:val="24"/>
        </w:rPr>
        <w:t xml:space="preserve">La Juez Segunda Civil Circuito de Soacha, en uso de sus facultades legales y teniendo en cuenta las siguientes, </w:t>
      </w:r>
    </w:p>
    <w:p w14:paraId="7EA7FF04" w14:textId="77777777" w:rsidR="0007492E" w:rsidRPr="00DF105D" w:rsidRDefault="0007492E" w:rsidP="0007492E">
      <w:pPr>
        <w:pStyle w:val="Sinespaciado"/>
        <w:rPr>
          <w:rFonts w:ascii="Bangla Sangam MN" w:hAnsi="Bangla Sangam MN" w:cs="Bangla Sangam MN"/>
          <w:sz w:val="24"/>
          <w:szCs w:val="24"/>
        </w:rPr>
      </w:pPr>
    </w:p>
    <w:p w14:paraId="5FC00843" w14:textId="1386D5E2" w:rsidR="00B61AA4" w:rsidRPr="00DF105D" w:rsidRDefault="00234687" w:rsidP="001461AE">
      <w:pPr>
        <w:pStyle w:val="Sinespaciado"/>
        <w:jc w:val="center"/>
        <w:rPr>
          <w:rFonts w:ascii="Bangla Sangam MN" w:hAnsi="Bangla Sangam MN" w:cs="Bangla Sangam MN"/>
          <w:b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>Consideraciones</w:t>
      </w:r>
      <w:r w:rsidR="00A67189" w:rsidRPr="00DF105D">
        <w:rPr>
          <w:rFonts w:ascii="Bangla Sangam MN" w:hAnsi="Bangla Sangam MN" w:cs="Bangla Sangam MN"/>
          <w:sz w:val="24"/>
          <w:szCs w:val="24"/>
        </w:rPr>
        <w:t>.</w:t>
      </w:r>
    </w:p>
    <w:p w14:paraId="6509D086" w14:textId="77777777" w:rsidR="00B61AA4" w:rsidRPr="00DF105D" w:rsidRDefault="00B61AA4" w:rsidP="00B61AA4">
      <w:pPr>
        <w:pStyle w:val="Sinespaciado"/>
        <w:ind w:left="284"/>
        <w:jc w:val="both"/>
        <w:rPr>
          <w:rFonts w:ascii="Bangla Sangam MN" w:hAnsi="Bangla Sangam MN" w:cs="Bangla Sangam MN"/>
          <w:sz w:val="24"/>
          <w:szCs w:val="24"/>
        </w:rPr>
      </w:pPr>
    </w:p>
    <w:p w14:paraId="26C1167D" w14:textId="1B105F38" w:rsidR="001461AE" w:rsidRPr="00DF105D" w:rsidRDefault="00A67189" w:rsidP="004B7048">
      <w:pPr>
        <w:pStyle w:val="Sinespaciado"/>
        <w:jc w:val="both"/>
        <w:rPr>
          <w:rFonts w:ascii="Bangla Sangam MN" w:hAnsi="Bangla Sangam MN" w:cs="Bangla Sangam MN"/>
          <w:i/>
          <w:sz w:val="20"/>
          <w:szCs w:val="20"/>
        </w:rPr>
      </w:pPr>
      <w:r w:rsidRPr="00DF105D">
        <w:rPr>
          <w:rFonts w:ascii="Bangla Sangam MN" w:hAnsi="Bangla Sangam MN" w:cs="Bangla Sangam MN"/>
          <w:sz w:val="24"/>
          <w:szCs w:val="24"/>
        </w:rPr>
        <w:t xml:space="preserve">Conforme lo establece el artículo 8º del Acuerdo n°.PCSJA22 – 11930 del 25 de febrero de 2022 </w:t>
      </w:r>
      <w:r w:rsidRPr="00DF105D">
        <w:rPr>
          <w:rFonts w:ascii="Bangla Sangam MN" w:hAnsi="Bangla Sangam MN" w:cs="Bangla Sangam MN"/>
          <w:i/>
          <w:sz w:val="20"/>
          <w:szCs w:val="20"/>
        </w:rPr>
        <w:t xml:space="preserve">“Por el cual se adoptan unas medidas para la prestación del servicio de justicia en los despachos judiciales </w:t>
      </w:r>
      <w:r w:rsidR="00FF76E7" w:rsidRPr="00DF105D">
        <w:rPr>
          <w:rFonts w:ascii="Bangla Sangam MN" w:hAnsi="Bangla Sangam MN" w:cs="Bangla Sangam MN"/>
          <w:i/>
          <w:sz w:val="20"/>
          <w:szCs w:val="20"/>
        </w:rPr>
        <w:t>y dependencias administrativas del territorio nacional”</w:t>
      </w:r>
      <w:r w:rsidR="00FF76E7" w:rsidRPr="00DF105D">
        <w:rPr>
          <w:rFonts w:ascii="Bangla Sangam MN" w:hAnsi="Bangla Sangam MN" w:cs="Bangla Sangam MN"/>
          <w:sz w:val="24"/>
          <w:szCs w:val="24"/>
        </w:rPr>
        <w:t>, en los casos que</w:t>
      </w:r>
      <w:r w:rsidR="00FF76E7" w:rsidRPr="00DF105D">
        <w:rPr>
          <w:rFonts w:ascii="Bangla Sangam MN" w:hAnsi="Bangla Sangam MN" w:cs="Bangla Sangam MN"/>
          <w:i/>
          <w:sz w:val="20"/>
          <w:szCs w:val="20"/>
        </w:rPr>
        <w:t xml:space="preserve"> “(…) se presenten </w:t>
      </w:r>
      <w:r w:rsidR="00FF76E7" w:rsidRPr="00DF105D">
        <w:rPr>
          <w:rFonts w:ascii="Bangla Sangam MN" w:hAnsi="Bangla Sangam MN" w:cs="Bangla Sangam MN"/>
          <w:b/>
          <w:i/>
          <w:sz w:val="20"/>
          <w:szCs w:val="20"/>
        </w:rPr>
        <w:t>circunstancias ocasionales, excepcionales</w:t>
      </w:r>
      <w:r w:rsidR="00FF76E7" w:rsidRPr="00DF105D">
        <w:rPr>
          <w:rFonts w:ascii="Bangla Sangam MN" w:hAnsi="Bangla Sangam MN" w:cs="Bangla Sangam MN"/>
          <w:i/>
          <w:sz w:val="20"/>
          <w:szCs w:val="20"/>
        </w:rPr>
        <w:t xml:space="preserve"> o especiales que impidan que el servidor judicial pueda realizar sus funciones en su lugar de trabajo, privilegiando el uso de las tecnologías de la información y las comunicaciones, los medios informáticos o análogos, de conformidad con las disposiciones de la Ley 2088 de 2021, respetando el horario, la jornada laboral, el derecho al descanso y la desconexión laboral de los servidores judiciales. </w:t>
      </w:r>
    </w:p>
    <w:p w14:paraId="5DFA1459" w14:textId="77777777" w:rsidR="00FF76E7" w:rsidRPr="00DF105D" w:rsidRDefault="00FF76E7" w:rsidP="00677426">
      <w:pPr>
        <w:ind w:left="709" w:hanging="709"/>
        <w:rPr>
          <w:rFonts w:ascii="Bangla Sangam MN" w:hAnsi="Bangla Sangam MN" w:cs="Bangla Sangam MN"/>
          <w:i/>
          <w:sz w:val="20"/>
          <w:szCs w:val="20"/>
        </w:rPr>
      </w:pPr>
    </w:p>
    <w:p w14:paraId="2D9943EE" w14:textId="70F6D96B" w:rsidR="004B7048" w:rsidRPr="00DF105D" w:rsidRDefault="00FF76E7" w:rsidP="00D029E7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  <w:r w:rsidRPr="00DF105D">
        <w:rPr>
          <w:rFonts w:ascii="Bangla Sangam MN" w:hAnsi="Bangla Sangam MN" w:cs="Bangla Sangam MN"/>
          <w:i/>
          <w:sz w:val="20"/>
          <w:szCs w:val="20"/>
        </w:rPr>
        <w:t>Los magistrados, jueces y jefes de dependencia asignarán al servidor judicial, las tareas o actividades a desarrollar, productos a entregar, periodicidad, plazos de entrega, medio electrónico al cual deberán remitir o entregar la información, así como los demás aspectos que considere relevantes para asegurar el cumplimiento de funciones, su control y seguimiento”</w:t>
      </w:r>
      <w:r w:rsidRPr="00DF105D">
        <w:rPr>
          <w:rFonts w:ascii="Bangla Sangam MN" w:hAnsi="Bangla Sangam MN" w:cs="Bangla Sangam MN"/>
          <w:sz w:val="24"/>
          <w:szCs w:val="24"/>
        </w:rPr>
        <w:t xml:space="preserve">, </w:t>
      </w:r>
      <w:r w:rsidR="00D029E7" w:rsidRPr="00DF105D">
        <w:rPr>
          <w:rFonts w:ascii="Bangla Sangam MN" w:hAnsi="Bangla Sangam MN" w:cs="Bangla Sangam MN"/>
          <w:sz w:val="24"/>
          <w:szCs w:val="24"/>
        </w:rPr>
        <w:t xml:space="preserve">teniendo </w:t>
      </w:r>
      <w:r w:rsidR="008E31DD">
        <w:rPr>
          <w:rFonts w:ascii="Bangla Sangam MN" w:hAnsi="Bangla Sangam MN" w:cs="Bangla Sangam MN"/>
          <w:sz w:val="24"/>
          <w:szCs w:val="24"/>
        </w:rPr>
        <w:t xml:space="preserve">que el día </w:t>
      </w:r>
      <w:r w:rsidR="008E31DD">
        <w:rPr>
          <w:rFonts w:ascii="Bangla Sangam MN" w:hAnsi="Bangla Sangam MN" w:cs="Bangla Sangam MN"/>
          <w:b/>
          <w:bCs/>
          <w:sz w:val="24"/>
          <w:szCs w:val="24"/>
        </w:rPr>
        <w:t xml:space="preserve">catorce (14) </w:t>
      </w:r>
      <w:r w:rsidR="00DF105D" w:rsidRPr="00DF105D">
        <w:rPr>
          <w:rFonts w:ascii="Bangla Sangam MN" w:hAnsi="Bangla Sangam MN" w:cs="Bangla Sangam MN"/>
          <w:sz w:val="24"/>
          <w:szCs w:val="24"/>
        </w:rPr>
        <w:t xml:space="preserve">de febrero de dos mil veintitrés (2023) </w:t>
      </w:r>
      <w:r w:rsidR="008E31DD">
        <w:rPr>
          <w:rFonts w:ascii="Bangla Sangam MN" w:hAnsi="Bangla Sangam MN" w:cs="Bangla Sangam MN"/>
          <w:sz w:val="24"/>
          <w:szCs w:val="24"/>
        </w:rPr>
        <w:t>está programado el Gran paro nacional indefinido</w:t>
      </w:r>
      <w:r w:rsidR="00D029E7" w:rsidRPr="00DF105D">
        <w:rPr>
          <w:rFonts w:ascii="Bangla Sangam MN" w:hAnsi="Bangla Sangam MN" w:cs="Bangla Sangam MN"/>
          <w:sz w:val="24"/>
          <w:szCs w:val="24"/>
        </w:rPr>
        <w:t xml:space="preserve">, se autoriza </w:t>
      </w:r>
      <w:r w:rsidR="001461AE" w:rsidRPr="00DF105D">
        <w:rPr>
          <w:rFonts w:ascii="Bangla Sangam MN" w:hAnsi="Bangla Sangam MN" w:cs="Bangla Sangam MN"/>
          <w:b/>
          <w:sz w:val="24"/>
          <w:szCs w:val="24"/>
        </w:rPr>
        <w:t>trabajo en casa</w:t>
      </w:r>
      <w:r w:rsidR="004B7048" w:rsidRPr="00DF105D">
        <w:rPr>
          <w:rFonts w:ascii="Bangla Sangam MN" w:hAnsi="Bangla Sangam MN" w:cs="Bangla Sangam MN"/>
          <w:sz w:val="24"/>
          <w:szCs w:val="24"/>
        </w:rPr>
        <w:t>, anunciándolo</w:t>
      </w:r>
      <w:r w:rsidR="00907FA7" w:rsidRPr="00DF105D">
        <w:rPr>
          <w:rFonts w:ascii="Bangla Sangam MN" w:hAnsi="Bangla Sangam MN" w:cs="Bangla Sangam MN"/>
          <w:sz w:val="24"/>
          <w:szCs w:val="24"/>
        </w:rPr>
        <w:t xml:space="preserve"> </w:t>
      </w:r>
      <w:r w:rsidR="004B7048" w:rsidRPr="00DF105D">
        <w:rPr>
          <w:rFonts w:ascii="Bangla Sangam MN" w:hAnsi="Bangla Sangam MN" w:cs="Bangla Sangam MN"/>
          <w:sz w:val="24"/>
          <w:szCs w:val="24"/>
        </w:rPr>
        <w:t>en el micrositio de la rama judicial</w:t>
      </w:r>
      <w:r w:rsidR="001506D9" w:rsidRPr="00DF105D">
        <w:rPr>
          <w:rFonts w:ascii="Bangla Sangam MN" w:hAnsi="Bangla Sangam MN" w:cs="Bangla Sangam MN"/>
          <w:sz w:val="24"/>
          <w:szCs w:val="24"/>
        </w:rPr>
        <w:t xml:space="preserve"> y garantizando la atención en forma virtual </w:t>
      </w:r>
      <w:r w:rsidR="00E124FD" w:rsidRPr="00DF105D">
        <w:rPr>
          <w:rFonts w:ascii="Bangla Sangam MN" w:hAnsi="Bangla Sangam MN" w:cs="Bangla Sangam MN"/>
          <w:sz w:val="24"/>
          <w:szCs w:val="24"/>
        </w:rPr>
        <w:t>y telefónica</w:t>
      </w:r>
      <w:r w:rsidR="001506D9" w:rsidRPr="00DF105D">
        <w:rPr>
          <w:rFonts w:ascii="Bangla Sangam MN" w:hAnsi="Bangla Sangam MN" w:cs="Bangla Sangam MN"/>
          <w:sz w:val="24"/>
          <w:szCs w:val="24"/>
        </w:rPr>
        <w:t xml:space="preserve"> a través de los diferentes canales de atención dispuestos para ello. </w:t>
      </w:r>
    </w:p>
    <w:p w14:paraId="3958B965" w14:textId="77777777" w:rsidR="00677426" w:rsidRPr="00DF105D" w:rsidRDefault="00677426" w:rsidP="0007492E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</w:p>
    <w:p w14:paraId="204D4CCC" w14:textId="77777777" w:rsidR="0007492E" w:rsidRPr="00DF105D" w:rsidRDefault="0007492E" w:rsidP="0007492E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  <w:r w:rsidRPr="00DF105D">
        <w:rPr>
          <w:rFonts w:ascii="Bangla Sangam MN" w:hAnsi="Bangla Sangam MN" w:cs="Bangla Sangam MN"/>
          <w:sz w:val="24"/>
          <w:szCs w:val="24"/>
        </w:rPr>
        <w:t xml:space="preserve">En mérito de lo anteriormente expuesto, </w:t>
      </w:r>
    </w:p>
    <w:p w14:paraId="5087ED7F" w14:textId="77777777" w:rsidR="0007492E" w:rsidRPr="00DF105D" w:rsidRDefault="0007492E" w:rsidP="0007492E">
      <w:pPr>
        <w:pStyle w:val="Sinespaciado"/>
        <w:jc w:val="center"/>
        <w:rPr>
          <w:rFonts w:ascii="Bangla Sangam MN" w:hAnsi="Bangla Sangam MN" w:cs="Bangla Sangam MN"/>
          <w:b/>
          <w:sz w:val="24"/>
          <w:szCs w:val="24"/>
        </w:rPr>
      </w:pPr>
    </w:p>
    <w:p w14:paraId="09AF149B" w14:textId="66165B6B" w:rsidR="0007492E" w:rsidRPr="00DF105D" w:rsidRDefault="00234687" w:rsidP="0007492E">
      <w:pPr>
        <w:pStyle w:val="Sinespaciado"/>
        <w:jc w:val="center"/>
        <w:rPr>
          <w:rFonts w:ascii="Bangla Sangam MN" w:hAnsi="Bangla Sangam MN" w:cs="Bangla Sangam MN"/>
          <w:b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>Resuelve</w:t>
      </w:r>
    </w:p>
    <w:p w14:paraId="1CB62E44" w14:textId="77777777" w:rsidR="0007492E" w:rsidRPr="00DF105D" w:rsidRDefault="0007492E" w:rsidP="0007492E">
      <w:pPr>
        <w:pStyle w:val="Sinespaciado"/>
        <w:jc w:val="center"/>
        <w:rPr>
          <w:rFonts w:ascii="Bangla Sangam MN" w:hAnsi="Bangla Sangam MN" w:cs="Bangla Sangam MN"/>
          <w:b/>
          <w:sz w:val="24"/>
          <w:szCs w:val="24"/>
        </w:rPr>
      </w:pPr>
    </w:p>
    <w:p w14:paraId="0C2CBE9D" w14:textId="49A99248" w:rsidR="000E2357" w:rsidRPr="00DF105D" w:rsidRDefault="00234687" w:rsidP="001506D9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 xml:space="preserve">Primero: </w:t>
      </w:r>
      <w:r w:rsidR="00B449A3" w:rsidRPr="00DF105D">
        <w:rPr>
          <w:rFonts w:ascii="Bangla Sangam MN" w:hAnsi="Bangla Sangam MN" w:cs="Bangla Sangam MN"/>
          <w:b/>
          <w:sz w:val="24"/>
          <w:szCs w:val="24"/>
        </w:rPr>
        <w:t>Autorizar</w:t>
      </w:r>
      <w:r w:rsidRPr="00DF105D">
        <w:rPr>
          <w:rFonts w:ascii="Bangla Sangam MN" w:hAnsi="Bangla Sangam MN" w:cs="Bangla Sangam MN"/>
          <w:b/>
          <w:sz w:val="24"/>
          <w:szCs w:val="24"/>
        </w:rPr>
        <w:t xml:space="preserve"> </w:t>
      </w:r>
      <w:r w:rsidR="004B7048" w:rsidRPr="00DF105D">
        <w:rPr>
          <w:rFonts w:ascii="Bangla Sangam MN" w:hAnsi="Bangla Sangam MN" w:cs="Bangla Sangam MN"/>
          <w:sz w:val="24"/>
          <w:szCs w:val="24"/>
        </w:rPr>
        <w:t>para el día</w:t>
      </w:r>
      <w:r w:rsidR="004B7048" w:rsidRPr="00DF105D">
        <w:rPr>
          <w:rFonts w:ascii="Bangla Sangam MN" w:hAnsi="Bangla Sangam MN" w:cs="Bangla Sangam MN"/>
          <w:b/>
          <w:sz w:val="24"/>
          <w:szCs w:val="24"/>
        </w:rPr>
        <w:t xml:space="preserve"> </w:t>
      </w:r>
      <w:r w:rsidR="008E31DD">
        <w:rPr>
          <w:rFonts w:ascii="Bangla Sangam MN" w:hAnsi="Bangla Sangam MN" w:cs="Bangla Sangam MN"/>
          <w:b/>
          <w:bCs/>
          <w:sz w:val="24"/>
          <w:szCs w:val="24"/>
        </w:rPr>
        <w:t>catorce (14)</w:t>
      </w:r>
      <w:r w:rsidR="00DF105D" w:rsidRPr="00DF105D">
        <w:rPr>
          <w:rFonts w:ascii="Bangla Sangam MN" w:hAnsi="Bangla Sangam MN" w:cs="Bangla Sangam MN"/>
          <w:b/>
          <w:bCs/>
          <w:sz w:val="24"/>
          <w:szCs w:val="24"/>
        </w:rPr>
        <w:t xml:space="preserve"> de febrero de dos mil veintitrés (2023)</w:t>
      </w:r>
      <w:r w:rsidR="001506D9" w:rsidRPr="00DF105D">
        <w:rPr>
          <w:rFonts w:ascii="Bangla Sangam MN" w:hAnsi="Bangla Sangam MN" w:cs="Bangla Sangam MN"/>
          <w:b/>
          <w:sz w:val="24"/>
          <w:szCs w:val="24"/>
        </w:rPr>
        <w:t xml:space="preserve">, </w:t>
      </w:r>
      <w:r w:rsidR="004B1CEB" w:rsidRPr="00DF105D">
        <w:rPr>
          <w:rFonts w:ascii="Bangla Sangam MN" w:hAnsi="Bangla Sangam MN" w:cs="Bangla Sangam MN"/>
          <w:sz w:val="24"/>
          <w:szCs w:val="24"/>
          <w:u w:val="single"/>
        </w:rPr>
        <w:t>trabajo en casa</w:t>
      </w:r>
      <w:r w:rsidR="004B1CEB" w:rsidRPr="00DF105D">
        <w:rPr>
          <w:rFonts w:ascii="Bangla Sangam MN" w:hAnsi="Bangla Sangam MN" w:cs="Bangla Sangam MN"/>
          <w:sz w:val="24"/>
          <w:szCs w:val="24"/>
        </w:rPr>
        <w:t xml:space="preserve">, </w:t>
      </w:r>
      <w:r w:rsidR="00D029E7" w:rsidRPr="00DF105D">
        <w:rPr>
          <w:rFonts w:ascii="Bangla Sangam MN" w:hAnsi="Bangla Sangam MN" w:cs="Bangla Sangam MN"/>
          <w:sz w:val="24"/>
          <w:szCs w:val="24"/>
        </w:rPr>
        <w:t>por las razones expuestas en la parte motiva.</w:t>
      </w:r>
    </w:p>
    <w:p w14:paraId="4A039514" w14:textId="77777777" w:rsidR="001506D9" w:rsidRPr="00DF105D" w:rsidRDefault="001506D9" w:rsidP="001506D9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</w:p>
    <w:p w14:paraId="26094565" w14:textId="7F9BC760" w:rsidR="001506D9" w:rsidRPr="00DF105D" w:rsidRDefault="00234687" w:rsidP="001506D9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>Segundo</w:t>
      </w:r>
      <w:r w:rsidRPr="00DF105D">
        <w:rPr>
          <w:rFonts w:ascii="Bangla Sangam MN" w:hAnsi="Bangla Sangam MN" w:cs="Bangla Sangam MN"/>
          <w:sz w:val="24"/>
          <w:szCs w:val="24"/>
        </w:rPr>
        <w:t xml:space="preserve">: </w:t>
      </w:r>
      <w:r w:rsidR="001506D9" w:rsidRPr="00DF105D">
        <w:rPr>
          <w:rFonts w:ascii="Bangla Sangam MN" w:hAnsi="Bangla Sangam MN" w:cs="Bangla Sangam MN"/>
          <w:sz w:val="24"/>
          <w:szCs w:val="24"/>
        </w:rPr>
        <w:t xml:space="preserve">Garantizar la atención en forma virtual y telefónica a través de los diferentes canales de atención dispuestos para ello. </w:t>
      </w:r>
    </w:p>
    <w:p w14:paraId="7651F6E6" w14:textId="77777777" w:rsidR="001506D9" w:rsidRPr="00DF105D" w:rsidRDefault="001506D9" w:rsidP="0007492E">
      <w:pPr>
        <w:pStyle w:val="Sinespaciado"/>
        <w:jc w:val="both"/>
        <w:rPr>
          <w:rFonts w:ascii="Bangla Sangam MN" w:hAnsi="Bangla Sangam MN" w:cs="Bangla Sangam MN"/>
          <w:sz w:val="24"/>
          <w:szCs w:val="24"/>
        </w:rPr>
      </w:pPr>
    </w:p>
    <w:p w14:paraId="536F5F7C" w14:textId="36A6A4E7" w:rsidR="0007492E" w:rsidRPr="00DF105D" w:rsidRDefault="001506D9" w:rsidP="0007492E">
      <w:pPr>
        <w:pStyle w:val="Sinespaciado"/>
        <w:jc w:val="both"/>
        <w:rPr>
          <w:rFonts w:ascii="Bangla Sangam MN" w:hAnsi="Bangla Sangam MN" w:cs="Bangla Sangam MN"/>
          <w:b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 xml:space="preserve">Tercero. </w:t>
      </w:r>
      <w:r w:rsidR="004B7048" w:rsidRPr="00DF105D">
        <w:rPr>
          <w:rFonts w:ascii="Bangla Sangam MN" w:hAnsi="Bangla Sangam MN" w:cs="Bangla Sangam MN"/>
          <w:sz w:val="24"/>
          <w:szCs w:val="24"/>
        </w:rPr>
        <w:t>Publíquese lo anterior en el micrositio del Juzgado.</w:t>
      </w:r>
    </w:p>
    <w:p w14:paraId="63747B69" w14:textId="071BE8CA" w:rsidR="0007492E" w:rsidRPr="00DF105D" w:rsidRDefault="0007492E" w:rsidP="0007492E">
      <w:pPr>
        <w:pStyle w:val="Sinespaciado"/>
        <w:rPr>
          <w:rFonts w:ascii="Bangla Sangam MN" w:hAnsi="Bangla Sangam MN" w:cs="Bangla Sangam MN"/>
          <w:sz w:val="24"/>
          <w:szCs w:val="24"/>
        </w:rPr>
      </w:pPr>
    </w:p>
    <w:p w14:paraId="06AF515A" w14:textId="0158D398" w:rsidR="0007492E" w:rsidRPr="00DF105D" w:rsidRDefault="00234687" w:rsidP="0007492E">
      <w:pPr>
        <w:pStyle w:val="Sinespaciado"/>
        <w:jc w:val="center"/>
        <w:rPr>
          <w:rFonts w:ascii="Bangla Sangam MN" w:hAnsi="Bangla Sangam MN" w:cs="Bangla Sangam MN"/>
          <w:b/>
          <w:sz w:val="24"/>
          <w:szCs w:val="24"/>
        </w:rPr>
      </w:pPr>
      <w:r w:rsidRPr="00DF105D">
        <w:rPr>
          <w:rFonts w:ascii="Bangla Sangam MN" w:hAnsi="Bangla Sangam MN" w:cs="Bangla Sangam MN"/>
          <w:b/>
          <w:sz w:val="24"/>
          <w:szCs w:val="24"/>
        </w:rPr>
        <w:t>Comuníquese y Cúmplase</w:t>
      </w:r>
    </w:p>
    <w:p w14:paraId="5ED37515" w14:textId="7765091A" w:rsidR="00940E6C" w:rsidRPr="00DF105D" w:rsidRDefault="000E2357" w:rsidP="001506D9">
      <w:pPr>
        <w:jc w:val="center"/>
        <w:rPr>
          <w:rFonts w:ascii="Bangla Sangam MN" w:hAnsi="Bangla Sangam MN" w:cs="Bangla Sangam MN"/>
        </w:rPr>
      </w:pPr>
      <w:r w:rsidRPr="00DF105D">
        <w:rPr>
          <w:rFonts w:ascii="Bangla Sangam MN" w:hAnsi="Bangla Sangam MN" w:cs="Bangla Sangam M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D0F4" wp14:editId="2A6DD9DD">
                <wp:simplePos x="0" y="0"/>
                <wp:positionH relativeFrom="column">
                  <wp:posOffset>463852</wp:posOffset>
                </wp:positionH>
                <wp:positionV relativeFrom="paragraph">
                  <wp:posOffset>500796</wp:posOffset>
                </wp:positionV>
                <wp:extent cx="4250690" cy="517005"/>
                <wp:effectExtent l="0" t="0" r="0" b="0"/>
                <wp:wrapNone/>
                <wp:docPr id="37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690" cy="51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5A4CD" w14:textId="77777777" w:rsidR="000E2357" w:rsidRPr="00B04BC7" w:rsidRDefault="000E2357" w:rsidP="000E2357">
                            <w:pPr>
                              <w:ind w:firstLine="708"/>
                              <w:jc w:val="center"/>
                              <w:rPr>
                                <w:rFonts w:ascii="Bookman Old Style" w:hAnsi="Bookman Old Style" w:cs="Microsoft Sans Serif"/>
                                <w:b/>
                                <w:sz w:val="28"/>
                                <w:szCs w:val="28"/>
                              </w:rPr>
                            </w:pPr>
                            <w:r w:rsidRPr="00B04BC7">
                              <w:rPr>
                                <w:rFonts w:ascii="Bookman Old Style" w:hAnsi="Bookman Old Style" w:cs="Microsoft Sans Serif"/>
                                <w:b/>
                                <w:sz w:val="28"/>
                                <w:szCs w:val="28"/>
                              </w:rPr>
                              <w:t>Paula Andrea Giraldo Hernández</w:t>
                            </w:r>
                          </w:p>
                          <w:p w14:paraId="4D900AE3" w14:textId="77777777" w:rsidR="000E2357" w:rsidRPr="00B04BC7" w:rsidRDefault="000E2357" w:rsidP="000E2357">
                            <w:pPr>
                              <w:ind w:firstLine="708"/>
                              <w:jc w:val="center"/>
                              <w:rPr>
                                <w:rFonts w:ascii="Bookman Old Style" w:hAnsi="Bookman Old Style" w:cs="Microsoft Sans Serif"/>
                                <w:bCs/>
                              </w:rPr>
                            </w:pPr>
                            <w:r w:rsidRPr="00B04BC7">
                              <w:rPr>
                                <w:rFonts w:ascii="Bookman Old Style" w:hAnsi="Bookman Old Style" w:cs="Microsoft Sans Serif"/>
                                <w:bCs/>
                              </w:rPr>
                              <w:t>Juez</w:t>
                            </w:r>
                          </w:p>
                          <w:p w14:paraId="29FE8C12" w14:textId="77777777" w:rsidR="000E2357" w:rsidRPr="00B04BC7" w:rsidRDefault="000E2357" w:rsidP="000E235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D0F4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6.5pt;margin-top:39.45pt;width:334.7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/1Fw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" filled="f" stroked="f" strokeweight=".5pt">
                <v:textbox>
                  <w:txbxContent>
                    <w:p w14:paraId="2205A4CD" w14:textId="77777777" w:rsidR="000E2357" w:rsidRPr="00B04BC7" w:rsidRDefault="000E2357" w:rsidP="000E2357">
                      <w:pPr>
                        <w:ind w:firstLine="708"/>
                        <w:jc w:val="center"/>
                        <w:rPr>
                          <w:rFonts w:ascii="Bookman Old Style" w:hAnsi="Bookman Old Style" w:cs="Microsoft Sans Serif"/>
                          <w:b/>
                          <w:sz w:val="28"/>
                          <w:szCs w:val="28"/>
                        </w:rPr>
                      </w:pPr>
                      <w:r w:rsidRPr="00B04BC7">
                        <w:rPr>
                          <w:rFonts w:ascii="Bookman Old Style" w:hAnsi="Bookman Old Style" w:cs="Microsoft Sans Serif"/>
                          <w:b/>
                          <w:sz w:val="28"/>
                          <w:szCs w:val="28"/>
                        </w:rPr>
                        <w:t>Paula Andrea Giraldo Hernández</w:t>
                      </w:r>
                    </w:p>
                    <w:p w14:paraId="4D900AE3" w14:textId="77777777" w:rsidR="000E2357" w:rsidRPr="00B04BC7" w:rsidRDefault="000E2357" w:rsidP="000E2357">
                      <w:pPr>
                        <w:ind w:firstLine="708"/>
                        <w:jc w:val="center"/>
                        <w:rPr>
                          <w:rFonts w:ascii="Bookman Old Style" w:hAnsi="Bookman Old Style" w:cs="Microsoft Sans Serif"/>
                          <w:bCs/>
                        </w:rPr>
                      </w:pPr>
                      <w:r w:rsidRPr="00B04BC7">
                        <w:rPr>
                          <w:rFonts w:ascii="Bookman Old Style" w:hAnsi="Bookman Old Style" w:cs="Microsoft Sans Serif"/>
                          <w:bCs/>
                        </w:rPr>
                        <w:t>Juez</w:t>
                      </w:r>
                    </w:p>
                    <w:p w14:paraId="29FE8C12" w14:textId="77777777" w:rsidR="000E2357" w:rsidRPr="00B04BC7" w:rsidRDefault="000E2357" w:rsidP="000E235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424" w:rsidRPr="00DF105D">
        <w:rPr>
          <w:rFonts w:ascii="Bangla Sangam MN" w:hAnsi="Bangla Sangam MN" w:cs="Bangla Sangam MN"/>
          <w:noProof/>
          <w:lang w:eastAsia="es-CO"/>
        </w:rPr>
        <w:drawing>
          <wp:inline distT="0" distB="0" distL="0" distR="0" wp14:anchorId="692A8D5E" wp14:editId="207E4ED4">
            <wp:extent cx="2628900" cy="10191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0313" w14:textId="77777777" w:rsidR="001506D9" w:rsidRPr="00DF105D" w:rsidRDefault="001506D9" w:rsidP="001506D9">
      <w:pPr>
        <w:jc w:val="center"/>
        <w:rPr>
          <w:rFonts w:ascii="Bangla Sangam MN" w:hAnsi="Bangla Sangam MN" w:cs="Bangla Sangam MN"/>
        </w:rPr>
      </w:pPr>
    </w:p>
    <w:sectPr w:rsidR="001506D9" w:rsidRPr="00DF105D" w:rsidSect="001461AE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134" w:right="170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647A" w14:textId="77777777" w:rsidR="000E7DAE" w:rsidRDefault="000E7DAE" w:rsidP="004A24FC">
      <w:r>
        <w:separator/>
      </w:r>
    </w:p>
  </w:endnote>
  <w:endnote w:type="continuationSeparator" w:id="0">
    <w:p w14:paraId="191D0D7A" w14:textId="77777777" w:rsidR="000E7DAE" w:rsidRDefault="000E7DAE" w:rsidP="004A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Sangam MN">
    <w:altName w:val="Nirmala UI"/>
    <w:charset w:val="00"/>
    <w:family w:val="auto"/>
    <w:pitch w:val="variable"/>
    <w:sig w:usb0="8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6concolores-nfasis5"/>
      <w:tblW w:w="0" w:type="auto"/>
      <w:jc w:val="center"/>
      <w:tblLook w:val="04A0" w:firstRow="1" w:lastRow="0" w:firstColumn="1" w:lastColumn="0" w:noHBand="0" w:noVBand="1"/>
    </w:tblPr>
    <w:tblGrid>
      <w:gridCol w:w="7615"/>
      <w:gridCol w:w="1080"/>
    </w:tblGrid>
    <w:tr w:rsidR="00234687" w:rsidRPr="0021620B" w14:paraId="3E223AFB" w14:textId="77777777" w:rsidTr="00C637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4103E296" w14:textId="77777777" w:rsidR="00234687" w:rsidRPr="0021620B" w:rsidRDefault="00234687" w:rsidP="00234687">
          <w:pPr>
            <w:pStyle w:val="Piedepgina"/>
            <w:jc w:val="center"/>
            <w:rPr>
              <w:rFonts w:ascii="Bookman Old Style" w:hAnsi="Bookman Old Style" w:cs="Arial"/>
              <w:b w:val="0"/>
              <w:bCs w:val="0"/>
              <w:i/>
              <w:color w:val="000000"/>
              <w:sz w:val="14"/>
              <w:szCs w:val="14"/>
              <w:lang w:val="es-MX"/>
            </w:rPr>
          </w:pPr>
          <w:r w:rsidRPr="0021620B">
            <w:rPr>
              <w:rFonts w:ascii="Bookman Old Style" w:hAnsi="Bookman Old Style" w:cs="Arial"/>
              <w:b w:val="0"/>
              <w:bCs w:val="0"/>
              <w:color w:val="000000"/>
              <w:sz w:val="14"/>
              <w:szCs w:val="14"/>
            </w:rPr>
            <w:t>Carrera 4ª Nº.38 – 66   Piso 4 Palacio de Justicia Soacha Cundinamarca</w:t>
          </w:r>
        </w:p>
      </w:tc>
      <w:tc>
        <w:tcPr>
          <w:tcW w:w="1080" w:type="dxa"/>
          <w:vMerge w:val="restart"/>
        </w:tcPr>
        <w:p w14:paraId="4D1873E0" w14:textId="5D5E82AB" w:rsidR="00234687" w:rsidRPr="0021620B" w:rsidRDefault="00234687" w:rsidP="00234687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man Old Style" w:hAnsi="Bookman Old Style" w:cs="Arial"/>
              <w:b w:val="0"/>
              <w:bCs w:val="0"/>
              <w:color w:val="000000"/>
              <w:sz w:val="14"/>
              <w:szCs w:val="14"/>
              <w:lang w:val="es-MX"/>
            </w:rPr>
          </w:pPr>
          <w:r w:rsidRPr="0021620B"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  <w:t xml:space="preserve">Pág. </w:t>
          </w:r>
          <w:r w:rsidRPr="0021620B"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  <w:fldChar w:fldCharType="begin"/>
          </w:r>
          <w:r w:rsidRPr="0021620B"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  <w:instrText xml:space="preserve"> PAGE </w:instrText>
          </w:r>
          <w:r w:rsidRPr="0021620B"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  <w:fldChar w:fldCharType="separate"/>
          </w:r>
          <w:r w:rsidR="00B449A3">
            <w:rPr>
              <w:rStyle w:val="Nmerodepgina"/>
              <w:rFonts w:ascii="Bookman Old Style" w:hAnsi="Bookman Old Style" w:cs="Arial"/>
              <w:noProof/>
              <w:color w:val="000000"/>
              <w:sz w:val="14"/>
              <w:szCs w:val="14"/>
            </w:rPr>
            <w:t>2</w:t>
          </w:r>
          <w:r w:rsidRPr="0021620B"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  <w:fldChar w:fldCharType="end"/>
          </w:r>
        </w:p>
      </w:tc>
    </w:tr>
    <w:tr w:rsidR="00234687" w:rsidRPr="0021620B" w14:paraId="3D48D666" w14:textId="77777777" w:rsidTr="00C637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423D8A85" w14:textId="77777777" w:rsidR="00234687" w:rsidRPr="0021620B" w:rsidRDefault="00234687" w:rsidP="00234687">
          <w:pPr>
            <w:pStyle w:val="Piedepgina"/>
            <w:jc w:val="center"/>
            <w:rPr>
              <w:rStyle w:val="Hipervnculo"/>
              <w:rFonts w:ascii="Bookman Old Style" w:hAnsi="Bookman Old Style" w:cs="Arial"/>
              <w:b w:val="0"/>
              <w:bCs w:val="0"/>
              <w:sz w:val="14"/>
              <w:szCs w:val="14"/>
            </w:rPr>
          </w:pPr>
          <w:r w:rsidRPr="0021620B">
            <w:rPr>
              <w:rStyle w:val="Hipervnculo"/>
              <w:rFonts w:ascii="Bookman Old Style" w:hAnsi="Bookman Old Style" w:cs="Arial"/>
              <w:b w:val="0"/>
              <w:bCs w:val="0"/>
              <w:sz w:val="14"/>
              <w:szCs w:val="14"/>
            </w:rPr>
            <w:sym w:font="Wingdings 2" w:char="F038"/>
          </w:r>
          <w:r w:rsidRPr="0021620B">
            <w:rPr>
              <w:rStyle w:val="Hipervnculo"/>
              <w:rFonts w:ascii="Bookman Old Style" w:hAnsi="Bookman Old Style" w:cs="Arial"/>
              <w:b w:val="0"/>
              <w:bCs w:val="0"/>
              <w:sz w:val="14"/>
              <w:szCs w:val="14"/>
            </w:rPr>
            <w:t xml:space="preserve"> </w:t>
          </w:r>
          <w:hyperlink r:id="rId1" w:history="1">
            <w:r w:rsidRPr="0021620B">
              <w:rPr>
                <w:rStyle w:val="Hipervnculo"/>
                <w:rFonts w:ascii="Bookman Old Style" w:hAnsi="Bookman Old Style" w:cs="Arial"/>
                <w:b w:val="0"/>
                <w:bCs w:val="0"/>
                <w:sz w:val="14"/>
                <w:szCs w:val="14"/>
              </w:rPr>
              <w:t>www.juzgado2civilcircuitosoacha.com</w:t>
            </w:r>
          </w:hyperlink>
          <w:r w:rsidRPr="0021620B">
            <w:rPr>
              <w:rFonts w:ascii="Bookman Old Style" w:hAnsi="Bookman Old Style" w:cs="Arial"/>
              <w:b w:val="0"/>
              <w:bCs w:val="0"/>
              <w:color w:val="2F5496"/>
              <w:sz w:val="14"/>
              <w:szCs w:val="14"/>
            </w:rPr>
            <w:t xml:space="preserve">  </w:t>
          </w:r>
          <w:r w:rsidRPr="0021620B">
            <w:rPr>
              <w:rStyle w:val="Hipervnculo"/>
              <w:rFonts w:ascii="Bookman Old Style" w:hAnsi="Bookman Old Style" w:cs="Arial"/>
              <w:b w:val="0"/>
              <w:bCs w:val="0"/>
              <w:sz w:val="14"/>
              <w:szCs w:val="14"/>
            </w:rPr>
            <w:sym w:font="Wingdings" w:char="F02A"/>
          </w:r>
          <w:r w:rsidRPr="0021620B">
            <w:rPr>
              <w:rStyle w:val="Hipervnculo"/>
              <w:rFonts w:ascii="Bookman Old Style" w:hAnsi="Bookman Old Style" w:cs="Arial"/>
              <w:b w:val="0"/>
              <w:bCs w:val="0"/>
              <w:sz w:val="14"/>
              <w:szCs w:val="14"/>
            </w:rPr>
            <w:t>J02ccsoacha@cendoj.ramajudicial.gov.co</w:t>
          </w:r>
        </w:p>
      </w:tc>
      <w:tc>
        <w:tcPr>
          <w:tcW w:w="1080" w:type="dxa"/>
          <w:vMerge/>
        </w:tcPr>
        <w:p w14:paraId="4DF7FA44" w14:textId="77777777" w:rsidR="00234687" w:rsidRPr="0021620B" w:rsidRDefault="00234687" w:rsidP="00234687">
          <w:pPr>
            <w:pStyle w:val="Piedepgina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Nmerodepgina"/>
              <w:rFonts w:ascii="Bookman Old Style" w:hAnsi="Bookman Old Style" w:cs="Arial"/>
              <w:color w:val="2F5496"/>
              <w:sz w:val="14"/>
              <w:szCs w:val="14"/>
            </w:rPr>
          </w:pPr>
        </w:p>
      </w:tc>
    </w:tr>
    <w:tr w:rsidR="00234687" w:rsidRPr="0021620B" w14:paraId="310571B0" w14:textId="77777777" w:rsidTr="00C63789">
      <w:trPr>
        <w:trHeight w:val="65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2E55DCC6" w14:textId="77777777" w:rsidR="00234687" w:rsidRPr="0021620B" w:rsidRDefault="00234687" w:rsidP="00234687">
          <w:pPr>
            <w:pStyle w:val="Piedepgina"/>
            <w:jc w:val="center"/>
            <w:rPr>
              <w:rStyle w:val="Hipervnculo"/>
              <w:rFonts w:ascii="Bookman Old Style" w:hAnsi="Bookman Old Style" w:cs="Arial"/>
              <w:color w:val="000000"/>
              <w:sz w:val="14"/>
              <w:szCs w:val="14"/>
            </w:rPr>
          </w:pPr>
          <w:r w:rsidRPr="0021620B">
            <w:rPr>
              <w:rFonts w:ascii="Bookman Old Style" w:hAnsi="Bookman Old Style"/>
              <w:color w:val="000000"/>
              <w:sz w:val="18"/>
            </w:rPr>
            <w:sym w:font="Wingdings 2" w:char="F027"/>
          </w:r>
          <w:r w:rsidRPr="0021620B">
            <w:rPr>
              <w:rFonts w:ascii="Bookman Old Style" w:hAnsi="Bookman Old Style"/>
              <w:color w:val="000000"/>
            </w:rPr>
            <w:t xml:space="preserve"> </w:t>
          </w:r>
          <w:r w:rsidRPr="0021620B">
            <w:rPr>
              <w:rFonts w:ascii="Bookman Old Style" w:hAnsi="Bookman Old Style" w:cs="Arial"/>
              <w:color w:val="000000"/>
              <w:sz w:val="14"/>
              <w:szCs w:val="14"/>
            </w:rPr>
            <w:t>3183616715</w:t>
          </w:r>
        </w:p>
      </w:tc>
      <w:tc>
        <w:tcPr>
          <w:tcW w:w="1080" w:type="dxa"/>
          <w:vMerge/>
        </w:tcPr>
        <w:p w14:paraId="2F0369FA" w14:textId="77777777" w:rsidR="00234687" w:rsidRPr="0021620B" w:rsidRDefault="00234687" w:rsidP="00234687">
          <w:pPr>
            <w:pStyle w:val="Piedepgina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Nmerodepgina"/>
              <w:rFonts w:ascii="Bookman Old Style" w:hAnsi="Bookman Old Style" w:cs="Arial"/>
              <w:color w:val="000000"/>
              <w:sz w:val="14"/>
              <w:szCs w:val="14"/>
            </w:rPr>
          </w:pPr>
        </w:p>
      </w:tc>
    </w:tr>
  </w:tbl>
  <w:p w14:paraId="39EA7006" w14:textId="19B6B901" w:rsidR="0006243B" w:rsidRPr="00E35819" w:rsidRDefault="00000000" w:rsidP="00E3581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6concolores-nfasis1"/>
      <w:tblW w:w="0" w:type="auto"/>
      <w:jc w:val="center"/>
      <w:tblLook w:val="04A0" w:firstRow="1" w:lastRow="0" w:firstColumn="1" w:lastColumn="0" w:noHBand="0" w:noVBand="1"/>
    </w:tblPr>
    <w:tblGrid>
      <w:gridCol w:w="7615"/>
      <w:gridCol w:w="1080"/>
    </w:tblGrid>
    <w:tr w:rsidR="00234687" w:rsidRPr="00B5672A" w14:paraId="17123EAF" w14:textId="77777777" w:rsidTr="002346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43A9266B" w14:textId="77777777" w:rsidR="00234687" w:rsidRPr="00B5672A" w:rsidRDefault="00234687" w:rsidP="00234687">
          <w:pPr>
            <w:pStyle w:val="Piedepgina"/>
            <w:jc w:val="center"/>
            <w:rPr>
              <w:rFonts w:ascii="Bangla Sangam MN" w:hAnsi="Bangla Sangam MN" w:cs="Bangla Sangam MN"/>
              <w:b w:val="0"/>
              <w:bCs w:val="0"/>
              <w:i/>
              <w:color w:val="000000"/>
              <w:sz w:val="14"/>
              <w:szCs w:val="14"/>
              <w:lang w:val="es-MX"/>
            </w:rPr>
          </w:pPr>
          <w:r w:rsidRPr="00B5672A">
            <w:rPr>
              <w:rFonts w:ascii="Bangla Sangam MN" w:hAnsi="Bangla Sangam MN" w:cs="Bangla Sangam MN"/>
              <w:b w:val="0"/>
              <w:bCs w:val="0"/>
              <w:color w:val="000000"/>
              <w:sz w:val="14"/>
              <w:szCs w:val="14"/>
            </w:rPr>
            <w:t>Carrera 4ª Nº.38 – 66   Piso 4 Palacio de Justicia Soacha Cundinamarca</w:t>
          </w:r>
        </w:p>
      </w:tc>
      <w:tc>
        <w:tcPr>
          <w:tcW w:w="1080" w:type="dxa"/>
          <w:vMerge w:val="restart"/>
        </w:tcPr>
        <w:p w14:paraId="4B33A373" w14:textId="093D63BA" w:rsidR="00234687" w:rsidRPr="00B5672A" w:rsidRDefault="00234687" w:rsidP="00234687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angla Sangam MN" w:hAnsi="Bangla Sangam MN" w:cs="Bangla Sangam MN"/>
              <w:b w:val="0"/>
              <w:bCs w:val="0"/>
              <w:color w:val="000000"/>
              <w:sz w:val="14"/>
              <w:szCs w:val="14"/>
              <w:lang w:val="es-MX"/>
            </w:rPr>
          </w:pPr>
          <w:r w:rsidRPr="00B5672A"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  <w:t xml:space="preserve">Pág. </w:t>
          </w:r>
          <w:r w:rsidRPr="00B5672A"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  <w:fldChar w:fldCharType="begin"/>
          </w:r>
          <w:r w:rsidRPr="00B5672A"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  <w:instrText xml:space="preserve"> PAGE </w:instrText>
          </w:r>
          <w:r w:rsidRPr="00B5672A"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  <w:fldChar w:fldCharType="separate"/>
          </w:r>
          <w:r w:rsidR="00B449A3" w:rsidRPr="00B5672A">
            <w:rPr>
              <w:rStyle w:val="Nmerodepgina"/>
              <w:rFonts w:ascii="Bangla Sangam MN" w:hAnsi="Bangla Sangam MN" w:cs="Bangla Sangam MN"/>
              <w:noProof/>
              <w:color w:val="000000"/>
              <w:sz w:val="14"/>
              <w:szCs w:val="14"/>
            </w:rPr>
            <w:t>1</w:t>
          </w:r>
          <w:r w:rsidRPr="00B5672A"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  <w:fldChar w:fldCharType="end"/>
          </w:r>
        </w:p>
      </w:tc>
    </w:tr>
    <w:tr w:rsidR="00234687" w:rsidRPr="00B5672A" w14:paraId="3E2BE4F9" w14:textId="77777777" w:rsidTr="0023468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31FB7320" w14:textId="77777777" w:rsidR="00234687" w:rsidRPr="00B5672A" w:rsidRDefault="00234687" w:rsidP="00234687">
          <w:pPr>
            <w:pStyle w:val="Piedepgina"/>
            <w:jc w:val="center"/>
            <w:rPr>
              <w:rStyle w:val="Hipervnculo"/>
              <w:rFonts w:ascii="Bangla Sangam MN" w:hAnsi="Bangla Sangam MN" w:cs="Bangla Sangam MN"/>
              <w:b w:val="0"/>
              <w:bCs w:val="0"/>
              <w:sz w:val="14"/>
              <w:szCs w:val="14"/>
            </w:rPr>
          </w:pPr>
          <w:r w:rsidRPr="00B5672A">
            <w:rPr>
              <w:rStyle w:val="Hipervnculo"/>
              <w:rFonts w:ascii="Bangla Sangam MN" w:hAnsi="Bangla Sangam MN" w:cs="Bangla Sangam MN"/>
              <w:b w:val="0"/>
              <w:bCs w:val="0"/>
              <w:sz w:val="14"/>
              <w:szCs w:val="14"/>
            </w:rPr>
            <w:sym w:font="Wingdings 2" w:char="F038"/>
          </w:r>
          <w:r w:rsidRPr="00B5672A">
            <w:rPr>
              <w:rStyle w:val="Hipervnculo"/>
              <w:rFonts w:ascii="Bangla Sangam MN" w:hAnsi="Bangla Sangam MN" w:cs="Bangla Sangam MN"/>
              <w:b w:val="0"/>
              <w:bCs w:val="0"/>
              <w:sz w:val="14"/>
              <w:szCs w:val="14"/>
            </w:rPr>
            <w:t xml:space="preserve"> </w:t>
          </w:r>
          <w:hyperlink r:id="rId1" w:history="1">
            <w:r w:rsidRPr="00B5672A">
              <w:rPr>
                <w:rStyle w:val="Hipervnculo"/>
                <w:rFonts w:ascii="Bangla Sangam MN" w:hAnsi="Bangla Sangam MN" w:cs="Bangla Sangam MN"/>
                <w:b w:val="0"/>
                <w:bCs w:val="0"/>
                <w:sz w:val="14"/>
                <w:szCs w:val="14"/>
              </w:rPr>
              <w:t>www.juzgado2civilcircuitosoacha.com</w:t>
            </w:r>
          </w:hyperlink>
          <w:r w:rsidRPr="00B5672A">
            <w:rPr>
              <w:rFonts w:ascii="Bangla Sangam MN" w:hAnsi="Bangla Sangam MN" w:cs="Bangla Sangam MN"/>
              <w:b w:val="0"/>
              <w:bCs w:val="0"/>
              <w:color w:val="2F5496"/>
              <w:sz w:val="14"/>
              <w:szCs w:val="14"/>
            </w:rPr>
            <w:t xml:space="preserve">  </w:t>
          </w:r>
          <w:r w:rsidRPr="00B5672A">
            <w:rPr>
              <w:rStyle w:val="Hipervnculo"/>
              <w:rFonts w:ascii="Bangla Sangam MN" w:hAnsi="Bangla Sangam MN" w:cs="Bangla Sangam MN"/>
              <w:b w:val="0"/>
              <w:bCs w:val="0"/>
              <w:sz w:val="14"/>
              <w:szCs w:val="14"/>
            </w:rPr>
            <w:sym w:font="Wingdings" w:char="F02A"/>
          </w:r>
          <w:r w:rsidRPr="00B5672A">
            <w:rPr>
              <w:rStyle w:val="Hipervnculo"/>
              <w:rFonts w:ascii="Bangla Sangam MN" w:hAnsi="Bangla Sangam MN" w:cs="Bangla Sangam MN"/>
              <w:b w:val="0"/>
              <w:bCs w:val="0"/>
              <w:sz w:val="14"/>
              <w:szCs w:val="14"/>
            </w:rPr>
            <w:t>J02ccsoacha@cendoj.ramajudicial.gov.co</w:t>
          </w:r>
        </w:p>
      </w:tc>
      <w:tc>
        <w:tcPr>
          <w:tcW w:w="1080" w:type="dxa"/>
          <w:vMerge/>
        </w:tcPr>
        <w:p w14:paraId="167C6B45" w14:textId="77777777" w:rsidR="00234687" w:rsidRPr="00B5672A" w:rsidRDefault="00234687" w:rsidP="00234687">
          <w:pPr>
            <w:pStyle w:val="Piedepgina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Style w:val="Nmerodepgina"/>
              <w:rFonts w:ascii="Bangla Sangam MN" w:hAnsi="Bangla Sangam MN" w:cs="Bangla Sangam MN"/>
              <w:color w:val="2F5496"/>
              <w:sz w:val="14"/>
              <w:szCs w:val="14"/>
            </w:rPr>
          </w:pPr>
        </w:p>
      </w:tc>
    </w:tr>
    <w:tr w:rsidR="00234687" w:rsidRPr="00B5672A" w14:paraId="13DF46F3" w14:textId="77777777" w:rsidTr="00234687">
      <w:trPr>
        <w:trHeight w:val="65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15" w:type="dxa"/>
        </w:tcPr>
        <w:p w14:paraId="34FBF30F" w14:textId="77777777" w:rsidR="00234687" w:rsidRPr="00B5672A" w:rsidRDefault="00234687" w:rsidP="00234687">
          <w:pPr>
            <w:pStyle w:val="Piedepgina"/>
            <w:jc w:val="center"/>
            <w:rPr>
              <w:rStyle w:val="Hipervnculo"/>
              <w:rFonts w:ascii="Bangla Sangam MN" w:hAnsi="Bangla Sangam MN" w:cs="Bangla Sangam MN"/>
              <w:color w:val="000000"/>
              <w:sz w:val="14"/>
              <w:szCs w:val="14"/>
            </w:rPr>
          </w:pPr>
          <w:r w:rsidRPr="00B5672A">
            <w:rPr>
              <w:rFonts w:ascii="Bangla Sangam MN" w:hAnsi="Bangla Sangam MN" w:cs="Bangla Sangam MN"/>
              <w:color w:val="000000"/>
              <w:sz w:val="18"/>
            </w:rPr>
            <w:sym w:font="Wingdings 2" w:char="F027"/>
          </w:r>
          <w:r w:rsidRPr="00B5672A">
            <w:rPr>
              <w:rFonts w:ascii="Bangla Sangam MN" w:hAnsi="Bangla Sangam MN" w:cs="Bangla Sangam MN"/>
              <w:color w:val="000000"/>
            </w:rPr>
            <w:t xml:space="preserve"> </w:t>
          </w:r>
          <w:r w:rsidRPr="00B5672A">
            <w:rPr>
              <w:rFonts w:ascii="Bangla Sangam MN" w:hAnsi="Bangla Sangam MN" w:cs="Bangla Sangam MN"/>
              <w:color w:val="000000"/>
              <w:sz w:val="14"/>
              <w:szCs w:val="14"/>
            </w:rPr>
            <w:t>3183616715</w:t>
          </w:r>
        </w:p>
      </w:tc>
      <w:tc>
        <w:tcPr>
          <w:tcW w:w="1080" w:type="dxa"/>
          <w:vMerge/>
        </w:tcPr>
        <w:p w14:paraId="40A84EAE" w14:textId="77777777" w:rsidR="00234687" w:rsidRPr="00B5672A" w:rsidRDefault="00234687" w:rsidP="00234687">
          <w:pPr>
            <w:pStyle w:val="Piedepgina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Nmerodepgina"/>
              <w:rFonts w:ascii="Bangla Sangam MN" w:hAnsi="Bangla Sangam MN" w:cs="Bangla Sangam MN"/>
              <w:color w:val="000000"/>
              <w:sz w:val="14"/>
              <w:szCs w:val="14"/>
            </w:rPr>
          </w:pPr>
        </w:p>
      </w:tc>
    </w:tr>
  </w:tbl>
  <w:p w14:paraId="57026ECE" w14:textId="77777777" w:rsidR="00CA435F" w:rsidRPr="0091782D" w:rsidRDefault="00CA435F" w:rsidP="00917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FB27" w14:textId="77777777" w:rsidR="000E7DAE" w:rsidRDefault="000E7DAE" w:rsidP="004A24FC">
      <w:r>
        <w:separator/>
      </w:r>
    </w:p>
  </w:footnote>
  <w:footnote w:type="continuationSeparator" w:id="0">
    <w:p w14:paraId="26376329" w14:textId="77777777" w:rsidR="000E7DAE" w:rsidRDefault="000E7DAE" w:rsidP="004A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6concolores-nfasis1"/>
      <w:tblW w:w="8642" w:type="dxa"/>
      <w:jc w:val="center"/>
      <w:tblLook w:val="04A0" w:firstRow="1" w:lastRow="0" w:firstColumn="1" w:lastColumn="0" w:noHBand="0" w:noVBand="1"/>
    </w:tblPr>
    <w:tblGrid>
      <w:gridCol w:w="8642"/>
    </w:tblGrid>
    <w:tr w:rsidR="00E124FD" w:rsidRPr="0093637C" w14:paraId="5A6529DB" w14:textId="77777777" w:rsidTr="009665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1888FD2B" w14:textId="16DACB4C" w:rsidR="00E124FD" w:rsidRPr="000C4EF4" w:rsidRDefault="00E124FD" w:rsidP="00E124FD">
          <w:pPr>
            <w:pStyle w:val="Sinespaciado"/>
            <w:rPr>
              <w:rFonts w:ascii="Bookman Old Style" w:hAnsi="Bookman Old Style" w:cs="Microsoft Sans Serif"/>
              <w:bCs w:val="0"/>
              <w:sz w:val="20"/>
            </w:rPr>
          </w:pPr>
          <w:r w:rsidRPr="00ED2471">
            <w:rPr>
              <w:rFonts w:ascii="Eras Light ITC" w:hAnsi="Eras Light ITC"/>
              <w:noProof/>
              <w:sz w:val="20"/>
              <w:szCs w:val="20"/>
              <w:lang w:eastAsia="es-CO"/>
            </w:rPr>
            <w:drawing>
              <wp:inline distT="0" distB="0" distL="0" distR="0" wp14:anchorId="1BCE335B" wp14:editId="5094FBCE">
                <wp:extent cx="1113576" cy="262551"/>
                <wp:effectExtent l="0" t="0" r="4445" b="4445"/>
                <wp:docPr id="4" name="Pictu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089" cy="267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man Old Style" w:hAnsi="Bookman Old Style" w:cs="Microsoft Sans Serif"/>
              <w:sz w:val="20"/>
            </w:rPr>
            <w:t xml:space="preserve">                Continúa Resolución n°.017</w:t>
          </w:r>
        </w:p>
      </w:tc>
    </w:tr>
    <w:tr w:rsidR="00E124FD" w:rsidRPr="0093637C" w14:paraId="05245409" w14:textId="77777777" w:rsidTr="0096652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7603A6D6" w14:textId="77777777" w:rsidR="00E124FD" w:rsidRPr="0093637C" w:rsidRDefault="00E124FD" w:rsidP="00E124FD">
          <w:pPr>
            <w:pStyle w:val="Sinespaciado"/>
            <w:jc w:val="center"/>
            <w:rPr>
              <w:rFonts w:ascii="Bookman Old Style" w:hAnsi="Bookman Old Style" w:cs="Microsoft Sans Serif"/>
              <w:sz w:val="20"/>
            </w:rPr>
          </w:pPr>
          <w:r>
            <w:rPr>
              <w:rFonts w:ascii="Bookman Old Style" w:hAnsi="Bookman Old Style" w:cs="Microsoft Sans Serif"/>
              <w:sz w:val="20"/>
            </w:rPr>
            <w:t>Soacha, catorce (14) de septiembre de dos mil veintidós (2022)</w:t>
          </w:r>
        </w:p>
      </w:tc>
    </w:tr>
    <w:tr w:rsidR="00E124FD" w:rsidRPr="0093637C" w14:paraId="0C0BC745" w14:textId="77777777" w:rsidTr="0096652A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5DB88D26" w14:textId="77777777" w:rsidR="00E124FD" w:rsidRPr="000C4EF4" w:rsidRDefault="00E124FD" w:rsidP="00E124FD">
          <w:pPr>
            <w:pStyle w:val="Sinespaciado"/>
            <w:jc w:val="center"/>
            <w:rPr>
              <w:rFonts w:ascii="Bookman Old Style" w:hAnsi="Bookman Old Style" w:cs="Microsoft Sans Serif"/>
              <w:b w:val="0"/>
              <w:bCs w:val="0"/>
              <w:sz w:val="20"/>
            </w:rPr>
          </w:pPr>
          <w:r w:rsidRPr="000C4EF4">
            <w:rPr>
              <w:rFonts w:ascii="Bookman Old Style" w:hAnsi="Bookman Old Style" w:cs="Microsoft Sans Serif"/>
              <w:b w:val="0"/>
              <w:bCs w:val="0"/>
              <w:sz w:val="20"/>
            </w:rPr>
            <w:t xml:space="preserve">Por medio de la cual se </w:t>
          </w:r>
          <w:r>
            <w:rPr>
              <w:rFonts w:ascii="Bookman Old Style" w:hAnsi="Bookman Old Style" w:cs="Microsoft Sans Serif"/>
              <w:b w:val="0"/>
              <w:bCs w:val="0"/>
              <w:sz w:val="20"/>
            </w:rPr>
            <w:t xml:space="preserve">establecen turnos de trabajo en casa y trabajo en el despacho </w:t>
          </w:r>
        </w:p>
      </w:tc>
    </w:tr>
  </w:tbl>
  <w:p w14:paraId="144E3D0E" w14:textId="77777777" w:rsidR="00E124FD" w:rsidRPr="00E35819" w:rsidRDefault="00E124FD" w:rsidP="00E35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52FF" w14:textId="0B30BEDD" w:rsidR="00CA435F" w:rsidRDefault="00CA435F" w:rsidP="0091782D">
    <w:pPr>
      <w:pStyle w:val="Encabezado"/>
    </w:pPr>
  </w:p>
  <w:tbl>
    <w:tblPr>
      <w:tblStyle w:val="Tablaconcuadrcula6concolores-nfasis1"/>
      <w:tblW w:w="8642" w:type="dxa"/>
      <w:jc w:val="center"/>
      <w:tblLook w:val="04A0" w:firstRow="1" w:lastRow="0" w:firstColumn="1" w:lastColumn="0" w:noHBand="0" w:noVBand="1"/>
    </w:tblPr>
    <w:tblGrid>
      <w:gridCol w:w="8642"/>
    </w:tblGrid>
    <w:tr w:rsidR="00234687" w:rsidRPr="0093637C" w14:paraId="180D08DA" w14:textId="77777777" w:rsidTr="000E23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75AA0EF7" w14:textId="77777777" w:rsidR="00234687" w:rsidRPr="0093637C" w:rsidRDefault="00234687" w:rsidP="00234687">
          <w:pPr>
            <w:pStyle w:val="Sinespaciado"/>
            <w:jc w:val="center"/>
            <w:rPr>
              <w:rFonts w:ascii="Bookman Old Style" w:hAnsi="Bookman Old Style" w:cs="Microsoft Sans Serif"/>
              <w:b w:val="0"/>
              <w:sz w:val="21"/>
              <w:szCs w:val="21"/>
            </w:rPr>
          </w:pPr>
          <w:r w:rsidRPr="00ED2471">
            <w:rPr>
              <w:rFonts w:ascii="Eras Light ITC" w:hAnsi="Eras Light ITC"/>
              <w:noProof/>
              <w:sz w:val="20"/>
              <w:szCs w:val="20"/>
              <w:lang w:eastAsia="es-CO"/>
            </w:rPr>
            <w:drawing>
              <wp:inline distT="0" distB="0" distL="0" distR="0" wp14:anchorId="3DA2CCB3" wp14:editId="78B8454E">
                <wp:extent cx="2790825" cy="828675"/>
                <wp:effectExtent l="0" t="0" r="9525" b="9525"/>
                <wp:docPr id="1" name="Pictu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325" cy="834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4687" w:rsidRPr="0093637C" w14:paraId="31E0ED54" w14:textId="77777777" w:rsidTr="000E235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4719550F" w14:textId="24C9C108" w:rsidR="00234687" w:rsidRPr="000C4EF4" w:rsidRDefault="001412C3" w:rsidP="00A67189">
          <w:pPr>
            <w:pStyle w:val="Sinespaciado"/>
            <w:jc w:val="center"/>
            <w:rPr>
              <w:rFonts w:ascii="Bookman Old Style" w:hAnsi="Bookman Old Style" w:cs="Microsoft Sans Serif"/>
              <w:bCs w:val="0"/>
              <w:sz w:val="20"/>
            </w:rPr>
          </w:pPr>
          <w:r>
            <w:rPr>
              <w:rFonts w:ascii="Bookman Old Style" w:hAnsi="Bookman Old Style" w:cs="Microsoft Sans Serif"/>
              <w:sz w:val="20"/>
            </w:rPr>
            <w:t>Resolución n°.0</w:t>
          </w:r>
          <w:r w:rsidR="001E34FC">
            <w:rPr>
              <w:rFonts w:ascii="Bookman Old Style" w:hAnsi="Bookman Old Style" w:cs="Microsoft Sans Serif"/>
              <w:sz w:val="20"/>
            </w:rPr>
            <w:t>0</w:t>
          </w:r>
          <w:r w:rsidR="008E31DD">
            <w:rPr>
              <w:rFonts w:ascii="Bookman Old Style" w:hAnsi="Bookman Old Style" w:cs="Microsoft Sans Serif"/>
              <w:sz w:val="20"/>
            </w:rPr>
            <w:t>3</w:t>
          </w:r>
        </w:p>
      </w:tc>
    </w:tr>
    <w:tr w:rsidR="00234687" w:rsidRPr="0093637C" w14:paraId="41E223E4" w14:textId="77777777" w:rsidTr="000E2357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1CFD70EE" w14:textId="7242C941" w:rsidR="00234687" w:rsidRPr="0093637C" w:rsidRDefault="004B7048" w:rsidP="00A67189">
          <w:pPr>
            <w:pStyle w:val="Sinespaciado"/>
            <w:jc w:val="center"/>
            <w:rPr>
              <w:rFonts w:ascii="Bookman Old Style" w:hAnsi="Bookman Old Style" w:cs="Microsoft Sans Serif"/>
              <w:sz w:val="20"/>
            </w:rPr>
          </w:pPr>
          <w:r>
            <w:rPr>
              <w:rFonts w:ascii="Bookman Old Style" w:hAnsi="Bookman Old Style" w:cs="Microsoft Sans Serif"/>
              <w:sz w:val="20"/>
            </w:rPr>
            <w:t xml:space="preserve">Soacha, </w:t>
          </w:r>
          <w:r w:rsidR="008E31DD">
            <w:rPr>
              <w:rFonts w:ascii="Bookman Old Style" w:hAnsi="Bookman Old Style" w:cs="Microsoft Sans Serif"/>
              <w:sz w:val="20"/>
            </w:rPr>
            <w:t>trece (13) de febrero</w:t>
          </w:r>
          <w:r w:rsidR="00234687">
            <w:rPr>
              <w:rFonts w:ascii="Bookman Old Style" w:hAnsi="Bookman Old Style" w:cs="Microsoft Sans Serif"/>
              <w:sz w:val="20"/>
            </w:rPr>
            <w:t xml:space="preserve"> de dos mil veinti</w:t>
          </w:r>
          <w:r w:rsidR="001E34FC">
            <w:rPr>
              <w:rFonts w:ascii="Bookman Old Style" w:hAnsi="Bookman Old Style" w:cs="Microsoft Sans Serif"/>
              <w:sz w:val="20"/>
            </w:rPr>
            <w:t>trés</w:t>
          </w:r>
          <w:r w:rsidR="00234687">
            <w:rPr>
              <w:rFonts w:ascii="Bookman Old Style" w:hAnsi="Bookman Old Style" w:cs="Microsoft Sans Serif"/>
              <w:sz w:val="20"/>
            </w:rPr>
            <w:t xml:space="preserve"> (202</w:t>
          </w:r>
          <w:r w:rsidR="001E34FC">
            <w:rPr>
              <w:rFonts w:ascii="Bookman Old Style" w:hAnsi="Bookman Old Style" w:cs="Microsoft Sans Serif"/>
              <w:sz w:val="20"/>
            </w:rPr>
            <w:t>3</w:t>
          </w:r>
          <w:r w:rsidR="00234687">
            <w:rPr>
              <w:rFonts w:ascii="Bookman Old Style" w:hAnsi="Bookman Old Style" w:cs="Microsoft Sans Serif"/>
              <w:sz w:val="20"/>
            </w:rPr>
            <w:t>)</w:t>
          </w:r>
        </w:p>
      </w:tc>
    </w:tr>
    <w:tr w:rsidR="00234687" w:rsidRPr="0093637C" w14:paraId="4142E047" w14:textId="77777777" w:rsidTr="000E235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42" w:type="dxa"/>
        </w:tcPr>
        <w:p w14:paraId="1B87BBF8" w14:textId="51B4B39C" w:rsidR="00234687" w:rsidRPr="000C4EF4" w:rsidRDefault="00234687" w:rsidP="00A67189">
          <w:pPr>
            <w:pStyle w:val="Sinespaciado"/>
            <w:jc w:val="center"/>
            <w:rPr>
              <w:rFonts w:ascii="Bookman Old Style" w:hAnsi="Bookman Old Style" w:cs="Microsoft Sans Serif"/>
              <w:b w:val="0"/>
              <w:bCs w:val="0"/>
              <w:sz w:val="20"/>
            </w:rPr>
          </w:pPr>
          <w:r w:rsidRPr="000C4EF4">
            <w:rPr>
              <w:rFonts w:ascii="Bookman Old Style" w:hAnsi="Bookman Old Style" w:cs="Microsoft Sans Serif"/>
              <w:b w:val="0"/>
              <w:bCs w:val="0"/>
              <w:sz w:val="20"/>
            </w:rPr>
            <w:t xml:space="preserve">Por medio de la cual se </w:t>
          </w:r>
          <w:r w:rsidR="00D029E7">
            <w:rPr>
              <w:rFonts w:ascii="Bookman Old Style" w:hAnsi="Bookman Old Style" w:cs="Microsoft Sans Serif"/>
              <w:b w:val="0"/>
              <w:bCs w:val="0"/>
              <w:sz w:val="20"/>
            </w:rPr>
            <w:t>autoriza trabajo en casa</w:t>
          </w:r>
        </w:p>
      </w:tc>
    </w:tr>
  </w:tbl>
  <w:p w14:paraId="61D8E2AA" w14:textId="79D58BB5" w:rsidR="00FE2727" w:rsidRPr="0091782D" w:rsidRDefault="00FE2727" w:rsidP="00917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1F"/>
    <w:multiLevelType w:val="hybridMultilevel"/>
    <w:tmpl w:val="586457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4B4"/>
    <w:multiLevelType w:val="hybridMultilevel"/>
    <w:tmpl w:val="9B744372"/>
    <w:lvl w:ilvl="0" w:tplc="EF7E7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A04"/>
    <w:multiLevelType w:val="hybridMultilevel"/>
    <w:tmpl w:val="792AA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7915"/>
    <w:multiLevelType w:val="hybridMultilevel"/>
    <w:tmpl w:val="C27EE3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C796C"/>
    <w:multiLevelType w:val="hybridMultilevel"/>
    <w:tmpl w:val="3F200C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178362">
    <w:abstractNumId w:val="3"/>
  </w:num>
  <w:num w:numId="2" w16cid:durableId="268202910">
    <w:abstractNumId w:val="4"/>
  </w:num>
  <w:num w:numId="3" w16cid:durableId="983198095">
    <w:abstractNumId w:val="0"/>
  </w:num>
  <w:num w:numId="4" w16cid:durableId="718549983">
    <w:abstractNumId w:val="1"/>
  </w:num>
  <w:num w:numId="5" w16cid:durableId="205654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4D"/>
    <w:rsid w:val="00023FE0"/>
    <w:rsid w:val="00035D3C"/>
    <w:rsid w:val="00065AC0"/>
    <w:rsid w:val="000713B6"/>
    <w:rsid w:val="0007492E"/>
    <w:rsid w:val="00074AEB"/>
    <w:rsid w:val="00080789"/>
    <w:rsid w:val="0008331F"/>
    <w:rsid w:val="0008557C"/>
    <w:rsid w:val="000B1FBA"/>
    <w:rsid w:val="000C7140"/>
    <w:rsid w:val="000D127B"/>
    <w:rsid w:val="000E2357"/>
    <w:rsid w:val="000E7DAE"/>
    <w:rsid w:val="00102A9D"/>
    <w:rsid w:val="0011340C"/>
    <w:rsid w:val="00122D7A"/>
    <w:rsid w:val="001412C3"/>
    <w:rsid w:val="001461AE"/>
    <w:rsid w:val="001506D9"/>
    <w:rsid w:val="00186ADC"/>
    <w:rsid w:val="001903A9"/>
    <w:rsid w:val="001B1BDB"/>
    <w:rsid w:val="001D5225"/>
    <w:rsid w:val="001E1BAF"/>
    <w:rsid w:val="001E1F11"/>
    <w:rsid w:val="001E34FC"/>
    <w:rsid w:val="001E73FB"/>
    <w:rsid w:val="001F152F"/>
    <w:rsid w:val="001F7620"/>
    <w:rsid w:val="00204EA3"/>
    <w:rsid w:val="00212942"/>
    <w:rsid w:val="00225C1A"/>
    <w:rsid w:val="00230CCD"/>
    <w:rsid w:val="00234687"/>
    <w:rsid w:val="00262459"/>
    <w:rsid w:val="002725DA"/>
    <w:rsid w:val="002845B3"/>
    <w:rsid w:val="00286533"/>
    <w:rsid w:val="002A47A8"/>
    <w:rsid w:val="002C182C"/>
    <w:rsid w:val="002D2619"/>
    <w:rsid w:val="002F1636"/>
    <w:rsid w:val="00303894"/>
    <w:rsid w:val="00304ACE"/>
    <w:rsid w:val="00307226"/>
    <w:rsid w:val="0034294A"/>
    <w:rsid w:val="003536B5"/>
    <w:rsid w:val="003672AB"/>
    <w:rsid w:val="003876E5"/>
    <w:rsid w:val="003B1AC6"/>
    <w:rsid w:val="003C030F"/>
    <w:rsid w:val="003E3AE4"/>
    <w:rsid w:val="004049D5"/>
    <w:rsid w:val="00407124"/>
    <w:rsid w:val="0041122A"/>
    <w:rsid w:val="00416D46"/>
    <w:rsid w:val="00417E05"/>
    <w:rsid w:val="00434E15"/>
    <w:rsid w:val="00466C3F"/>
    <w:rsid w:val="00475414"/>
    <w:rsid w:val="00485730"/>
    <w:rsid w:val="0049124D"/>
    <w:rsid w:val="00492DDC"/>
    <w:rsid w:val="004A24FC"/>
    <w:rsid w:val="004A7503"/>
    <w:rsid w:val="004B16DD"/>
    <w:rsid w:val="004B1CEB"/>
    <w:rsid w:val="004B1F3F"/>
    <w:rsid w:val="004B2DF9"/>
    <w:rsid w:val="004B7048"/>
    <w:rsid w:val="004C2723"/>
    <w:rsid w:val="004C7AAC"/>
    <w:rsid w:val="004D6A16"/>
    <w:rsid w:val="004E4124"/>
    <w:rsid w:val="004F1D92"/>
    <w:rsid w:val="004F546E"/>
    <w:rsid w:val="005118BD"/>
    <w:rsid w:val="00550139"/>
    <w:rsid w:val="00560CCB"/>
    <w:rsid w:val="005644AB"/>
    <w:rsid w:val="0057222E"/>
    <w:rsid w:val="00573CDA"/>
    <w:rsid w:val="00574F19"/>
    <w:rsid w:val="00585191"/>
    <w:rsid w:val="0058742B"/>
    <w:rsid w:val="005A4711"/>
    <w:rsid w:val="005B60F4"/>
    <w:rsid w:val="005C1609"/>
    <w:rsid w:val="005D6D36"/>
    <w:rsid w:val="00614080"/>
    <w:rsid w:val="006203F2"/>
    <w:rsid w:val="00633203"/>
    <w:rsid w:val="00634BF5"/>
    <w:rsid w:val="00637B1E"/>
    <w:rsid w:val="00656D3F"/>
    <w:rsid w:val="00662BE7"/>
    <w:rsid w:val="00677426"/>
    <w:rsid w:val="006878C2"/>
    <w:rsid w:val="00696770"/>
    <w:rsid w:val="006B308D"/>
    <w:rsid w:val="006B7E0E"/>
    <w:rsid w:val="006C2335"/>
    <w:rsid w:val="006D2072"/>
    <w:rsid w:val="00705B3B"/>
    <w:rsid w:val="0070733E"/>
    <w:rsid w:val="0071473B"/>
    <w:rsid w:val="00725D56"/>
    <w:rsid w:val="00741CF7"/>
    <w:rsid w:val="00753742"/>
    <w:rsid w:val="0075780A"/>
    <w:rsid w:val="0076116C"/>
    <w:rsid w:val="00767DB1"/>
    <w:rsid w:val="00783A3A"/>
    <w:rsid w:val="007914AA"/>
    <w:rsid w:val="007A1CE7"/>
    <w:rsid w:val="007B227D"/>
    <w:rsid w:val="007C178B"/>
    <w:rsid w:val="007C7E44"/>
    <w:rsid w:val="007D78D4"/>
    <w:rsid w:val="007D7CD9"/>
    <w:rsid w:val="007F5032"/>
    <w:rsid w:val="008024FB"/>
    <w:rsid w:val="00814387"/>
    <w:rsid w:val="00815147"/>
    <w:rsid w:val="00815440"/>
    <w:rsid w:val="008261A4"/>
    <w:rsid w:val="00845E70"/>
    <w:rsid w:val="00846463"/>
    <w:rsid w:val="00897588"/>
    <w:rsid w:val="008A4AC4"/>
    <w:rsid w:val="008A4EFE"/>
    <w:rsid w:val="008E31DD"/>
    <w:rsid w:val="008E4110"/>
    <w:rsid w:val="008E4C07"/>
    <w:rsid w:val="008F2F50"/>
    <w:rsid w:val="00907FA7"/>
    <w:rsid w:val="0091782D"/>
    <w:rsid w:val="00940E6C"/>
    <w:rsid w:val="00941DB5"/>
    <w:rsid w:val="00956597"/>
    <w:rsid w:val="00957650"/>
    <w:rsid w:val="00960DA2"/>
    <w:rsid w:val="009645B8"/>
    <w:rsid w:val="00983E82"/>
    <w:rsid w:val="009B68CB"/>
    <w:rsid w:val="009B7ABB"/>
    <w:rsid w:val="00A463FC"/>
    <w:rsid w:val="00A67189"/>
    <w:rsid w:val="00A86C53"/>
    <w:rsid w:val="00AB5228"/>
    <w:rsid w:val="00AC37C0"/>
    <w:rsid w:val="00AD6AC1"/>
    <w:rsid w:val="00AE2C2A"/>
    <w:rsid w:val="00B0757F"/>
    <w:rsid w:val="00B30FFA"/>
    <w:rsid w:val="00B449A3"/>
    <w:rsid w:val="00B5672A"/>
    <w:rsid w:val="00B61AA4"/>
    <w:rsid w:val="00B61FDD"/>
    <w:rsid w:val="00B77E34"/>
    <w:rsid w:val="00B80CA0"/>
    <w:rsid w:val="00B85B65"/>
    <w:rsid w:val="00BA6EAE"/>
    <w:rsid w:val="00BF0967"/>
    <w:rsid w:val="00C334FD"/>
    <w:rsid w:val="00C46D5D"/>
    <w:rsid w:val="00C5331E"/>
    <w:rsid w:val="00C622B4"/>
    <w:rsid w:val="00C67727"/>
    <w:rsid w:val="00C81C9C"/>
    <w:rsid w:val="00C97DFA"/>
    <w:rsid w:val="00CA435F"/>
    <w:rsid w:val="00CA555E"/>
    <w:rsid w:val="00CA5AFC"/>
    <w:rsid w:val="00CC5756"/>
    <w:rsid w:val="00CC7664"/>
    <w:rsid w:val="00CD5D6D"/>
    <w:rsid w:val="00CD7D8B"/>
    <w:rsid w:val="00D029E7"/>
    <w:rsid w:val="00D0681B"/>
    <w:rsid w:val="00D21FBF"/>
    <w:rsid w:val="00D56316"/>
    <w:rsid w:val="00D73EFE"/>
    <w:rsid w:val="00D82A93"/>
    <w:rsid w:val="00D96D58"/>
    <w:rsid w:val="00DC05B2"/>
    <w:rsid w:val="00DE2E68"/>
    <w:rsid w:val="00DE63EB"/>
    <w:rsid w:val="00DF105D"/>
    <w:rsid w:val="00E124FD"/>
    <w:rsid w:val="00E24C88"/>
    <w:rsid w:val="00E2655F"/>
    <w:rsid w:val="00E35819"/>
    <w:rsid w:val="00E47E0E"/>
    <w:rsid w:val="00E629E8"/>
    <w:rsid w:val="00E64EE9"/>
    <w:rsid w:val="00E845BC"/>
    <w:rsid w:val="00ED2DDF"/>
    <w:rsid w:val="00EE0D30"/>
    <w:rsid w:val="00EE1A7A"/>
    <w:rsid w:val="00EE4465"/>
    <w:rsid w:val="00EE6FE2"/>
    <w:rsid w:val="00F05895"/>
    <w:rsid w:val="00F16F2E"/>
    <w:rsid w:val="00F270FC"/>
    <w:rsid w:val="00F33CBA"/>
    <w:rsid w:val="00F64424"/>
    <w:rsid w:val="00F84D61"/>
    <w:rsid w:val="00FB2A59"/>
    <w:rsid w:val="00FC5AAA"/>
    <w:rsid w:val="00FD3B39"/>
    <w:rsid w:val="00FD4E38"/>
    <w:rsid w:val="00FE2727"/>
    <w:rsid w:val="00FF2890"/>
    <w:rsid w:val="00FF46B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66DDE"/>
  <w15:docId w15:val="{FE394C03-725D-4F2F-A9BD-3BFDAD98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C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522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i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A24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24FC"/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4A24F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A2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4A24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24F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A2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24FC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845E70"/>
  </w:style>
  <w:style w:type="character" w:styleId="Hipervnculo">
    <w:name w:val="Hyperlink"/>
    <w:basedOn w:val="Fuentedeprrafopredeter"/>
    <w:uiPriority w:val="99"/>
    <w:unhideWhenUsed/>
    <w:rsid w:val="00845E7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AB5228"/>
    <w:rPr>
      <w:rFonts w:ascii="Cambria" w:hAnsi="Cambria"/>
      <w:b/>
      <w:bCs/>
      <w:i/>
      <w:kern w:val="32"/>
      <w:sz w:val="32"/>
      <w:szCs w:val="32"/>
      <w:lang w:val="es-ES_tradnl" w:eastAsia="es-ES"/>
    </w:rPr>
  </w:style>
  <w:style w:type="paragraph" w:styleId="Descripcin">
    <w:name w:val="caption"/>
    <w:basedOn w:val="Normal"/>
    <w:next w:val="Normal"/>
    <w:qFormat/>
    <w:rsid w:val="00AB5228"/>
    <w:pPr>
      <w:tabs>
        <w:tab w:val="left" w:pos="-720"/>
      </w:tabs>
      <w:suppressAutoHyphens/>
      <w:spacing w:line="360" w:lineRule="auto"/>
      <w:jc w:val="center"/>
    </w:pPr>
    <w:rPr>
      <w:b/>
      <w:bCs/>
      <w:i/>
      <w:iCs/>
      <w:spacing w:val="-3"/>
      <w:sz w:val="28"/>
      <w:szCs w:val="28"/>
      <w:lang w:val="es-ES_tradnl"/>
    </w:rPr>
  </w:style>
  <w:style w:type="table" w:styleId="Tablaconcuadrcula6concolores">
    <w:name w:val="Grid Table 6 Colorful"/>
    <w:basedOn w:val="Tablanormal"/>
    <w:uiPriority w:val="51"/>
    <w:rsid w:val="00FE27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07124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234687"/>
    <w:rPr>
      <w:rFonts w:ascii="Calibri" w:eastAsia="Calibri" w:hAnsi="Calibri"/>
      <w:sz w:val="22"/>
      <w:szCs w:val="22"/>
      <w:lang w:eastAsia="en-US"/>
    </w:rPr>
  </w:style>
  <w:style w:type="table" w:styleId="Tablaconcuadrcula6concolores-nfasis1">
    <w:name w:val="Grid Table 6 Colorful Accent 1"/>
    <w:basedOn w:val="Tablanormal"/>
    <w:uiPriority w:val="51"/>
    <w:rsid w:val="002346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346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">
    <w:name w:val="Table Grid"/>
    <w:basedOn w:val="Tablanormal"/>
    <w:rsid w:val="001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1461A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1461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1461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3038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3038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zgado2civilcircuitosoach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zgado2civilcircuitosoach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307A-7831-4AE3-9CD4-FC05F9D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No 175</vt:lpstr>
    </vt:vector>
  </TitlesOfParts>
  <Company>CSJ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No 175</dc:title>
  <dc:creator>Carolina</dc:creator>
  <cp:lastModifiedBy>Juzgado 02 Civil Circuito - Cundinamarca - Soacha</cp:lastModifiedBy>
  <cp:revision>3</cp:revision>
  <cp:lastPrinted>2019-07-31T17:18:00Z</cp:lastPrinted>
  <dcterms:created xsi:type="dcterms:W3CDTF">2023-02-13T20:35:00Z</dcterms:created>
  <dcterms:modified xsi:type="dcterms:W3CDTF">2023-02-13T20:38:00Z</dcterms:modified>
</cp:coreProperties>
</file>