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A3" w:rsidRPr="005D131A" w:rsidRDefault="00F614A3" w:rsidP="005D131A">
      <w:pPr>
        <w:keepNext/>
        <w:outlineLvl w:val="2"/>
        <w:rPr>
          <w:b/>
          <w:bCs/>
          <w:sz w:val="28"/>
          <w:szCs w:val="28"/>
          <w:lang w:val="es-CO"/>
        </w:rPr>
      </w:pPr>
      <w:bookmarkStart w:id="0" w:name="_GoBack"/>
      <w:bookmarkEnd w:id="0"/>
      <w:r w:rsidRPr="005D131A">
        <w:rPr>
          <w:b/>
          <w:bCs/>
          <w:sz w:val="28"/>
          <w:szCs w:val="28"/>
          <w:lang w:val="es-CO"/>
        </w:rPr>
        <w:t>A</w:t>
      </w:r>
      <w:r w:rsidR="005D131A" w:rsidRPr="005D131A">
        <w:rPr>
          <w:b/>
          <w:bCs/>
          <w:sz w:val="28"/>
          <w:szCs w:val="28"/>
          <w:lang w:val="es-CO"/>
        </w:rPr>
        <w:t>uto</w:t>
      </w:r>
      <w:r w:rsidRPr="005D131A">
        <w:rPr>
          <w:b/>
          <w:bCs/>
          <w:sz w:val="28"/>
          <w:szCs w:val="28"/>
          <w:lang w:val="es-CO"/>
        </w:rPr>
        <w:t xml:space="preserve"> </w:t>
      </w:r>
      <w:r w:rsidR="009E5D1F" w:rsidRPr="005D131A">
        <w:rPr>
          <w:b/>
          <w:bCs/>
          <w:sz w:val="28"/>
          <w:szCs w:val="28"/>
          <w:lang w:val="es-CO"/>
        </w:rPr>
        <w:t>001</w:t>
      </w:r>
      <w:r w:rsidR="005D131A">
        <w:rPr>
          <w:b/>
          <w:bCs/>
          <w:sz w:val="28"/>
          <w:szCs w:val="28"/>
          <w:lang w:val="es-CO"/>
        </w:rPr>
        <w:t>/</w:t>
      </w:r>
      <w:r w:rsidRPr="005D131A">
        <w:rPr>
          <w:b/>
          <w:bCs/>
          <w:sz w:val="28"/>
          <w:szCs w:val="28"/>
          <w:lang w:val="es-CO"/>
        </w:rPr>
        <w:t>1</w:t>
      </w:r>
      <w:r w:rsidR="00F34B34" w:rsidRPr="005D131A">
        <w:rPr>
          <w:b/>
          <w:bCs/>
          <w:sz w:val="28"/>
          <w:szCs w:val="28"/>
          <w:lang w:val="es-CO"/>
        </w:rPr>
        <w:t>7</w:t>
      </w:r>
    </w:p>
    <w:p w:rsidR="00F614A3" w:rsidRDefault="00F614A3" w:rsidP="005D131A">
      <w:pPr>
        <w:tabs>
          <w:tab w:val="left" w:pos="1800"/>
        </w:tabs>
        <w:overflowPunct w:val="0"/>
        <w:autoSpaceDE w:val="0"/>
        <w:autoSpaceDN w:val="0"/>
        <w:adjustRightInd w:val="0"/>
        <w:ind w:left="3969"/>
        <w:rPr>
          <w:b/>
          <w:sz w:val="28"/>
          <w:szCs w:val="28"/>
          <w:lang w:val="es-CO"/>
        </w:rPr>
      </w:pPr>
    </w:p>
    <w:p w:rsidR="005D131A" w:rsidRPr="005D131A" w:rsidRDefault="005D131A" w:rsidP="005D131A">
      <w:pPr>
        <w:tabs>
          <w:tab w:val="left" w:pos="1800"/>
        </w:tabs>
        <w:overflowPunct w:val="0"/>
        <w:autoSpaceDE w:val="0"/>
        <w:autoSpaceDN w:val="0"/>
        <w:adjustRightInd w:val="0"/>
        <w:ind w:left="3969"/>
        <w:rPr>
          <w:b/>
          <w:sz w:val="28"/>
          <w:szCs w:val="28"/>
          <w:lang w:val="es-CO"/>
        </w:rPr>
      </w:pPr>
    </w:p>
    <w:p w:rsidR="00F614A3" w:rsidRPr="005D131A" w:rsidRDefault="00F614A3" w:rsidP="005D131A">
      <w:pPr>
        <w:tabs>
          <w:tab w:val="left" w:pos="1800"/>
        </w:tabs>
        <w:overflowPunct w:val="0"/>
        <w:autoSpaceDE w:val="0"/>
        <w:autoSpaceDN w:val="0"/>
        <w:adjustRightInd w:val="0"/>
        <w:ind w:left="3969"/>
        <w:rPr>
          <w:sz w:val="28"/>
          <w:szCs w:val="28"/>
          <w:lang w:val="es-CO"/>
        </w:rPr>
      </w:pPr>
      <w:r w:rsidRPr="005D131A">
        <w:rPr>
          <w:sz w:val="28"/>
          <w:szCs w:val="28"/>
          <w:lang w:val="es-CO"/>
        </w:rPr>
        <w:t>Referencia: Seguimiento al c</w:t>
      </w:r>
      <w:r w:rsidR="0099449D" w:rsidRPr="005D131A">
        <w:rPr>
          <w:sz w:val="28"/>
          <w:szCs w:val="28"/>
          <w:lang w:val="es-CO"/>
        </w:rPr>
        <w:t>umplimiento de la orden vigésima</w:t>
      </w:r>
      <w:r w:rsidRPr="005D131A">
        <w:rPr>
          <w:sz w:val="28"/>
          <w:szCs w:val="28"/>
          <w:lang w:val="es-CO"/>
        </w:rPr>
        <w:t xml:space="preserve"> tercera de la Sentencia T-760 de 2008.</w:t>
      </w:r>
    </w:p>
    <w:p w:rsidR="00F614A3" w:rsidRPr="005D131A" w:rsidRDefault="00F614A3" w:rsidP="005D131A">
      <w:pPr>
        <w:tabs>
          <w:tab w:val="left" w:pos="1800"/>
        </w:tabs>
        <w:overflowPunct w:val="0"/>
        <w:autoSpaceDE w:val="0"/>
        <w:autoSpaceDN w:val="0"/>
        <w:adjustRightInd w:val="0"/>
        <w:ind w:left="3969"/>
        <w:rPr>
          <w:sz w:val="28"/>
          <w:szCs w:val="28"/>
          <w:lang w:val="es-CO"/>
        </w:rPr>
      </w:pPr>
    </w:p>
    <w:p w:rsidR="00F614A3" w:rsidRPr="005D131A" w:rsidRDefault="00F614A3" w:rsidP="005D131A">
      <w:pPr>
        <w:ind w:left="3969"/>
        <w:rPr>
          <w:sz w:val="28"/>
          <w:szCs w:val="28"/>
          <w:lang w:val="es-CO"/>
        </w:rPr>
      </w:pPr>
      <w:r w:rsidRPr="005D131A">
        <w:rPr>
          <w:sz w:val="28"/>
          <w:szCs w:val="28"/>
          <w:lang w:val="es-CO"/>
        </w:rPr>
        <w:t>Asunto:</w:t>
      </w:r>
      <w:r w:rsidR="0098506D" w:rsidRPr="005D131A">
        <w:rPr>
          <w:sz w:val="28"/>
          <w:szCs w:val="28"/>
          <w:lang w:val="es-CO"/>
        </w:rPr>
        <w:t xml:space="preserve"> </w:t>
      </w:r>
      <w:r w:rsidR="00764DE2" w:rsidRPr="005D131A">
        <w:rPr>
          <w:sz w:val="28"/>
          <w:szCs w:val="28"/>
          <w:lang w:val="es-CO"/>
        </w:rPr>
        <w:t xml:space="preserve">Valoración de </w:t>
      </w:r>
      <w:r w:rsidR="0099449D" w:rsidRPr="005D131A">
        <w:rPr>
          <w:sz w:val="28"/>
          <w:szCs w:val="28"/>
          <w:lang w:val="es-CO"/>
        </w:rPr>
        <w:t>cumplimiento.</w:t>
      </w:r>
    </w:p>
    <w:p w:rsidR="00F614A3" w:rsidRPr="005D131A" w:rsidRDefault="00F614A3" w:rsidP="005D131A">
      <w:pPr>
        <w:ind w:left="3969"/>
        <w:rPr>
          <w:sz w:val="28"/>
          <w:szCs w:val="28"/>
          <w:lang w:val="es-CO"/>
        </w:rPr>
      </w:pPr>
      <w:r w:rsidRPr="005D131A">
        <w:rPr>
          <w:sz w:val="28"/>
          <w:szCs w:val="28"/>
          <w:lang w:val="es-CO"/>
        </w:rPr>
        <w:t xml:space="preserve"> </w:t>
      </w:r>
    </w:p>
    <w:p w:rsidR="00F614A3" w:rsidRPr="005D131A" w:rsidRDefault="00F614A3" w:rsidP="005D131A">
      <w:pPr>
        <w:tabs>
          <w:tab w:val="left" w:pos="1800"/>
        </w:tabs>
        <w:ind w:left="3969"/>
        <w:rPr>
          <w:sz w:val="28"/>
          <w:szCs w:val="28"/>
          <w:lang w:val="es-CO"/>
        </w:rPr>
      </w:pPr>
      <w:r w:rsidRPr="005D131A">
        <w:rPr>
          <w:sz w:val="28"/>
          <w:szCs w:val="28"/>
          <w:lang w:val="es-CO"/>
        </w:rPr>
        <w:t>Magistrado Sustanciador:</w:t>
      </w:r>
    </w:p>
    <w:p w:rsidR="00F614A3" w:rsidRPr="005D131A" w:rsidRDefault="00F614A3" w:rsidP="005D131A">
      <w:pPr>
        <w:tabs>
          <w:tab w:val="left" w:pos="1800"/>
        </w:tabs>
        <w:ind w:left="3969"/>
        <w:rPr>
          <w:sz w:val="28"/>
          <w:szCs w:val="28"/>
          <w:lang w:val="es-CO"/>
        </w:rPr>
      </w:pPr>
      <w:r w:rsidRPr="005D131A">
        <w:rPr>
          <w:sz w:val="28"/>
          <w:szCs w:val="28"/>
          <w:lang w:val="es-CO"/>
        </w:rPr>
        <w:t>JORGE IVÁN PALACIO PALACIO</w:t>
      </w:r>
    </w:p>
    <w:p w:rsidR="00F614A3" w:rsidRPr="005D131A" w:rsidRDefault="00F614A3" w:rsidP="005D131A">
      <w:pPr>
        <w:rPr>
          <w:sz w:val="28"/>
          <w:szCs w:val="28"/>
          <w:lang w:val="es-CO"/>
        </w:rPr>
      </w:pPr>
    </w:p>
    <w:p w:rsidR="00F614A3" w:rsidRPr="005D131A" w:rsidRDefault="00F614A3" w:rsidP="005D131A">
      <w:pPr>
        <w:rPr>
          <w:sz w:val="28"/>
          <w:szCs w:val="28"/>
          <w:lang w:val="es-CO"/>
        </w:rPr>
      </w:pPr>
    </w:p>
    <w:p w:rsidR="00F614A3" w:rsidRPr="005D131A" w:rsidRDefault="00F614A3" w:rsidP="005D131A">
      <w:pPr>
        <w:rPr>
          <w:sz w:val="28"/>
          <w:szCs w:val="28"/>
          <w:lang w:val="es-CO"/>
        </w:rPr>
      </w:pPr>
      <w:r w:rsidRPr="005D131A">
        <w:rPr>
          <w:sz w:val="28"/>
          <w:szCs w:val="28"/>
          <w:lang w:val="es-CO"/>
        </w:rPr>
        <w:t>Bogotá D.C.,</w:t>
      </w:r>
      <w:r w:rsidR="00FD02DC" w:rsidRPr="005D131A">
        <w:rPr>
          <w:sz w:val="28"/>
          <w:szCs w:val="28"/>
          <w:lang w:val="es-CO"/>
        </w:rPr>
        <w:t xml:space="preserve"> trece (13</w:t>
      </w:r>
      <w:r w:rsidR="00C538C8" w:rsidRPr="005D131A">
        <w:rPr>
          <w:sz w:val="28"/>
          <w:szCs w:val="28"/>
          <w:lang w:val="es-CO"/>
        </w:rPr>
        <w:t>)</w:t>
      </w:r>
      <w:r w:rsidR="00E341E4" w:rsidRPr="005D131A">
        <w:rPr>
          <w:sz w:val="28"/>
          <w:szCs w:val="28"/>
          <w:lang w:val="es-CO"/>
        </w:rPr>
        <w:t xml:space="preserve"> </w:t>
      </w:r>
      <w:r w:rsidR="00764DE2" w:rsidRPr="005D131A">
        <w:rPr>
          <w:sz w:val="28"/>
          <w:szCs w:val="28"/>
          <w:lang w:val="es-CO"/>
        </w:rPr>
        <w:t xml:space="preserve">de </w:t>
      </w:r>
      <w:r w:rsidR="00FD02DC" w:rsidRPr="005D131A">
        <w:rPr>
          <w:sz w:val="28"/>
          <w:szCs w:val="28"/>
          <w:lang w:val="es-CO"/>
        </w:rPr>
        <w:t xml:space="preserve">enero de </w:t>
      </w:r>
      <w:r w:rsidRPr="005D131A">
        <w:rPr>
          <w:sz w:val="28"/>
          <w:szCs w:val="28"/>
          <w:lang w:val="es-CO"/>
        </w:rPr>
        <w:t xml:space="preserve">dos mil </w:t>
      </w:r>
      <w:r w:rsidR="00FD02DC" w:rsidRPr="005D131A">
        <w:rPr>
          <w:sz w:val="28"/>
          <w:szCs w:val="28"/>
          <w:lang w:val="es-CO"/>
        </w:rPr>
        <w:t>diecisiete</w:t>
      </w:r>
      <w:r w:rsidR="00D33F2C" w:rsidRPr="005D131A">
        <w:rPr>
          <w:sz w:val="28"/>
          <w:szCs w:val="28"/>
          <w:lang w:val="es-CO"/>
        </w:rPr>
        <w:t xml:space="preserve"> </w:t>
      </w:r>
      <w:r w:rsidRPr="005D131A">
        <w:rPr>
          <w:sz w:val="28"/>
          <w:szCs w:val="28"/>
          <w:lang w:val="es-CO"/>
        </w:rPr>
        <w:t>(201</w:t>
      </w:r>
      <w:r w:rsidR="00FD02DC" w:rsidRPr="005D131A">
        <w:rPr>
          <w:sz w:val="28"/>
          <w:szCs w:val="28"/>
          <w:lang w:val="es-CO"/>
        </w:rPr>
        <w:t>7</w:t>
      </w:r>
      <w:r w:rsidRPr="005D131A">
        <w:rPr>
          <w:sz w:val="28"/>
          <w:szCs w:val="28"/>
          <w:lang w:val="es-CO"/>
        </w:rPr>
        <w:t>).</w:t>
      </w:r>
    </w:p>
    <w:p w:rsidR="00F614A3" w:rsidRDefault="00F614A3" w:rsidP="005D131A">
      <w:pPr>
        <w:rPr>
          <w:snapToGrid w:val="0"/>
          <w:sz w:val="28"/>
          <w:szCs w:val="28"/>
          <w:lang w:val="es-CO"/>
        </w:rPr>
      </w:pPr>
    </w:p>
    <w:p w:rsidR="005D131A" w:rsidRPr="005D131A" w:rsidRDefault="005D131A" w:rsidP="005D131A">
      <w:pPr>
        <w:rPr>
          <w:snapToGrid w:val="0"/>
          <w:sz w:val="28"/>
          <w:szCs w:val="28"/>
          <w:lang w:val="es-CO"/>
        </w:rPr>
      </w:pPr>
    </w:p>
    <w:p w:rsidR="00F614A3" w:rsidRPr="005D131A" w:rsidRDefault="00F614A3" w:rsidP="005D131A">
      <w:pPr>
        <w:rPr>
          <w:snapToGrid w:val="0"/>
          <w:sz w:val="28"/>
          <w:szCs w:val="28"/>
          <w:lang w:val="es-CO"/>
        </w:rPr>
      </w:pPr>
      <w:r w:rsidRPr="005D131A">
        <w:rPr>
          <w:snapToGrid w:val="0"/>
          <w:sz w:val="28"/>
          <w:szCs w:val="28"/>
          <w:lang w:val="es-CO"/>
        </w:rPr>
        <w:t>La Sala Especial de la Corte Constitucional, conformada por la Sala Plena en sesión del 1° de abril de 2009 para efectuar el seguimiento al cumplimiento de la Sentencia T-760 de 2008, integrada por los magistrados</w:t>
      </w:r>
      <w:r w:rsidR="00CE0B7A" w:rsidRPr="005D131A">
        <w:rPr>
          <w:snapToGrid w:val="0"/>
          <w:sz w:val="28"/>
          <w:szCs w:val="28"/>
          <w:lang w:val="es-CO"/>
        </w:rPr>
        <w:t xml:space="preserve"> Alejandro Linares Cantillo</w:t>
      </w:r>
      <w:r w:rsidRPr="005D131A">
        <w:rPr>
          <w:snapToGrid w:val="0"/>
          <w:sz w:val="28"/>
          <w:szCs w:val="28"/>
          <w:lang w:val="es-CO"/>
        </w:rPr>
        <w:t>, Gabriel Eduardo Mendoza Marte</w:t>
      </w:r>
      <w:r w:rsidR="0099449D" w:rsidRPr="005D131A">
        <w:rPr>
          <w:snapToGrid w:val="0"/>
          <w:sz w:val="28"/>
          <w:szCs w:val="28"/>
          <w:lang w:val="es-CO"/>
        </w:rPr>
        <w:t>lo y Jorge Iván Palacio Palacio</w:t>
      </w:r>
      <w:r w:rsidRPr="005D131A">
        <w:rPr>
          <w:snapToGrid w:val="0"/>
          <w:sz w:val="28"/>
          <w:szCs w:val="28"/>
          <w:lang w:val="es-CO"/>
        </w:rPr>
        <w:t xml:space="preserve"> quien la preside, en ejercicio de sus competencias constitucionales y legales, procede a dictar el presente auto, con base en los siguientes:</w:t>
      </w:r>
    </w:p>
    <w:p w:rsidR="00F614A3" w:rsidRPr="005D131A" w:rsidRDefault="00F614A3" w:rsidP="005D131A">
      <w:pPr>
        <w:rPr>
          <w:snapToGrid w:val="0"/>
          <w:sz w:val="28"/>
          <w:szCs w:val="28"/>
          <w:lang w:val="es-CO"/>
        </w:rPr>
      </w:pPr>
    </w:p>
    <w:p w:rsidR="00F614A3" w:rsidRPr="005D131A" w:rsidRDefault="00F614A3" w:rsidP="005D131A">
      <w:pPr>
        <w:pStyle w:val="Prrafodelista"/>
        <w:numPr>
          <w:ilvl w:val="0"/>
          <w:numId w:val="2"/>
        </w:numPr>
        <w:ind w:left="0"/>
        <w:jc w:val="center"/>
        <w:rPr>
          <w:b/>
          <w:snapToGrid w:val="0"/>
          <w:sz w:val="28"/>
          <w:szCs w:val="28"/>
          <w:lang w:val="es-CO"/>
        </w:rPr>
      </w:pPr>
      <w:r w:rsidRPr="005D131A">
        <w:rPr>
          <w:b/>
          <w:snapToGrid w:val="0"/>
          <w:sz w:val="28"/>
          <w:szCs w:val="28"/>
          <w:lang w:val="es-CO"/>
        </w:rPr>
        <w:t>ANTECEDENTES</w:t>
      </w:r>
    </w:p>
    <w:p w:rsidR="0049196A" w:rsidRPr="005D131A" w:rsidRDefault="0049196A" w:rsidP="005D131A">
      <w:pPr>
        <w:rPr>
          <w:b/>
          <w:snapToGrid w:val="0"/>
          <w:sz w:val="28"/>
          <w:szCs w:val="28"/>
          <w:lang w:val="es-CO"/>
        </w:rPr>
      </w:pPr>
    </w:p>
    <w:p w:rsidR="0049196A" w:rsidRPr="005D131A" w:rsidRDefault="00C47C1B" w:rsidP="005D131A">
      <w:pPr>
        <w:widowControl w:val="0"/>
        <w:autoSpaceDE w:val="0"/>
        <w:autoSpaceDN w:val="0"/>
        <w:adjustRightInd w:val="0"/>
        <w:rPr>
          <w:sz w:val="28"/>
          <w:szCs w:val="28"/>
          <w:lang w:val="es-ES_tradnl" w:eastAsia="es-ES_tradnl"/>
        </w:rPr>
      </w:pPr>
      <w:r w:rsidRPr="005D131A">
        <w:rPr>
          <w:sz w:val="28"/>
          <w:szCs w:val="28"/>
          <w:lang w:eastAsia="es-ES_tradnl"/>
        </w:rPr>
        <w:t xml:space="preserve">1. </w:t>
      </w:r>
      <w:r w:rsidR="0049196A" w:rsidRPr="005D131A">
        <w:rPr>
          <w:sz w:val="28"/>
          <w:szCs w:val="28"/>
          <w:lang w:eastAsia="es-ES_tradnl"/>
        </w:rPr>
        <w:t xml:space="preserve">La Corte Constitucional mediante </w:t>
      </w:r>
      <w:r w:rsidR="00AC61FC" w:rsidRPr="005D131A">
        <w:rPr>
          <w:sz w:val="28"/>
          <w:szCs w:val="28"/>
          <w:lang w:eastAsia="es-ES_tradnl"/>
        </w:rPr>
        <w:t xml:space="preserve">la </w:t>
      </w:r>
      <w:r w:rsidR="0049196A" w:rsidRPr="005D131A">
        <w:rPr>
          <w:sz w:val="28"/>
          <w:szCs w:val="28"/>
          <w:lang w:eastAsia="es-ES_tradnl"/>
        </w:rPr>
        <w:t>Sentencia T-760 de 2008 impartió una serie de decisiones dirigidas a las autoridades del Sistema General de Seguridad Social en Salud,</w:t>
      </w:r>
      <w:r w:rsidRPr="005D131A">
        <w:rPr>
          <w:sz w:val="28"/>
          <w:szCs w:val="28"/>
        </w:rPr>
        <w:t xml:space="preserve"> </w:t>
      </w:r>
      <w:r w:rsidRPr="005D131A">
        <w:rPr>
          <w:sz w:val="28"/>
          <w:szCs w:val="28"/>
          <w:lang w:eastAsia="es-ES_tradnl"/>
        </w:rPr>
        <w:t>con el fin de que tomaran las medi</w:t>
      </w:r>
      <w:r w:rsidR="00595D69" w:rsidRPr="005D131A">
        <w:rPr>
          <w:sz w:val="28"/>
          <w:szCs w:val="28"/>
          <w:lang w:eastAsia="es-ES_tradnl"/>
        </w:rPr>
        <w:t>das necesarias para corregir los problemas</w:t>
      </w:r>
      <w:r w:rsidRPr="005D131A">
        <w:rPr>
          <w:sz w:val="28"/>
          <w:szCs w:val="28"/>
          <w:lang w:eastAsia="es-ES_tradnl"/>
        </w:rPr>
        <w:t xml:space="preserve"> estructurales y</w:t>
      </w:r>
      <w:r w:rsidR="00595D69" w:rsidRPr="005D131A">
        <w:rPr>
          <w:sz w:val="28"/>
          <w:szCs w:val="28"/>
          <w:lang w:eastAsia="es-ES_tradnl"/>
        </w:rPr>
        <w:t xml:space="preserve"> las fallas en la </w:t>
      </w:r>
      <w:r w:rsidR="00AC61FC" w:rsidRPr="005D131A">
        <w:rPr>
          <w:sz w:val="28"/>
          <w:szCs w:val="28"/>
          <w:lang w:eastAsia="es-ES_tradnl"/>
        </w:rPr>
        <w:t>regulación del sistema de s</w:t>
      </w:r>
      <w:r w:rsidRPr="005D131A">
        <w:rPr>
          <w:sz w:val="28"/>
          <w:szCs w:val="28"/>
          <w:lang w:eastAsia="es-ES_tradnl"/>
        </w:rPr>
        <w:t>alud</w:t>
      </w:r>
      <w:r w:rsidR="00AC61FC" w:rsidRPr="005D131A">
        <w:rPr>
          <w:sz w:val="28"/>
          <w:szCs w:val="28"/>
          <w:lang w:eastAsia="es-ES_tradnl"/>
        </w:rPr>
        <w:t xml:space="preserve"> c</w:t>
      </w:r>
      <w:r w:rsidR="00595D69" w:rsidRPr="005D131A">
        <w:rPr>
          <w:sz w:val="28"/>
          <w:szCs w:val="28"/>
          <w:lang w:eastAsia="es-ES_tradnl"/>
        </w:rPr>
        <w:t>olombiano</w:t>
      </w:r>
      <w:r w:rsidRPr="005D131A">
        <w:rPr>
          <w:sz w:val="28"/>
          <w:szCs w:val="28"/>
          <w:lang w:eastAsia="es-ES_tradnl"/>
        </w:rPr>
        <w:t xml:space="preserve">, </w:t>
      </w:r>
      <w:r w:rsidR="00595D69" w:rsidRPr="005D131A">
        <w:rPr>
          <w:sz w:val="28"/>
          <w:szCs w:val="28"/>
          <w:lang w:eastAsia="es-ES_tradnl"/>
        </w:rPr>
        <w:t>identificado</w:t>
      </w:r>
      <w:r w:rsidRPr="005D131A">
        <w:rPr>
          <w:sz w:val="28"/>
          <w:szCs w:val="28"/>
          <w:lang w:eastAsia="es-ES_tradnl"/>
        </w:rPr>
        <w:t>s a partir del análisis de los casos concretos acumulados en esa providencia.</w:t>
      </w:r>
    </w:p>
    <w:p w:rsidR="00595D69" w:rsidRPr="005D131A" w:rsidRDefault="00595D69" w:rsidP="005D131A">
      <w:pPr>
        <w:rPr>
          <w:sz w:val="28"/>
          <w:szCs w:val="28"/>
          <w:lang w:val="es-ES_tradnl" w:eastAsia="es-ES_tradnl"/>
        </w:rPr>
      </w:pPr>
    </w:p>
    <w:p w:rsidR="0049196A" w:rsidRPr="005D131A" w:rsidRDefault="00AC61FC" w:rsidP="005D131A">
      <w:pPr>
        <w:rPr>
          <w:bCs/>
          <w:sz w:val="28"/>
          <w:szCs w:val="28"/>
          <w:lang w:eastAsia="es-ES_tradnl"/>
        </w:rPr>
      </w:pPr>
      <w:r w:rsidRPr="005D131A">
        <w:rPr>
          <w:bCs/>
          <w:sz w:val="28"/>
          <w:szCs w:val="28"/>
          <w:lang w:eastAsia="es-ES_tradnl"/>
        </w:rPr>
        <w:t>En ese fallo, esta Corporación</w:t>
      </w:r>
      <w:r w:rsidR="007D66B5" w:rsidRPr="005D131A">
        <w:rPr>
          <w:bCs/>
          <w:sz w:val="28"/>
          <w:szCs w:val="28"/>
          <w:lang w:eastAsia="es-ES_tradnl"/>
        </w:rPr>
        <w:t xml:space="preserve"> evidenció</w:t>
      </w:r>
      <w:r w:rsidR="00192CAB" w:rsidRPr="005D131A">
        <w:rPr>
          <w:bCs/>
          <w:sz w:val="28"/>
          <w:szCs w:val="28"/>
          <w:lang w:eastAsia="es-ES_tradnl"/>
        </w:rPr>
        <w:t xml:space="preserve"> que la </w:t>
      </w:r>
      <w:r w:rsidRPr="005D131A">
        <w:rPr>
          <w:bCs/>
          <w:sz w:val="28"/>
          <w:szCs w:val="28"/>
          <w:lang w:eastAsia="es-ES_tradnl"/>
        </w:rPr>
        <w:t xml:space="preserve">inexistencia </w:t>
      </w:r>
      <w:r w:rsidR="007D66B5" w:rsidRPr="005D131A">
        <w:rPr>
          <w:bCs/>
          <w:sz w:val="28"/>
          <w:szCs w:val="28"/>
          <w:lang w:eastAsia="es-ES_tradnl"/>
        </w:rPr>
        <w:t xml:space="preserve">de un trámite interno mediante el cual </w:t>
      </w:r>
      <w:r w:rsidR="0099449D" w:rsidRPr="005D131A">
        <w:rPr>
          <w:bCs/>
          <w:sz w:val="28"/>
          <w:szCs w:val="28"/>
          <w:lang w:eastAsia="es-ES_tradnl"/>
        </w:rPr>
        <w:t>la Entidad Promotora de Salud -EPS- autorizara</w:t>
      </w:r>
      <w:r w:rsidR="007D66B5" w:rsidRPr="005D131A">
        <w:rPr>
          <w:bCs/>
          <w:sz w:val="28"/>
          <w:szCs w:val="28"/>
          <w:lang w:eastAsia="es-ES_tradnl"/>
        </w:rPr>
        <w:t xml:space="preserve"> de manera directa la prestación de los servicios de salud no incluidos </w:t>
      </w:r>
      <w:r w:rsidRPr="005D131A">
        <w:rPr>
          <w:bCs/>
          <w:sz w:val="28"/>
          <w:szCs w:val="28"/>
          <w:lang w:eastAsia="es-ES_tradnl"/>
        </w:rPr>
        <w:t xml:space="preserve">y excluidos </w:t>
      </w:r>
      <w:r w:rsidR="007D66B5" w:rsidRPr="005D131A">
        <w:rPr>
          <w:bCs/>
          <w:sz w:val="28"/>
          <w:szCs w:val="28"/>
          <w:lang w:eastAsia="es-ES_tradnl"/>
        </w:rPr>
        <w:t>e</w:t>
      </w:r>
      <w:r w:rsidR="0099449D" w:rsidRPr="005D131A">
        <w:rPr>
          <w:bCs/>
          <w:sz w:val="28"/>
          <w:szCs w:val="28"/>
          <w:lang w:eastAsia="es-ES_tradnl"/>
        </w:rPr>
        <w:t>n el Plan Obligatorio de Salud -</w:t>
      </w:r>
      <w:r w:rsidR="007D66B5" w:rsidRPr="005D131A">
        <w:rPr>
          <w:bCs/>
          <w:sz w:val="28"/>
          <w:szCs w:val="28"/>
          <w:lang w:eastAsia="es-ES_tradnl"/>
        </w:rPr>
        <w:t xml:space="preserve">POS-, </w:t>
      </w:r>
      <w:r w:rsidR="00192CAB" w:rsidRPr="005D131A">
        <w:rPr>
          <w:bCs/>
          <w:sz w:val="28"/>
          <w:szCs w:val="28"/>
          <w:lang w:eastAsia="es-ES_tradnl"/>
        </w:rPr>
        <w:t>era una de las razones por</w:t>
      </w:r>
      <w:r w:rsidR="0099449D" w:rsidRPr="005D131A">
        <w:rPr>
          <w:bCs/>
          <w:sz w:val="28"/>
          <w:szCs w:val="28"/>
          <w:lang w:eastAsia="es-ES_tradnl"/>
        </w:rPr>
        <w:t xml:space="preserve"> las cuales los usuarios acudían </w:t>
      </w:r>
      <w:r w:rsidR="00192CAB" w:rsidRPr="005D131A">
        <w:rPr>
          <w:bCs/>
          <w:sz w:val="28"/>
          <w:szCs w:val="28"/>
          <w:lang w:eastAsia="es-ES_tradnl"/>
        </w:rPr>
        <w:t xml:space="preserve">de forma rutinaria a la acción de tutela. </w:t>
      </w:r>
    </w:p>
    <w:p w:rsidR="00B23F11" w:rsidRPr="005D131A" w:rsidRDefault="00B23F11" w:rsidP="005D131A">
      <w:pPr>
        <w:rPr>
          <w:b/>
          <w:snapToGrid w:val="0"/>
          <w:sz w:val="28"/>
          <w:szCs w:val="28"/>
          <w:lang w:val="es-CO"/>
        </w:rPr>
      </w:pPr>
    </w:p>
    <w:p w:rsidR="00192CAB" w:rsidRPr="005D131A" w:rsidRDefault="00AC61FC" w:rsidP="005D131A">
      <w:pPr>
        <w:rPr>
          <w:snapToGrid w:val="0"/>
          <w:sz w:val="28"/>
          <w:szCs w:val="28"/>
          <w:lang w:val="es-CO"/>
        </w:rPr>
      </w:pPr>
      <w:r w:rsidRPr="005D131A">
        <w:rPr>
          <w:snapToGrid w:val="0"/>
          <w:sz w:val="28"/>
          <w:szCs w:val="28"/>
          <w:lang w:val="es-CO"/>
        </w:rPr>
        <w:t xml:space="preserve">En ese contexto, este Tribunal </w:t>
      </w:r>
      <w:r w:rsidR="00192CAB" w:rsidRPr="005D131A">
        <w:rPr>
          <w:snapToGrid w:val="0"/>
          <w:sz w:val="28"/>
          <w:szCs w:val="28"/>
          <w:lang w:val="es-CO"/>
        </w:rPr>
        <w:t>pr</w:t>
      </w:r>
      <w:r w:rsidR="008F30D1" w:rsidRPr="005D131A">
        <w:rPr>
          <w:snapToGrid w:val="0"/>
          <w:sz w:val="28"/>
          <w:szCs w:val="28"/>
          <w:lang w:val="es-CO"/>
        </w:rPr>
        <w:t>ofirió la orde</w:t>
      </w:r>
      <w:r w:rsidR="00704B61" w:rsidRPr="005D131A">
        <w:rPr>
          <w:snapToGrid w:val="0"/>
          <w:sz w:val="28"/>
          <w:szCs w:val="28"/>
          <w:lang w:val="es-CO"/>
        </w:rPr>
        <w:t>n vigésima</w:t>
      </w:r>
      <w:r w:rsidR="00192CAB" w:rsidRPr="005D131A">
        <w:rPr>
          <w:snapToGrid w:val="0"/>
          <w:sz w:val="28"/>
          <w:szCs w:val="28"/>
          <w:lang w:val="es-CO"/>
        </w:rPr>
        <w:t xml:space="preserve"> tercera en la que dispuso lo siguiente: </w:t>
      </w:r>
    </w:p>
    <w:p w:rsidR="00F614A3" w:rsidRPr="005D131A" w:rsidRDefault="00F614A3" w:rsidP="005D131A">
      <w:pPr>
        <w:widowControl w:val="0"/>
        <w:autoSpaceDE w:val="0"/>
        <w:autoSpaceDN w:val="0"/>
        <w:adjustRightInd w:val="0"/>
        <w:rPr>
          <w:sz w:val="28"/>
          <w:szCs w:val="28"/>
          <w:lang w:val="es-CO"/>
        </w:rPr>
      </w:pPr>
    </w:p>
    <w:p w:rsidR="00F614A3" w:rsidRPr="005D131A" w:rsidRDefault="00F614A3" w:rsidP="005D131A">
      <w:pPr>
        <w:tabs>
          <w:tab w:val="left" w:pos="2700"/>
        </w:tabs>
        <w:ind w:left="567"/>
        <w:rPr>
          <w:i/>
          <w:sz w:val="28"/>
          <w:szCs w:val="28"/>
          <w:lang w:val="es-CO"/>
        </w:rPr>
      </w:pPr>
      <w:r w:rsidRPr="005D131A">
        <w:rPr>
          <w:i/>
          <w:sz w:val="28"/>
          <w:szCs w:val="28"/>
          <w:lang w:val="es-CO"/>
        </w:rPr>
        <w:t>“</w:t>
      </w:r>
      <w:r w:rsidRPr="005D131A">
        <w:rPr>
          <w:b/>
          <w:bCs/>
          <w:i/>
          <w:sz w:val="28"/>
          <w:szCs w:val="28"/>
          <w:lang w:val="es-CO"/>
        </w:rPr>
        <w:t xml:space="preserve">Ordenar </w:t>
      </w:r>
      <w:r w:rsidRPr="005D131A">
        <w:rPr>
          <w:i/>
          <w:sz w:val="28"/>
          <w:szCs w:val="28"/>
          <w:lang w:val="es-CO"/>
        </w:rPr>
        <w:t xml:space="preserve">a la Comisión de Regulación en Salud que adopte las medidas necesarias para regular el trámite interno que debe adelantar el médico tratante para que la respectiva EPS autorice directamente tanto los servicios de salud no incluidos en el plan obligatorio de salud (contributivo o subsidiado), diferente a un medicamento, como los medicamentos para la atención de las actividades, procedimientos e intervenciones explícitamente excluidas del Plan Obligatorio de Salud, cuando estas sean ordenadas por el médico tratante. </w:t>
      </w:r>
    </w:p>
    <w:p w:rsidR="00F614A3" w:rsidRPr="005D131A" w:rsidRDefault="00F614A3" w:rsidP="005D131A">
      <w:pPr>
        <w:tabs>
          <w:tab w:val="left" w:pos="2700"/>
        </w:tabs>
        <w:ind w:left="567"/>
        <w:rPr>
          <w:i/>
          <w:sz w:val="28"/>
          <w:szCs w:val="28"/>
          <w:lang w:val="es-CO"/>
        </w:rPr>
      </w:pPr>
    </w:p>
    <w:p w:rsidR="00F614A3" w:rsidRPr="005D131A" w:rsidRDefault="00F614A3" w:rsidP="005D131A">
      <w:pPr>
        <w:tabs>
          <w:tab w:val="left" w:pos="2700"/>
        </w:tabs>
        <w:ind w:left="567"/>
        <w:rPr>
          <w:i/>
          <w:sz w:val="28"/>
          <w:szCs w:val="28"/>
          <w:lang w:val="es-CO"/>
        </w:rPr>
      </w:pPr>
      <w:r w:rsidRPr="005D131A">
        <w:rPr>
          <w:i/>
          <w:sz w:val="28"/>
          <w:szCs w:val="28"/>
          <w:lang w:val="es-CO"/>
        </w:rPr>
        <w:t>Hasta tanto este trámite interno de las EPS no sea regulado de manera definitiva, se ordena al Ministerio de la Protección Social y a la Comisión de Regulación en Salud –y mientras este es creado al Consejo Nacional de Seguridad Social en Salud– que adopten las medidas necesarias para garantizar que se ordene a las entidades promotoras de salud, EPS, extender las reglas vigentes para someter a consideración del Comité Técnico Científico de la entidad la aprobación de un medicamento no incluido en el POS, a las solicitudes de aprobación de los servicios de salud no incluidos en el plan obligatorio de salud, distintos a medicamentos, tales como actividades, procedimientos e intervenciones explícitamente excluidas del Plan Obligatorio de Salud, cuando éstos sean ordenados por el médico tratante, teniendo en cuenta los parámetros fijados por la Corte Constitucional. Esta orden deberá ser cumplida dentro de los cinco (5) días siguientes a la notificación de la presente sentencia.</w:t>
      </w:r>
    </w:p>
    <w:p w:rsidR="00F614A3" w:rsidRPr="005D131A" w:rsidRDefault="00F614A3" w:rsidP="005D131A">
      <w:pPr>
        <w:tabs>
          <w:tab w:val="left" w:pos="2700"/>
        </w:tabs>
        <w:ind w:left="567"/>
        <w:rPr>
          <w:i/>
          <w:sz w:val="28"/>
          <w:szCs w:val="28"/>
          <w:lang w:val="es-CO"/>
        </w:rPr>
      </w:pPr>
    </w:p>
    <w:p w:rsidR="00F614A3" w:rsidRPr="005D131A" w:rsidRDefault="00F614A3" w:rsidP="005D131A">
      <w:pPr>
        <w:tabs>
          <w:tab w:val="left" w:pos="2700"/>
        </w:tabs>
        <w:ind w:left="567"/>
        <w:rPr>
          <w:i/>
          <w:sz w:val="28"/>
          <w:szCs w:val="28"/>
          <w:lang w:val="es-CO"/>
        </w:rPr>
      </w:pPr>
      <w:r w:rsidRPr="005D131A">
        <w:rPr>
          <w:i/>
          <w:sz w:val="28"/>
          <w:szCs w:val="28"/>
          <w:lang w:val="es-CO"/>
        </w:rPr>
        <w:t>Cuando el Comité Técnico Científico niegue un servicio médico, de acuerdo con la competencia de que trata la presente orden, y posteriormente se obligue a su prestación mediante una acción de tutela, sólo procederá el reembolso de la mitad de los costos no cubiertos, de acuerdo con lo dicho en esta providencia.</w:t>
      </w:r>
    </w:p>
    <w:p w:rsidR="00F614A3" w:rsidRPr="005D131A" w:rsidRDefault="005E7735" w:rsidP="005D131A">
      <w:pPr>
        <w:tabs>
          <w:tab w:val="left" w:pos="3090"/>
        </w:tabs>
        <w:ind w:left="567"/>
        <w:rPr>
          <w:i/>
          <w:sz w:val="28"/>
          <w:szCs w:val="28"/>
          <w:lang w:val="es-CO"/>
        </w:rPr>
      </w:pPr>
      <w:r w:rsidRPr="005D131A">
        <w:rPr>
          <w:i/>
          <w:sz w:val="28"/>
          <w:szCs w:val="28"/>
          <w:lang w:val="es-CO"/>
        </w:rPr>
        <w:tab/>
      </w:r>
    </w:p>
    <w:p w:rsidR="00F614A3" w:rsidRPr="005D131A" w:rsidRDefault="00F614A3" w:rsidP="005D131A">
      <w:pPr>
        <w:tabs>
          <w:tab w:val="left" w:pos="2700"/>
        </w:tabs>
        <w:ind w:left="567"/>
        <w:rPr>
          <w:i/>
          <w:sz w:val="28"/>
          <w:szCs w:val="28"/>
          <w:lang w:val="es-CO"/>
        </w:rPr>
      </w:pPr>
      <w:r w:rsidRPr="005D131A">
        <w:rPr>
          <w:i/>
          <w:sz w:val="28"/>
          <w:szCs w:val="28"/>
          <w:lang w:val="es-CO"/>
        </w:rPr>
        <w:t>El Ministerio de la Protección Social deberá presentar, antes de marzo 15 de 2009, un informe sobre el cumplimento de esta orden a la Superintendencia Nacional de Salud y a la Defensoría del Pueblo, con copia a la Corte Constitucional.”</w:t>
      </w:r>
    </w:p>
    <w:p w:rsidR="00192CAB" w:rsidRPr="005D131A" w:rsidRDefault="00192CAB" w:rsidP="005D131A">
      <w:pPr>
        <w:rPr>
          <w:i/>
          <w:sz w:val="28"/>
          <w:szCs w:val="28"/>
          <w:lang w:val="es-CO"/>
        </w:rPr>
      </w:pPr>
    </w:p>
    <w:p w:rsidR="00BA685F" w:rsidRPr="005D131A" w:rsidRDefault="000D4D7A" w:rsidP="005D131A">
      <w:pPr>
        <w:rPr>
          <w:sz w:val="28"/>
          <w:szCs w:val="28"/>
          <w:lang w:val="es-CO"/>
        </w:rPr>
      </w:pPr>
      <w:r w:rsidRPr="005D131A">
        <w:rPr>
          <w:sz w:val="28"/>
          <w:szCs w:val="28"/>
          <w:lang w:val="es-CO"/>
        </w:rPr>
        <w:t>2. En desarrollo del trámite de seguimiento, el Ministerio</w:t>
      </w:r>
      <w:r w:rsidR="005A7CDD" w:rsidRPr="005D131A">
        <w:rPr>
          <w:sz w:val="28"/>
          <w:szCs w:val="28"/>
          <w:lang w:val="es-CO"/>
        </w:rPr>
        <w:t xml:space="preserve"> de la Protección</w:t>
      </w:r>
      <w:r w:rsidR="0099449D" w:rsidRPr="005D131A">
        <w:rPr>
          <w:sz w:val="28"/>
          <w:szCs w:val="28"/>
          <w:lang w:val="es-CO"/>
        </w:rPr>
        <w:t xml:space="preserve"> Social</w:t>
      </w:r>
      <w:r w:rsidR="005A7CDD" w:rsidRPr="005D131A">
        <w:rPr>
          <w:sz w:val="28"/>
          <w:szCs w:val="28"/>
          <w:lang w:val="es-CO"/>
        </w:rPr>
        <w:t xml:space="preserve"> </w:t>
      </w:r>
      <w:r w:rsidR="0099449D" w:rsidRPr="005D131A">
        <w:rPr>
          <w:sz w:val="28"/>
          <w:szCs w:val="28"/>
          <w:lang w:val="es-CO"/>
        </w:rPr>
        <w:t>(</w:t>
      </w:r>
      <w:r w:rsidR="005A7CDD" w:rsidRPr="005D131A">
        <w:rPr>
          <w:sz w:val="28"/>
          <w:szCs w:val="28"/>
          <w:lang w:val="es-CO"/>
        </w:rPr>
        <w:t xml:space="preserve">hoy </w:t>
      </w:r>
      <w:r w:rsidR="00AC61FC" w:rsidRPr="005D131A">
        <w:rPr>
          <w:sz w:val="28"/>
          <w:szCs w:val="28"/>
          <w:lang w:val="es-CO"/>
        </w:rPr>
        <w:t>Salud y Protección Social)</w:t>
      </w:r>
      <w:r w:rsidRPr="005D131A">
        <w:rPr>
          <w:sz w:val="28"/>
          <w:szCs w:val="28"/>
          <w:lang w:val="es-CO"/>
        </w:rPr>
        <w:t xml:space="preserve"> </w:t>
      </w:r>
      <w:r w:rsidR="00594505" w:rsidRPr="005D131A">
        <w:rPr>
          <w:sz w:val="28"/>
          <w:szCs w:val="28"/>
          <w:lang w:val="es-CO"/>
        </w:rPr>
        <w:t>mediante memorial de 28 de agosto de 2008</w:t>
      </w:r>
      <w:r w:rsidR="00C91512" w:rsidRPr="005D131A">
        <w:rPr>
          <w:sz w:val="28"/>
          <w:szCs w:val="28"/>
          <w:vertAlign w:val="superscript"/>
          <w:lang w:val="es-CO"/>
        </w:rPr>
        <w:footnoteReference w:id="1"/>
      </w:r>
      <w:r w:rsidR="00C91512" w:rsidRPr="005D131A">
        <w:rPr>
          <w:sz w:val="28"/>
          <w:szCs w:val="28"/>
          <w:lang w:val="es-CO"/>
        </w:rPr>
        <w:t xml:space="preserve"> </w:t>
      </w:r>
      <w:r w:rsidR="00337781" w:rsidRPr="005D131A">
        <w:rPr>
          <w:sz w:val="28"/>
          <w:szCs w:val="28"/>
          <w:lang w:val="es-CO"/>
        </w:rPr>
        <w:t>inform</w:t>
      </w:r>
      <w:r w:rsidR="00CF36A5" w:rsidRPr="005D131A">
        <w:rPr>
          <w:sz w:val="28"/>
          <w:szCs w:val="28"/>
          <w:lang w:val="es-CO"/>
        </w:rPr>
        <w:t xml:space="preserve">ó que </w:t>
      </w:r>
      <w:r w:rsidR="001F2BA0" w:rsidRPr="005D131A">
        <w:rPr>
          <w:sz w:val="28"/>
          <w:szCs w:val="28"/>
          <w:lang w:val="es-CO"/>
        </w:rPr>
        <w:t>dentro del término previsto habí</w:t>
      </w:r>
      <w:r w:rsidR="0099449D" w:rsidRPr="005D131A">
        <w:rPr>
          <w:sz w:val="28"/>
          <w:szCs w:val="28"/>
          <w:lang w:val="es-CO"/>
        </w:rPr>
        <w:t>a dado cumplimiento a la orden vigésima t</w:t>
      </w:r>
      <w:r w:rsidR="001F2BA0" w:rsidRPr="005D131A">
        <w:rPr>
          <w:sz w:val="28"/>
          <w:szCs w:val="28"/>
          <w:lang w:val="es-CO"/>
        </w:rPr>
        <w:t xml:space="preserve">ercera, a través de </w:t>
      </w:r>
      <w:r w:rsidR="005A7CDD" w:rsidRPr="005D131A">
        <w:rPr>
          <w:sz w:val="28"/>
          <w:szCs w:val="28"/>
          <w:lang w:val="es-CO"/>
        </w:rPr>
        <w:t xml:space="preserve">la </w:t>
      </w:r>
      <w:r w:rsidR="008403EE" w:rsidRPr="005D131A">
        <w:rPr>
          <w:sz w:val="28"/>
          <w:szCs w:val="28"/>
          <w:lang w:val="es-CO"/>
        </w:rPr>
        <w:t xml:space="preserve">Resolución </w:t>
      </w:r>
      <w:r w:rsidR="005A7CDD" w:rsidRPr="005D131A">
        <w:rPr>
          <w:sz w:val="28"/>
          <w:szCs w:val="28"/>
          <w:lang w:val="es-CO"/>
        </w:rPr>
        <w:t>3099 de</w:t>
      </w:r>
      <w:r w:rsidR="00704B61" w:rsidRPr="005D131A">
        <w:rPr>
          <w:sz w:val="28"/>
          <w:szCs w:val="28"/>
          <w:lang w:val="es-CO"/>
        </w:rPr>
        <w:t xml:space="preserve"> </w:t>
      </w:r>
      <w:r w:rsidR="0099449D" w:rsidRPr="005D131A">
        <w:rPr>
          <w:sz w:val="28"/>
          <w:szCs w:val="28"/>
          <w:lang w:val="es-CO"/>
        </w:rPr>
        <w:t>19 de</w:t>
      </w:r>
      <w:r w:rsidR="005A7CDD" w:rsidRPr="005D131A">
        <w:rPr>
          <w:sz w:val="28"/>
          <w:szCs w:val="28"/>
          <w:lang w:val="es-CO"/>
        </w:rPr>
        <w:t xml:space="preserve"> agosto </w:t>
      </w:r>
      <w:r w:rsidR="0099449D" w:rsidRPr="005D131A">
        <w:rPr>
          <w:sz w:val="28"/>
          <w:szCs w:val="28"/>
          <w:lang w:val="es-CO"/>
        </w:rPr>
        <w:t xml:space="preserve">de </w:t>
      </w:r>
      <w:r w:rsidR="005A7CDD" w:rsidRPr="005D131A">
        <w:rPr>
          <w:sz w:val="28"/>
          <w:szCs w:val="28"/>
          <w:lang w:val="es-CO"/>
        </w:rPr>
        <w:t>2008</w:t>
      </w:r>
      <w:r w:rsidR="00386BCB" w:rsidRPr="005D131A">
        <w:rPr>
          <w:sz w:val="28"/>
          <w:szCs w:val="28"/>
          <w:lang w:val="es-CO"/>
        </w:rPr>
        <w:t>,</w:t>
      </w:r>
      <w:r w:rsidR="005A7CDD" w:rsidRPr="005D131A">
        <w:rPr>
          <w:sz w:val="28"/>
          <w:szCs w:val="28"/>
          <w:lang w:val="es-CO"/>
        </w:rPr>
        <w:t xml:space="preserve"> </w:t>
      </w:r>
      <w:r w:rsidR="001E7FDE" w:rsidRPr="005D131A">
        <w:rPr>
          <w:sz w:val="28"/>
          <w:szCs w:val="28"/>
          <w:lang w:val="es-CO"/>
        </w:rPr>
        <w:t xml:space="preserve">por medio de la cual </w:t>
      </w:r>
      <w:r w:rsidR="00BA685F" w:rsidRPr="005D131A">
        <w:rPr>
          <w:sz w:val="28"/>
          <w:szCs w:val="28"/>
          <w:lang w:val="es-CO"/>
        </w:rPr>
        <w:t xml:space="preserve">reglamentó los </w:t>
      </w:r>
      <w:r w:rsidR="0099449D" w:rsidRPr="005D131A">
        <w:rPr>
          <w:sz w:val="28"/>
          <w:szCs w:val="28"/>
          <w:lang w:val="es-CO"/>
        </w:rPr>
        <w:t>Comités Técnicos Científicos -CTC-</w:t>
      </w:r>
      <w:r w:rsidR="00386BCB" w:rsidRPr="005D131A">
        <w:rPr>
          <w:sz w:val="28"/>
          <w:szCs w:val="28"/>
          <w:vertAlign w:val="superscript"/>
          <w:lang w:val="es-CO"/>
        </w:rPr>
        <w:footnoteReference w:id="2"/>
      </w:r>
      <w:r w:rsidR="00386BCB" w:rsidRPr="005D131A">
        <w:rPr>
          <w:sz w:val="28"/>
          <w:szCs w:val="28"/>
          <w:lang w:val="es-CO"/>
        </w:rPr>
        <w:t>.</w:t>
      </w:r>
      <w:r w:rsidR="008403EE" w:rsidRPr="005D131A">
        <w:rPr>
          <w:sz w:val="28"/>
          <w:szCs w:val="28"/>
          <w:lang w:val="es-CO"/>
        </w:rPr>
        <w:t xml:space="preserve"> </w:t>
      </w:r>
    </w:p>
    <w:p w:rsidR="002D5990" w:rsidRPr="005D131A" w:rsidRDefault="002D5990" w:rsidP="005D131A">
      <w:pPr>
        <w:rPr>
          <w:sz w:val="28"/>
          <w:szCs w:val="28"/>
          <w:lang w:val="es-CO"/>
        </w:rPr>
      </w:pPr>
    </w:p>
    <w:p w:rsidR="005D732F" w:rsidRPr="005D131A" w:rsidRDefault="00386BCB" w:rsidP="005D131A">
      <w:pPr>
        <w:rPr>
          <w:sz w:val="28"/>
          <w:szCs w:val="28"/>
          <w:lang w:val="es-CO"/>
        </w:rPr>
      </w:pPr>
      <w:r w:rsidRPr="005D131A">
        <w:rPr>
          <w:sz w:val="28"/>
          <w:szCs w:val="28"/>
          <w:lang w:val="es-CO"/>
        </w:rPr>
        <w:t>Sostuvo que ese acto administrativo</w:t>
      </w:r>
      <w:r w:rsidR="0099449D" w:rsidRPr="005D131A">
        <w:rPr>
          <w:sz w:val="28"/>
          <w:szCs w:val="28"/>
          <w:lang w:val="es-CO"/>
        </w:rPr>
        <w:t>, entre otros aspectos</w:t>
      </w:r>
      <w:r w:rsidR="008403EE" w:rsidRPr="005D131A">
        <w:rPr>
          <w:sz w:val="28"/>
          <w:szCs w:val="28"/>
          <w:lang w:val="es-CO"/>
        </w:rPr>
        <w:t>, extendió las competencias del Comité Técnico Científico</w:t>
      </w:r>
      <w:r w:rsidR="0099449D" w:rsidRPr="005D131A">
        <w:rPr>
          <w:sz w:val="28"/>
          <w:szCs w:val="28"/>
          <w:lang w:val="es-CO"/>
        </w:rPr>
        <w:t xml:space="preserve"> </w:t>
      </w:r>
      <w:r w:rsidR="003573C2" w:rsidRPr="005D131A">
        <w:rPr>
          <w:sz w:val="28"/>
          <w:szCs w:val="28"/>
          <w:lang w:val="es-CO"/>
        </w:rPr>
        <w:t>(en adelante CTC)</w:t>
      </w:r>
      <w:r w:rsidR="0099449D" w:rsidRPr="005D131A">
        <w:rPr>
          <w:sz w:val="28"/>
          <w:szCs w:val="28"/>
          <w:lang w:val="es-CO"/>
        </w:rPr>
        <w:t xml:space="preserve"> </w:t>
      </w:r>
      <w:r w:rsidR="008403EE" w:rsidRPr="005D131A">
        <w:rPr>
          <w:sz w:val="28"/>
          <w:szCs w:val="28"/>
          <w:lang w:val="es-CO"/>
        </w:rPr>
        <w:t xml:space="preserve">para autorizar los servicios médicos y prestaciones de salud no </w:t>
      </w:r>
      <w:r w:rsidR="002348A2" w:rsidRPr="005D131A">
        <w:rPr>
          <w:sz w:val="28"/>
          <w:szCs w:val="28"/>
          <w:lang w:val="es-CO"/>
        </w:rPr>
        <w:t>incluido</w:t>
      </w:r>
      <w:r w:rsidR="0099449D" w:rsidRPr="005D131A">
        <w:rPr>
          <w:sz w:val="28"/>
          <w:szCs w:val="28"/>
          <w:lang w:val="es-CO"/>
        </w:rPr>
        <w:t xml:space="preserve">s en el POS. </w:t>
      </w:r>
    </w:p>
    <w:p w:rsidR="005E38BA" w:rsidRPr="005D131A" w:rsidRDefault="005E38BA" w:rsidP="005D131A">
      <w:pPr>
        <w:rPr>
          <w:sz w:val="28"/>
          <w:szCs w:val="28"/>
          <w:lang w:val="es-CO"/>
        </w:rPr>
      </w:pPr>
    </w:p>
    <w:p w:rsidR="00F249CA" w:rsidRPr="005D131A" w:rsidRDefault="00826047" w:rsidP="005D131A">
      <w:pPr>
        <w:rPr>
          <w:sz w:val="28"/>
          <w:szCs w:val="28"/>
          <w:lang w:val="es-CO"/>
        </w:rPr>
      </w:pPr>
      <w:r w:rsidRPr="005D131A">
        <w:rPr>
          <w:sz w:val="28"/>
          <w:szCs w:val="28"/>
          <w:lang w:val="es-CO"/>
        </w:rPr>
        <w:t xml:space="preserve">3. </w:t>
      </w:r>
      <w:r w:rsidR="0099449D" w:rsidRPr="005D131A">
        <w:rPr>
          <w:sz w:val="28"/>
          <w:szCs w:val="28"/>
          <w:lang w:val="es-CO"/>
        </w:rPr>
        <w:t>L</w:t>
      </w:r>
      <w:r w:rsidR="00F16073" w:rsidRPr="005D131A">
        <w:rPr>
          <w:sz w:val="28"/>
          <w:szCs w:val="28"/>
          <w:lang w:val="es-CO"/>
        </w:rPr>
        <w:t>a Asociación Colombiana de Empresas de Medicina Integral -</w:t>
      </w:r>
      <w:r w:rsidR="00DF626A" w:rsidRPr="005D131A">
        <w:rPr>
          <w:sz w:val="28"/>
          <w:szCs w:val="28"/>
          <w:lang w:val="es-CO"/>
        </w:rPr>
        <w:t>A</w:t>
      </w:r>
      <w:r w:rsidR="0099449D" w:rsidRPr="005D131A">
        <w:rPr>
          <w:sz w:val="28"/>
          <w:szCs w:val="28"/>
          <w:lang w:val="es-CO"/>
        </w:rPr>
        <w:t>cemi</w:t>
      </w:r>
      <w:r w:rsidR="00DF626A" w:rsidRPr="005D131A">
        <w:rPr>
          <w:sz w:val="28"/>
          <w:szCs w:val="28"/>
          <w:lang w:val="es-CO"/>
        </w:rPr>
        <w:t xml:space="preserve">-, </w:t>
      </w:r>
      <w:r w:rsidR="00F16073" w:rsidRPr="005D131A">
        <w:rPr>
          <w:sz w:val="28"/>
          <w:szCs w:val="28"/>
          <w:lang w:val="es-CO"/>
        </w:rPr>
        <w:t>mediante oficio de 5 de septiembre de 2008</w:t>
      </w:r>
      <w:r w:rsidR="0099449D" w:rsidRPr="005D131A">
        <w:rPr>
          <w:sz w:val="28"/>
          <w:szCs w:val="28"/>
          <w:vertAlign w:val="superscript"/>
          <w:lang w:val="es-CO"/>
        </w:rPr>
        <w:footnoteReference w:id="3"/>
      </w:r>
      <w:r w:rsidR="00F16073" w:rsidRPr="005D131A">
        <w:rPr>
          <w:sz w:val="28"/>
          <w:szCs w:val="28"/>
          <w:lang w:val="es-CO"/>
        </w:rPr>
        <w:t xml:space="preserve"> allegó los comentarios </w:t>
      </w:r>
      <w:r w:rsidR="0099449D" w:rsidRPr="005D131A">
        <w:rPr>
          <w:sz w:val="28"/>
          <w:szCs w:val="28"/>
          <w:lang w:val="es-CO"/>
        </w:rPr>
        <w:t>entorno</w:t>
      </w:r>
      <w:r w:rsidR="00F249CA" w:rsidRPr="005D131A">
        <w:rPr>
          <w:sz w:val="28"/>
          <w:szCs w:val="28"/>
          <w:lang w:val="es-CO"/>
        </w:rPr>
        <w:t xml:space="preserve"> a </w:t>
      </w:r>
      <w:r w:rsidR="00F16073" w:rsidRPr="005D131A">
        <w:rPr>
          <w:sz w:val="28"/>
          <w:szCs w:val="28"/>
          <w:lang w:val="es-CO"/>
        </w:rPr>
        <w:t xml:space="preserve">la Resolución </w:t>
      </w:r>
      <w:r w:rsidR="00FA58DD" w:rsidRPr="005D131A">
        <w:rPr>
          <w:sz w:val="28"/>
          <w:szCs w:val="28"/>
          <w:lang w:val="es-CO"/>
        </w:rPr>
        <w:t>3099 de 2008</w:t>
      </w:r>
      <w:r w:rsidR="00F16073" w:rsidRPr="005D131A">
        <w:rPr>
          <w:sz w:val="28"/>
          <w:szCs w:val="28"/>
          <w:lang w:val="es-CO"/>
        </w:rPr>
        <w:t xml:space="preserve">, en los que sugirió </w:t>
      </w:r>
      <w:r w:rsidR="00FA58DD" w:rsidRPr="005D131A">
        <w:rPr>
          <w:sz w:val="28"/>
          <w:szCs w:val="28"/>
          <w:lang w:val="es-CO"/>
        </w:rPr>
        <w:t xml:space="preserve">su modificación porque no tuvo en cuenta los lineamientos dispuestos en la sentencia T-760 de 2008. </w:t>
      </w:r>
      <w:r w:rsidR="002348A2" w:rsidRPr="005D131A">
        <w:rPr>
          <w:sz w:val="28"/>
          <w:szCs w:val="28"/>
          <w:lang w:val="es-CO"/>
        </w:rPr>
        <w:t>Aunado a ello</w:t>
      </w:r>
      <w:r w:rsidR="00F249CA" w:rsidRPr="005D131A">
        <w:rPr>
          <w:sz w:val="28"/>
          <w:szCs w:val="28"/>
          <w:lang w:val="es-CO"/>
        </w:rPr>
        <w:t>,</w:t>
      </w:r>
      <w:r w:rsidR="002348A2" w:rsidRPr="005D131A">
        <w:rPr>
          <w:sz w:val="28"/>
          <w:szCs w:val="28"/>
          <w:lang w:val="es-CO"/>
        </w:rPr>
        <w:t xml:space="preserve"> </w:t>
      </w:r>
      <w:r w:rsidR="00E76CC7" w:rsidRPr="005D131A">
        <w:rPr>
          <w:sz w:val="28"/>
          <w:szCs w:val="28"/>
          <w:lang w:val="es-CO"/>
        </w:rPr>
        <w:t>consideró necesario</w:t>
      </w:r>
      <w:r w:rsidR="00F249CA" w:rsidRPr="005D131A">
        <w:rPr>
          <w:sz w:val="28"/>
          <w:szCs w:val="28"/>
          <w:lang w:val="es-CO"/>
        </w:rPr>
        <w:t xml:space="preserve"> que el Ministerio </w:t>
      </w:r>
      <w:r w:rsidR="006560F8" w:rsidRPr="005D131A">
        <w:rPr>
          <w:sz w:val="28"/>
          <w:szCs w:val="28"/>
          <w:lang w:val="es-CO"/>
        </w:rPr>
        <w:t xml:space="preserve">definiera la facultad de los </w:t>
      </w:r>
      <w:r w:rsidR="00F249CA" w:rsidRPr="005D131A">
        <w:rPr>
          <w:sz w:val="28"/>
          <w:szCs w:val="28"/>
          <w:lang w:val="es-CO"/>
        </w:rPr>
        <w:t xml:space="preserve">CTC, </w:t>
      </w:r>
      <w:r w:rsidR="006560F8" w:rsidRPr="005D131A">
        <w:rPr>
          <w:sz w:val="28"/>
          <w:szCs w:val="28"/>
          <w:lang w:val="es-CO"/>
        </w:rPr>
        <w:t>para autorizar, entre otros,</w:t>
      </w:r>
      <w:r w:rsidR="00E76CC7" w:rsidRPr="005D131A">
        <w:rPr>
          <w:sz w:val="28"/>
          <w:szCs w:val="28"/>
          <w:lang w:val="es-CO"/>
        </w:rPr>
        <w:t xml:space="preserve"> los siguientes beneficios: (i) transporte no medicalizado fuera de las zonas especiales; (ii) </w:t>
      </w:r>
      <w:r w:rsidR="006560F8" w:rsidRPr="005D131A">
        <w:rPr>
          <w:sz w:val="28"/>
          <w:szCs w:val="28"/>
          <w:lang w:val="es-CO"/>
        </w:rPr>
        <w:t xml:space="preserve">viáticos del afiliado y </w:t>
      </w:r>
      <w:r w:rsidR="00E76CC7" w:rsidRPr="005D131A">
        <w:rPr>
          <w:sz w:val="28"/>
          <w:szCs w:val="28"/>
          <w:lang w:val="es-CO"/>
        </w:rPr>
        <w:t xml:space="preserve">de su </w:t>
      </w:r>
      <w:r w:rsidR="006560F8" w:rsidRPr="005D131A">
        <w:rPr>
          <w:sz w:val="28"/>
          <w:szCs w:val="28"/>
          <w:lang w:val="es-CO"/>
        </w:rPr>
        <w:t>acompañante</w:t>
      </w:r>
      <w:r w:rsidR="00E76CC7" w:rsidRPr="005D131A">
        <w:rPr>
          <w:sz w:val="28"/>
          <w:szCs w:val="28"/>
          <w:lang w:val="es-CO"/>
        </w:rPr>
        <w:t xml:space="preserve"> (transporte, gastos de hotel y alimentación); (iii)</w:t>
      </w:r>
      <w:r w:rsidR="006560F8" w:rsidRPr="005D131A">
        <w:rPr>
          <w:sz w:val="28"/>
          <w:szCs w:val="28"/>
          <w:lang w:val="es-CO"/>
        </w:rPr>
        <w:t xml:space="preserve"> </w:t>
      </w:r>
      <w:r w:rsidR="00E76CC7" w:rsidRPr="005D131A">
        <w:rPr>
          <w:sz w:val="28"/>
          <w:szCs w:val="28"/>
          <w:lang w:val="es-CO"/>
        </w:rPr>
        <w:t>pañales</w:t>
      </w:r>
      <w:r w:rsidR="00E11F85" w:rsidRPr="005D131A">
        <w:rPr>
          <w:sz w:val="28"/>
          <w:szCs w:val="28"/>
          <w:lang w:val="es-CO"/>
        </w:rPr>
        <w:t>;</w:t>
      </w:r>
      <w:r w:rsidR="00E76CC7" w:rsidRPr="005D131A">
        <w:rPr>
          <w:sz w:val="28"/>
          <w:szCs w:val="28"/>
          <w:lang w:val="es-CO"/>
        </w:rPr>
        <w:t xml:space="preserve"> (iv)</w:t>
      </w:r>
      <w:r w:rsidR="001846CC" w:rsidRPr="005D131A">
        <w:rPr>
          <w:sz w:val="28"/>
          <w:szCs w:val="28"/>
          <w:lang w:val="es-CO"/>
        </w:rPr>
        <w:t xml:space="preserve"> </w:t>
      </w:r>
      <w:r w:rsidR="00E76CC7" w:rsidRPr="005D131A">
        <w:rPr>
          <w:sz w:val="28"/>
          <w:szCs w:val="28"/>
          <w:lang w:val="es-CO"/>
        </w:rPr>
        <w:t>cremas y</w:t>
      </w:r>
      <w:r w:rsidR="001846CC" w:rsidRPr="005D131A">
        <w:rPr>
          <w:sz w:val="28"/>
          <w:szCs w:val="28"/>
          <w:lang w:val="es-CO"/>
        </w:rPr>
        <w:t xml:space="preserve"> </w:t>
      </w:r>
      <w:r w:rsidR="00E76CC7" w:rsidRPr="005D131A">
        <w:rPr>
          <w:sz w:val="28"/>
          <w:szCs w:val="28"/>
          <w:lang w:val="es-CO"/>
        </w:rPr>
        <w:t>lociones; (v)</w:t>
      </w:r>
      <w:r w:rsidR="006560F8" w:rsidRPr="005D131A">
        <w:rPr>
          <w:sz w:val="28"/>
          <w:szCs w:val="28"/>
          <w:lang w:val="es-CO"/>
        </w:rPr>
        <w:t xml:space="preserve"> colegios especiales y terapias </w:t>
      </w:r>
      <w:r w:rsidR="007035A1" w:rsidRPr="005D131A">
        <w:rPr>
          <w:sz w:val="28"/>
          <w:szCs w:val="28"/>
          <w:lang w:val="es-CO"/>
        </w:rPr>
        <w:t>recreacionales</w:t>
      </w:r>
      <w:r w:rsidR="00E11F85" w:rsidRPr="005D131A">
        <w:rPr>
          <w:sz w:val="28"/>
          <w:szCs w:val="28"/>
          <w:lang w:val="es-CO"/>
        </w:rPr>
        <w:t>;</w:t>
      </w:r>
      <w:r w:rsidR="00E76CC7" w:rsidRPr="005D131A">
        <w:rPr>
          <w:sz w:val="28"/>
          <w:szCs w:val="28"/>
          <w:lang w:val="es-CO"/>
        </w:rPr>
        <w:t xml:space="preserve"> (vi)</w:t>
      </w:r>
      <w:r w:rsidR="006560F8" w:rsidRPr="005D131A">
        <w:rPr>
          <w:sz w:val="28"/>
          <w:szCs w:val="28"/>
          <w:lang w:val="es-CO"/>
        </w:rPr>
        <w:t xml:space="preserve"> servicio de grúa para trasladar pacientes con</w:t>
      </w:r>
      <w:r w:rsidR="00E76CC7" w:rsidRPr="005D131A">
        <w:rPr>
          <w:sz w:val="28"/>
          <w:szCs w:val="28"/>
          <w:lang w:val="es-CO"/>
        </w:rPr>
        <w:t xml:space="preserve"> obesidad; (vii)</w:t>
      </w:r>
      <w:r w:rsidR="006560F8" w:rsidRPr="005D131A">
        <w:rPr>
          <w:sz w:val="28"/>
          <w:szCs w:val="28"/>
          <w:lang w:val="es-CO"/>
        </w:rPr>
        <w:t xml:space="preserve"> </w:t>
      </w:r>
      <w:r w:rsidR="00E76CC7" w:rsidRPr="005D131A">
        <w:rPr>
          <w:sz w:val="28"/>
          <w:szCs w:val="28"/>
          <w:lang w:val="es-CO"/>
        </w:rPr>
        <w:t>monturas para gafas; (viii)</w:t>
      </w:r>
      <w:r w:rsidR="00F7270A" w:rsidRPr="005D131A">
        <w:rPr>
          <w:sz w:val="28"/>
          <w:szCs w:val="28"/>
          <w:lang w:val="es-CO"/>
        </w:rPr>
        <w:t xml:space="preserve"> </w:t>
      </w:r>
      <w:r w:rsidR="00E76CC7" w:rsidRPr="005D131A">
        <w:rPr>
          <w:sz w:val="28"/>
          <w:szCs w:val="28"/>
          <w:lang w:val="es-CO"/>
        </w:rPr>
        <w:t>medias para várice; (ix)</w:t>
      </w:r>
      <w:r w:rsidR="00F7270A" w:rsidRPr="005D131A">
        <w:rPr>
          <w:sz w:val="28"/>
          <w:szCs w:val="28"/>
          <w:lang w:val="es-CO"/>
        </w:rPr>
        <w:t xml:space="preserve"> </w:t>
      </w:r>
      <w:r w:rsidR="006560F8" w:rsidRPr="005D131A">
        <w:rPr>
          <w:sz w:val="28"/>
          <w:szCs w:val="28"/>
          <w:lang w:val="es-CO"/>
        </w:rPr>
        <w:t>suplementos dietarios</w:t>
      </w:r>
      <w:r w:rsidR="005035F2" w:rsidRPr="005D131A">
        <w:rPr>
          <w:sz w:val="28"/>
          <w:szCs w:val="28"/>
          <w:lang w:val="es-CO"/>
        </w:rPr>
        <w:t xml:space="preserve"> y</w:t>
      </w:r>
      <w:r w:rsidR="003573C2" w:rsidRPr="005D131A">
        <w:rPr>
          <w:sz w:val="28"/>
          <w:szCs w:val="28"/>
          <w:lang w:val="es-CO"/>
        </w:rPr>
        <w:t>; (x) el otorgamiento de</w:t>
      </w:r>
      <w:r w:rsidR="00E76CC7" w:rsidRPr="005D131A">
        <w:rPr>
          <w:sz w:val="28"/>
          <w:szCs w:val="28"/>
          <w:lang w:val="es-CO"/>
        </w:rPr>
        <w:t xml:space="preserve"> prestaciones en el exterior, incluyendo tiquetes (afiliado y acompañante) y viáticos. </w:t>
      </w:r>
    </w:p>
    <w:p w:rsidR="00F249CA" w:rsidRPr="005D131A" w:rsidRDefault="00F249CA" w:rsidP="005D131A">
      <w:pPr>
        <w:rPr>
          <w:sz w:val="28"/>
          <w:szCs w:val="28"/>
          <w:lang w:val="es-CO"/>
        </w:rPr>
      </w:pPr>
    </w:p>
    <w:p w:rsidR="005D5C5F" w:rsidRPr="005D131A" w:rsidRDefault="00F249CA" w:rsidP="005D131A">
      <w:pPr>
        <w:rPr>
          <w:sz w:val="28"/>
          <w:szCs w:val="28"/>
          <w:lang w:val="es-CO"/>
        </w:rPr>
      </w:pPr>
      <w:r w:rsidRPr="005D131A">
        <w:rPr>
          <w:sz w:val="28"/>
          <w:szCs w:val="28"/>
          <w:lang w:val="es-CO"/>
        </w:rPr>
        <w:t>Asimismo</w:t>
      </w:r>
      <w:r w:rsidR="007035A1" w:rsidRPr="005D131A">
        <w:rPr>
          <w:sz w:val="28"/>
          <w:szCs w:val="28"/>
          <w:lang w:val="es-CO"/>
        </w:rPr>
        <w:t xml:space="preserve">, </w:t>
      </w:r>
      <w:r w:rsidR="00F7270A" w:rsidRPr="005D131A">
        <w:rPr>
          <w:sz w:val="28"/>
          <w:szCs w:val="28"/>
          <w:lang w:val="es-CO"/>
        </w:rPr>
        <w:t xml:space="preserve">solicitó </w:t>
      </w:r>
      <w:r w:rsidR="007035A1" w:rsidRPr="005D131A">
        <w:rPr>
          <w:sz w:val="28"/>
          <w:szCs w:val="28"/>
          <w:lang w:val="es-CO"/>
        </w:rPr>
        <w:t xml:space="preserve">que en los casos </w:t>
      </w:r>
      <w:r w:rsidR="006C4D88" w:rsidRPr="005D131A">
        <w:rPr>
          <w:sz w:val="28"/>
          <w:szCs w:val="28"/>
          <w:lang w:val="es-CO"/>
        </w:rPr>
        <w:t xml:space="preserve">donde </w:t>
      </w:r>
      <w:r w:rsidR="007035A1" w:rsidRPr="005D131A">
        <w:rPr>
          <w:sz w:val="28"/>
          <w:szCs w:val="28"/>
          <w:lang w:val="es-CO"/>
        </w:rPr>
        <w:t xml:space="preserve">se presuma la capacidad de </w:t>
      </w:r>
      <w:r w:rsidR="006C258E" w:rsidRPr="005D131A">
        <w:rPr>
          <w:sz w:val="28"/>
          <w:szCs w:val="28"/>
          <w:lang w:val="es-CO"/>
        </w:rPr>
        <w:t>pago del afiliado no se tramite</w:t>
      </w:r>
      <w:r w:rsidR="00B758FF" w:rsidRPr="005D131A">
        <w:rPr>
          <w:sz w:val="28"/>
          <w:szCs w:val="28"/>
          <w:lang w:val="es-CO"/>
        </w:rPr>
        <w:t xml:space="preserve"> la entrega de beneficios no POS</w:t>
      </w:r>
      <w:r w:rsidR="007035A1" w:rsidRPr="005D131A">
        <w:rPr>
          <w:sz w:val="28"/>
          <w:szCs w:val="28"/>
          <w:lang w:val="es-CO"/>
        </w:rPr>
        <w:t xml:space="preserve"> ante el </w:t>
      </w:r>
      <w:r w:rsidR="00B758FF" w:rsidRPr="005D131A">
        <w:rPr>
          <w:sz w:val="28"/>
          <w:szCs w:val="28"/>
          <w:lang w:val="es-CO"/>
        </w:rPr>
        <w:t>CTC</w:t>
      </w:r>
      <w:r w:rsidR="003573C2" w:rsidRPr="005D131A">
        <w:rPr>
          <w:sz w:val="28"/>
          <w:szCs w:val="28"/>
          <w:lang w:val="es-CO"/>
        </w:rPr>
        <w:t>. L</w:t>
      </w:r>
      <w:r w:rsidR="006C4D88" w:rsidRPr="005D131A">
        <w:rPr>
          <w:sz w:val="28"/>
          <w:szCs w:val="28"/>
          <w:lang w:val="es-CO"/>
        </w:rPr>
        <w:t xml:space="preserve">o anterior, con el fin de </w:t>
      </w:r>
      <w:r w:rsidR="007035A1" w:rsidRPr="005D131A">
        <w:rPr>
          <w:sz w:val="28"/>
          <w:szCs w:val="28"/>
          <w:lang w:val="es-CO"/>
        </w:rPr>
        <w:t>racionalizar los r</w:t>
      </w:r>
      <w:r w:rsidR="00B758FF" w:rsidRPr="005D131A">
        <w:rPr>
          <w:sz w:val="28"/>
          <w:szCs w:val="28"/>
          <w:lang w:val="es-CO"/>
        </w:rPr>
        <w:t xml:space="preserve">ecursos del sistema y garantizar que estos se dirijan a financiar a la población más desprotegida. </w:t>
      </w:r>
    </w:p>
    <w:p w:rsidR="005D5C5F" w:rsidRPr="005D131A" w:rsidRDefault="005D5C5F" w:rsidP="005D131A">
      <w:pPr>
        <w:rPr>
          <w:sz w:val="28"/>
          <w:szCs w:val="28"/>
          <w:lang w:val="es-CO"/>
        </w:rPr>
      </w:pPr>
    </w:p>
    <w:p w:rsidR="005D5C5F" w:rsidRPr="005D131A" w:rsidRDefault="00F156D6" w:rsidP="005D131A">
      <w:pPr>
        <w:rPr>
          <w:sz w:val="28"/>
          <w:szCs w:val="28"/>
          <w:lang w:val="es-CO"/>
        </w:rPr>
      </w:pPr>
      <w:r w:rsidRPr="005D131A">
        <w:rPr>
          <w:sz w:val="28"/>
          <w:szCs w:val="28"/>
          <w:lang w:val="es-CO"/>
        </w:rPr>
        <w:t xml:space="preserve">Advirtió que los criterios que deben ser tenidos en cuenta </w:t>
      </w:r>
      <w:r w:rsidR="00783A4C" w:rsidRPr="005D131A">
        <w:rPr>
          <w:sz w:val="28"/>
          <w:szCs w:val="28"/>
          <w:lang w:val="es-CO"/>
        </w:rPr>
        <w:t xml:space="preserve">por parte de los </w:t>
      </w:r>
      <w:r w:rsidRPr="005D131A">
        <w:rPr>
          <w:sz w:val="28"/>
          <w:szCs w:val="28"/>
          <w:lang w:val="es-CO"/>
        </w:rPr>
        <w:t xml:space="preserve">CTC para autorizar medicamentos no incluidos en el POS, no solo </w:t>
      </w:r>
      <w:r w:rsidR="00783A4C" w:rsidRPr="005D131A">
        <w:rPr>
          <w:sz w:val="28"/>
          <w:szCs w:val="28"/>
          <w:lang w:val="es-CO"/>
        </w:rPr>
        <w:t>deben girar en torno a la existencia de u</w:t>
      </w:r>
      <w:r w:rsidR="003573C2" w:rsidRPr="005D131A">
        <w:rPr>
          <w:sz w:val="28"/>
          <w:szCs w:val="28"/>
          <w:lang w:val="es-CO"/>
        </w:rPr>
        <w:t xml:space="preserve">n riesgo inminente para la vida, </w:t>
      </w:r>
      <w:r w:rsidR="00783A4C" w:rsidRPr="005D131A">
        <w:rPr>
          <w:sz w:val="28"/>
          <w:szCs w:val="28"/>
          <w:lang w:val="es-CO"/>
        </w:rPr>
        <w:t xml:space="preserve">sino que deben incluirse los relacionados con la integridad y dignidad de los afiliados, tal como </w:t>
      </w:r>
      <w:r w:rsidR="005D5C5F" w:rsidRPr="005D131A">
        <w:rPr>
          <w:sz w:val="28"/>
          <w:szCs w:val="28"/>
          <w:lang w:val="es-CO"/>
        </w:rPr>
        <w:t xml:space="preserve">lo dispuso la sentencia de la Corte Constitucional. </w:t>
      </w:r>
    </w:p>
    <w:p w:rsidR="005D5C5F" w:rsidRPr="005D131A" w:rsidRDefault="005D5C5F" w:rsidP="005D131A">
      <w:pPr>
        <w:rPr>
          <w:sz w:val="28"/>
          <w:szCs w:val="28"/>
          <w:lang w:val="es-CO"/>
        </w:rPr>
      </w:pPr>
    </w:p>
    <w:p w:rsidR="00DF7AD7" w:rsidRPr="005D131A" w:rsidRDefault="005D5C5F" w:rsidP="005D131A">
      <w:pPr>
        <w:rPr>
          <w:sz w:val="28"/>
          <w:szCs w:val="28"/>
          <w:lang w:val="es-CO"/>
        </w:rPr>
      </w:pPr>
      <w:r w:rsidRPr="005D131A">
        <w:rPr>
          <w:sz w:val="28"/>
          <w:szCs w:val="28"/>
          <w:lang w:val="es-CO"/>
        </w:rPr>
        <w:t xml:space="preserve">Finalmente, en cuanto al </w:t>
      </w:r>
      <w:r w:rsidR="003573C2" w:rsidRPr="005D131A">
        <w:rPr>
          <w:sz w:val="28"/>
          <w:szCs w:val="28"/>
          <w:lang w:val="es-CO"/>
        </w:rPr>
        <w:t xml:space="preserve">régimen subsidiado </w:t>
      </w:r>
      <w:r w:rsidR="00A54C39" w:rsidRPr="005D131A">
        <w:rPr>
          <w:sz w:val="28"/>
          <w:szCs w:val="28"/>
          <w:lang w:val="es-CO"/>
        </w:rPr>
        <w:t xml:space="preserve">sugirió la implementación de una </w:t>
      </w:r>
      <w:r w:rsidR="00F614A3" w:rsidRPr="005D131A">
        <w:rPr>
          <w:sz w:val="28"/>
          <w:szCs w:val="28"/>
          <w:lang w:val="es-CO"/>
        </w:rPr>
        <w:t>regulación especial</w:t>
      </w:r>
      <w:r w:rsidR="006D13D5" w:rsidRPr="005D131A">
        <w:rPr>
          <w:sz w:val="28"/>
          <w:szCs w:val="28"/>
          <w:lang w:val="es-CO"/>
        </w:rPr>
        <w:t xml:space="preserve"> con</w:t>
      </w:r>
      <w:r w:rsidR="00E76CC7" w:rsidRPr="005D131A">
        <w:rPr>
          <w:sz w:val="28"/>
          <w:szCs w:val="28"/>
          <w:lang w:val="es-CO"/>
        </w:rPr>
        <w:t xml:space="preserve"> el fin de que el </w:t>
      </w:r>
      <w:r w:rsidR="006D13D5" w:rsidRPr="005D131A">
        <w:rPr>
          <w:sz w:val="28"/>
          <w:szCs w:val="28"/>
          <w:lang w:val="es-CO"/>
        </w:rPr>
        <w:t xml:space="preserve">ente territorial preste </w:t>
      </w:r>
      <w:r w:rsidR="002348A2" w:rsidRPr="005D131A">
        <w:rPr>
          <w:sz w:val="28"/>
          <w:szCs w:val="28"/>
          <w:lang w:val="es-CO"/>
        </w:rPr>
        <w:t xml:space="preserve">de manera directa </w:t>
      </w:r>
      <w:r w:rsidR="006D13D5" w:rsidRPr="005D131A">
        <w:rPr>
          <w:sz w:val="28"/>
          <w:szCs w:val="28"/>
          <w:lang w:val="es-CO"/>
        </w:rPr>
        <w:t>los servicios no incluidos en el POS</w:t>
      </w:r>
      <w:r w:rsidR="00D16DC3" w:rsidRPr="005D131A">
        <w:rPr>
          <w:sz w:val="28"/>
          <w:szCs w:val="28"/>
          <w:lang w:val="es-CO"/>
        </w:rPr>
        <w:t xml:space="preserve">, de manera que </w:t>
      </w:r>
      <w:r w:rsidR="00704B61" w:rsidRPr="005D131A">
        <w:rPr>
          <w:sz w:val="28"/>
          <w:szCs w:val="28"/>
          <w:lang w:val="es-CO"/>
        </w:rPr>
        <w:t xml:space="preserve">las </w:t>
      </w:r>
      <w:r w:rsidR="00D16DC3" w:rsidRPr="005D131A">
        <w:rPr>
          <w:sz w:val="28"/>
          <w:szCs w:val="28"/>
          <w:lang w:val="es-CO"/>
        </w:rPr>
        <w:t>EPS-S</w:t>
      </w:r>
      <w:r w:rsidR="006D13D5" w:rsidRPr="005D131A">
        <w:rPr>
          <w:sz w:val="28"/>
          <w:szCs w:val="28"/>
          <w:lang w:val="es-CO"/>
        </w:rPr>
        <w:t xml:space="preserve"> </w:t>
      </w:r>
      <w:r w:rsidR="00CA752D" w:rsidRPr="005D131A">
        <w:rPr>
          <w:sz w:val="28"/>
          <w:szCs w:val="28"/>
          <w:lang w:val="es-CO"/>
        </w:rPr>
        <w:t xml:space="preserve">se limiten a </w:t>
      </w:r>
      <w:r w:rsidR="006D13D5" w:rsidRPr="005D131A">
        <w:rPr>
          <w:sz w:val="28"/>
          <w:szCs w:val="28"/>
          <w:lang w:val="es-CO"/>
        </w:rPr>
        <w:t>remitir</w:t>
      </w:r>
      <w:r w:rsidR="0053646C" w:rsidRPr="005D131A">
        <w:rPr>
          <w:sz w:val="28"/>
          <w:szCs w:val="28"/>
          <w:lang w:val="es-CO"/>
        </w:rPr>
        <w:t xml:space="preserve"> de manera oportuna </w:t>
      </w:r>
      <w:r w:rsidR="00F614A3" w:rsidRPr="005D131A">
        <w:rPr>
          <w:sz w:val="28"/>
          <w:szCs w:val="28"/>
          <w:lang w:val="es-CO"/>
        </w:rPr>
        <w:t xml:space="preserve">al afiliado </w:t>
      </w:r>
      <w:r w:rsidR="006D13D5" w:rsidRPr="005D131A">
        <w:rPr>
          <w:sz w:val="28"/>
          <w:szCs w:val="28"/>
          <w:lang w:val="es-CO"/>
        </w:rPr>
        <w:t xml:space="preserve">a la Institución Prestadora de Servicios </w:t>
      </w:r>
      <w:r w:rsidR="00CA752D" w:rsidRPr="005D131A">
        <w:rPr>
          <w:sz w:val="28"/>
          <w:szCs w:val="28"/>
          <w:lang w:val="es-CO"/>
        </w:rPr>
        <w:t>-IPS- contratada por el municipio</w:t>
      </w:r>
      <w:r w:rsidR="00835A1E" w:rsidRPr="005D131A">
        <w:rPr>
          <w:sz w:val="28"/>
          <w:szCs w:val="28"/>
          <w:lang w:val="es-CO"/>
        </w:rPr>
        <w:t xml:space="preserve">, </w:t>
      </w:r>
      <w:r w:rsidR="006C258E" w:rsidRPr="005D131A">
        <w:rPr>
          <w:sz w:val="28"/>
          <w:szCs w:val="28"/>
          <w:lang w:val="es-CO"/>
        </w:rPr>
        <w:t xml:space="preserve">el </w:t>
      </w:r>
      <w:r w:rsidR="00835A1E" w:rsidRPr="005D131A">
        <w:rPr>
          <w:sz w:val="28"/>
          <w:szCs w:val="28"/>
          <w:lang w:val="es-CO"/>
        </w:rPr>
        <w:t>distrito</w:t>
      </w:r>
      <w:r w:rsidR="00CA752D" w:rsidRPr="005D131A">
        <w:rPr>
          <w:sz w:val="28"/>
          <w:szCs w:val="28"/>
          <w:lang w:val="es-CO"/>
        </w:rPr>
        <w:t xml:space="preserve"> o </w:t>
      </w:r>
      <w:r w:rsidR="006C258E" w:rsidRPr="005D131A">
        <w:rPr>
          <w:sz w:val="28"/>
          <w:szCs w:val="28"/>
          <w:lang w:val="es-CO"/>
        </w:rPr>
        <w:t xml:space="preserve">el </w:t>
      </w:r>
      <w:r w:rsidR="00CA752D" w:rsidRPr="005D131A">
        <w:rPr>
          <w:sz w:val="28"/>
          <w:szCs w:val="28"/>
          <w:lang w:val="es-CO"/>
        </w:rPr>
        <w:t>departamento</w:t>
      </w:r>
      <w:r w:rsidR="00D16DC3" w:rsidRPr="005D131A">
        <w:rPr>
          <w:sz w:val="28"/>
          <w:szCs w:val="28"/>
          <w:lang w:val="es-CO"/>
        </w:rPr>
        <w:t>.</w:t>
      </w:r>
    </w:p>
    <w:p w:rsidR="0044321B" w:rsidRPr="005D131A" w:rsidRDefault="0044321B" w:rsidP="005D131A">
      <w:pPr>
        <w:rPr>
          <w:sz w:val="28"/>
          <w:szCs w:val="28"/>
          <w:lang w:val="es-CO"/>
        </w:rPr>
      </w:pPr>
    </w:p>
    <w:p w:rsidR="00A54C39" w:rsidRPr="005D131A" w:rsidRDefault="00166489" w:rsidP="005D131A">
      <w:pPr>
        <w:rPr>
          <w:sz w:val="28"/>
          <w:szCs w:val="28"/>
          <w:lang w:val="es-CO"/>
        </w:rPr>
      </w:pPr>
      <w:r w:rsidRPr="005D131A">
        <w:rPr>
          <w:sz w:val="28"/>
          <w:szCs w:val="28"/>
          <w:lang w:val="es-CO"/>
        </w:rPr>
        <w:t xml:space="preserve">5. </w:t>
      </w:r>
      <w:r w:rsidR="00A54C39" w:rsidRPr="005D131A">
        <w:rPr>
          <w:sz w:val="28"/>
          <w:szCs w:val="28"/>
          <w:lang w:val="es-CO"/>
        </w:rPr>
        <w:t>El 13 de marzo de 2009</w:t>
      </w:r>
      <w:r w:rsidR="00A54C39" w:rsidRPr="005D131A">
        <w:rPr>
          <w:sz w:val="28"/>
          <w:szCs w:val="28"/>
          <w:vertAlign w:val="superscript"/>
          <w:lang w:val="es-CO"/>
        </w:rPr>
        <w:footnoteReference w:id="4"/>
      </w:r>
      <w:r w:rsidR="00D16DC3" w:rsidRPr="005D131A">
        <w:rPr>
          <w:sz w:val="28"/>
          <w:szCs w:val="28"/>
          <w:lang w:val="es-CO"/>
        </w:rPr>
        <w:t xml:space="preserve">, el Ministerio de Salud allegó a esta Corporación el informe que debía ser remitido a la Superintendencia Nacional de Salud y </w:t>
      </w:r>
      <w:r w:rsidR="003573C2" w:rsidRPr="005D131A">
        <w:rPr>
          <w:sz w:val="28"/>
          <w:szCs w:val="28"/>
          <w:lang w:val="es-CO"/>
        </w:rPr>
        <w:t xml:space="preserve">a </w:t>
      </w:r>
      <w:r w:rsidR="00D16DC3" w:rsidRPr="005D131A">
        <w:rPr>
          <w:sz w:val="28"/>
          <w:szCs w:val="28"/>
          <w:lang w:val="es-CO"/>
        </w:rPr>
        <w:t>la Defensoría del Pueblo en cumplimiento de la referida orden</w:t>
      </w:r>
      <w:r w:rsidR="00DB2FC3" w:rsidRPr="005D131A">
        <w:rPr>
          <w:sz w:val="28"/>
          <w:szCs w:val="28"/>
          <w:lang w:val="es-CO"/>
        </w:rPr>
        <w:t>.</w:t>
      </w:r>
    </w:p>
    <w:p w:rsidR="009F2A0A" w:rsidRPr="005D131A" w:rsidRDefault="009F2A0A" w:rsidP="005D131A">
      <w:pPr>
        <w:rPr>
          <w:sz w:val="28"/>
          <w:szCs w:val="28"/>
          <w:lang w:val="es-CO"/>
        </w:rPr>
      </w:pPr>
    </w:p>
    <w:p w:rsidR="00BA685F" w:rsidRPr="005D131A" w:rsidRDefault="009D28C3" w:rsidP="005D131A">
      <w:pPr>
        <w:rPr>
          <w:sz w:val="28"/>
          <w:szCs w:val="28"/>
          <w:lang w:val="es-CO"/>
        </w:rPr>
      </w:pPr>
      <w:r w:rsidRPr="005D131A">
        <w:rPr>
          <w:sz w:val="28"/>
          <w:szCs w:val="28"/>
          <w:lang w:val="es-CO"/>
        </w:rPr>
        <w:t>En ese documento</w:t>
      </w:r>
      <w:r w:rsidR="00933A1C" w:rsidRPr="005D131A">
        <w:rPr>
          <w:sz w:val="28"/>
          <w:szCs w:val="28"/>
          <w:lang w:val="es-CO"/>
        </w:rPr>
        <w:t xml:space="preserve"> </w:t>
      </w:r>
      <w:r w:rsidR="00FA58DD" w:rsidRPr="005D131A">
        <w:rPr>
          <w:sz w:val="28"/>
          <w:szCs w:val="28"/>
          <w:lang w:val="es-CO"/>
        </w:rPr>
        <w:t>manifestó</w:t>
      </w:r>
      <w:r w:rsidR="00933A1C" w:rsidRPr="005D131A">
        <w:rPr>
          <w:sz w:val="28"/>
          <w:szCs w:val="28"/>
          <w:lang w:val="es-CO"/>
        </w:rPr>
        <w:t xml:space="preserve"> que</w:t>
      </w:r>
      <w:r w:rsidR="003573C2" w:rsidRPr="005D131A">
        <w:rPr>
          <w:sz w:val="28"/>
          <w:szCs w:val="28"/>
          <w:lang w:val="es-CO"/>
        </w:rPr>
        <w:t xml:space="preserve"> si bien es cierto</w:t>
      </w:r>
      <w:r w:rsidR="00BA685F" w:rsidRPr="005D131A">
        <w:rPr>
          <w:sz w:val="28"/>
          <w:szCs w:val="28"/>
          <w:lang w:val="es-CO"/>
        </w:rPr>
        <w:t xml:space="preserve"> la Resolución 3099 de 2008 </w:t>
      </w:r>
      <w:r w:rsidRPr="005D131A">
        <w:rPr>
          <w:sz w:val="28"/>
          <w:szCs w:val="28"/>
          <w:lang w:val="es-CO"/>
        </w:rPr>
        <w:t xml:space="preserve">fue expedida </w:t>
      </w:r>
      <w:r w:rsidR="000E479F" w:rsidRPr="005D131A">
        <w:rPr>
          <w:sz w:val="28"/>
          <w:szCs w:val="28"/>
          <w:lang w:val="es-CO"/>
        </w:rPr>
        <w:t>antes de haberse notificado la sentencia T-760</w:t>
      </w:r>
      <w:r w:rsidR="00BA685F" w:rsidRPr="005D131A">
        <w:rPr>
          <w:sz w:val="28"/>
          <w:szCs w:val="28"/>
          <w:lang w:val="es-CO"/>
        </w:rPr>
        <w:t xml:space="preserve">, también </w:t>
      </w:r>
      <w:r w:rsidRPr="005D131A">
        <w:rPr>
          <w:sz w:val="28"/>
          <w:szCs w:val="28"/>
          <w:lang w:val="es-CO"/>
        </w:rPr>
        <w:t xml:space="preserve">lo es que una vez </w:t>
      </w:r>
      <w:r w:rsidR="003573C2" w:rsidRPr="005D131A">
        <w:rPr>
          <w:sz w:val="28"/>
          <w:szCs w:val="28"/>
          <w:lang w:val="es-CO"/>
        </w:rPr>
        <w:t xml:space="preserve">se </w:t>
      </w:r>
      <w:r w:rsidRPr="005D131A">
        <w:rPr>
          <w:sz w:val="28"/>
          <w:szCs w:val="28"/>
          <w:lang w:val="es-CO"/>
        </w:rPr>
        <w:t>conoció su texto definitivo</w:t>
      </w:r>
      <w:r w:rsidR="00B74FA2" w:rsidRPr="005D131A">
        <w:rPr>
          <w:sz w:val="28"/>
          <w:szCs w:val="28"/>
          <w:lang w:val="es-CO"/>
        </w:rPr>
        <w:t xml:space="preserve">, </w:t>
      </w:r>
      <w:r w:rsidR="00BA685F" w:rsidRPr="005D131A">
        <w:rPr>
          <w:sz w:val="28"/>
          <w:szCs w:val="28"/>
          <w:lang w:val="es-CO"/>
        </w:rPr>
        <w:t>fue ajustada a los re</w:t>
      </w:r>
      <w:r w:rsidR="00704B61" w:rsidRPr="005D131A">
        <w:rPr>
          <w:sz w:val="28"/>
          <w:szCs w:val="28"/>
          <w:lang w:val="es-CO"/>
        </w:rPr>
        <w:t>querimientos del fallo</w:t>
      </w:r>
      <w:r w:rsidR="00BA685F" w:rsidRPr="005D131A">
        <w:rPr>
          <w:sz w:val="28"/>
          <w:szCs w:val="28"/>
          <w:lang w:val="es-CO"/>
        </w:rPr>
        <w:t xml:space="preserve"> mediante las </w:t>
      </w:r>
      <w:r w:rsidRPr="005D131A">
        <w:rPr>
          <w:sz w:val="28"/>
          <w:szCs w:val="28"/>
          <w:lang w:val="es-CO"/>
        </w:rPr>
        <w:t>r</w:t>
      </w:r>
      <w:r w:rsidR="00BA685F" w:rsidRPr="005D131A">
        <w:rPr>
          <w:sz w:val="28"/>
          <w:szCs w:val="28"/>
          <w:lang w:val="es-CO"/>
        </w:rPr>
        <w:t>esoluciones 3754 y 5334 de 20</w:t>
      </w:r>
      <w:r w:rsidRPr="005D131A">
        <w:rPr>
          <w:sz w:val="28"/>
          <w:szCs w:val="28"/>
          <w:lang w:val="es-CO"/>
        </w:rPr>
        <w:t>08. De este modo, consideró que</w:t>
      </w:r>
      <w:r w:rsidR="00BA685F" w:rsidRPr="005D131A">
        <w:rPr>
          <w:sz w:val="28"/>
          <w:szCs w:val="28"/>
          <w:lang w:val="es-CO"/>
        </w:rPr>
        <w:t xml:space="preserve"> l</w:t>
      </w:r>
      <w:r w:rsidRPr="005D131A">
        <w:rPr>
          <w:sz w:val="28"/>
          <w:szCs w:val="28"/>
          <w:lang w:val="es-CO"/>
        </w:rPr>
        <w:t>o dispuesto en la orden vigésima t</w:t>
      </w:r>
      <w:r w:rsidR="00BA685F" w:rsidRPr="005D131A">
        <w:rPr>
          <w:sz w:val="28"/>
          <w:szCs w:val="28"/>
          <w:lang w:val="es-CO"/>
        </w:rPr>
        <w:t>ercera “</w:t>
      </w:r>
      <w:r w:rsidR="00BA685F" w:rsidRPr="005D131A">
        <w:rPr>
          <w:i/>
          <w:sz w:val="28"/>
          <w:szCs w:val="28"/>
          <w:lang w:val="es-CO"/>
        </w:rPr>
        <w:t xml:space="preserve">con el propósito de permitir recobros al Fondo de Solidaridad y Garantía –FOSYGA con ocasión de las prestaciones aprobadas por el Comité Técnico Científico, distitas (sic) a medicamentos”, </w:t>
      </w:r>
      <w:r w:rsidR="00BA685F" w:rsidRPr="005D131A">
        <w:rPr>
          <w:sz w:val="28"/>
          <w:szCs w:val="28"/>
          <w:lang w:val="es-CO"/>
        </w:rPr>
        <w:t>se cumplió.</w:t>
      </w:r>
    </w:p>
    <w:p w:rsidR="002615C4" w:rsidRPr="005D131A" w:rsidRDefault="002615C4" w:rsidP="005D131A">
      <w:pPr>
        <w:rPr>
          <w:sz w:val="28"/>
          <w:szCs w:val="28"/>
          <w:lang w:val="es-CO"/>
        </w:rPr>
      </w:pPr>
    </w:p>
    <w:p w:rsidR="00DD60EB" w:rsidRPr="005D131A" w:rsidRDefault="00DF7370" w:rsidP="005D131A">
      <w:pPr>
        <w:rPr>
          <w:sz w:val="28"/>
          <w:szCs w:val="28"/>
        </w:rPr>
      </w:pPr>
      <w:r w:rsidRPr="005D131A">
        <w:rPr>
          <w:sz w:val="28"/>
          <w:szCs w:val="28"/>
          <w:lang w:val="es-CO"/>
        </w:rPr>
        <w:t>En el</w:t>
      </w:r>
      <w:r w:rsidR="00166489" w:rsidRPr="005D131A">
        <w:rPr>
          <w:sz w:val="28"/>
          <w:szCs w:val="28"/>
          <w:lang w:val="es-CO"/>
        </w:rPr>
        <w:t xml:space="preserve"> referido</w:t>
      </w:r>
      <w:r w:rsidR="00C62AB7" w:rsidRPr="005D131A">
        <w:rPr>
          <w:sz w:val="28"/>
          <w:szCs w:val="28"/>
          <w:lang w:val="es-CO"/>
        </w:rPr>
        <w:t xml:space="preserve"> </w:t>
      </w:r>
      <w:r w:rsidRPr="005D131A">
        <w:rPr>
          <w:sz w:val="28"/>
          <w:szCs w:val="28"/>
          <w:lang w:val="es-CO"/>
        </w:rPr>
        <w:t xml:space="preserve">informe detalla que </w:t>
      </w:r>
      <w:r w:rsidR="007D0C80" w:rsidRPr="005D131A">
        <w:rPr>
          <w:sz w:val="28"/>
          <w:szCs w:val="28"/>
        </w:rPr>
        <w:t>el 99.35</w:t>
      </w:r>
      <w:r w:rsidR="002615C4" w:rsidRPr="005D131A">
        <w:rPr>
          <w:sz w:val="28"/>
          <w:szCs w:val="28"/>
        </w:rPr>
        <w:t xml:space="preserve">% de los recobros </w:t>
      </w:r>
      <w:r w:rsidR="00054A6A" w:rsidRPr="005D131A">
        <w:rPr>
          <w:sz w:val="28"/>
          <w:szCs w:val="28"/>
        </w:rPr>
        <w:t>presentados en virtud de</w:t>
      </w:r>
      <w:r w:rsidRPr="005D131A">
        <w:rPr>
          <w:sz w:val="28"/>
          <w:szCs w:val="28"/>
        </w:rPr>
        <w:t xml:space="preserve"> la autorización del CTC se refiere a</w:t>
      </w:r>
      <w:r w:rsidR="00054A6A" w:rsidRPr="005D131A">
        <w:rPr>
          <w:sz w:val="28"/>
          <w:szCs w:val="28"/>
        </w:rPr>
        <w:t xml:space="preserve"> medicamentos no incluidos en el </w:t>
      </w:r>
      <w:r w:rsidRPr="005D131A">
        <w:rPr>
          <w:sz w:val="28"/>
          <w:szCs w:val="28"/>
        </w:rPr>
        <w:t xml:space="preserve">Plan de Beneficios y que tan solo </w:t>
      </w:r>
      <w:r w:rsidR="00DD60EB" w:rsidRPr="005D131A">
        <w:rPr>
          <w:sz w:val="28"/>
          <w:szCs w:val="28"/>
        </w:rPr>
        <w:t xml:space="preserve">el 0.65% corresponden a </w:t>
      </w:r>
      <w:r w:rsidRPr="005D131A">
        <w:rPr>
          <w:sz w:val="28"/>
          <w:szCs w:val="28"/>
        </w:rPr>
        <w:t>recobros relacionados con otros</w:t>
      </w:r>
      <w:r w:rsidR="00DD60EB" w:rsidRPr="005D131A">
        <w:rPr>
          <w:sz w:val="28"/>
          <w:szCs w:val="28"/>
        </w:rPr>
        <w:t xml:space="preserve"> servicios de salud </w:t>
      </w:r>
      <w:r w:rsidRPr="005D131A">
        <w:rPr>
          <w:sz w:val="28"/>
          <w:szCs w:val="28"/>
        </w:rPr>
        <w:t>no contemplados en el POS</w:t>
      </w:r>
      <w:r w:rsidR="00247781" w:rsidRPr="005D131A">
        <w:rPr>
          <w:sz w:val="28"/>
          <w:szCs w:val="28"/>
        </w:rPr>
        <w:t>.</w:t>
      </w:r>
      <w:r w:rsidR="00DD60EB" w:rsidRPr="005D131A">
        <w:rPr>
          <w:sz w:val="28"/>
          <w:szCs w:val="28"/>
        </w:rPr>
        <w:t xml:space="preserve"> </w:t>
      </w:r>
    </w:p>
    <w:p w:rsidR="00FE1CB0" w:rsidRPr="005D131A" w:rsidRDefault="00FE1CB0" w:rsidP="005D131A">
      <w:pPr>
        <w:rPr>
          <w:sz w:val="28"/>
          <w:szCs w:val="28"/>
        </w:rPr>
      </w:pPr>
    </w:p>
    <w:p w:rsidR="00D84706" w:rsidRPr="005D131A" w:rsidRDefault="00DD527B" w:rsidP="005D131A">
      <w:pPr>
        <w:rPr>
          <w:i/>
          <w:sz w:val="28"/>
          <w:szCs w:val="28"/>
          <w:lang w:val="es-CO"/>
        </w:rPr>
      </w:pPr>
      <w:r w:rsidRPr="005D131A">
        <w:rPr>
          <w:sz w:val="28"/>
          <w:szCs w:val="28"/>
        </w:rPr>
        <w:t>A</w:t>
      </w:r>
      <w:r w:rsidR="003C15C8" w:rsidRPr="005D131A">
        <w:rPr>
          <w:sz w:val="28"/>
          <w:szCs w:val="28"/>
        </w:rPr>
        <w:t>dvirtió l</w:t>
      </w:r>
      <w:r w:rsidR="00FE1CB0" w:rsidRPr="005D131A">
        <w:rPr>
          <w:sz w:val="28"/>
          <w:szCs w:val="28"/>
        </w:rPr>
        <w:t xml:space="preserve">a necesidad </w:t>
      </w:r>
      <w:r w:rsidR="00034A1D" w:rsidRPr="005D131A">
        <w:rPr>
          <w:sz w:val="28"/>
          <w:szCs w:val="28"/>
          <w:lang w:val="es-CO"/>
        </w:rPr>
        <w:t>de encontrar mecanismos</w:t>
      </w:r>
      <w:r w:rsidR="00FE1CB0" w:rsidRPr="005D131A">
        <w:rPr>
          <w:sz w:val="28"/>
          <w:szCs w:val="28"/>
          <w:lang w:val="es-CO"/>
        </w:rPr>
        <w:t xml:space="preserve"> más</w:t>
      </w:r>
      <w:r w:rsidR="00034A1D" w:rsidRPr="005D131A">
        <w:rPr>
          <w:sz w:val="28"/>
          <w:szCs w:val="28"/>
          <w:lang w:val="es-CO"/>
        </w:rPr>
        <w:t xml:space="preserve"> adecuados para </w:t>
      </w:r>
      <w:r w:rsidR="003D6A4D" w:rsidRPr="005D131A">
        <w:rPr>
          <w:sz w:val="28"/>
          <w:szCs w:val="28"/>
          <w:lang w:val="es-CO"/>
        </w:rPr>
        <w:t xml:space="preserve">regular los </w:t>
      </w:r>
      <w:r w:rsidR="00FE1CB0" w:rsidRPr="005D131A">
        <w:rPr>
          <w:sz w:val="28"/>
          <w:szCs w:val="28"/>
          <w:lang w:val="es-CO"/>
        </w:rPr>
        <w:t>CTC</w:t>
      </w:r>
      <w:r w:rsidR="00BE42F4" w:rsidRPr="005D131A">
        <w:rPr>
          <w:sz w:val="28"/>
          <w:szCs w:val="28"/>
          <w:lang w:val="es-CO"/>
        </w:rPr>
        <w:t>, es decir, la forma en que</w:t>
      </w:r>
      <w:r w:rsidR="00034A1D" w:rsidRPr="005D131A">
        <w:rPr>
          <w:sz w:val="28"/>
          <w:szCs w:val="28"/>
          <w:lang w:val="es-CO"/>
        </w:rPr>
        <w:t xml:space="preserve"> el médico tratante allegue a la EPS los elementos técnicos y científicos en vir</w:t>
      </w:r>
      <w:r w:rsidR="00BE42F4" w:rsidRPr="005D131A">
        <w:rPr>
          <w:sz w:val="28"/>
          <w:szCs w:val="28"/>
          <w:lang w:val="es-CO"/>
        </w:rPr>
        <w:t>tud de los cuales considera</w:t>
      </w:r>
      <w:r w:rsidR="00034A1D" w:rsidRPr="005D131A">
        <w:rPr>
          <w:sz w:val="28"/>
          <w:szCs w:val="28"/>
          <w:lang w:val="es-CO"/>
        </w:rPr>
        <w:t xml:space="preserve"> necesario el suministro</w:t>
      </w:r>
      <w:r w:rsidR="00FE1CB0" w:rsidRPr="005D131A">
        <w:rPr>
          <w:sz w:val="28"/>
          <w:szCs w:val="28"/>
          <w:lang w:val="es-CO"/>
        </w:rPr>
        <w:t xml:space="preserve"> de </w:t>
      </w:r>
      <w:r w:rsidR="00034A1D" w:rsidRPr="005D131A">
        <w:rPr>
          <w:sz w:val="28"/>
          <w:szCs w:val="28"/>
          <w:lang w:val="es-CO"/>
        </w:rPr>
        <w:t>servicios no POS.</w:t>
      </w:r>
      <w:r w:rsidR="001508FC" w:rsidRPr="005D131A">
        <w:rPr>
          <w:sz w:val="28"/>
          <w:szCs w:val="28"/>
          <w:lang w:val="es-CO"/>
        </w:rPr>
        <w:t xml:space="preserve"> Para ello, </w:t>
      </w:r>
      <w:r w:rsidR="001508FC" w:rsidRPr="005D131A">
        <w:rPr>
          <w:sz w:val="28"/>
          <w:szCs w:val="28"/>
        </w:rPr>
        <w:t>propuso como alternativas: i) la</w:t>
      </w:r>
      <w:r w:rsidR="001508FC" w:rsidRPr="005D131A">
        <w:rPr>
          <w:sz w:val="28"/>
          <w:szCs w:val="28"/>
          <w:lang w:val="es-CO"/>
        </w:rPr>
        <w:t xml:space="preserve"> creación de</w:t>
      </w:r>
      <w:r w:rsidR="00D84706" w:rsidRPr="005D131A">
        <w:rPr>
          <w:sz w:val="28"/>
          <w:szCs w:val="28"/>
          <w:lang w:val="es-CO"/>
        </w:rPr>
        <w:t xml:space="preserve"> </w:t>
      </w:r>
      <w:r w:rsidR="001508FC" w:rsidRPr="005D131A">
        <w:rPr>
          <w:sz w:val="28"/>
          <w:szCs w:val="28"/>
          <w:lang w:val="es-CO"/>
        </w:rPr>
        <w:t xml:space="preserve">una entidad pública al interior del Ministerio de </w:t>
      </w:r>
      <w:r w:rsidR="00B74FA2" w:rsidRPr="005D131A">
        <w:rPr>
          <w:sz w:val="28"/>
          <w:szCs w:val="28"/>
          <w:lang w:val="es-CO"/>
        </w:rPr>
        <w:t xml:space="preserve">Salud </w:t>
      </w:r>
      <w:r w:rsidR="001508FC" w:rsidRPr="005D131A">
        <w:rPr>
          <w:sz w:val="28"/>
          <w:szCs w:val="28"/>
          <w:lang w:val="es-CO"/>
        </w:rPr>
        <w:t xml:space="preserve">o de la Superintendencia </w:t>
      </w:r>
      <w:r w:rsidR="00B74FA2" w:rsidRPr="005D131A">
        <w:rPr>
          <w:sz w:val="28"/>
          <w:szCs w:val="28"/>
          <w:lang w:val="es-CO"/>
        </w:rPr>
        <w:t>Nacional de Salud; y</w:t>
      </w:r>
      <w:r w:rsidR="001508FC" w:rsidRPr="005D131A">
        <w:rPr>
          <w:sz w:val="28"/>
          <w:szCs w:val="28"/>
          <w:lang w:val="es-CO"/>
        </w:rPr>
        <w:t xml:space="preserve"> ii) la posibilidad de un Comité Técnico Cient</w:t>
      </w:r>
      <w:r w:rsidR="003D6A4D" w:rsidRPr="005D131A">
        <w:rPr>
          <w:sz w:val="28"/>
          <w:szCs w:val="28"/>
          <w:lang w:val="es-CO"/>
        </w:rPr>
        <w:t xml:space="preserve">ífico </w:t>
      </w:r>
      <w:r w:rsidR="00DF7370" w:rsidRPr="005D131A">
        <w:rPr>
          <w:sz w:val="28"/>
          <w:szCs w:val="28"/>
          <w:lang w:val="es-CO"/>
        </w:rPr>
        <w:t>“</w:t>
      </w:r>
      <w:r w:rsidR="003D6A4D" w:rsidRPr="005D131A">
        <w:rPr>
          <w:sz w:val="28"/>
          <w:szCs w:val="28"/>
          <w:lang w:val="es-CO"/>
        </w:rPr>
        <w:t>virtual</w:t>
      </w:r>
      <w:r w:rsidR="00DF7370" w:rsidRPr="005D131A">
        <w:rPr>
          <w:sz w:val="28"/>
          <w:szCs w:val="28"/>
          <w:lang w:val="es-CO"/>
        </w:rPr>
        <w:t>”</w:t>
      </w:r>
      <w:r w:rsidR="00B74FA2" w:rsidRPr="005D131A">
        <w:rPr>
          <w:sz w:val="28"/>
          <w:szCs w:val="28"/>
          <w:lang w:val="es-CO"/>
        </w:rPr>
        <w:t xml:space="preserve"> </w:t>
      </w:r>
      <w:r w:rsidR="003D6A4D" w:rsidRPr="005D131A">
        <w:rPr>
          <w:sz w:val="28"/>
          <w:szCs w:val="28"/>
          <w:lang w:val="es-CO"/>
        </w:rPr>
        <w:t>constituido</w:t>
      </w:r>
      <w:r w:rsidR="00D84706" w:rsidRPr="005D131A">
        <w:rPr>
          <w:sz w:val="28"/>
          <w:szCs w:val="28"/>
          <w:lang w:val="es-CO"/>
        </w:rPr>
        <w:t xml:space="preserve"> por especialistas y/o pares </w:t>
      </w:r>
      <w:r w:rsidR="003D6A4D" w:rsidRPr="005D131A">
        <w:rPr>
          <w:sz w:val="28"/>
          <w:szCs w:val="28"/>
          <w:lang w:val="es-CO"/>
        </w:rPr>
        <w:t xml:space="preserve">incluso de índole internacional </w:t>
      </w:r>
      <w:r w:rsidR="00D84706" w:rsidRPr="005D131A">
        <w:rPr>
          <w:sz w:val="28"/>
          <w:szCs w:val="28"/>
          <w:lang w:val="es-CO"/>
        </w:rPr>
        <w:t xml:space="preserve">para </w:t>
      </w:r>
      <w:r w:rsidR="002B212D" w:rsidRPr="005D131A">
        <w:rPr>
          <w:sz w:val="28"/>
          <w:szCs w:val="28"/>
          <w:lang w:val="es-CO"/>
        </w:rPr>
        <w:t>que se pronunciaran</w:t>
      </w:r>
      <w:r w:rsidR="00DF7370" w:rsidRPr="005D131A">
        <w:rPr>
          <w:sz w:val="28"/>
          <w:szCs w:val="28"/>
          <w:lang w:val="es-CO"/>
        </w:rPr>
        <w:t xml:space="preserve"> acerca de l</w:t>
      </w:r>
      <w:r w:rsidR="00D84706" w:rsidRPr="005D131A">
        <w:rPr>
          <w:sz w:val="28"/>
          <w:szCs w:val="28"/>
          <w:lang w:val="es-CO"/>
        </w:rPr>
        <w:t>a perti</w:t>
      </w:r>
      <w:r w:rsidR="003D6A4D" w:rsidRPr="005D131A">
        <w:rPr>
          <w:sz w:val="28"/>
          <w:szCs w:val="28"/>
          <w:lang w:val="es-CO"/>
        </w:rPr>
        <w:t>nencia de los servicios</w:t>
      </w:r>
      <w:r w:rsidR="00DF7370" w:rsidRPr="005D131A">
        <w:rPr>
          <w:sz w:val="28"/>
          <w:szCs w:val="28"/>
          <w:lang w:val="es-CO"/>
        </w:rPr>
        <w:t xml:space="preserve"> de salud, en especial de los no contemplados en el POS</w:t>
      </w:r>
      <w:r w:rsidR="003D6A4D" w:rsidRPr="005D131A">
        <w:rPr>
          <w:sz w:val="28"/>
          <w:szCs w:val="28"/>
          <w:lang w:val="es-CO"/>
        </w:rPr>
        <w:t xml:space="preserve">, ya que, en su sentir, </w:t>
      </w:r>
      <w:r w:rsidR="00D84706" w:rsidRPr="005D131A">
        <w:rPr>
          <w:sz w:val="28"/>
          <w:szCs w:val="28"/>
          <w:lang w:val="es-CO"/>
        </w:rPr>
        <w:t>resulta</w:t>
      </w:r>
      <w:r w:rsidRPr="005D131A">
        <w:rPr>
          <w:sz w:val="28"/>
          <w:szCs w:val="28"/>
          <w:lang w:val="es-CO"/>
        </w:rPr>
        <w:t>ba</w:t>
      </w:r>
      <w:r w:rsidR="00D84706" w:rsidRPr="005D131A">
        <w:rPr>
          <w:sz w:val="28"/>
          <w:szCs w:val="28"/>
          <w:lang w:val="es-CO"/>
        </w:rPr>
        <w:t xml:space="preserve"> riesgoso </w:t>
      </w:r>
      <w:r w:rsidR="00D84706" w:rsidRPr="005D131A">
        <w:rPr>
          <w:i/>
          <w:sz w:val="28"/>
          <w:szCs w:val="28"/>
          <w:lang w:val="es-CO"/>
        </w:rPr>
        <w:t>“dejar al médico tratante como único responsable de tan trascendentes decisiones”.</w:t>
      </w:r>
      <w:r w:rsidR="00425894" w:rsidRPr="005D131A">
        <w:rPr>
          <w:i/>
          <w:sz w:val="28"/>
          <w:szCs w:val="28"/>
          <w:lang w:val="es-CO"/>
        </w:rPr>
        <w:tab/>
      </w:r>
    </w:p>
    <w:p w:rsidR="00745050" w:rsidRPr="005D131A" w:rsidRDefault="00745050" w:rsidP="005D131A">
      <w:pPr>
        <w:rPr>
          <w:sz w:val="28"/>
          <w:szCs w:val="28"/>
        </w:rPr>
      </w:pPr>
    </w:p>
    <w:p w:rsidR="00592554" w:rsidRPr="005D131A" w:rsidRDefault="003D6A4D" w:rsidP="005D131A">
      <w:pPr>
        <w:rPr>
          <w:sz w:val="28"/>
          <w:szCs w:val="28"/>
          <w:lang w:val="es-CO"/>
        </w:rPr>
      </w:pPr>
      <w:r w:rsidRPr="005D131A">
        <w:rPr>
          <w:sz w:val="28"/>
          <w:szCs w:val="28"/>
          <w:lang w:val="es-CO"/>
        </w:rPr>
        <w:t xml:space="preserve">Finalmente, </w:t>
      </w:r>
      <w:r w:rsidR="001F77DB" w:rsidRPr="005D131A">
        <w:rPr>
          <w:sz w:val="28"/>
          <w:szCs w:val="28"/>
          <w:lang w:val="es-CO"/>
        </w:rPr>
        <w:t>estableció que los destinatarios de la presente orden debían adelantar las siguientes acciones:</w:t>
      </w:r>
    </w:p>
    <w:p w:rsidR="00592554" w:rsidRPr="005D131A" w:rsidRDefault="00592554" w:rsidP="005D131A">
      <w:pPr>
        <w:rPr>
          <w:sz w:val="28"/>
          <w:szCs w:val="28"/>
          <w:lang w:val="es-CO"/>
        </w:rPr>
      </w:pPr>
    </w:p>
    <w:p w:rsidR="00592554" w:rsidRPr="005D131A" w:rsidRDefault="00592554" w:rsidP="005D131A">
      <w:pPr>
        <w:rPr>
          <w:sz w:val="28"/>
          <w:szCs w:val="28"/>
          <w:lang w:val="es-CO"/>
        </w:rPr>
      </w:pPr>
      <w:r w:rsidRPr="005D131A">
        <w:rPr>
          <w:sz w:val="28"/>
          <w:szCs w:val="28"/>
          <w:lang w:val="es-CO"/>
        </w:rPr>
        <w:t>- Estudiar</w:t>
      </w:r>
      <w:r w:rsidR="001F77DB" w:rsidRPr="005D131A">
        <w:rPr>
          <w:sz w:val="28"/>
          <w:szCs w:val="28"/>
          <w:lang w:val="es-CO"/>
        </w:rPr>
        <w:t xml:space="preserve"> el contenido de los planes de beneficios y prestación de actividades, procedimientos y medicamentos no incluidos en el POS</w:t>
      </w:r>
      <w:r w:rsidRPr="005D131A">
        <w:rPr>
          <w:sz w:val="28"/>
          <w:szCs w:val="28"/>
          <w:lang w:val="es-CO"/>
        </w:rPr>
        <w:t xml:space="preserve">. </w:t>
      </w:r>
    </w:p>
    <w:p w:rsidR="00592554" w:rsidRPr="005D131A" w:rsidRDefault="00592554" w:rsidP="005D131A">
      <w:pPr>
        <w:rPr>
          <w:sz w:val="28"/>
          <w:szCs w:val="28"/>
          <w:lang w:val="es-CO"/>
        </w:rPr>
      </w:pPr>
    </w:p>
    <w:p w:rsidR="00592554" w:rsidRPr="005D131A" w:rsidRDefault="00592554" w:rsidP="005D131A">
      <w:pPr>
        <w:rPr>
          <w:sz w:val="28"/>
          <w:szCs w:val="28"/>
          <w:lang w:val="es-CO"/>
        </w:rPr>
      </w:pPr>
      <w:r w:rsidRPr="005D131A">
        <w:rPr>
          <w:sz w:val="28"/>
          <w:szCs w:val="28"/>
          <w:lang w:val="es-CO"/>
        </w:rPr>
        <w:t>- Revisar</w:t>
      </w:r>
      <w:r w:rsidR="001F77DB" w:rsidRPr="005D131A">
        <w:rPr>
          <w:sz w:val="28"/>
          <w:szCs w:val="28"/>
          <w:lang w:val="es-CO"/>
        </w:rPr>
        <w:t xml:space="preserve"> la </w:t>
      </w:r>
      <w:r w:rsidR="003D6A4D" w:rsidRPr="005D131A">
        <w:rPr>
          <w:sz w:val="28"/>
          <w:szCs w:val="28"/>
          <w:lang w:val="es-CO"/>
        </w:rPr>
        <w:t xml:space="preserve">literatura </w:t>
      </w:r>
      <w:r w:rsidR="004503D3" w:rsidRPr="005D131A">
        <w:rPr>
          <w:sz w:val="28"/>
          <w:szCs w:val="28"/>
          <w:lang w:val="es-CO"/>
        </w:rPr>
        <w:t>y normativa tanto en Colombia como en otros países sobre ética médica, autonomía profesional, co</w:t>
      </w:r>
      <w:r w:rsidR="001F77DB" w:rsidRPr="005D131A">
        <w:rPr>
          <w:sz w:val="28"/>
          <w:szCs w:val="28"/>
          <w:lang w:val="es-CO"/>
        </w:rPr>
        <w:t>nflictos de interés médico</w:t>
      </w:r>
      <w:r w:rsidRPr="005D131A">
        <w:rPr>
          <w:sz w:val="28"/>
          <w:szCs w:val="28"/>
          <w:lang w:val="es-CO"/>
        </w:rPr>
        <w:t>s</w:t>
      </w:r>
      <w:r w:rsidR="001F77DB" w:rsidRPr="005D131A">
        <w:rPr>
          <w:sz w:val="28"/>
          <w:szCs w:val="28"/>
          <w:lang w:val="es-CO"/>
        </w:rPr>
        <w:t>, así como los efectos en torno</w:t>
      </w:r>
      <w:r w:rsidR="004503D3" w:rsidRPr="005D131A">
        <w:rPr>
          <w:sz w:val="28"/>
          <w:szCs w:val="28"/>
          <w:lang w:val="es-CO"/>
        </w:rPr>
        <w:t xml:space="preserve"> a la orientación de pres</w:t>
      </w:r>
      <w:r w:rsidRPr="005D131A">
        <w:rPr>
          <w:sz w:val="28"/>
          <w:szCs w:val="28"/>
          <w:lang w:val="es-CO"/>
        </w:rPr>
        <w:t>taciones y medicamentos no POS.</w:t>
      </w:r>
    </w:p>
    <w:p w:rsidR="00592554" w:rsidRPr="005D131A" w:rsidRDefault="00592554" w:rsidP="005D131A">
      <w:pPr>
        <w:rPr>
          <w:sz w:val="28"/>
          <w:szCs w:val="28"/>
          <w:lang w:val="es-CO"/>
        </w:rPr>
      </w:pPr>
    </w:p>
    <w:p w:rsidR="00592554" w:rsidRPr="005D131A" w:rsidRDefault="00592554" w:rsidP="005D131A">
      <w:pPr>
        <w:rPr>
          <w:sz w:val="28"/>
          <w:szCs w:val="28"/>
          <w:lang w:val="es-CO"/>
        </w:rPr>
      </w:pPr>
      <w:r w:rsidRPr="005D131A">
        <w:rPr>
          <w:sz w:val="28"/>
          <w:szCs w:val="28"/>
          <w:lang w:val="es-CO"/>
        </w:rPr>
        <w:t>- Implementar</w:t>
      </w:r>
      <w:r w:rsidR="004503D3" w:rsidRPr="005D131A">
        <w:rPr>
          <w:sz w:val="28"/>
          <w:szCs w:val="28"/>
          <w:lang w:val="es-CO"/>
        </w:rPr>
        <w:t xml:space="preserve"> mesas de trabajo con el fin de diseñar un proyecto integral </w:t>
      </w:r>
      <w:r w:rsidRPr="005D131A">
        <w:rPr>
          <w:sz w:val="28"/>
          <w:szCs w:val="28"/>
          <w:lang w:val="es-CO"/>
        </w:rPr>
        <w:t>de reg</w:t>
      </w:r>
      <w:r w:rsidR="00B74FA2" w:rsidRPr="005D131A">
        <w:rPr>
          <w:sz w:val="28"/>
          <w:szCs w:val="28"/>
          <w:lang w:val="es-CO"/>
        </w:rPr>
        <w:t>ulación en salud, el cual debía</w:t>
      </w:r>
      <w:r w:rsidRPr="005D131A">
        <w:rPr>
          <w:sz w:val="28"/>
          <w:szCs w:val="28"/>
          <w:lang w:val="es-CO"/>
        </w:rPr>
        <w:t xml:space="preserve"> ser presentado y discutido </w:t>
      </w:r>
      <w:r w:rsidR="00D72AE1" w:rsidRPr="005D131A">
        <w:rPr>
          <w:sz w:val="28"/>
          <w:szCs w:val="28"/>
          <w:lang w:val="es-CO"/>
        </w:rPr>
        <w:t xml:space="preserve">con los diferentes actores del sistema. </w:t>
      </w:r>
    </w:p>
    <w:p w:rsidR="00592554" w:rsidRPr="005D131A" w:rsidRDefault="004503D3" w:rsidP="005D131A">
      <w:pPr>
        <w:rPr>
          <w:sz w:val="28"/>
          <w:szCs w:val="28"/>
          <w:lang w:val="es-CO"/>
        </w:rPr>
      </w:pPr>
      <w:r w:rsidRPr="005D131A">
        <w:rPr>
          <w:sz w:val="28"/>
          <w:szCs w:val="28"/>
          <w:lang w:val="es-CO"/>
        </w:rPr>
        <w:t xml:space="preserve"> </w:t>
      </w:r>
    </w:p>
    <w:p w:rsidR="004503D3" w:rsidRPr="005D131A" w:rsidRDefault="00592554" w:rsidP="005D131A">
      <w:pPr>
        <w:rPr>
          <w:sz w:val="28"/>
          <w:szCs w:val="28"/>
          <w:lang w:val="es-CO"/>
        </w:rPr>
      </w:pPr>
      <w:r w:rsidRPr="005D131A">
        <w:rPr>
          <w:sz w:val="28"/>
          <w:szCs w:val="28"/>
          <w:lang w:val="es-CO"/>
        </w:rPr>
        <w:t xml:space="preserve">- </w:t>
      </w:r>
      <w:r w:rsidR="004503D3" w:rsidRPr="005D131A">
        <w:rPr>
          <w:sz w:val="28"/>
          <w:szCs w:val="28"/>
          <w:lang w:val="es-CO"/>
        </w:rPr>
        <w:t xml:space="preserve">Adopción por parte de la Comisión de Regulación en Salud (Consejo Nacional de Seguridad Social en Salud), de la nueva regulación que responda a los criterios señalados por la Corte Constitucional. </w:t>
      </w:r>
    </w:p>
    <w:p w:rsidR="00AF480E" w:rsidRPr="005D131A" w:rsidRDefault="00AF480E" w:rsidP="005D131A">
      <w:pPr>
        <w:rPr>
          <w:sz w:val="28"/>
          <w:szCs w:val="28"/>
          <w:lang w:val="es-CO"/>
        </w:rPr>
      </w:pPr>
    </w:p>
    <w:p w:rsidR="00665E28" w:rsidRPr="005D131A" w:rsidRDefault="00166489" w:rsidP="005D131A">
      <w:pPr>
        <w:ind w:right="-54"/>
        <w:rPr>
          <w:sz w:val="28"/>
          <w:szCs w:val="28"/>
          <w:lang w:val="es-CO"/>
        </w:rPr>
      </w:pPr>
      <w:r w:rsidRPr="005D131A">
        <w:rPr>
          <w:sz w:val="28"/>
          <w:szCs w:val="28"/>
          <w:lang w:val="es-CO"/>
        </w:rPr>
        <w:t xml:space="preserve">6. </w:t>
      </w:r>
      <w:r w:rsidR="0099746E" w:rsidRPr="005D131A">
        <w:rPr>
          <w:sz w:val="28"/>
          <w:szCs w:val="28"/>
          <w:lang w:val="es-CO"/>
        </w:rPr>
        <w:t>M</w:t>
      </w:r>
      <w:r w:rsidR="00FF6132" w:rsidRPr="005D131A">
        <w:rPr>
          <w:sz w:val="28"/>
          <w:szCs w:val="28"/>
          <w:lang w:val="es-CO"/>
        </w:rPr>
        <w:t>ediante</w:t>
      </w:r>
      <w:r w:rsidR="00F614A3" w:rsidRPr="005D131A">
        <w:rPr>
          <w:sz w:val="28"/>
          <w:szCs w:val="28"/>
          <w:lang w:val="es-CO"/>
        </w:rPr>
        <w:t xml:space="preserve"> </w:t>
      </w:r>
      <w:r w:rsidR="00F614A3" w:rsidRPr="005D131A">
        <w:rPr>
          <w:b/>
          <w:sz w:val="28"/>
          <w:szCs w:val="28"/>
          <w:lang w:val="es-CO"/>
        </w:rPr>
        <w:t xml:space="preserve">Auto </w:t>
      </w:r>
      <w:r w:rsidR="007B318C" w:rsidRPr="005D131A">
        <w:rPr>
          <w:b/>
          <w:sz w:val="28"/>
          <w:szCs w:val="28"/>
          <w:lang w:val="es-CO"/>
        </w:rPr>
        <w:t>de 30 de marzo de 2009</w:t>
      </w:r>
      <w:r w:rsidR="007B318C" w:rsidRPr="005D131A">
        <w:rPr>
          <w:sz w:val="28"/>
          <w:szCs w:val="28"/>
          <w:lang w:val="es-CO"/>
        </w:rPr>
        <w:t xml:space="preserve">, </w:t>
      </w:r>
      <w:r w:rsidR="00247781" w:rsidRPr="005D131A">
        <w:rPr>
          <w:sz w:val="28"/>
          <w:szCs w:val="28"/>
          <w:lang w:val="es-CO"/>
        </w:rPr>
        <w:t>este Tribunal</w:t>
      </w:r>
      <w:r w:rsidR="007B318C" w:rsidRPr="005D131A">
        <w:rPr>
          <w:sz w:val="28"/>
          <w:szCs w:val="28"/>
          <w:lang w:val="es-CO"/>
        </w:rPr>
        <w:t xml:space="preserve"> corrió traslado </w:t>
      </w:r>
      <w:r w:rsidR="00D72AE1" w:rsidRPr="005D131A">
        <w:rPr>
          <w:sz w:val="28"/>
          <w:szCs w:val="28"/>
          <w:lang w:val="es-CO"/>
        </w:rPr>
        <w:t xml:space="preserve">al </w:t>
      </w:r>
      <w:r w:rsidR="00665E28" w:rsidRPr="005D131A">
        <w:rPr>
          <w:sz w:val="28"/>
          <w:szCs w:val="28"/>
          <w:lang w:val="es-CO"/>
        </w:rPr>
        <w:t xml:space="preserve">proyecto </w:t>
      </w:r>
      <w:r w:rsidR="00D72AE1" w:rsidRPr="005D131A">
        <w:rPr>
          <w:i/>
          <w:sz w:val="28"/>
          <w:szCs w:val="28"/>
          <w:lang w:val="es-CO"/>
        </w:rPr>
        <w:t>“</w:t>
      </w:r>
      <w:r w:rsidR="00665E28" w:rsidRPr="005D131A">
        <w:rPr>
          <w:i/>
          <w:sz w:val="28"/>
          <w:szCs w:val="28"/>
          <w:lang w:val="es-CO"/>
        </w:rPr>
        <w:t>Así Vamos en Salud</w:t>
      </w:r>
      <w:r w:rsidR="00D72AE1" w:rsidRPr="005D131A">
        <w:rPr>
          <w:i/>
          <w:sz w:val="28"/>
          <w:szCs w:val="28"/>
          <w:lang w:val="es-CO"/>
        </w:rPr>
        <w:t>”</w:t>
      </w:r>
      <w:r w:rsidR="00D72AE1" w:rsidRPr="005D131A">
        <w:rPr>
          <w:sz w:val="28"/>
          <w:szCs w:val="28"/>
          <w:lang w:val="es-CO"/>
        </w:rPr>
        <w:t xml:space="preserve"> </w:t>
      </w:r>
      <w:r w:rsidR="00665E28" w:rsidRPr="005D131A">
        <w:rPr>
          <w:sz w:val="28"/>
          <w:szCs w:val="28"/>
          <w:lang w:val="es-CO"/>
        </w:rPr>
        <w:t xml:space="preserve">y </w:t>
      </w:r>
      <w:r w:rsidR="00D72AE1" w:rsidRPr="005D131A">
        <w:rPr>
          <w:sz w:val="28"/>
          <w:szCs w:val="28"/>
          <w:lang w:val="es-CO"/>
        </w:rPr>
        <w:t xml:space="preserve">a </w:t>
      </w:r>
      <w:r w:rsidR="00665E28" w:rsidRPr="005D131A">
        <w:rPr>
          <w:sz w:val="28"/>
          <w:szCs w:val="28"/>
          <w:lang w:val="es-CO"/>
        </w:rPr>
        <w:t>A</w:t>
      </w:r>
      <w:r w:rsidR="00D72AE1" w:rsidRPr="005D131A">
        <w:rPr>
          <w:sz w:val="28"/>
          <w:szCs w:val="28"/>
          <w:lang w:val="es-CO"/>
        </w:rPr>
        <w:t>cemi</w:t>
      </w:r>
      <w:r w:rsidR="006B1B7B" w:rsidRPr="005D131A">
        <w:rPr>
          <w:sz w:val="28"/>
          <w:szCs w:val="28"/>
          <w:lang w:val="es-CO"/>
        </w:rPr>
        <w:t>,</w:t>
      </w:r>
      <w:r w:rsidR="00665E28" w:rsidRPr="005D131A">
        <w:rPr>
          <w:sz w:val="28"/>
          <w:szCs w:val="28"/>
          <w:lang w:val="es-CO"/>
        </w:rPr>
        <w:t xml:space="preserve"> </w:t>
      </w:r>
      <w:r w:rsidR="003A6623" w:rsidRPr="005D131A">
        <w:rPr>
          <w:sz w:val="28"/>
          <w:szCs w:val="28"/>
        </w:rPr>
        <w:t xml:space="preserve">a fin de que se pronunciaran en relación con los informes </w:t>
      </w:r>
      <w:r w:rsidR="00665E28" w:rsidRPr="005D131A">
        <w:rPr>
          <w:sz w:val="28"/>
          <w:szCs w:val="28"/>
          <w:lang w:val="es-CO"/>
        </w:rPr>
        <w:t xml:space="preserve">presentados por el Ministerio de la Protección Social en virtud de </w:t>
      </w:r>
      <w:r w:rsidR="00D72AE1" w:rsidRPr="005D131A">
        <w:rPr>
          <w:sz w:val="28"/>
          <w:szCs w:val="28"/>
          <w:lang w:val="es-CO"/>
        </w:rPr>
        <w:t>lo ordenado en la sentencia T-7</w:t>
      </w:r>
      <w:r w:rsidR="00665E28" w:rsidRPr="005D131A">
        <w:rPr>
          <w:sz w:val="28"/>
          <w:szCs w:val="28"/>
          <w:lang w:val="es-CO"/>
        </w:rPr>
        <w:t>60 de 2008</w:t>
      </w:r>
      <w:r w:rsidR="006B1B7B" w:rsidRPr="005D131A">
        <w:rPr>
          <w:sz w:val="28"/>
          <w:szCs w:val="28"/>
          <w:lang w:val="es-CO"/>
        </w:rPr>
        <w:t>.</w:t>
      </w:r>
      <w:r w:rsidR="00665E28" w:rsidRPr="005D131A">
        <w:rPr>
          <w:sz w:val="28"/>
          <w:szCs w:val="28"/>
          <w:lang w:val="es-CO"/>
        </w:rPr>
        <w:t xml:space="preserve"> </w:t>
      </w:r>
      <w:r w:rsidR="007B318C" w:rsidRPr="005D131A">
        <w:rPr>
          <w:sz w:val="28"/>
          <w:szCs w:val="28"/>
          <w:lang w:val="es-CO"/>
        </w:rPr>
        <w:t xml:space="preserve"> </w:t>
      </w:r>
    </w:p>
    <w:p w:rsidR="008A58C7" w:rsidRPr="005D131A" w:rsidRDefault="008A58C7" w:rsidP="00E95029">
      <w:pPr>
        <w:pStyle w:val="Prrafodelista"/>
        <w:tabs>
          <w:tab w:val="left" w:pos="567"/>
        </w:tabs>
        <w:ind w:left="360"/>
        <w:rPr>
          <w:vanish/>
          <w:sz w:val="28"/>
          <w:szCs w:val="28"/>
          <w:lang w:val="es-CO"/>
        </w:rPr>
      </w:pPr>
    </w:p>
    <w:p w:rsidR="004C2497" w:rsidRPr="005D131A" w:rsidRDefault="00166489" w:rsidP="005D131A">
      <w:pPr>
        <w:pStyle w:val="Prrafodelista"/>
        <w:tabs>
          <w:tab w:val="left" w:pos="567"/>
        </w:tabs>
        <w:ind w:left="0"/>
        <w:rPr>
          <w:sz w:val="28"/>
          <w:szCs w:val="28"/>
          <w:lang w:val="es-CO"/>
        </w:rPr>
      </w:pPr>
      <w:r w:rsidRPr="005D131A">
        <w:rPr>
          <w:sz w:val="28"/>
          <w:szCs w:val="28"/>
          <w:lang w:val="es-CO"/>
        </w:rPr>
        <w:t xml:space="preserve">6.1. </w:t>
      </w:r>
      <w:r w:rsidR="006B1B7B" w:rsidRPr="005D131A">
        <w:rPr>
          <w:sz w:val="28"/>
          <w:szCs w:val="28"/>
          <w:lang w:val="es-CO"/>
        </w:rPr>
        <w:t>En respuesta de</w:t>
      </w:r>
      <w:r w:rsidR="00610CDF" w:rsidRPr="005D131A">
        <w:rPr>
          <w:sz w:val="28"/>
          <w:szCs w:val="28"/>
          <w:lang w:val="es-CO"/>
        </w:rPr>
        <w:t xml:space="preserve"> 14 de a</w:t>
      </w:r>
      <w:r w:rsidR="006B1B7B" w:rsidRPr="005D131A">
        <w:rPr>
          <w:sz w:val="28"/>
          <w:szCs w:val="28"/>
          <w:lang w:val="es-CO"/>
        </w:rPr>
        <w:t>bril de 2009</w:t>
      </w:r>
      <w:r w:rsidR="006B1B7B" w:rsidRPr="005D131A">
        <w:rPr>
          <w:sz w:val="28"/>
          <w:szCs w:val="28"/>
          <w:vertAlign w:val="superscript"/>
          <w:lang w:val="es-CO"/>
        </w:rPr>
        <w:footnoteReference w:id="5"/>
      </w:r>
      <w:r w:rsidR="00B74FA2" w:rsidRPr="005D131A">
        <w:rPr>
          <w:sz w:val="28"/>
          <w:szCs w:val="28"/>
          <w:lang w:val="es-CO"/>
        </w:rPr>
        <w:t xml:space="preserve">, </w:t>
      </w:r>
      <w:r w:rsidR="00610CDF" w:rsidRPr="005D131A">
        <w:rPr>
          <w:i/>
          <w:sz w:val="28"/>
          <w:szCs w:val="28"/>
          <w:lang w:val="es-CO"/>
        </w:rPr>
        <w:t>“A</w:t>
      </w:r>
      <w:r w:rsidR="00D72AE1" w:rsidRPr="005D131A">
        <w:rPr>
          <w:i/>
          <w:sz w:val="28"/>
          <w:szCs w:val="28"/>
          <w:lang w:val="es-CO"/>
        </w:rPr>
        <w:t>sí Vamos en Salud”</w:t>
      </w:r>
      <w:r w:rsidR="00B74FA2" w:rsidRPr="005D131A">
        <w:rPr>
          <w:sz w:val="28"/>
          <w:szCs w:val="28"/>
          <w:lang w:val="es-CO"/>
        </w:rPr>
        <w:t xml:space="preserve"> </w:t>
      </w:r>
      <w:r w:rsidR="00F614A3" w:rsidRPr="005D131A">
        <w:rPr>
          <w:sz w:val="28"/>
          <w:szCs w:val="28"/>
          <w:lang w:val="es-CO"/>
        </w:rPr>
        <w:t>manifestó que</w:t>
      </w:r>
      <w:r w:rsidR="004C2497" w:rsidRPr="005D131A">
        <w:rPr>
          <w:sz w:val="28"/>
          <w:szCs w:val="28"/>
          <w:lang w:val="es-CO"/>
        </w:rPr>
        <w:t xml:space="preserve"> las medidas tomadas para regular </w:t>
      </w:r>
      <w:r w:rsidR="006B1B7B" w:rsidRPr="005D131A">
        <w:rPr>
          <w:sz w:val="28"/>
          <w:szCs w:val="28"/>
          <w:lang w:val="es-CO"/>
        </w:rPr>
        <w:t xml:space="preserve">el </w:t>
      </w:r>
      <w:r w:rsidR="004C2497" w:rsidRPr="005D131A">
        <w:rPr>
          <w:sz w:val="28"/>
          <w:szCs w:val="28"/>
          <w:lang w:val="es-CO"/>
        </w:rPr>
        <w:t>CTC se encuentran estipuladas en las Resoluciones 3039, 3754 y 5334</w:t>
      </w:r>
      <w:r w:rsidR="006B1B7B" w:rsidRPr="005D131A">
        <w:rPr>
          <w:sz w:val="28"/>
          <w:szCs w:val="28"/>
          <w:lang w:val="es-CO"/>
        </w:rPr>
        <w:t xml:space="preserve"> de 2008. Sin embargo, consideró</w:t>
      </w:r>
      <w:r w:rsidR="004C2497" w:rsidRPr="005D131A">
        <w:rPr>
          <w:sz w:val="28"/>
          <w:szCs w:val="28"/>
          <w:lang w:val="es-CO"/>
        </w:rPr>
        <w:t xml:space="preserve"> que </w:t>
      </w:r>
      <w:r w:rsidR="00915179" w:rsidRPr="005D131A">
        <w:rPr>
          <w:sz w:val="28"/>
          <w:szCs w:val="28"/>
          <w:lang w:val="es-CO"/>
        </w:rPr>
        <w:t xml:space="preserve">el informe presentado por el Ministerio no contiene datos </w:t>
      </w:r>
      <w:r w:rsidR="000F7353" w:rsidRPr="005D131A">
        <w:rPr>
          <w:sz w:val="28"/>
          <w:szCs w:val="28"/>
          <w:lang w:val="es-CO"/>
        </w:rPr>
        <w:t xml:space="preserve">que </w:t>
      </w:r>
      <w:r w:rsidR="00915179" w:rsidRPr="005D131A">
        <w:rPr>
          <w:sz w:val="28"/>
          <w:szCs w:val="28"/>
          <w:lang w:val="es-CO"/>
        </w:rPr>
        <w:t xml:space="preserve">permitan </w:t>
      </w:r>
      <w:r w:rsidR="00F77828" w:rsidRPr="005D131A">
        <w:rPr>
          <w:sz w:val="28"/>
          <w:szCs w:val="28"/>
          <w:lang w:val="es-CO"/>
        </w:rPr>
        <w:t xml:space="preserve">evaluar </w:t>
      </w:r>
      <w:r w:rsidR="00915179" w:rsidRPr="005D131A">
        <w:rPr>
          <w:sz w:val="28"/>
          <w:szCs w:val="28"/>
          <w:lang w:val="es-CO"/>
        </w:rPr>
        <w:t>el estado de los procesos de autorización al interior de las EPS</w:t>
      </w:r>
      <w:r w:rsidR="004C2497" w:rsidRPr="005D131A">
        <w:rPr>
          <w:sz w:val="28"/>
          <w:szCs w:val="28"/>
          <w:lang w:val="es-CO"/>
        </w:rPr>
        <w:t xml:space="preserve"> que den respuesta a esa orden</w:t>
      </w:r>
      <w:r w:rsidR="00F614A3" w:rsidRPr="005D131A">
        <w:rPr>
          <w:sz w:val="28"/>
          <w:szCs w:val="28"/>
          <w:lang w:val="es-CO"/>
        </w:rPr>
        <w:t>.</w:t>
      </w:r>
    </w:p>
    <w:p w:rsidR="004C2497" w:rsidRPr="005D131A" w:rsidRDefault="004C2497" w:rsidP="005D131A">
      <w:pPr>
        <w:pStyle w:val="Prrafodelista"/>
        <w:tabs>
          <w:tab w:val="left" w:pos="567"/>
        </w:tabs>
        <w:ind w:left="0"/>
        <w:rPr>
          <w:sz w:val="28"/>
          <w:szCs w:val="28"/>
          <w:lang w:val="es-CO"/>
        </w:rPr>
      </w:pPr>
    </w:p>
    <w:p w:rsidR="00B94975" w:rsidRPr="005D131A" w:rsidRDefault="00166489" w:rsidP="005D131A">
      <w:pPr>
        <w:pStyle w:val="Prrafodelista"/>
        <w:tabs>
          <w:tab w:val="left" w:pos="567"/>
        </w:tabs>
        <w:ind w:left="0"/>
        <w:rPr>
          <w:sz w:val="28"/>
          <w:szCs w:val="28"/>
          <w:lang w:val="es-CO"/>
        </w:rPr>
      </w:pPr>
      <w:r w:rsidRPr="005D131A">
        <w:rPr>
          <w:sz w:val="28"/>
          <w:szCs w:val="28"/>
          <w:lang w:val="es-CO"/>
        </w:rPr>
        <w:t xml:space="preserve">6.2. </w:t>
      </w:r>
      <w:r w:rsidR="0066634D" w:rsidRPr="005D131A">
        <w:rPr>
          <w:sz w:val="28"/>
          <w:szCs w:val="28"/>
          <w:lang w:val="es-CO"/>
        </w:rPr>
        <w:t>Asimismo</w:t>
      </w:r>
      <w:r w:rsidR="004C2497" w:rsidRPr="005D131A">
        <w:rPr>
          <w:sz w:val="28"/>
          <w:szCs w:val="28"/>
          <w:lang w:val="es-CO"/>
        </w:rPr>
        <w:t>, e</w:t>
      </w:r>
      <w:r w:rsidR="00F614A3" w:rsidRPr="005D131A">
        <w:rPr>
          <w:sz w:val="28"/>
          <w:szCs w:val="28"/>
          <w:lang w:val="es-CO"/>
        </w:rPr>
        <w:t>l 15 de abril de 2009</w:t>
      </w:r>
      <w:r w:rsidR="006B1B7B" w:rsidRPr="005D131A">
        <w:rPr>
          <w:sz w:val="28"/>
          <w:szCs w:val="28"/>
          <w:vertAlign w:val="superscript"/>
          <w:lang w:val="es-CO"/>
        </w:rPr>
        <w:footnoteReference w:id="6"/>
      </w:r>
      <w:r w:rsidR="006B1B7B" w:rsidRPr="005D131A">
        <w:rPr>
          <w:sz w:val="28"/>
          <w:szCs w:val="28"/>
          <w:lang w:val="es-CO"/>
        </w:rPr>
        <w:t xml:space="preserve">, </w:t>
      </w:r>
      <w:r w:rsidR="004C2497" w:rsidRPr="005D131A">
        <w:rPr>
          <w:sz w:val="28"/>
          <w:szCs w:val="28"/>
          <w:lang w:val="es-CO"/>
        </w:rPr>
        <w:t>A</w:t>
      </w:r>
      <w:r w:rsidR="006B1B7B" w:rsidRPr="005D131A">
        <w:rPr>
          <w:sz w:val="28"/>
          <w:szCs w:val="28"/>
          <w:lang w:val="es-CO"/>
        </w:rPr>
        <w:t>cemi</w:t>
      </w:r>
      <w:r w:rsidR="00FE11D7" w:rsidRPr="005D131A">
        <w:rPr>
          <w:sz w:val="28"/>
          <w:szCs w:val="28"/>
          <w:lang w:val="es-CO"/>
        </w:rPr>
        <w:t xml:space="preserve"> </w:t>
      </w:r>
      <w:r w:rsidR="00DF3F2F" w:rsidRPr="005D131A">
        <w:rPr>
          <w:sz w:val="28"/>
          <w:szCs w:val="28"/>
          <w:lang w:val="es-CO"/>
        </w:rPr>
        <w:t xml:space="preserve">allegó los comentarios correspondientes a los informes presentados por el entonces Ministerio de la Protección Social, señalando, en primer lugar, que la forma en que el ente ministerial </w:t>
      </w:r>
      <w:r w:rsidR="00FE11D7" w:rsidRPr="005D131A">
        <w:rPr>
          <w:sz w:val="28"/>
          <w:szCs w:val="28"/>
          <w:lang w:val="es-CO"/>
        </w:rPr>
        <w:t xml:space="preserve">presentó la información no permite hacer un análisis detallado sobre el impacto de la sentencia </w:t>
      </w:r>
      <w:r w:rsidR="00592ADE" w:rsidRPr="005D131A">
        <w:rPr>
          <w:sz w:val="28"/>
          <w:szCs w:val="28"/>
          <w:lang w:val="es-CO"/>
        </w:rPr>
        <w:t xml:space="preserve">en relación con mecanismos efectivos que permitan </w:t>
      </w:r>
      <w:r w:rsidR="00D04790" w:rsidRPr="005D131A">
        <w:rPr>
          <w:sz w:val="28"/>
          <w:szCs w:val="28"/>
          <w:lang w:val="es-CO"/>
        </w:rPr>
        <w:t>acceder</w:t>
      </w:r>
      <w:r w:rsidR="00DF3F2F" w:rsidRPr="005D131A">
        <w:rPr>
          <w:sz w:val="28"/>
          <w:szCs w:val="28"/>
          <w:lang w:val="es-CO"/>
        </w:rPr>
        <w:t xml:space="preserve"> a los servicios de salud </w:t>
      </w:r>
      <w:r w:rsidR="00FE11D7" w:rsidRPr="005D131A">
        <w:rPr>
          <w:sz w:val="28"/>
          <w:szCs w:val="28"/>
          <w:lang w:val="es-CO"/>
        </w:rPr>
        <w:t xml:space="preserve">sin tener que acudir a la acción de tutela. </w:t>
      </w:r>
      <w:r w:rsidR="00DF3F2F" w:rsidRPr="005D131A">
        <w:rPr>
          <w:sz w:val="28"/>
          <w:szCs w:val="28"/>
          <w:lang w:val="es-CO"/>
        </w:rPr>
        <w:t>En segundo lugar,</w:t>
      </w:r>
      <w:r w:rsidR="00FE11D7" w:rsidRPr="005D131A">
        <w:rPr>
          <w:sz w:val="28"/>
          <w:szCs w:val="28"/>
          <w:lang w:val="es-CO"/>
        </w:rPr>
        <w:t xml:space="preserve"> </w:t>
      </w:r>
      <w:r w:rsidR="006B1B7B" w:rsidRPr="005D131A">
        <w:rPr>
          <w:sz w:val="28"/>
          <w:szCs w:val="28"/>
          <w:lang w:val="es-CO"/>
        </w:rPr>
        <w:t>expres</w:t>
      </w:r>
      <w:r w:rsidR="00FE11D7" w:rsidRPr="005D131A">
        <w:rPr>
          <w:sz w:val="28"/>
          <w:szCs w:val="28"/>
          <w:lang w:val="es-CO"/>
        </w:rPr>
        <w:t xml:space="preserve">ó </w:t>
      </w:r>
      <w:r w:rsidR="00382B6B" w:rsidRPr="005D131A">
        <w:rPr>
          <w:sz w:val="28"/>
          <w:szCs w:val="28"/>
          <w:lang w:val="es-CO"/>
        </w:rPr>
        <w:t>su preocupación</w:t>
      </w:r>
      <w:r w:rsidR="00DF3F2F" w:rsidRPr="005D131A">
        <w:rPr>
          <w:sz w:val="28"/>
          <w:szCs w:val="28"/>
          <w:lang w:val="es-CO"/>
        </w:rPr>
        <w:t xml:space="preserve"> en relación </w:t>
      </w:r>
      <w:r w:rsidR="002D23EA" w:rsidRPr="005D131A">
        <w:rPr>
          <w:sz w:val="28"/>
          <w:szCs w:val="28"/>
          <w:lang w:val="es-CO"/>
        </w:rPr>
        <w:t xml:space="preserve">con </w:t>
      </w:r>
      <w:r w:rsidR="00DF3F2F" w:rsidRPr="005D131A">
        <w:rPr>
          <w:sz w:val="28"/>
          <w:szCs w:val="28"/>
          <w:lang w:val="es-CO"/>
        </w:rPr>
        <w:t>aquellos servicios</w:t>
      </w:r>
      <w:r w:rsidR="00382B6B" w:rsidRPr="005D131A">
        <w:rPr>
          <w:sz w:val="28"/>
          <w:szCs w:val="28"/>
          <w:lang w:val="es-CO"/>
        </w:rPr>
        <w:t xml:space="preserve"> que </w:t>
      </w:r>
      <w:r w:rsidR="00382B6B" w:rsidRPr="005D131A">
        <w:rPr>
          <w:i/>
          <w:sz w:val="28"/>
          <w:szCs w:val="28"/>
          <w:lang w:val="es-CO"/>
        </w:rPr>
        <w:t>“no son considerados estrictamente como de salud”</w:t>
      </w:r>
      <w:r w:rsidR="007403CD" w:rsidRPr="005D131A">
        <w:rPr>
          <w:sz w:val="28"/>
          <w:szCs w:val="28"/>
          <w:lang w:val="es-CO"/>
        </w:rPr>
        <w:t xml:space="preserve">, </w:t>
      </w:r>
      <w:r w:rsidR="00B94975" w:rsidRPr="005D131A">
        <w:rPr>
          <w:sz w:val="28"/>
          <w:szCs w:val="28"/>
          <w:lang w:val="es-CO"/>
        </w:rPr>
        <w:t>los cuales a su juicio no pueden</w:t>
      </w:r>
      <w:r w:rsidR="000B49C5" w:rsidRPr="005D131A">
        <w:rPr>
          <w:sz w:val="28"/>
          <w:szCs w:val="28"/>
          <w:lang w:val="es-CO"/>
        </w:rPr>
        <w:t xml:space="preserve"> ser</w:t>
      </w:r>
      <w:r w:rsidR="00B94975" w:rsidRPr="005D131A">
        <w:rPr>
          <w:sz w:val="28"/>
          <w:szCs w:val="28"/>
          <w:lang w:val="es-CO"/>
        </w:rPr>
        <w:t xml:space="preserve"> autorizados por los CTC. </w:t>
      </w:r>
    </w:p>
    <w:p w:rsidR="00B74FA2" w:rsidRPr="005D131A" w:rsidRDefault="00B74FA2" w:rsidP="005D131A">
      <w:pPr>
        <w:pStyle w:val="Prrafodelista"/>
        <w:tabs>
          <w:tab w:val="left" w:pos="567"/>
        </w:tabs>
        <w:ind w:left="0"/>
        <w:rPr>
          <w:sz w:val="28"/>
          <w:szCs w:val="28"/>
          <w:lang w:val="es-CO"/>
        </w:rPr>
      </w:pPr>
    </w:p>
    <w:p w:rsidR="007403CD" w:rsidRPr="005D131A" w:rsidRDefault="00D04790" w:rsidP="005D131A">
      <w:pPr>
        <w:pStyle w:val="Prrafodelista"/>
        <w:tabs>
          <w:tab w:val="left" w:pos="567"/>
        </w:tabs>
        <w:ind w:left="0"/>
        <w:rPr>
          <w:sz w:val="28"/>
          <w:szCs w:val="28"/>
          <w:lang w:val="es-CO"/>
        </w:rPr>
      </w:pPr>
      <w:r w:rsidRPr="005D131A">
        <w:rPr>
          <w:sz w:val="28"/>
          <w:szCs w:val="28"/>
          <w:lang w:val="es-CO"/>
        </w:rPr>
        <w:t>En su sentir, no existe claridad sobre e</w:t>
      </w:r>
      <w:r w:rsidR="006B1B7B" w:rsidRPr="005D131A">
        <w:rPr>
          <w:sz w:val="28"/>
          <w:szCs w:val="28"/>
          <w:lang w:val="es-CO"/>
        </w:rPr>
        <w:t>l tema por cuanto la normativa</w:t>
      </w:r>
      <w:r w:rsidRPr="005D131A">
        <w:rPr>
          <w:sz w:val="28"/>
          <w:szCs w:val="28"/>
          <w:lang w:val="es-CO"/>
        </w:rPr>
        <w:t xml:space="preserve"> vigente (Resoluci</w:t>
      </w:r>
      <w:r w:rsidR="00B94975" w:rsidRPr="005D131A">
        <w:rPr>
          <w:sz w:val="28"/>
          <w:szCs w:val="28"/>
          <w:lang w:val="es-CO"/>
        </w:rPr>
        <w:t>ón 3099 de 2008) solo</w:t>
      </w:r>
      <w:r w:rsidRPr="005D131A">
        <w:rPr>
          <w:sz w:val="28"/>
          <w:szCs w:val="28"/>
          <w:lang w:val="es-CO"/>
        </w:rPr>
        <w:t xml:space="preserve"> permite a los CTC autor</w:t>
      </w:r>
      <w:r w:rsidR="000B49C5" w:rsidRPr="005D131A">
        <w:rPr>
          <w:sz w:val="28"/>
          <w:szCs w:val="28"/>
          <w:lang w:val="es-CO"/>
        </w:rPr>
        <w:t xml:space="preserve">izar medicamentos, servicios médicos </w:t>
      </w:r>
      <w:r w:rsidRPr="005D131A">
        <w:rPr>
          <w:sz w:val="28"/>
          <w:szCs w:val="28"/>
          <w:lang w:val="es-CO"/>
        </w:rPr>
        <w:t xml:space="preserve">y prestaciones de salud </w:t>
      </w:r>
      <w:r w:rsidR="00B94975" w:rsidRPr="005D131A">
        <w:rPr>
          <w:sz w:val="28"/>
          <w:szCs w:val="28"/>
          <w:lang w:val="es-CO"/>
        </w:rPr>
        <w:t xml:space="preserve">no </w:t>
      </w:r>
      <w:r w:rsidR="000B49C5" w:rsidRPr="005D131A">
        <w:rPr>
          <w:sz w:val="28"/>
          <w:szCs w:val="28"/>
          <w:lang w:val="es-CO"/>
        </w:rPr>
        <w:t>POS,</w:t>
      </w:r>
      <w:r w:rsidR="00B94975" w:rsidRPr="005D131A">
        <w:rPr>
          <w:sz w:val="28"/>
          <w:szCs w:val="28"/>
          <w:lang w:val="es-CO"/>
        </w:rPr>
        <w:t xml:space="preserve"> dejando por fuera los </w:t>
      </w:r>
      <w:r w:rsidR="0066634D" w:rsidRPr="005D131A">
        <w:rPr>
          <w:sz w:val="28"/>
          <w:szCs w:val="28"/>
          <w:lang w:val="es-CO"/>
        </w:rPr>
        <w:t>servicios que</w:t>
      </w:r>
      <w:r w:rsidR="00B94975" w:rsidRPr="005D131A">
        <w:rPr>
          <w:sz w:val="28"/>
          <w:szCs w:val="28"/>
          <w:lang w:val="es-CO"/>
        </w:rPr>
        <w:t xml:space="preserve"> a</w:t>
      </w:r>
      <w:r w:rsidR="0066634D" w:rsidRPr="005D131A">
        <w:rPr>
          <w:sz w:val="28"/>
          <w:szCs w:val="28"/>
          <w:lang w:val="es-CO"/>
        </w:rPr>
        <w:t xml:space="preserve"> su</w:t>
      </w:r>
      <w:r w:rsidR="00B94975" w:rsidRPr="005D131A">
        <w:rPr>
          <w:sz w:val="28"/>
          <w:szCs w:val="28"/>
          <w:lang w:val="es-CO"/>
        </w:rPr>
        <w:t xml:space="preserve"> juicio </w:t>
      </w:r>
      <w:r w:rsidR="000B49C5" w:rsidRPr="005D131A">
        <w:rPr>
          <w:i/>
          <w:sz w:val="28"/>
          <w:szCs w:val="28"/>
          <w:lang w:val="es-CO"/>
        </w:rPr>
        <w:t>“no son considerados estrictamente como de salud”</w:t>
      </w:r>
      <w:r w:rsidR="000B49C5" w:rsidRPr="005D131A">
        <w:rPr>
          <w:sz w:val="28"/>
          <w:szCs w:val="28"/>
          <w:vertAlign w:val="superscript"/>
          <w:lang w:val="es-CO"/>
        </w:rPr>
        <w:t xml:space="preserve"> </w:t>
      </w:r>
      <w:r w:rsidR="000B49C5" w:rsidRPr="005D131A">
        <w:rPr>
          <w:sz w:val="28"/>
          <w:szCs w:val="28"/>
          <w:vertAlign w:val="superscript"/>
          <w:lang w:val="es-CO"/>
        </w:rPr>
        <w:footnoteReference w:id="7"/>
      </w:r>
      <w:r w:rsidR="000B49C5" w:rsidRPr="005D131A">
        <w:rPr>
          <w:sz w:val="28"/>
          <w:szCs w:val="28"/>
          <w:lang w:val="es-CO"/>
        </w:rPr>
        <w:t xml:space="preserve">, </w:t>
      </w:r>
      <w:r w:rsidR="00B94975" w:rsidRPr="005D131A">
        <w:rPr>
          <w:sz w:val="28"/>
          <w:szCs w:val="28"/>
          <w:lang w:val="es-CO"/>
        </w:rPr>
        <w:t>pero otorgados por jueces de tutela bajo el entendido de que son nece</w:t>
      </w:r>
      <w:r w:rsidR="0066634D" w:rsidRPr="005D131A">
        <w:rPr>
          <w:sz w:val="28"/>
          <w:szCs w:val="28"/>
          <w:lang w:val="es-CO"/>
        </w:rPr>
        <w:t>sarios para garantizar el derecho</w:t>
      </w:r>
      <w:r w:rsidR="00B94975" w:rsidRPr="005D131A">
        <w:rPr>
          <w:sz w:val="28"/>
          <w:szCs w:val="28"/>
          <w:lang w:val="es-CO"/>
        </w:rPr>
        <w:t xml:space="preserve"> a la salud o que hacen parte del concepto integral de atención médica, circunstancia que </w:t>
      </w:r>
      <w:r w:rsidR="000B49C5" w:rsidRPr="005D131A">
        <w:rPr>
          <w:sz w:val="28"/>
          <w:szCs w:val="28"/>
          <w:lang w:val="es-CO"/>
        </w:rPr>
        <w:t xml:space="preserve">afecta a las </w:t>
      </w:r>
      <w:r w:rsidR="002036CA" w:rsidRPr="005D131A">
        <w:rPr>
          <w:sz w:val="28"/>
          <w:szCs w:val="28"/>
          <w:lang w:val="es-CO"/>
        </w:rPr>
        <w:t>EPS quienes solo tienen derecho a recobrar el 50</w:t>
      </w:r>
      <w:r w:rsidR="002432C7" w:rsidRPr="005D131A">
        <w:rPr>
          <w:sz w:val="28"/>
          <w:szCs w:val="28"/>
          <w:lang w:val="es-CO"/>
        </w:rPr>
        <w:t xml:space="preserve"> </w:t>
      </w:r>
      <w:r w:rsidR="000B49C5" w:rsidRPr="005D131A">
        <w:rPr>
          <w:sz w:val="28"/>
          <w:szCs w:val="28"/>
          <w:lang w:val="es-CO"/>
        </w:rPr>
        <w:t xml:space="preserve">% de los costos no cubiertos </w:t>
      </w:r>
    </w:p>
    <w:p w:rsidR="007403CD" w:rsidRPr="005D131A" w:rsidRDefault="007403CD" w:rsidP="005D131A">
      <w:pPr>
        <w:pStyle w:val="Prrafodelista"/>
        <w:tabs>
          <w:tab w:val="left" w:pos="567"/>
        </w:tabs>
        <w:ind w:left="0"/>
        <w:rPr>
          <w:sz w:val="28"/>
          <w:szCs w:val="28"/>
          <w:lang w:val="es-CO"/>
        </w:rPr>
      </w:pPr>
    </w:p>
    <w:p w:rsidR="00F614A3" w:rsidRPr="005D131A" w:rsidRDefault="00F614A3" w:rsidP="005D131A">
      <w:pPr>
        <w:pStyle w:val="Prrafodelista"/>
        <w:tabs>
          <w:tab w:val="left" w:pos="567"/>
        </w:tabs>
        <w:ind w:left="0"/>
        <w:rPr>
          <w:sz w:val="28"/>
          <w:szCs w:val="28"/>
          <w:lang w:val="es-CO"/>
        </w:rPr>
      </w:pPr>
      <w:r w:rsidRPr="005D131A">
        <w:rPr>
          <w:sz w:val="28"/>
          <w:szCs w:val="28"/>
          <w:lang w:val="es-CO"/>
        </w:rPr>
        <w:t>Por lo anterior, arguyó la importancia de defini</w:t>
      </w:r>
      <w:r w:rsidR="007D3370" w:rsidRPr="005D131A">
        <w:rPr>
          <w:sz w:val="28"/>
          <w:szCs w:val="28"/>
          <w:lang w:val="es-CO"/>
        </w:rPr>
        <w:t xml:space="preserve">r un mecanismo ágil que permita </w:t>
      </w:r>
      <w:r w:rsidRPr="005D131A">
        <w:rPr>
          <w:sz w:val="28"/>
          <w:szCs w:val="28"/>
          <w:lang w:val="es-CO"/>
        </w:rPr>
        <w:t>autorizar de manera excepcional</w:t>
      </w:r>
      <w:r w:rsidR="002036CA" w:rsidRPr="005D131A">
        <w:rPr>
          <w:sz w:val="28"/>
          <w:szCs w:val="28"/>
          <w:lang w:val="es-CO"/>
        </w:rPr>
        <w:t xml:space="preserve"> </w:t>
      </w:r>
      <w:r w:rsidRPr="005D131A">
        <w:rPr>
          <w:sz w:val="28"/>
          <w:szCs w:val="28"/>
          <w:lang w:val="es-CO"/>
        </w:rPr>
        <w:t xml:space="preserve">coberturas en salud excluidas del </w:t>
      </w:r>
      <w:r w:rsidR="00664FD5" w:rsidRPr="005D131A">
        <w:rPr>
          <w:sz w:val="28"/>
          <w:szCs w:val="28"/>
          <w:lang w:val="es-CO"/>
        </w:rPr>
        <w:t xml:space="preserve">plan de beneficios </w:t>
      </w:r>
      <w:r w:rsidRPr="005D131A">
        <w:rPr>
          <w:sz w:val="28"/>
          <w:szCs w:val="28"/>
          <w:lang w:val="es-CO"/>
        </w:rPr>
        <w:t xml:space="preserve">y </w:t>
      </w:r>
      <w:r w:rsidR="007D3370" w:rsidRPr="005D131A">
        <w:rPr>
          <w:sz w:val="28"/>
          <w:szCs w:val="28"/>
          <w:lang w:val="es-CO"/>
        </w:rPr>
        <w:t xml:space="preserve">valorar </w:t>
      </w:r>
      <w:r w:rsidRPr="005D131A">
        <w:rPr>
          <w:sz w:val="28"/>
          <w:szCs w:val="28"/>
          <w:lang w:val="es-CO"/>
        </w:rPr>
        <w:t xml:space="preserve">la capacidad de pago de los afiliados. </w:t>
      </w:r>
    </w:p>
    <w:p w:rsidR="00DF626A" w:rsidRPr="005D131A" w:rsidRDefault="00DF626A" w:rsidP="005D131A">
      <w:pPr>
        <w:rPr>
          <w:sz w:val="28"/>
          <w:szCs w:val="28"/>
          <w:lang w:val="es-CO"/>
        </w:rPr>
      </w:pPr>
      <w:r w:rsidRPr="005D131A">
        <w:rPr>
          <w:sz w:val="28"/>
          <w:szCs w:val="28"/>
          <w:lang w:val="es-CO"/>
        </w:rPr>
        <w:t xml:space="preserve"> </w:t>
      </w:r>
    </w:p>
    <w:p w:rsidR="0044321B" w:rsidRPr="005D131A" w:rsidRDefault="00166489" w:rsidP="005D131A">
      <w:pPr>
        <w:rPr>
          <w:sz w:val="28"/>
          <w:szCs w:val="28"/>
          <w:lang w:val="es-CO"/>
        </w:rPr>
      </w:pPr>
      <w:r w:rsidRPr="005D131A">
        <w:rPr>
          <w:sz w:val="28"/>
          <w:szCs w:val="28"/>
          <w:lang w:val="es-CO"/>
        </w:rPr>
        <w:t>6.3. Por su parte, l</w:t>
      </w:r>
      <w:r w:rsidR="00DF626A" w:rsidRPr="005D131A">
        <w:rPr>
          <w:sz w:val="28"/>
          <w:szCs w:val="28"/>
          <w:lang w:val="es-CO"/>
        </w:rPr>
        <w:t>a Defensor</w:t>
      </w:r>
      <w:r w:rsidR="00B74FA2" w:rsidRPr="005D131A">
        <w:rPr>
          <w:sz w:val="28"/>
          <w:szCs w:val="28"/>
          <w:lang w:val="es-CO"/>
        </w:rPr>
        <w:t xml:space="preserve">ía del Pueblo, el 25 de junio de 2009, </w:t>
      </w:r>
      <w:r w:rsidR="00DF626A" w:rsidRPr="005D131A">
        <w:rPr>
          <w:sz w:val="28"/>
          <w:szCs w:val="28"/>
          <w:lang w:val="es-CO"/>
        </w:rPr>
        <w:t>presentó informe en relación con el cumplimiento de la sentencia</w:t>
      </w:r>
      <w:r w:rsidR="00B74FA2" w:rsidRPr="005D131A">
        <w:rPr>
          <w:sz w:val="28"/>
          <w:szCs w:val="28"/>
          <w:lang w:val="es-CO"/>
        </w:rPr>
        <w:t xml:space="preserve"> que nos ocupa</w:t>
      </w:r>
      <w:r w:rsidR="00DF7370" w:rsidRPr="005D131A">
        <w:rPr>
          <w:sz w:val="28"/>
          <w:szCs w:val="28"/>
          <w:lang w:val="es-CO"/>
        </w:rPr>
        <w:t>. S</w:t>
      </w:r>
      <w:r w:rsidR="002D23EA" w:rsidRPr="005D131A">
        <w:rPr>
          <w:sz w:val="28"/>
          <w:szCs w:val="28"/>
          <w:lang w:val="es-CO"/>
        </w:rPr>
        <w:t>eñaló que era</w:t>
      </w:r>
      <w:r w:rsidR="00FE70B5" w:rsidRPr="005D131A">
        <w:rPr>
          <w:sz w:val="28"/>
          <w:szCs w:val="28"/>
          <w:lang w:val="es-CO"/>
        </w:rPr>
        <w:t xml:space="preserve"> prioritaria la revisión y adecuación de la Resolución 3099 de 2008 por parte del Ministerio,</w:t>
      </w:r>
      <w:r w:rsidR="008232E5" w:rsidRPr="005D131A">
        <w:rPr>
          <w:sz w:val="28"/>
          <w:szCs w:val="28"/>
          <w:lang w:val="es-CO"/>
        </w:rPr>
        <w:t xml:space="preserve"> dado que</w:t>
      </w:r>
      <w:r w:rsidR="00FE70B5" w:rsidRPr="005D131A">
        <w:rPr>
          <w:sz w:val="28"/>
          <w:szCs w:val="28"/>
          <w:lang w:val="es-CO"/>
        </w:rPr>
        <w:t xml:space="preserve"> si bien fue modificada por las </w:t>
      </w:r>
      <w:r w:rsidR="0066634D" w:rsidRPr="005D131A">
        <w:rPr>
          <w:sz w:val="28"/>
          <w:szCs w:val="28"/>
          <w:lang w:val="es-CO"/>
        </w:rPr>
        <w:t>r</w:t>
      </w:r>
      <w:r w:rsidR="00FE70B5" w:rsidRPr="005D131A">
        <w:rPr>
          <w:sz w:val="28"/>
          <w:szCs w:val="28"/>
          <w:lang w:val="es-CO"/>
        </w:rPr>
        <w:t xml:space="preserve">esoluciones 3754 y 5334 de 2008, </w:t>
      </w:r>
      <w:r w:rsidR="004740F4" w:rsidRPr="005D131A">
        <w:rPr>
          <w:sz w:val="28"/>
          <w:szCs w:val="28"/>
          <w:lang w:val="es-CO"/>
        </w:rPr>
        <w:t xml:space="preserve">dicha normativa </w:t>
      </w:r>
      <w:r w:rsidR="00FE70B5" w:rsidRPr="005D131A">
        <w:rPr>
          <w:i/>
          <w:sz w:val="28"/>
          <w:szCs w:val="28"/>
          <w:lang w:val="es-CO"/>
        </w:rPr>
        <w:t>“debe atender a las previsiones de la Sentencia, ya que las mismas se refieren a recobros y no a la operatividad del Comité Técnico Científico”</w:t>
      </w:r>
      <w:r w:rsidR="00FE70B5" w:rsidRPr="005D131A">
        <w:rPr>
          <w:sz w:val="28"/>
          <w:szCs w:val="28"/>
          <w:lang w:val="es-CO"/>
        </w:rPr>
        <w:t xml:space="preserve">. </w:t>
      </w:r>
    </w:p>
    <w:p w:rsidR="00F620E7" w:rsidRPr="005D131A" w:rsidRDefault="00F620E7" w:rsidP="005D131A">
      <w:pPr>
        <w:rPr>
          <w:sz w:val="28"/>
          <w:szCs w:val="28"/>
          <w:lang w:val="es-CO"/>
        </w:rPr>
      </w:pPr>
    </w:p>
    <w:p w:rsidR="00BF0A5B" w:rsidRPr="005D131A" w:rsidRDefault="00166489" w:rsidP="005D131A">
      <w:pPr>
        <w:rPr>
          <w:sz w:val="28"/>
          <w:szCs w:val="28"/>
          <w:lang w:val="es-CO"/>
        </w:rPr>
      </w:pPr>
      <w:r w:rsidRPr="005D131A">
        <w:rPr>
          <w:sz w:val="28"/>
          <w:szCs w:val="28"/>
          <w:lang w:val="es-CO"/>
        </w:rPr>
        <w:t xml:space="preserve">En ese </w:t>
      </w:r>
      <w:r w:rsidR="00F5749F" w:rsidRPr="005D131A">
        <w:rPr>
          <w:sz w:val="28"/>
          <w:szCs w:val="28"/>
          <w:lang w:val="es-CO"/>
        </w:rPr>
        <w:t xml:space="preserve">informe, </w:t>
      </w:r>
      <w:r w:rsidR="00CC402C" w:rsidRPr="005D131A">
        <w:rPr>
          <w:sz w:val="28"/>
          <w:szCs w:val="28"/>
          <w:lang w:val="es-CO"/>
        </w:rPr>
        <w:t xml:space="preserve">la </w:t>
      </w:r>
      <w:r w:rsidR="00FE70B5" w:rsidRPr="005D131A">
        <w:rPr>
          <w:sz w:val="28"/>
          <w:szCs w:val="28"/>
          <w:lang w:val="es-CO"/>
        </w:rPr>
        <w:t>Defensor</w:t>
      </w:r>
      <w:r w:rsidR="003741AF" w:rsidRPr="005D131A">
        <w:rPr>
          <w:sz w:val="28"/>
          <w:szCs w:val="28"/>
          <w:lang w:val="es-CO"/>
        </w:rPr>
        <w:t>ía</w:t>
      </w:r>
      <w:r w:rsidR="00F5749F" w:rsidRPr="005D131A">
        <w:rPr>
          <w:sz w:val="28"/>
          <w:szCs w:val="28"/>
          <w:lang w:val="es-CO"/>
        </w:rPr>
        <w:t xml:space="preserve"> </w:t>
      </w:r>
      <w:r w:rsidRPr="005D131A">
        <w:rPr>
          <w:sz w:val="28"/>
          <w:szCs w:val="28"/>
          <w:lang w:val="es-CO"/>
        </w:rPr>
        <w:t>indicó</w:t>
      </w:r>
      <w:r w:rsidR="0024622D" w:rsidRPr="005D131A">
        <w:rPr>
          <w:sz w:val="28"/>
          <w:szCs w:val="28"/>
          <w:lang w:val="es-CO"/>
        </w:rPr>
        <w:t xml:space="preserve"> que </w:t>
      </w:r>
      <w:r w:rsidR="00CC402C" w:rsidRPr="005D131A">
        <w:rPr>
          <w:sz w:val="28"/>
          <w:szCs w:val="28"/>
          <w:lang w:val="es-CO"/>
        </w:rPr>
        <w:t xml:space="preserve">la </w:t>
      </w:r>
      <w:r w:rsidR="0066634D" w:rsidRPr="005D131A">
        <w:rPr>
          <w:sz w:val="28"/>
          <w:szCs w:val="28"/>
          <w:lang w:val="es-CO"/>
        </w:rPr>
        <w:t>S</w:t>
      </w:r>
      <w:r w:rsidR="00BF0A5B" w:rsidRPr="005D131A">
        <w:rPr>
          <w:sz w:val="28"/>
          <w:szCs w:val="28"/>
          <w:lang w:val="es-CO"/>
        </w:rPr>
        <w:t xml:space="preserve">entencia </w:t>
      </w:r>
      <w:r w:rsidR="00CC402C" w:rsidRPr="005D131A">
        <w:rPr>
          <w:sz w:val="28"/>
          <w:szCs w:val="28"/>
          <w:lang w:val="es-CO"/>
        </w:rPr>
        <w:t>T-760 de 2008 dispuso que el médico tratante puede estar adscrito o no a la red de prestadores,</w:t>
      </w:r>
      <w:r w:rsidR="0066634D" w:rsidRPr="005D131A">
        <w:rPr>
          <w:sz w:val="28"/>
          <w:szCs w:val="28"/>
          <w:lang w:val="es-CO"/>
        </w:rPr>
        <w:t xml:space="preserve"> posibilidad que no consideró la Resolución 3099 de 2008 (l</w:t>
      </w:r>
      <w:r w:rsidR="001D5B53" w:rsidRPr="005D131A">
        <w:rPr>
          <w:sz w:val="28"/>
          <w:szCs w:val="28"/>
          <w:lang w:val="es-CO"/>
        </w:rPr>
        <w:t xml:space="preserve">iteral a, artículo 6), lo </w:t>
      </w:r>
      <w:r w:rsidR="00BF0A5B" w:rsidRPr="005D131A">
        <w:rPr>
          <w:sz w:val="28"/>
          <w:szCs w:val="28"/>
          <w:lang w:val="es-CO"/>
        </w:rPr>
        <w:t xml:space="preserve">que va en contra del fallo </w:t>
      </w:r>
      <w:r w:rsidR="001D5B53" w:rsidRPr="005D131A">
        <w:rPr>
          <w:sz w:val="28"/>
          <w:szCs w:val="28"/>
          <w:lang w:val="es-CO"/>
        </w:rPr>
        <w:t xml:space="preserve">porque </w:t>
      </w:r>
      <w:r w:rsidR="00CC402C" w:rsidRPr="005D131A">
        <w:rPr>
          <w:sz w:val="28"/>
          <w:szCs w:val="28"/>
          <w:lang w:val="es-CO"/>
        </w:rPr>
        <w:t xml:space="preserve">el alcance de la orden </w:t>
      </w:r>
      <w:r w:rsidR="00BF0A5B" w:rsidRPr="005D131A">
        <w:rPr>
          <w:sz w:val="28"/>
          <w:szCs w:val="28"/>
          <w:lang w:val="es-CO"/>
        </w:rPr>
        <w:t xml:space="preserve">23 </w:t>
      </w:r>
      <w:r w:rsidR="00CC402C" w:rsidRPr="005D131A">
        <w:rPr>
          <w:sz w:val="28"/>
          <w:szCs w:val="28"/>
          <w:lang w:val="es-CO"/>
        </w:rPr>
        <w:t xml:space="preserve">debe entenderse de manera integral, es decir, </w:t>
      </w:r>
      <w:r w:rsidR="00BF0A5B" w:rsidRPr="005D131A">
        <w:rPr>
          <w:sz w:val="28"/>
          <w:szCs w:val="28"/>
          <w:lang w:val="es-CO"/>
        </w:rPr>
        <w:t xml:space="preserve">que </w:t>
      </w:r>
      <w:r w:rsidR="00CC402C" w:rsidRPr="005D131A">
        <w:rPr>
          <w:sz w:val="28"/>
          <w:szCs w:val="28"/>
          <w:lang w:val="es-CO"/>
        </w:rPr>
        <w:t>en a</w:t>
      </w:r>
      <w:r w:rsidR="00BF0A5B" w:rsidRPr="005D131A">
        <w:rPr>
          <w:sz w:val="28"/>
          <w:szCs w:val="28"/>
          <w:lang w:val="es-CO"/>
        </w:rPr>
        <w:t xml:space="preserve">quellos casos </w:t>
      </w:r>
      <w:r w:rsidR="000B2AEE" w:rsidRPr="005D131A">
        <w:rPr>
          <w:sz w:val="28"/>
          <w:szCs w:val="28"/>
          <w:lang w:val="es-CO"/>
        </w:rPr>
        <w:t xml:space="preserve">donde </w:t>
      </w:r>
      <w:r w:rsidR="00BF0A5B" w:rsidRPr="005D131A">
        <w:rPr>
          <w:sz w:val="28"/>
          <w:szCs w:val="28"/>
          <w:lang w:val="es-CO"/>
        </w:rPr>
        <w:t xml:space="preserve">la prescripción </w:t>
      </w:r>
      <w:r w:rsidR="00CC402C" w:rsidRPr="005D131A">
        <w:rPr>
          <w:sz w:val="28"/>
          <w:szCs w:val="28"/>
          <w:lang w:val="es-CO"/>
        </w:rPr>
        <w:t>provenga de un m</w:t>
      </w:r>
      <w:r w:rsidR="00BF0A5B" w:rsidRPr="005D131A">
        <w:rPr>
          <w:sz w:val="28"/>
          <w:szCs w:val="28"/>
          <w:lang w:val="es-CO"/>
        </w:rPr>
        <w:t>édico que no pertenece</w:t>
      </w:r>
      <w:r w:rsidR="00CC402C" w:rsidRPr="005D131A">
        <w:rPr>
          <w:sz w:val="28"/>
          <w:szCs w:val="28"/>
          <w:lang w:val="es-CO"/>
        </w:rPr>
        <w:t xml:space="preserve"> a la red, </w:t>
      </w:r>
      <w:r w:rsidR="00AC61FC" w:rsidRPr="005D131A">
        <w:rPr>
          <w:sz w:val="28"/>
          <w:szCs w:val="28"/>
          <w:lang w:val="es-CO"/>
        </w:rPr>
        <w:t>e</w:t>
      </w:r>
      <w:r w:rsidR="00650B70" w:rsidRPr="005D131A">
        <w:rPr>
          <w:sz w:val="28"/>
          <w:szCs w:val="28"/>
          <w:lang w:val="es-CO"/>
        </w:rPr>
        <w:t xml:space="preserve">sta </w:t>
      </w:r>
      <w:r w:rsidR="001D5B53" w:rsidRPr="005D131A">
        <w:rPr>
          <w:sz w:val="28"/>
          <w:szCs w:val="28"/>
          <w:lang w:val="es-CO"/>
        </w:rPr>
        <w:t xml:space="preserve">debe ser </w:t>
      </w:r>
      <w:r w:rsidR="00650B70" w:rsidRPr="005D131A">
        <w:rPr>
          <w:sz w:val="28"/>
          <w:szCs w:val="28"/>
          <w:lang w:val="es-CO"/>
        </w:rPr>
        <w:t>considerada y evaluada</w:t>
      </w:r>
      <w:r w:rsidR="00CC402C" w:rsidRPr="005D131A">
        <w:rPr>
          <w:sz w:val="28"/>
          <w:szCs w:val="28"/>
          <w:lang w:val="es-CO"/>
        </w:rPr>
        <w:t xml:space="preserve"> por el CTC estableciendo </w:t>
      </w:r>
      <w:r w:rsidR="001D5B53" w:rsidRPr="005D131A">
        <w:rPr>
          <w:sz w:val="28"/>
          <w:szCs w:val="28"/>
          <w:lang w:val="es-CO"/>
        </w:rPr>
        <w:t>unos requisitos y procedimientos</w:t>
      </w:r>
      <w:r w:rsidR="00CC402C" w:rsidRPr="005D131A">
        <w:rPr>
          <w:sz w:val="28"/>
          <w:szCs w:val="28"/>
          <w:lang w:val="es-CO"/>
        </w:rPr>
        <w:t xml:space="preserve"> distintos a los del médico tratante que </w:t>
      </w:r>
      <w:r w:rsidR="002D23EA" w:rsidRPr="005D131A">
        <w:rPr>
          <w:sz w:val="28"/>
          <w:szCs w:val="28"/>
          <w:lang w:val="es-CO"/>
        </w:rPr>
        <w:t xml:space="preserve">se encuentra </w:t>
      </w:r>
      <w:r w:rsidR="00167E2B" w:rsidRPr="005D131A">
        <w:rPr>
          <w:sz w:val="28"/>
          <w:szCs w:val="28"/>
          <w:lang w:val="es-CO"/>
        </w:rPr>
        <w:t xml:space="preserve">inscrito </w:t>
      </w:r>
      <w:r w:rsidR="001D5B53" w:rsidRPr="005D131A">
        <w:rPr>
          <w:sz w:val="28"/>
          <w:szCs w:val="28"/>
          <w:lang w:val="es-CO"/>
        </w:rPr>
        <w:t xml:space="preserve">en la red de servicios. </w:t>
      </w:r>
    </w:p>
    <w:p w:rsidR="005E38BA" w:rsidRPr="005D131A" w:rsidRDefault="005E38BA" w:rsidP="005D131A">
      <w:pPr>
        <w:rPr>
          <w:sz w:val="28"/>
          <w:szCs w:val="28"/>
          <w:lang w:val="es-CO"/>
        </w:rPr>
      </w:pPr>
    </w:p>
    <w:p w:rsidR="00F614A3" w:rsidRPr="005D131A" w:rsidRDefault="00167E2B" w:rsidP="005D131A">
      <w:pPr>
        <w:rPr>
          <w:sz w:val="28"/>
          <w:szCs w:val="28"/>
          <w:lang w:val="es-CO"/>
        </w:rPr>
      </w:pPr>
      <w:r w:rsidRPr="005D131A">
        <w:rPr>
          <w:sz w:val="28"/>
          <w:szCs w:val="28"/>
          <w:lang w:val="es-CO"/>
        </w:rPr>
        <w:t xml:space="preserve">Finalmente, </w:t>
      </w:r>
      <w:r w:rsidR="001D5B53" w:rsidRPr="005D131A">
        <w:rPr>
          <w:sz w:val="28"/>
          <w:szCs w:val="28"/>
          <w:lang w:val="es-CO"/>
        </w:rPr>
        <w:t xml:space="preserve">en relación con la propuesta del Ministerio de crear un </w:t>
      </w:r>
      <w:r w:rsidR="001D5B53" w:rsidRPr="005D131A">
        <w:rPr>
          <w:i/>
          <w:sz w:val="28"/>
          <w:szCs w:val="28"/>
          <w:lang w:val="es-CO"/>
        </w:rPr>
        <w:t xml:space="preserve">“CTC virtual” </w:t>
      </w:r>
      <w:r w:rsidR="001D5B53" w:rsidRPr="005D131A">
        <w:rPr>
          <w:sz w:val="28"/>
          <w:szCs w:val="28"/>
          <w:lang w:val="es-CO"/>
        </w:rPr>
        <w:t>señ</w:t>
      </w:r>
      <w:r w:rsidR="00B142E0" w:rsidRPr="005D131A">
        <w:rPr>
          <w:sz w:val="28"/>
          <w:szCs w:val="28"/>
          <w:lang w:val="es-CO"/>
        </w:rPr>
        <w:t>aló que esa alternativa no era</w:t>
      </w:r>
      <w:r w:rsidR="001D5B53" w:rsidRPr="005D131A">
        <w:rPr>
          <w:sz w:val="28"/>
          <w:szCs w:val="28"/>
          <w:lang w:val="es-CO"/>
        </w:rPr>
        <w:t xml:space="preserve"> un desarrollo</w:t>
      </w:r>
      <w:r w:rsidR="005D12FE" w:rsidRPr="005D131A">
        <w:rPr>
          <w:sz w:val="28"/>
          <w:szCs w:val="28"/>
          <w:lang w:val="es-CO"/>
        </w:rPr>
        <w:t xml:space="preserve"> de la orden dada por la Corte</w:t>
      </w:r>
      <w:r w:rsidR="00B424BE" w:rsidRPr="005D131A">
        <w:rPr>
          <w:sz w:val="28"/>
          <w:szCs w:val="28"/>
          <w:vertAlign w:val="superscript"/>
          <w:lang w:val="es-CO"/>
        </w:rPr>
        <w:footnoteReference w:id="8"/>
      </w:r>
      <w:r w:rsidR="00AD5EA0" w:rsidRPr="005D131A">
        <w:rPr>
          <w:sz w:val="28"/>
          <w:szCs w:val="28"/>
          <w:lang w:val="es-CO"/>
        </w:rPr>
        <w:t>.</w:t>
      </w:r>
    </w:p>
    <w:p w:rsidR="00DF626A" w:rsidRPr="005D131A" w:rsidRDefault="00DF626A" w:rsidP="005D131A">
      <w:pPr>
        <w:rPr>
          <w:b/>
          <w:sz w:val="28"/>
          <w:szCs w:val="28"/>
          <w:lang w:val="es-CO"/>
        </w:rPr>
      </w:pPr>
    </w:p>
    <w:p w:rsidR="00DF626A" w:rsidRPr="005D131A" w:rsidRDefault="00166489" w:rsidP="005D131A">
      <w:pPr>
        <w:rPr>
          <w:sz w:val="28"/>
          <w:szCs w:val="28"/>
          <w:lang w:val="es-CO"/>
        </w:rPr>
      </w:pPr>
      <w:r w:rsidRPr="005D131A">
        <w:rPr>
          <w:sz w:val="28"/>
          <w:szCs w:val="28"/>
          <w:lang w:val="es-CO"/>
        </w:rPr>
        <w:t xml:space="preserve">7. </w:t>
      </w:r>
      <w:r w:rsidR="00F614A3" w:rsidRPr="005D131A">
        <w:rPr>
          <w:sz w:val="28"/>
          <w:szCs w:val="28"/>
          <w:lang w:val="es-CO"/>
        </w:rPr>
        <w:t xml:space="preserve">Mediante </w:t>
      </w:r>
      <w:r w:rsidR="00F614A3" w:rsidRPr="005D131A">
        <w:rPr>
          <w:b/>
          <w:sz w:val="28"/>
          <w:szCs w:val="28"/>
          <w:lang w:val="es-CO"/>
        </w:rPr>
        <w:t>Auto de 13 de julio de 2009</w:t>
      </w:r>
      <w:r w:rsidR="00F614A3" w:rsidRPr="005D131A">
        <w:rPr>
          <w:sz w:val="28"/>
          <w:szCs w:val="28"/>
          <w:lang w:val="es-CO"/>
        </w:rPr>
        <w:t xml:space="preserve">, la Sala </w:t>
      </w:r>
      <w:r w:rsidR="00753465" w:rsidRPr="005D131A">
        <w:rPr>
          <w:sz w:val="28"/>
          <w:szCs w:val="28"/>
          <w:lang w:val="es-CO"/>
        </w:rPr>
        <w:t>Especial de Seguimiento</w:t>
      </w:r>
      <w:r w:rsidR="0066634D" w:rsidRPr="005D131A">
        <w:rPr>
          <w:sz w:val="28"/>
          <w:szCs w:val="28"/>
          <w:lang w:val="es-CO"/>
        </w:rPr>
        <w:t xml:space="preserve"> </w:t>
      </w:r>
      <w:r w:rsidR="00753465" w:rsidRPr="005D131A">
        <w:rPr>
          <w:sz w:val="28"/>
          <w:szCs w:val="28"/>
          <w:lang w:val="es-CO"/>
        </w:rPr>
        <w:t>requirió</w:t>
      </w:r>
      <w:r w:rsidR="003741AF" w:rsidRPr="005D131A">
        <w:rPr>
          <w:sz w:val="28"/>
          <w:szCs w:val="28"/>
          <w:lang w:val="es-CO"/>
        </w:rPr>
        <w:t xml:space="preserve"> </w:t>
      </w:r>
      <w:r w:rsidR="00F614A3" w:rsidRPr="005D131A">
        <w:rPr>
          <w:sz w:val="28"/>
          <w:szCs w:val="28"/>
          <w:lang w:val="es-CO"/>
        </w:rPr>
        <w:t xml:space="preserve">a la Comisión de Regulación </w:t>
      </w:r>
      <w:r w:rsidR="00F22618" w:rsidRPr="005D131A">
        <w:rPr>
          <w:sz w:val="28"/>
          <w:szCs w:val="28"/>
          <w:lang w:val="es-CO"/>
        </w:rPr>
        <w:t xml:space="preserve">en Salud </w:t>
      </w:r>
      <w:r w:rsidR="00F614A3" w:rsidRPr="005D131A">
        <w:rPr>
          <w:sz w:val="28"/>
          <w:szCs w:val="28"/>
          <w:lang w:val="es-CO"/>
        </w:rPr>
        <w:t>o al Consejo de Seguridad Social</w:t>
      </w:r>
      <w:r w:rsidR="00753465" w:rsidRPr="005D131A">
        <w:rPr>
          <w:sz w:val="28"/>
          <w:szCs w:val="28"/>
          <w:lang w:val="es-CO"/>
        </w:rPr>
        <w:t xml:space="preserve"> en Salud</w:t>
      </w:r>
      <w:r w:rsidR="00F614A3" w:rsidRPr="005D131A">
        <w:rPr>
          <w:sz w:val="28"/>
          <w:szCs w:val="28"/>
          <w:lang w:val="es-CO"/>
        </w:rPr>
        <w:t xml:space="preserve"> y a la Supe</w:t>
      </w:r>
      <w:r w:rsidR="00437F6B" w:rsidRPr="005D131A">
        <w:rPr>
          <w:sz w:val="28"/>
          <w:szCs w:val="28"/>
          <w:lang w:val="es-CO"/>
        </w:rPr>
        <w:t xml:space="preserve">rintendencia Nacional de Salud </w:t>
      </w:r>
      <w:r w:rsidR="00753465" w:rsidRPr="005D131A">
        <w:rPr>
          <w:sz w:val="28"/>
          <w:szCs w:val="28"/>
          <w:lang w:val="es-CO"/>
        </w:rPr>
        <w:t>para que relacionaran las gestiones que hasta el momento habían adelantado para efect</w:t>
      </w:r>
      <w:r w:rsidR="0066634D" w:rsidRPr="005D131A">
        <w:rPr>
          <w:sz w:val="28"/>
          <w:szCs w:val="28"/>
          <w:lang w:val="es-CO"/>
        </w:rPr>
        <w:t>uar el cumplimiento de la orden,</w:t>
      </w:r>
      <w:r w:rsidR="004D534C" w:rsidRPr="005D131A">
        <w:rPr>
          <w:sz w:val="28"/>
          <w:szCs w:val="28"/>
          <w:lang w:val="es-CO"/>
        </w:rPr>
        <w:t xml:space="preserve"> </w:t>
      </w:r>
      <w:r w:rsidR="001E62F5" w:rsidRPr="005D131A">
        <w:rPr>
          <w:sz w:val="28"/>
          <w:szCs w:val="28"/>
          <w:lang w:val="es-CO"/>
        </w:rPr>
        <w:t xml:space="preserve">para lo cual debían indicar, </w:t>
      </w:r>
      <w:r w:rsidR="00F614A3" w:rsidRPr="005D131A">
        <w:rPr>
          <w:sz w:val="28"/>
          <w:szCs w:val="28"/>
          <w:lang w:val="es-CO"/>
        </w:rPr>
        <w:t>por lo menos, qué infraestructura humana, organizativa y material había</w:t>
      </w:r>
      <w:r w:rsidR="001E62F5" w:rsidRPr="005D131A">
        <w:rPr>
          <w:sz w:val="28"/>
          <w:szCs w:val="28"/>
          <w:lang w:val="es-CO"/>
        </w:rPr>
        <w:t>n</w:t>
      </w:r>
      <w:r w:rsidR="00F614A3" w:rsidRPr="005D131A">
        <w:rPr>
          <w:sz w:val="28"/>
          <w:szCs w:val="28"/>
          <w:lang w:val="es-CO"/>
        </w:rPr>
        <w:t xml:space="preserve"> dispuesto</w:t>
      </w:r>
      <w:r w:rsidR="004D534C" w:rsidRPr="005D131A">
        <w:rPr>
          <w:sz w:val="28"/>
          <w:szCs w:val="28"/>
          <w:lang w:val="es-CO"/>
        </w:rPr>
        <w:t xml:space="preserve"> para el efecto. Así mismo, corrió traslado del informe presentado por la Defensoría del Pueblo al Consejo de Seguridad Social en Salud para que se pronunciara sobre el </w:t>
      </w:r>
      <w:r w:rsidR="0066634D" w:rsidRPr="005D131A">
        <w:rPr>
          <w:sz w:val="28"/>
          <w:szCs w:val="28"/>
          <w:lang w:val="es-CO"/>
        </w:rPr>
        <w:t xml:space="preserve">particular. </w:t>
      </w:r>
    </w:p>
    <w:p w:rsidR="00DF626A" w:rsidRPr="005D131A" w:rsidRDefault="00DF626A" w:rsidP="005D131A">
      <w:pPr>
        <w:pStyle w:val="Prrafodelista"/>
        <w:rPr>
          <w:sz w:val="28"/>
          <w:szCs w:val="28"/>
          <w:lang w:val="es-CO"/>
        </w:rPr>
      </w:pPr>
    </w:p>
    <w:p w:rsidR="00F614A3" w:rsidRPr="005D131A" w:rsidRDefault="004D534C" w:rsidP="005D131A">
      <w:pPr>
        <w:rPr>
          <w:b/>
          <w:sz w:val="28"/>
          <w:szCs w:val="28"/>
          <w:lang w:val="es-CO"/>
        </w:rPr>
      </w:pPr>
      <w:r w:rsidRPr="005D131A">
        <w:rPr>
          <w:sz w:val="28"/>
          <w:szCs w:val="28"/>
          <w:lang w:val="es-CO"/>
        </w:rPr>
        <w:t>En respuesta al anterior proveído</w:t>
      </w:r>
      <w:r w:rsidR="00F614A3" w:rsidRPr="005D131A">
        <w:rPr>
          <w:sz w:val="28"/>
          <w:szCs w:val="28"/>
          <w:lang w:val="es-CO"/>
        </w:rPr>
        <w:t>, fueron allegados los siguientes informes:</w:t>
      </w:r>
    </w:p>
    <w:p w:rsidR="00A8502E" w:rsidRPr="005D131A" w:rsidRDefault="00A8502E" w:rsidP="00E95029">
      <w:pPr>
        <w:pStyle w:val="Prrafodelista"/>
        <w:tabs>
          <w:tab w:val="left" w:pos="567"/>
        </w:tabs>
        <w:ind w:left="360"/>
        <w:rPr>
          <w:vanish/>
          <w:sz w:val="28"/>
          <w:szCs w:val="28"/>
          <w:lang w:val="es-CO"/>
        </w:rPr>
      </w:pPr>
    </w:p>
    <w:p w:rsidR="00393DF4" w:rsidRPr="005D131A" w:rsidRDefault="003154D4" w:rsidP="005D131A">
      <w:pPr>
        <w:pStyle w:val="Prrafodelista"/>
        <w:tabs>
          <w:tab w:val="left" w:pos="567"/>
        </w:tabs>
        <w:ind w:left="0"/>
        <w:rPr>
          <w:sz w:val="28"/>
          <w:szCs w:val="28"/>
          <w:lang w:val="es-CO"/>
        </w:rPr>
      </w:pPr>
      <w:r w:rsidRPr="005D131A">
        <w:rPr>
          <w:sz w:val="28"/>
          <w:szCs w:val="28"/>
          <w:lang w:val="es-CO"/>
        </w:rPr>
        <w:t xml:space="preserve">7.1. </w:t>
      </w:r>
      <w:r w:rsidR="00A646FD" w:rsidRPr="005D131A">
        <w:rPr>
          <w:sz w:val="28"/>
          <w:szCs w:val="28"/>
          <w:lang w:val="es-CO"/>
        </w:rPr>
        <w:t>L</w:t>
      </w:r>
      <w:r w:rsidR="00437F6B" w:rsidRPr="005D131A">
        <w:rPr>
          <w:sz w:val="28"/>
          <w:szCs w:val="28"/>
          <w:lang w:val="es-CO"/>
        </w:rPr>
        <w:t xml:space="preserve">a Superintendencia de Salud, </w:t>
      </w:r>
      <w:r w:rsidR="00406596" w:rsidRPr="005D131A">
        <w:rPr>
          <w:sz w:val="28"/>
          <w:szCs w:val="28"/>
          <w:lang w:val="es-CO"/>
        </w:rPr>
        <w:t>mediante oficio de 30 de julio de 2009</w:t>
      </w:r>
      <w:r w:rsidR="00B142E0" w:rsidRPr="005D131A">
        <w:rPr>
          <w:bCs/>
          <w:sz w:val="28"/>
          <w:szCs w:val="28"/>
          <w:vertAlign w:val="superscript"/>
          <w:lang w:val="es-CO"/>
        </w:rPr>
        <w:footnoteReference w:id="9"/>
      </w:r>
      <w:r w:rsidR="00406596" w:rsidRPr="005D131A">
        <w:rPr>
          <w:sz w:val="28"/>
          <w:szCs w:val="28"/>
          <w:lang w:val="es-CO"/>
        </w:rPr>
        <w:t>, señaló que con el objeto de dar cumplimiento</w:t>
      </w:r>
      <w:r w:rsidR="00437F6B" w:rsidRPr="005D131A">
        <w:rPr>
          <w:sz w:val="28"/>
          <w:szCs w:val="28"/>
          <w:lang w:val="es-CO"/>
        </w:rPr>
        <w:t xml:space="preserve"> a lo ordenado en la sentencia </w:t>
      </w:r>
      <w:r w:rsidR="00406596" w:rsidRPr="005D131A">
        <w:rPr>
          <w:sz w:val="28"/>
          <w:szCs w:val="28"/>
          <w:lang w:val="es-CO"/>
        </w:rPr>
        <w:t xml:space="preserve">expidió tres circulares externas, las </w:t>
      </w:r>
      <w:r w:rsidRPr="005D131A">
        <w:rPr>
          <w:sz w:val="28"/>
          <w:szCs w:val="28"/>
          <w:lang w:val="es-CO"/>
        </w:rPr>
        <w:t>cuales, en su criterio, permitían</w:t>
      </w:r>
      <w:r w:rsidR="00406596" w:rsidRPr="005D131A">
        <w:rPr>
          <w:sz w:val="28"/>
          <w:szCs w:val="28"/>
          <w:lang w:val="es-CO"/>
        </w:rPr>
        <w:t xml:space="preserve"> establecer en forma específica y clara la información que deben reportar las entidades responsables</w:t>
      </w:r>
      <w:r w:rsidR="00393DF4" w:rsidRPr="005D131A">
        <w:rPr>
          <w:sz w:val="28"/>
          <w:szCs w:val="28"/>
          <w:lang w:val="es-CO"/>
        </w:rPr>
        <w:t xml:space="preserve"> de cumplir las órdenes</w:t>
      </w:r>
      <w:r w:rsidR="00406596" w:rsidRPr="005D131A">
        <w:rPr>
          <w:sz w:val="28"/>
          <w:szCs w:val="28"/>
          <w:lang w:val="es-CO"/>
        </w:rPr>
        <w:t xml:space="preserve">. De este modo, indicó que </w:t>
      </w:r>
      <w:r w:rsidR="00F614A3" w:rsidRPr="005D131A">
        <w:rPr>
          <w:sz w:val="28"/>
          <w:szCs w:val="28"/>
          <w:lang w:val="es-CO"/>
        </w:rPr>
        <w:t>la</w:t>
      </w:r>
      <w:r w:rsidR="00406596" w:rsidRPr="005D131A">
        <w:rPr>
          <w:sz w:val="28"/>
          <w:szCs w:val="28"/>
          <w:lang w:val="es-CO"/>
        </w:rPr>
        <w:t xml:space="preserve"> Superintendencia</w:t>
      </w:r>
      <w:r w:rsidR="00F614A3" w:rsidRPr="005D131A">
        <w:rPr>
          <w:sz w:val="28"/>
          <w:szCs w:val="28"/>
          <w:lang w:val="es-CO"/>
        </w:rPr>
        <w:t xml:space="preserve"> Delegada para la Atención en Salud</w:t>
      </w:r>
      <w:r w:rsidR="00B142E0" w:rsidRPr="005D131A">
        <w:rPr>
          <w:sz w:val="28"/>
          <w:szCs w:val="28"/>
          <w:lang w:val="es-CO"/>
        </w:rPr>
        <w:t xml:space="preserve"> tiene asignada la función </w:t>
      </w:r>
      <w:r w:rsidR="00406596" w:rsidRPr="005D131A">
        <w:rPr>
          <w:sz w:val="28"/>
          <w:szCs w:val="28"/>
          <w:lang w:val="es-CO"/>
        </w:rPr>
        <w:t xml:space="preserve">de </w:t>
      </w:r>
      <w:r w:rsidR="00F614A3" w:rsidRPr="005D131A">
        <w:rPr>
          <w:sz w:val="28"/>
          <w:szCs w:val="28"/>
          <w:lang w:val="es-CO"/>
        </w:rPr>
        <w:t xml:space="preserve">inspección, vigilancia y control </w:t>
      </w:r>
      <w:r w:rsidR="00B424BE" w:rsidRPr="005D131A">
        <w:rPr>
          <w:sz w:val="28"/>
          <w:szCs w:val="28"/>
          <w:lang w:val="es-CO"/>
        </w:rPr>
        <w:t xml:space="preserve">de </w:t>
      </w:r>
      <w:r w:rsidR="00F614A3" w:rsidRPr="005D131A">
        <w:rPr>
          <w:sz w:val="28"/>
          <w:szCs w:val="28"/>
          <w:lang w:val="es-CO"/>
        </w:rPr>
        <w:t>las</w:t>
      </w:r>
      <w:r w:rsidR="00406596" w:rsidRPr="005D131A">
        <w:rPr>
          <w:sz w:val="28"/>
          <w:szCs w:val="28"/>
          <w:lang w:val="es-CO"/>
        </w:rPr>
        <w:t xml:space="preserve"> </w:t>
      </w:r>
      <w:r w:rsidR="00F614A3" w:rsidRPr="005D131A">
        <w:rPr>
          <w:sz w:val="28"/>
          <w:szCs w:val="28"/>
          <w:lang w:val="es-CO"/>
        </w:rPr>
        <w:t>EPS</w:t>
      </w:r>
      <w:r w:rsidR="00406596" w:rsidRPr="005D131A">
        <w:rPr>
          <w:sz w:val="28"/>
          <w:szCs w:val="28"/>
          <w:lang w:val="es-CO"/>
        </w:rPr>
        <w:t xml:space="preserve"> </w:t>
      </w:r>
      <w:r w:rsidR="00F614A3" w:rsidRPr="005D131A">
        <w:rPr>
          <w:sz w:val="28"/>
          <w:szCs w:val="28"/>
          <w:lang w:val="es-CO"/>
        </w:rPr>
        <w:t xml:space="preserve"> y </w:t>
      </w:r>
      <w:r w:rsidR="00303661" w:rsidRPr="005D131A">
        <w:rPr>
          <w:sz w:val="28"/>
          <w:szCs w:val="28"/>
          <w:lang w:val="es-CO"/>
        </w:rPr>
        <w:t xml:space="preserve">de </w:t>
      </w:r>
      <w:r w:rsidR="00F614A3" w:rsidRPr="005D131A">
        <w:rPr>
          <w:sz w:val="28"/>
          <w:szCs w:val="28"/>
          <w:lang w:val="es-CO"/>
        </w:rPr>
        <w:t>l</w:t>
      </w:r>
      <w:r w:rsidR="00B71A09" w:rsidRPr="005D131A">
        <w:rPr>
          <w:sz w:val="28"/>
          <w:szCs w:val="28"/>
          <w:lang w:val="es-CO"/>
        </w:rPr>
        <w:t>o</w:t>
      </w:r>
      <w:r w:rsidR="00F614A3" w:rsidRPr="005D131A">
        <w:rPr>
          <w:sz w:val="28"/>
          <w:szCs w:val="28"/>
          <w:lang w:val="es-CO"/>
        </w:rPr>
        <w:t xml:space="preserve">s </w:t>
      </w:r>
      <w:r w:rsidR="00B424BE" w:rsidRPr="005D131A">
        <w:rPr>
          <w:sz w:val="28"/>
          <w:szCs w:val="28"/>
          <w:lang w:val="es-CO"/>
        </w:rPr>
        <w:t>ent</w:t>
      </w:r>
      <w:r w:rsidR="00B71A09" w:rsidRPr="005D131A">
        <w:rPr>
          <w:sz w:val="28"/>
          <w:szCs w:val="28"/>
          <w:lang w:val="es-CO"/>
        </w:rPr>
        <w:t>es</w:t>
      </w:r>
      <w:r w:rsidR="00B424BE" w:rsidRPr="005D131A">
        <w:rPr>
          <w:sz w:val="28"/>
          <w:szCs w:val="28"/>
          <w:lang w:val="es-CO"/>
        </w:rPr>
        <w:t xml:space="preserve"> territoriales</w:t>
      </w:r>
      <w:r w:rsidR="00AC61FC" w:rsidRPr="005D131A">
        <w:rPr>
          <w:sz w:val="28"/>
          <w:szCs w:val="28"/>
          <w:lang w:val="es-CO"/>
        </w:rPr>
        <w:t>, razó</w:t>
      </w:r>
      <w:r w:rsidR="00B142E0" w:rsidRPr="005D131A">
        <w:rPr>
          <w:sz w:val="28"/>
          <w:szCs w:val="28"/>
          <w:lang w:val="es-CO"/>
        </w:rPr>
        <w:t>n por la cual,</w:t>
      </w:r>
      <w:r w:rsidR="00393DF4" w:rsidRPr="005D131A">
        <w:rPr>
          <w:sz w:val="28"/>
          <w:szCs w:val="28"/>
          <w:lang w:val="es-CO"/>
        </w:rPr>
        <w:t xml:space="preserve"> se encuentra </w:t>
      </w:r>
      <w:r w:rsidR="00F614A3" w:rsidRPr="005D131A">
        <w:rPr>
          <w:sz w:val="28"/>
          <w:szCs w:val="28"/>
          <w:lang w:val="es-CO"/>
        </w:rPr>
        <w:t xml:space="preserve">facultada para </w:t>
      </w:r>
      <w:r w:rsidR="00303661" w:rsidRPr="005D131A">
        <w:rPr>
          <w:sz w:val="28"/>
          <w:szCs w:val="28"/>
          <w:lang w:val="es-CO"/>
        </w:rPr>
        <w:t xml:space="preserve">adoptar las </w:t>
      </w:r>
      <w:r w:rsidR="00F614A3" w:rsidRPr="005D131A">
        <w:rPr>
          <w:sz w:val="28"/>
          <w:szCs w:val="28"/>
          <w:lang w:val="es-CO"/>
        </w:rPr>
        <w:t>medidas</w:t>
      </w:r>
      <w:r w:rsidR="00303661" w:rsidRPr="005D131A">
        <w:rPr>
          <w:sz w:val="28"/>
          <w:szCs w:val="28"/>
          <w:lang w:val="es-CO"/>
        </w:rPr>
        <w:t xml:space="preserve"> necesaria</w:t>
      </w:r>
      <w:r w:rsidR="00393DF4" w:rsidRPr="005D131A">
        <w:rPr>
          <w:sz w:val="28"/>
          <w:szCs w:val="28"/>
          <w:lang w:val="es-CO"/>
        </w:rPr>
        <w:t>s</w:t>
      </w:r>
      <w:r w:rsidR="00303661" w:rsidRPr="005D131A">
        <w:rPr>
          <w:sz w:val="28"/>
          <w:szCs w:val="28"/>
          <w:lang w:val="es-CO"/>
        </w:rPr>
        <w:t xml:space="preserve"> </w:t>
      </w:r>
      <w:r w:rsidR="00F614A3" w:rsidRPr="005D131A">
        <w:rPr>
          <w:sz w:val="28"/>
          <w:szCs w:val="28"/>
          <w:lang w:val="es-CO"/>
        </w:rPr>
        <w:t xml:space="preserve">en caso de que </w:t>
      </w:r>
      <w:r w:rsidR="00303661" w:rsidRPr="005D131A">
        <w:rPr>
          <w:sz w:val="28"/>
          <w:szCs w:val="28"/>
          <w:lang w:val="es-CO"/>
        </w:rPr>
        <w:t xml:space="preserve">dichas entidades incurran en prácticas que infrinjan </w:t>
      </w:r>
      <w:r w:rsidR="00F614A3" w:rsidRPr="005D131A">
        <w:rPr>
          <w:sz w:val="28"/>
          <w:szCs w:val="28"/>
          <w:lang w:val="es-CO"/>
        </w:rPr>
        <w:t>el derecho a la salud</w:t>
      </w:r>
      <w:r w:rsidR="00303661" w:rsidRPr="005D131A">
        <w:rPr>
          <w:sz w:val="28"/>
          <w:szCs w:val="28"/>
          <w:lang w:val="es-CO"/>
        </w:rPr>
        <w:t xml:space="preserve"> de las personas.</w:t>
      </w:r>
    </w:p>
    <w:p w:rsidR="00F620E7" w:rsidRPr="005D131A" w:rsidRDefault="00F620E7" w:rsidP="005D131A">
      <w:pPr>
        <w:pStyle w:val="Prrafodelista"/>
        <w:tabs>
          <w:tab w:val="left" w:pos="567"/>
        </w:tabs>
        <w:ind w:left="0"/>
        <w:rPr>
          <w:sz w:val="28"/>
          <w:szCs w:val="28"/>
          <w:lang w:val="es-CO"/>
        </w:rPr>
      </w:pPr>
    </w:p>
    <w:p w:rsidR="00F614A3" w:rsidRPr="005D131A" w:rsidRDefault="00B0210A" w:rsidP="005D131A">
      <w:pPr>
        <w:pStyle w:val="Prrafodelista"/>
        <w:tabs>
          <w:tab w:val="left" w:pos="567"/>
        </w:tabs>
        <w:ind w:left="0"/>
        <w:rPr>
          <w:sz w:val="28"/>
          <w:szCs w:val="28"/>
          <w:lang w:val="es-CO"/>
        </w:rPr>
      </w:pPr>
      <w:r w:rsidRPr="005D131A">
        <w:rPr>
          <w:sz w:val="28"/>
          <w:szCs w:val="28"/>
          <w:lang w:val="es-CO"/>
        </w:rPr>
        <w:t>Finalmente, manifestó que la Superintendencia Delegada de Atención en Salud con el objeto de evaluar y g</w:t>
      </w:r>
      <w:r w:rsidR="003154D4" w:rsidRPr="005D131A">
        <w:rPr>
          <w:sz w:val="28"/>
          <w:szCs w:val="28"/>
          <w:lang w:val="es-CO"/>
        </w:rPr>
        <w:t>arantizar el cumplimiento de lo</w:t>
      </w:r>
      <w:r w:rsidRPr="005D131A">
        <w:rPr>
          <w:sz w:val="28"/>
          <w:szCs w:val="28"/>
          <w:lang w:val="es-CO"/>
        </w:rPr>
        <w:t xml:space="preserve"> establecido en la </w:t>
      </w:r>
      <w:r w:rsidR="0066634D" w:rsidRPr="005D131A">
        <w:rPr>
          <w:sz w:val="28"/>
          <w:szCs w:val="28"/>
          <w:lang w:val="es-CO"/>
        </w:rPr>
        <w:t>S</w:t>
      </w:r>
      <w:r w:rsidRPr="005D131A">
        <w:rPr>
          <w:sz w:val="28"/>
          <w:szCs w:val="28"/>
          <w:lang w:val="es-CO"/>
        </w:rPr>
        <w:t>entencia T-760 de 2008</w:t>
      </w:r>
      <w:r w:rsidR="00940EDA" w:rsidRPr="005D131A">
        <w:rPr>
          <w:sz w:val="28"/>
          <w:szCs w:val="28"/>
        </w:rPr>
        <w:t xml:space="preserve"> en lo corrido del año 2009</w:t>
      </w:r>
      <w:r w:rsidR="00437F6B" w:rsidRPr="005D131A">
        <w:rPr>
          <w:sz w:val="28"/>
          <w:szCs w:val="28"/>
        </w:rPr>
        <w:t xml:space="preserve">, </w:t>
      </w:r>
      <w:r w:rsidR="008666BC" w:rsidRPr="005D131A">
        <w:rPr>
          <w:sz w:val="28"/>
          <w:szCs w:val="28"/>
        </w:rPr>
        <w:t>impuso</w:t>
      </w:r>
      <w:r w:rsidR="00940EDA" w:rsidRPr="005D131A">
        <w:rPr>
          <w:sz w:val="28"/>
          <w:szCs w:val="28"/>
        </w:rPr>
        <w:t xml:space="preserve"> </w:t>
      </w:r>
      <w:r w:rsidR="00ED1A9D" w:rsidRPr="005D131A">
        <w:rPr>
          <w:i/>
          <w:sz w:val="28"/>
          <w:szCs w:val="28"/>
        </w:rPr>
        <w:t>“sanciones por más de $17</w:t>
      </w:r>
      <w:r w:rsidR="00B142E0" w:rsidRPr="005D131A">
        <w:rPr>
          <w:i/>
          <w:sz w:val="28"/>
          <w:szCs w:val="28"/>
        </w:rPr>
        <w:t>.</w:t>
      </w:r>
      <w:r w:rsidR="00940EDA" w:rsidRPr="005D131A">
        <w:rPr>
          <w:i/>
          <w:sz w:val="28"/>
          <w:szCs w:val="28"/>
        </w:rPr>
        <w:t>581 millones de pesos a Entidades Administradoras de Planes de Bene</w:t>
      </w:r>
      <w:r w:rsidR="00ED1A9D" w:rsidRPr="005D131A">
        <w:rPr>
          <w:i/>
          <w:sz w:val="28"/>
          <w:szCs w:val="28"/>
        </w:rPr>
        <w:t>ficios, sanciones por más de $2</w:t>
      </w:r>
      <w:r w:rsidR="002432C7" w:rsidRPr="005D131A">
        <w:rPr>
          <w:i/>
          <w:sz w:val="28"/>
          <w:szCs w:val="28"/>
        </w:rPr>
        <w:t>.</w:t>
      </w:r>
      <w:r w:rsidR="00940EDA" w:rsidRPr="005D131A">
        <w:rPr>
          <w:i/>
          <w:sz w:val="28"/>
          <w:szCs w:val="28"/>
        </w:rPr>
        <w:t>178 millones de pesos a Entidades Territo</w:t>
      </w:r>
      <w:r w:rsidR="00ED1A9D" w:rsidRPr="005D131A">
        <w:rPr>
          <w:i/>
          <w:sz w:val="28"/>
          <w:szCs w:val="28"/>
        </w:rPr>
        <w:t>riales, sanciones por más de $2</w:t>
      </w:r>
      <w:r w:rsidR="002432C7" w:rsidRPr="005D131A">
        <w:rPr>
          <w:i/>
          <w:sz w:val="28"/>
          <w:szCs w:val="28"/>
        </w:rPr>
        <w:t>.</w:t>
      </w:r>
      <w:r w:rsidR="00940EDA" w:rsidRPr="005D131A">
        <w:rPr>
          <w:i/>
          <w:sz w:val="28"/>
          <w:szCs w:val="28"/>
        </w:rPr>
        <w:t xml:space="preserve">544 millones de pesos a Instituciones Prestadoras de Servicios de </w:t>
      </w:r>
      <w:r w:rsidR="00ED1A9D" w:rsidRPr="005D131A">
        <w:rPr>
          <w:i/>
          <w:sz w:val="28"/>
          <w:szCs w:val="28"/>
        </w:rPr>
        <w:t>Salud y sanciones por más de $1</w:t>
      </w:r>
      <w:r w:rsidR="002432C7" w:rsidRPr="005D131A">
        <w:rPr>
          <w:i/>
          <w:sz w:val="28"/>
          <w:szCs w:val="28"/>
        </w:rPr>
        <w:t>.</w:t>
      </w:r>
      <w:r w:rsidR="00940EDA" w:rsidRPr="005D131A">
        <w:rPr>
          <w:i/>
          <w:sz w:val="28"/>
          <w:szCs w:val="28"/>
        </w:rPr>
        <w:t>390 millones de pesos a otros actores del sistema, por incumplimiento de la normatividad establecida en el SGSSS en el área de aseguramiento y calidad y prestación de servicios de salud, sin contar las impuestas por concepto financiero</w:t>
      </w:r>
      <w:r w:rsidR="000A7264" w:rsidRPr="005D131A">
        <w:rPr>
          <w:i/>
          <w:sz w:val="28"/>
          <w:szCs w:val="28"/>
        </w:rPr>
        <w:t xml:space="preserve"> que corresponden a la Superintendencia Delegada para la Generación y Gestión de los Recursos Económicos para la Salud</w:t>
      </w:r>
      <w:r w:rsidR="00940EDA" w:rsidRPr="005D131A">
        <w:rPr>
          <w:i/>
          <w:sz w:val="28"/>
          <w:szCs w:val="28"/>
        </w:rPr>
        <w:t>”</w:t>
      </w:r>
      <w:r w:rsidR="00F614A3" w:rsidRPr="005D131A">
        <w:rPr>
          <w:sz w:val="28"/>
          <w:szCs w:val="28"/>
          <w:lang w:val="es-CO"/>
        </w:rPr>
        <w:t xml:space="preserve">. </w:t>
      </w:r>
    </w:p>
    <w:p w:rsidR="00F614A3" w:rsidRPr="005D131A" w:rsidRDefault="00F614A3" w:rsidP="005D131A">
      <w:pPr>
        <w:rPr>
          <w:sz w:val="28"/>
          <w:szCs w:val="28"/>
          <w:lang w:val="es-CO"/>
        </w:rPr>
      </w:pPr>
    </w:p>
    <w:p w:rsidR="00F76D33" w:rsidRPr="005D131A" w:rsidRDefault="003154D4" w:rsidP="005D131A">
      <w:pPr>
        <w:tabs>
          <w:tab w:val="left" w:pos="567"/>
        </w:tabs>
        <w:rPr>
          <w:sz w:val="28"/>
          <w:szCs w:val="28"/>
          <w:lang w:val="es-CO"/>
        </w:rPr>
      </w:pPr>
      <w:r w:rsidRPr="005D131A">
        <w:rPr>
          <w:sz w:val="28"/>
          <w:szCs w:val="28"/>
        </w:rPr>
        <w:t>7</w:t>
      </w:r>
      <w:r w:rsidR="00DD4603" w:rsidRPr="005D131A">
        <w:rPr>
          <w:sz w:val="28"/>
          <w:szCs w:val="28"/>
        </w:rPr>
        <w:t xml:space="preserve">.2. El </w:t>
      </w:r>
      <w:r w:rsidR="00810AD7" w:rsidRPr="005D131A">
        <w:rPr>
          <w:sz w:val="28"/>
          <w:szCs w:val="28"/>
        </w:rPr>
        <w:t>31 de julio de 2009</w:t>
      </w:r>
      <w:r w:rsidR="00E002E5" w:rsidRPr="005D131A">
        <w:rPr>
          <w:sz w:val="28"/>
          <w:szCs w:val="28"/>
          <w:vertAlign w:val="superscript"/>
          <w:lang w:val="es-CO"/>
        </w:rPr>
        <w:footnoteReference w:id="10"/>
      </w:r>
      <w:r w:rsidR="00290D74" w:rsidRPr="005D131A">
        <w:rPr>
          <w:sz w:val="28"/>
          <w:szCs w:val="28"/>
          <w:lang w:val="es-CO"/>
        </w:rPr>
        <w:t xml:space="preserve"> </w:t>
      </w:r>
      <w:r w:rsidR="00810AD7" w:rsidRPr="005D131A">
        <w:rPr>
          <w:sz w:val="28"/>
          <w:szCs w:val="28"/>
        </w:rPr>
        <w:t>l</w:t>
      </w:r>
      <w:r w:rsidR="00F614A3" w:rsidRPr="005D131A">
        <w:rPr>
          <w:sz w:val="28"/>
          <w:szCs w:val="28"/>
          <w:lang w:val="es-CO"/>
        </w:rPr>
        <w:t>a Comisión de Regulación en Salud</w:t>
      </w:r>
      <w:r w:rsidR="008D019D" w:rsidRPr="005D131A">
        <w:rPr>
          <w:sz w:val="28"/>
          <w:szCs w:val="28"/>
          <w:lang w:val="es-CO"/>
        </w:rPr>
        <w:t xml:space="preserve"> </w:t>
      </w:r>
      <w:r w:rsidR="00290D74" w:rsidRPr="005D131A">
        <w:rPr>
          <w:sz w:val="28"/>
          <w:szCs w:val="28"/>
          <w:lang w:val="es-CO"/>
        </w:rPr>
        <w:t>-</w:t>
      </w:r>
      <w:r w:rsidR="00DD4603" w:rsidRPr="005D131A">
        <w:rPr>
          <w:sz w:val="28"/>
          <w:szCs w:val="28"/>
          <w:lang w:val="es-CO"/>
        </w:rPr>
        <w:t>CRES</w:t>
      </w:r>
      <w:r w:rsidR="00290D74" w:rsidRPr="005D131A">
        <w:rPr>
          <w:sz w:val="28"/>
          <w:szCs w:val="28"/>
          <w:vertAlign w:val="superscript"/>
          <w:lang w:val="es-CO"/>
        </w:rPr>
        <w:footnoteReference w:id="11"/>
      </w:r>
      <w:r w:rsidR="00290D74" w:rsidRPr="005D131A">
        <w:rPr>
          <w:sz w:val="28"/>
          <w:szCs w:val="28"/>
          <w:lang w:val="es-CO"/>
        </w:rPr>
        <w:t>-</w:t>
      </w:r>
      <w:r w:rsidR="00E002E5" w:rsidRPr="005D131A">
        <w:rPr>
          <w:sz w:val="28"/>
          <w:szCs w:val="28"/>
        </w:rPr>
        <w:t xml:space="preserve"> </w:t>
      </w:r>
      <w:r w:rsidR="00721582" w:rsidRPr="005D131A">
        <w:rPr>
          <w:sz w:val="28"/>
          <w:szCs w:val="28"/>
          <w:lang w:val="es-CO"/>
        </w:rPr>
        <w:t>indicó que</w:t>
      </w:r>
      <w:r w:rsidR="00591D36" w:rsidRPr="005D131A">
        <w:rPr>
          <w:sz w:val="28"/>
          <w:szCs w:val="28"/>
          <w:lang w:val="es-CO"/>
        </w:rPr>
        <w:t xml:space="preserve"> </w:t>
      </w:r>
      <w:r w:rsidRPr="005D131A">
        <w:rPr>
          <w:sz w:val="28"/>
          <w:szCs w:val="28"/>
          <w:lang w:val="es-CO"/>
        </w:rPr>
        <w:t>a pesar de que fue creada mediante la Ley 1122 de 2007</w:t>
      </w:r>
      <w:r w:rsidR="00437F6B" w:rsidRPr="005D131A">
        <w:rPr>
          <w:sz w:val="28"/>
          <w:szCs w:val="28"/>
          <w:lang w:val="es-CO"/>
        </w:rPr>
        <w:t>,</w:t>
      </w:r>
      <w:r w:rsidRPr="005D131A">
        <w:rPr>
          <w:sz w:val="28"/>
          <w:szCs w:val="28"/>
          <w:lang w:val="es-CO"/>
        </w:rPr>
        <w:t xml:space="preserve"> </w:t>
      </w:r>
      <w:r w:rsidR="00721582" w:rsidRPr="005D131A">
        <w:rPr>
          <w:sz w:val="28"/>
          <w:szCs w:val="28"/>
          <w:lang w:val="es-CO"/>
        </w:rPr>
        <w:t xml:space="preserve">comenzó oficialmente </w:t>
      </w:r>
      <w:r w:rsidR="009926A0" w:rsidRPr="005D131A">
        <w:rPr>
          <w:sz w:val="28"/>
          <w:szCs w:val="28"/>
          <w:lang w:val="es-CO"/>
        </w:rPr>
        <w:t>su funcionamiento desde el</w:t>
      </w:r>
      <w:r w:rsidR="00721582" w:rsidRPr="005D131A">
        <w:rPr>
          <w:sz w:val="28"/>
          <w:szCs w:val="28"/>
          <w:lang w:val="es-CO"/>
        </w:rPr>
        <w:t xml:space="preserve"> 3 de junio de 2009</w:t>
      </w:r>
      <w:r w:rsidR="00591D36" w:rsidRPr="005D131A">
        <w:rPr>
          <w:sz w:val="28"/>
          <w:szCs w:val="28"/>
          <w:lang w:val="es-CO"/>
        </w:rPr>
        <w:t xml:space="preserve">. En </w:t>
      </w:r>
      <w:r w:rsidR="009926A0" w:rsidRPr="005D131A">
        <w:rPr>
          <w:sz w:val="28"/>
          <w:szCs w:val="28"/>
          <w:lang w:val="es-CO"/>
        </w:rPr>
        <w:t>ese sentido, a</w:t>
      </w:r>
      <w:r w:rsidR="00591D36" w:rsidRPr="005D131A">
        <w:rPr>
          <w:sz w:val="28"/>
          <w:szCs w:val="28"/>
          <w:lang w:val="es-CO"/>
        </w:rPr>
        <w:t xml:space="preserve">firmó </w:t>
      </w:r>
      <w:r w:rsidR="00F46553" w:rsidRPr="005D131A">
        <w:rPr>
          <w:sz w:val="28"/>
          <w:szCs w:val="28"/>
          <w:lang w:val="es-CO"/>
        </w:rPr>
        <w:t>que</w:t>
      </w:r>
      <w:r w:rsidR="00F614A3" w:rsidRPr="005D131A">
        <w:rPr>
          <w:sz w:val="28"/>
          <w:szCs w:val="28"/>
          <w:lang w:val="es-CO"/>
        </w:rPr>
        <w:t xml:space="preserve"> debido al</w:t>
      </w:r>
      <w:r w:rsidR="00EA33E5" w:rsidRPr="005D131A">
        <w:rPr>
          <w:sz w:val="28"/>
          <w:szCs w:val="28"/>
          <w:lang w:val="es-CO"/>
        </w:rPr>
        <w:t xml:space="preserve"> corto</w:t>
      </w:r>
      <w:r w:rsidR="00F614A3" w:rsidRPr="005D131A">
        <w:rPr>
          <w:sz w:val="28"/>
          <w:szCs w:val="28"/>
          <w:lang w:val="es-CO"/>
        </w:rPr>
        <w:t xml:space="preserve"> tiempo transcurrido desde</w:t>
      </w:r>
      <w:r w:rsidR="00F46553" w:rsidRPr="005D131A">
        <w:rPr>
          <w:sz w:val="28"/>
          <w:szCs w:val="28"/>
          <w:lang w:val="es-CO"/>
        </w:rPr>
        <w:t xml:space="preserve"> su puesta en marcha</w:t>
      </w:r>
      <w:r w:rsidR="00F614A3" w:rsidRPr="005D131A">
        <w:rPr>
          <w:sz w:val="28"/>
          <w:szCs w:val="28"/>
          <w:lang w:val="es-CO"/>
        </w:rPr>
        <w:t xml:space="preserve"> </w:t>
      </w:r>
      <w:r w:rsidR="006C61F9" w:rsidRPr="005D131A">
        <w:rPr>
          <w:sz w:val="28"/>
          <w:szCs w:val="28"/>
          <w:lang w:val="es-CO"/>
        </w:rPr>
        <w:t xml:space="preserve">no le era posible </w:t>
      </w:r>
      <w:r w:rsidR="00562F60" w:rsidRPr="005D131A">
        <w:rPr>
          <w:sz w:val="28"/>
          <w:szCs w:val="28"/>
          <w:lang w:val="es-CO"/>
        </w:rPr>
        <w:t xml:space="preserve">valorar e </w:t>
      </w:r>
      <w:r w:rsidR="00B8664A" w:rsidRPr="005D131A">
        <w:rPr>
          <w:sz w:val="28"/>
          <w:szCs w:val="28"/>
          <w:lang w:val="es-CO"/>
        </w:rPr>
        <w:t xml:space="preserve">informar acerca de las acciones y avances que tanto el Ministerio de la Protección Social como el Consejo Nacional </w:t>
      </w:r>
      <w:r w:rsidRPr="005D131A">
        <w:rPr>
          <w:sz w:val="28"/>
          <w:szCs w:val="28"/>
          <w:lang w:val="es-CO"/>
        </w:rPr>
        <w:t>de Seguridad Social en Salud habían</w:t>
      </w:r>
      <w:r w:rsidR="00B8664A" w:rsidRPr="005D131A">
        <w:rPr>
          <w:sz w:val="28"/>
          <w:szCs w:val="28"/>
          <w:lang w:val="es-CO"/>
        </w:rPr>
        <w:t xml:space="preserve"> adelantado respecto de</w:t>
      </w:r>
      <w:r w:rsidR="00562F60" w:rsidRPr="005D131A">
        <w:rPr>
          <w:sz w:val="28"/>
          <w:szCs w:val="28"/>
          <w:lang w:val="es-CO"/>
        </w:rPr>
        <w:t xml:space="preserve"> la orden 23 de</w:t>
      </w:r>
      <w:r w:rsidR="00B8664A" w:rsidRPr="005D131A">
        <w:rPr>
          <w:sz w:val="28"/>
          <w:szCs w:val="28"/>
          <w:lang w:val="es-CO"/>
        </w:rPr>
        <w:t xml:space="preserve"> la sentencia de la referencia. </w:t>
      </w:r>
    </w:p>
    <w:p w:rsidR="00B8664A" w:rsidRPr="005D131A" w:rsidRDefault="00B8664A" w:rsidP="005D131A">
      <w:pPr>
        <w:tabs>
          <w:tab w:val="left" w:pos="567"/>
        </w:tabs>
        <w:rPr>
          <w:sz w:val="28"/>
          <w:szCs w:val="28"/>
          <w:lang w:val="es-CO"/>
        </w:rPr>
      </w:pPr>
    </w:p>
    <w:p w:rsidR="008F0F40" w:rsidRPr="005D131A" w:rsidRDefault="003154D4" w:rsidP="005D131A">
      <w:pPr>
        <w:tabs>
          <w:tab w:val="left" w:pos="567"/>
        </w:tabs>
        <w:rPr>
          <w:sz w:val="28"/>
          <w:szCs w:val="28"/>
          <w:lang w:val="es-CO"/>
        </w:rPr>
      </w:pPr>
      <w:r w:rsidRPr="005D131A">
        <w:rPr>
          <w:sz w:val="28"/>
          <w:szCs w:val="28"/>
          <w:lang w:val="es-CO"/>
        </w:rPr>
        <w:t xml:space="preserve">8. </w:t>
      </w:r>
      <w:r w:rsidR="00290D74" w:rsidRPr="005D131A">
        <w:rPr>
          <w:sz w:val="28"/>
          <w:szCs w:val="28"/>
          <w:lang w:val="es-CO"/>
        </w:rPr>
        <w:t>M</w:t>
      </w:r>
      <w:r w:rsidR="002B2C24" w:rsidRPr="005D131A">
        <w:rPr>
          <w:sz w:val="28"/>
          <w:szCs w:val="28"/>
          <w:lang w:val="es-CO"/>
        </w:rPr>
        <w:t xml:space="preserve">ediante </w:t>
      </w:r>
      <w:r w:rsidR="002B2C24" w:rsidRPr="005D131A">
        <w:rPr>
          <w:b/>
          <w:sz w:val="28"/>
          <w:szCs w:val="28"/>
          <w:lang w:val="es-CO"/>
        </w:rPr>
        <w:t>Auto 106 de 8 de junio de 2010</w:t>
      </w:r>
      <w:r w:rsidR="00AC61FC" w:rsidRPr="005D131A">
        <w:rPr>
          <w:sz w:val="28"/>
          <w:szCs w:val="28"/>
          <w:lang w:val="es-CO"/>
        </w:rPr>
        <w:t>,</w:t>
      </w:r>
      <w:r w:rsidR="00290D74" w:rsidRPr="005D131A">
        <w:rPr>
          <w:b/>
          <w:sz w:val="28"/>
          <w:szCs w:val="28"/>
          <w:lang w:val="es-CO"/>
        </w:rPr>
        <w:t xml:space="preserve"> </w:t>
      </w:r>
      <w:r w:rsidR="00290D74" w:rsidRPr="005D131A">
        <w:rPr>
          <w:sz w:val="28"/>
          <w:szCs w:val="28"/>
          <w:lang w:val="es-CO"/>
        </w:rPr>
        <w:t>esta Corporación</w:t>
      </w:r>
      <w:r w:rsidR="002B2C24" w:rsidRPr="005D131A">
        <w:rPr>
          <w:sz w:val="28"/>
          <w:szCs w:val="28"/>
          <w:lang w:val="es-CO"/>
        </w:rPr>
        <w:t xml:space="preserve"> </w:t>
      </w:r>
      <w:r w:rsidR="00693DD3" w:rsidRPr="005D131A">
        <w:rPr>
          <w:sz w:val="28"/>
          <w:szCs w:val="28"/>
          <w:lang w:val="es-CO"/>
        </w:rPr>
        <w:t xml:space="preserve">requirió </w:t>
      </w:r>
      <w:r w:rsidR="00DD478D" w:rsidRPr="005D131A">
        <w:rPr>
          <w:sz w:val="28"/>
          <w:szCs w:val="28"/>
          <w:lang w:val="es-CO"/>
        </w:rPr>
        <w:t xml:space="preserve">a </w:t>
      </w:r>
      <w:r w:rsidR="00660B0B" w:rsidRPr="005D131A">
        <w:rPr>
          <w:sz w:val="28"/>
          <w:szCs w:val="28"/>
          <w:lang w:val="es-CO"/>
        </w:rPr>
        <w:t xml:space="preserve">los CTC de las EPS de los regímenes contributivo y subsidiado, a </w:t>
      </w:r>
      <w:r w:rsidR="00DD478D" w:rsidRPr="005D131A">
        <w:rPr>
          <w:sz w:val="28"/>
          <w:szCs w:val="28"/>
          <w:lang w:val="es-CO"/>
        </w:rPr>
        <w:t xml:space="preserve">la Superintendencia </w:t>
      </w:r>
      <w:r w:rsidR="00693DD3" w:rsidRPr="005D131A">
        <w:rPr>
          <w:sz w:val="28"/>
          <w:szCs w:val="28"/>
          <w:lang w:val="es-CO"/>
        </w:rPr>
        <w:t>N</w:t>
      </w:r>
      <w:r w:rsidR="00DD478D" w:rsidRPr="005D131A">
        <w:rPr>
          <w:sz w:val="28"/>
          <w:szCs w:val="28"/>
          <w:lang w:val="es-CO"/>
        </w:rPr>
        <w:t xml:space="preserve">acional de Salud, </w:t>
      </w:r>
      <w:r w:rsidR="00693DD3" w:rsidRPr="005D131A">
        <w:rPr>
          <w:sz w:val="28"/>
          <w:szCs w:val="28"/>
          <w:lang w:val="es-CO"/>
        </w:rPr>
        <w:t xml:space="preserve">a </w:t>
      </w:r>
      <w:r w:rsidR="00DD478D" w:rsidRPr="005D131A">
        <w:rPr>
          <w:sz w:val="28"/>
          <w:szCs w:val="28"/>
          <w:lang w:val="es-CO"/>
        </w:rPr>
        <w:t xml:space="preserve">la </w:t>
      </w:r>
      <w:r w:rsidR="00660B0B" w:rsidRPr="005D131A">
        <w:rPr>
          <w:sz w:val="28"/>
          <w:szCs w:val="28"/>
          <w:lang w:val="es-CO"/>
        </w:rPr>
        <w:t>Defensoría del Pueblo y</w:t>
      </w:r>
      <w:r w:rsidR="00DD478D" w:rsidRPr="005D131A">
        <w:rPr>
          <w:sz w:val="28"/>
          <w:szCs w:val="28"/>
          <w:lang w:val="es-CO"/>
        </w:rPr>
        <w:t xml:space="preserve"> </w:t>
      </w:r>
      <w:r w:rsidR="00693DD3" w:rsidRPr="005D131A">
        <w:rPr>
          <w:sz w:val="28"/>
          <w:szCs w:val="28"/>
          <w:lang w:val="es-CO"/>
        </w:rPr>
        <w:t>a</w:t>
      </w:r>
      <w:r w:rsidR="00660B0B" w:rsidRPr="005D131A">
        <w:rPr>
          <w:sz w:val="28"/>
          <w:szCs w:val="28"/>
          <w:lang w:val="es-CO"/>
        </w:rPr>
        <w:t>l Ministerio de Salud</w:t>
      </w:r>
      <w:r w:rsidR="00DD478D" w:rsidRPr="005D131A">
        <w:rPr>
          <w:sz w:val="28"/>
          <w:szCs w:val="28"/>
          <w:lang w:val="es-CO"/>
        </w:rPr>
        <w:t xml:space="preserve"> para que dieran respuest</w:t>
      </w:r>
      <w:r w:rsidR="008401D9" w:rsidRPr="005D131A">
        <w:rPr>
          <w:sz w:val="28"/>
          <w:szCs w:val="28"/>
          <w:lang w:val="es-CO"/>
        </w:rPr>
        <w:t>a a una serie de interrogantes</w:t>
      </w:r>
      <w:r w:rsidR="00585F42" w:rsidRPr="005D131A">
        <w:rPr>
          <w:sz w:val="28"/>
          <w:szCs w:val="28"/>
          <w:lang w:val="es-CO"/>
        </w:rPr>
        <w:t xml:space="preserve"> </w:t>
      </w:r>
      <w:r w:rsidR="00EA5365" w:rsidRPr="005D131A">
        <w:rPr>
          <w:sz w:val="28"/>
          <w:szCs w:val="28"/>
          <w:lang w:val="es-CO"/>
        </w:rPr>
        <w:t>orientados a: i) contar con información más precisa sobre el funcionamiento de dichos comités; ii) conocer las gestiones gubernamentales de inspecci</w:t>
      </w:r>
      <w:r w:rsidR="00AC61FC" w:rsidRPr="005D131A">
        <w:rPr>
          <w:sz w:val="28"/>
          <w:szCs w:val="28"/>
          <w:lang w:val="es-CO"/>
        </w:rPr>
        <w:t>ón, vigilancia y control sobre e</w:t>
      </w:r>
      <w:r w:rsidR="00EA5365" w:rsidRPr="005D131A">
        <w:rPr>
          <w:sz w:val="28"/>
          <w:szCs w:val="28"/>
          <w:lang w:val="es-CO"/>
        </w:rPr>
        <w:t xml:space="preserve">stos y; por último iii) identificar las actuaciones de las mencionadas entidades estatales respecto del cumplimiento de la orden vigésima tercera. </w:t>
      </w:r>
    </w:p>
    <w:p w:rsidR="00EA5365" w:rsidRPr="005D131A" w:rsidRDefault="00EA5365" w:rsidP="005D131A">
      <w:pPr>
        <w:tabs>
          <w:tab w:val="left" w:pos="567"/>
        </w:tabs>
        <w:rPr>
          <w:sz w:val="28"/>
          <w:szCs w:val="28"/>
          <w:lang w:val="es-CO"/>
        </w:rPr>
      </w:pPr>
    </w:p>
    <w:p w:rsidR="00377BDC" w:rsidRPr="005D131A" w:rsidRDefault="00DD478D" w:rsidP="005D131A">
      <w:pPr>
        <w:tabs>
          <w:tab w:val="left" w:pos="567"/>
        </w:tabs>
        <w:rPr>
          <w:sz w:val="28"/>
          <w:szCs w:val="28"/>
          <w:lang w:val="es-CO"/>
        </w:rPr>
      </w:pPr>
      <w:r w:rsidRPr="005D131A">
        <w:rPr>
          <w:sz w:val="28"/>
          <w:szCs w:val="28"/>
          <w:lang w:val="es-CO"/>
        </w:rPr>
        <w:t>Las</w:t>
      </w:r>
      <w:r w:rsidR="00464110" w:rsidRPr="005D131A">
        <w:rPr>
          <w:sz w:val="28"/>
          <w:szCs w:val="28"/>
          <w:lang w:val="es-CO"/>
        </w:rPr>
        <w:t xml:space="preserve"> preguntas hicieron énfasis</w:t>
      </w:r>
      <w:r w:rsidR="008F0F40" w:rsidRPr="005D131A">
        <w:rPr>
          <w:sz w:val="28"/>
          <w:szCs w:val="28"/>
          <w:lang w:val="es-CO"/>
        </w:rPr>
        <w:t xml:space="preserve"> sobre el funcionamiento de los CTC establecido en las resoluc</w:t>
      </w:r>
      <w:r w:rsidR="00437F6B" w:rsidRPr="005D131A">
        <w:rPr>
          <w:sz w:val="28"/>
          <w:szCs w:val="28"/>
          <w:lang w:val="es-CO"/>
        </w:rPr>
        <w:t xml:space="preserve">iones 3099, 3754 y 5334 de 2008, </w:t>
      </w:r>
      <w:r w:rsidR="008F0F40" w:rsidRPr="005D131A">
        <w:rPr>
          <w:sz w:val="28"/>
          <w:szCs w:val="28"/>
          <w:lang w:val="es-CO"/>
        </w:rPr>
        <w:t>y los cambios en el procedimiento plasmados en la Resolución 548 de 2010</w:t>
      </w:r>
      <w:r w:rsidR="008F0F40" w:rsidRPr="005D131A">
        <w:rPr>
          <w:sz w:val="28"/>
          <w:szCs w:val="28"/>
          <w:vertAlign w:val="superscript"/>
          <w:lang w:val="es-CO"/>
        </w:rPr>
        <w:footnoteReference w:id="12"/>
      </w:r>
      <w:r w:rsidR="00F95319" w:rsidRPr="005D131A">
        <w:rPr>
          <w:sz w:val="28"/>
          <w:szCs w:val="28"/>
          <w:lang w:val="es-CO"/>
        </w:rPr>
        <w:t>, las dificultades y avances que han sido identificados en la implementación y puesta en marcha</w:t>
      </w:r>
      <w:r w:rsidR="00BC2392" w:rsidRPr="005D131A">
        <w:rPr>
          <w:sz w:val="28"/>
          <w:szCs w:val="28"/>
          <w:lang w:val="es-CO"/>
        </w:rPr>
        <w:t xml:space="preserve"> de las mencionadas</w:t>
      </w:r>
      <w:r w:rsidR="00F95319" w:rsidRPr="005D131A">
        <w:rPr>
          <w:sz w:val="28"/>
          <w:szCs w:val="28"/>
          <w:lang w:val="es-CO"/>
        </w:rPr>
        <w:t xml:space="preserve"> normas, así como </w:t>
      </w:r>
      <w:r w:rsidR="00377BDC" w:rsidRPr="005D131A">
        <w:rPr>
          <w:sz w:val="28"/>
          <w:szCs w:val="28"/>
          <w:lang w:val="es-CO"/>
        </w:rPr>
        <w:t>los criterios tenidos en cu</w:t>
      </w:r>
      <w:r w:rsidR="00464110" w:rsidRPr="005D131A">
        <w:rPr>
          <w:sz w:val="28"/>
          <w:szCs w:val="28"/>
          <w:lang w:val="es-CO"/>
        </w:rPr>
        <w:t>enta para autorizar o negar servicios de salud no incluidos en el POS</w:t>
      </w:r>
      <w:r w:rsidR="00F95319" w:rsidRPr="005D131A">
        <w:rPr>
          <w:sz w:val="28"/>
          <w:szCs w:val="28"/>
          <w:lang w:val="es-CO"/>
        </w:rPr>
        <w:t>,</w:t>
      </w:r>
      <w:r w:rsidR="00377BDC" w:rsidRPr="005D131A">
        <w:rPr>
          <w:sz w:val="28"/>
          <w:szCs w:val="28"/>
          <w:lang w:val="es-CO"/>
        </w:rPr>
        <w:t xml:space="preserve"> </w:t>
      </w:r>
      <w:r w:rsidR="00F817C6" w:rsidRPr="005D131A">
        <w:rPr>
          <w:sz w:val="28"/>
          <w:szCs w:val="28"/>
          <w:lang w:val="es-CO"/>
        </w:rPr>
        <w:t>la frecuencia d</w:t>
      </w:r>
      <w:r w:rsidR="00377BDC" w:rsidRPr="005D131A">
        <w:rPr>
          <w:sz w:val="28"/>
          <w:szCs w:val="28"/>
          <w:lang w:val="es-CO"/>
        </w:rPr>
        <w:t>e las reuniones de</w:t>
      </w:r>
      <w:r w:rsidR="00F95319" w:rsidRPr="005D131A">
        <w:rPr>
          <w:sz w:val="28"/>
          <w:szCs w:val="28"/>
          <w:lang w:val="es-CO"/>
        </w:rPr>
        <w:t xml:space="preserve"> los comités, entre otros aspectos. </w:t>
      </w:r>
    </w:p>
    <w:p w:rsidR="00F817C6" w:rsidRPr="005D131A" w:rsidRDefault="00F817C6" w:rsidP="005D131A">
      <w:pPr>
        <w:tabs>
          <w:tab w:val="left" w:pos="567"/>
        </w:tabs>
        <w:rPr>
          <w:sz w:val="28"/>
          <w:szCs w:val="28"/>
          <w:lang w:val="es-CO"/>
        </w:rPr>
      </w:pPr>
    </w:p>
    <w:p w:rsidR="00644C69" w:rsidRPr="005D131A" w:rsidRDefault="00437F6B" w:rsidP="005D131A">
      <w:pPr>
        <w:tabs>
          <w:tab w:val="left" w:pos="567"/>
        </w:tabs>
        <w:rPr>
          <w:sz w:val="28"/>
          <w:szCs w:val="28"/>
          <w:lang w:val="es-CO"/>
        </w:rPr>
      </w:pPr>
      <w:r w:rsidRPr="005D131A">
        <w:rPr>
          <w:sz w:val="28"/>
          <w:szCs w:val="28"/>
          <w:lang w:val="es-CO"/>
        </w:rPr>
        <w:t>En el mismo auto</w:t>
      </w:r>
      <w:r w:rsidR="00F817C6" w:rsidRPr="005D131A">
        <w:rPr>
          <w:sz w:val="28"/>
          <w:szCs w:val="28"/>
          <w:lang w:val="es-CO"/>
        </w:rPr>
        <w:t xml:space="preserve"> se requirió a la Superintendencia Nacional de Salud para que informara </w:t>
      </w:r>
      <w:r w:rsidR="00290D74" w:rsidRPr="005D131A">
        <w:rPr>
          <w:sz w:val="28"/>
          <w:szCs w:val="28"/>
          <w:lang w:val="es-CO"/>
        </w:rPr>
        <w:t>cuá</w:t>
      </w:r>
      <w:r w:rsidR="00A631A8" w:rsidRPr="005D131A">
        <w:rPr>
          <w:sz w:val="28"/>
          <w:szCs w:val="28"/>
          <w:lang w:val="es-CO"/>
        </w:rPr>
        <w:t xml:space="preserve">ntas </w:t>
      </w:r>
      <w:r w:rsidR="00290D74" w:rsidRPr="005D131A">
        <w:rPr>
          <w:sz w:val="28"/>
          <w:szCs w:val="28"/>
          <w:lang w:val="es-CO"/>
        </w:rPr>
        <w:t>EPS de los regímenes contributivo, s</w:t>
      </w:r>
      <w:r w:rsidR="00A631A8" w:rsidRPr="005D131A">
        <w:rPr>
          <w:sz w:val="28"/>
          <w:szCs w:val="28"/>
          <w:lang w:val="es-CO"/>
        </w:rPr>
        <w:t xml:space="preserve">ubsidiado y </w:t>
      </w:r>
      <w:r w:rsidR="00290D74" w:rsidRPr="005D131A">
        <w:rPr>
          <w:sz w:val="28"/>
          <w:szCs w:val="28"/>
          <w:lang w:val="es-CO"/>
        </w:rPr>
        <w:t>e</w:t>
      </w:r>
      <w:r w:rsidR="00A631A8" w:rsidRPr="005D131A">
        <w:rPr>
          <w:sz w:val="28"/>
          <w:szCs w:val="28"/>
          <w:lang w:val="es-CO"/>
        </w:rPr>
        <w:t>sp</w:t>
      </w:r>
      <w:r w:rsidR="00290D74" w:rsidRPr="005D131A">
        <w:rPr>
          <w:sz w:val="28"/>
          <w:szCs w:val="28"/>
          <w:lang w:val="es-CO"/>
        </w:rPr>
        <w:t>eciales existen en el país y cuá</w:t>
      </w:r>
      <w:r w:rsidR="00EA5365" w:rsidRPr="005D131A">
        <w:rPr>
          <w:sz w:val="28"/>
          <w:szCs w:val="28"/>
          <w:lang w:val="es-CO"/>
        </w:rPr>
        <w:t xml:space="preserve">ntos CTC tienen cada una de éstas. </w:t>
      </w:r>
      <w:r w:rsidR="00F95319" w:rsidRPr="005D131A">
        <w:rPr>
          <w:sz w:val="28"/>
          <w:szCs w:val="28"/>
          <w:lang w:val="es-CO"/>
        </w:rPr>
        <w:t xml:space="preserve"> </w:t>
      </w:r>
    </w:p>
    <w:p w:rsidR="00F95319" w:rsidRPr="005D131A" w:rsidRDefault="00F95319" w:rsidP="005D131A">
      <w:pPr>
        <w:tabs>
          <w:tab w:val="left" w:pos="567"/>
        </w:tabs>
        <w:rPr>
          <w:sz w:val="28"/>
          <w:szCs w:val="28"/>
          <w:lang w:val="es-CO"/>
        </w:rPr>
      </w:pPr>
    </w:p>
    <w:p w:rsidR="00F614A3" w:rsidRPr="005D131A" w:rsidRDefault="00644C69" w:rsidP="005D131A">
      <w:pPr>
        <w:tabs>
          <w:tab w:val="left" w:pos="567"/>
        </w:tabs>
        <w:rPr>
          <w:sz w:val="28"/>
          <w:szCs w:val="28"/>
          <w:lang w:val="es-CO"/>
        </w:rPr>
      </w:pPr>
      <w:r w:rsidRPr="005D131A">
        <w:rPr>
          <w:sz w:val="28"/>
          <w:szCs w:val="28"/>
          <w:lang w:val="es-CO"/>
        </w:rPr>
        <w:t xml:space="preserve">8.1. </w:t>
      </w:r>
      <w:r w:rsidR="00F614A3" w:rsidRPr="005D131A">
        <w:rPr>
          <w:sz w:val="28"/>
          <w:szCs w:val="28"/>
          <w:lang w:val="es-CO"/>
        </w:rPr>
        <w:t xml:space="preserve">En cumplimiento </w:t>
      </w:r>
      <w:r w:rsidR="00365F08" w:rsidRPr="005D131A">
        <w:rPr>
          <w:sz w:val="28"/>
          <w:szCs w:val="28"/>
          <w:lang w:val="es-CO"/>
        </w:rPr>
        <w:t>de esta providencia</w:t>
      </w:r>
      <w:r w:rsidR="00F614A3" w:rsidRPr="005D131A">
        <w:rPr>
          <w:sz w:val="28"/>
          <w:szCs w:val="28"/>
          <w:lang w:val="es-CO"/>
        </w:rPr>
        <w:t>, fueron radicados los siguientes documentos:</w:t>
      </w:r>
    </w:p>
    <w:p w:rsidR="00365F08" w:rsidRPr="005D131A" w:rsidRDefault="00365F08" w:rsidP="005D131A">
      <w:pPr>
        <w:rPr>
          <w:sz w:val="28"/>
          <w:szCs w:val="28"/>
          <w:lang w:val="es-CO"/>
        </w:rPr>
      </w:pPr>
    </w:p>
    <w:p w:rsidR="007267B1" w:rsidRPr="005D131A" w:rsidRDefault="009F2A0A" w:rsidP="005D131A">
      <w:pPr>
        <w:tabs>
          <w:tab w:val="left" w:pos="567"/>
        </w:tabs>
        <w:rPr>
          <w:sz w:val="28"/>
          <w:szCs w:val="28"/>
          <w:lang w:val="es-CO"/>
        </w:rPr>
      </w:pPr>
      <w:r w:rsidRPr="005D131A">
        <w:rPr>
          <w:sz w:val="28"/>
          <w:szCs w:val="28"/>
        </w:rPr>
        <w:t xml:space="preserve">8.1.1. </w:t>
      </w:r>
      <w:r w:rsidR="002043DD" w:rsidRPr="005D131A">
        <w:rPr>
          <w:sz w:val="28"/>
          <w:szCs w:val="28"/>
        </w:rPr>
        <w:t>En escrito de</w:t>
      </w:r>
      <w:r w:rsidR="008160A2" w:rsidRPr="005D131A">
        <w:rPr>
          <w:sz w:val="28"/>
          <w:szCs w:val="28"/>
        </w:rPr>
        <w:t xml:space="preserve"> 7 de julio de 2010</w:t>
      </w:r>
      <w:r w:rsidR="007267B1" w:rsidRPr="005D131A">
        <w:rPr>
          <w:sz w:val="28"/>
          <w:szCs w:val="28"/>
          <w:vertAlign w:val="superscript"/>
          <w:lang w:val="es-CO"/>
        </w:rPr>
        <w:footnoteReference w:id="13"/>
      </w:r>
      <w:r w:rsidR="008160A2" w:rsidRPr="005D131A">
        <w:rPr>
          <w:sz w:val="28"/>
          <w:szCs w:val="28"/>
        </w:rPr>
        <w:t>, el entonces Ministerio de la Protección Social</w:t>
      </w:r>
      <w:r w:rsidR="007267B1" w:rsidRPr="005D131A">
        <w:rPr>
          <w:sz w:val="28"/>
          <w:szCs w:val="28"/>
        </w:rPr>
        <w:t xml:space="preserve"> indicó que el propósito de la </w:t>
      </w:r>
      <w:r w:rsidR="008947F0" w:rsidRPr="005D131A">
        <w:rPr>
          <w:sz w:val="28"/>
          <w:szCs w:val="28"/>
        </w:rPr>
        <w:t>Resolución 548 de 2010</w:t>
      </w:r>
      <w:r w:rsidR="008947F0" w:rsidRPr="005D131A">
        <w:rPr>
          <w:sz w:val="28"/>
          <w:szCs w:val="28"/>
          <w:vertAlign w:val="superscript"/>
        </w:rPr>
        <w:footnoteReference w:id="14"/>
      </w:r>
      <w:r w:rsidR="007267B1" w:rsidRPr="005D131A">
        <w:rPr>
          <w:sz w:val="28"/>
          <w:szCs w:val="28"/>
        </w:rPr>
        <w:t xml:space="preserve"> era </w:t>
      </w:r>
      <w:r w:rsidR="007267B1" w:rsidRPr="005D131A">
        <w:rPr>
          <w:i/>
          <w:sz w:val="28"/>
          <w:szCs w:val="28"/>
          <w:lang w:val="es-CO"/>
        </w:rPr>
        <w:t>“materializar las estrategias necesarias para evitar la agravación de las finanzas del sector salud</w:t>
      </w:r>
      <w:r w:rsidR="007267B1" w:rsidRPr="005D131A">
        <w:rPr>
          <w:i/>
          <w:sz w:val="28"/>
          <w:szCs w:val="28"/>
        </w:rPr>
        <w:t>”</w:t>
      </w:r>
      <w:r w:rsidR="00437F6B" w:rsidRPr="005D131A">
        <w:rPr>
          <w:i/>
          <w:sz w:val="28"/>
          <w:szCs w:val="28"/>
        </w:rPr>
        <w:t>,</w:t>
      </w:r>
      <w:r w:rsidR="007267B1" w:rsidRPr="005D131A">
        <w:rPr>
          <w:i/>
          <w:sz w:val="28"/>
          <w:szCs w:val="28"/>
        </w:rPr>
        <w:t xml:space="preserve"> </w:t>
      </w:r>
      <w:r w:rsidR="007267B1" w:rsidRPr="005D131A">
        <w:rPr>
          <w:sz w:val="28"/>
          <w:szCs w:val="28"/>
        </w:rPr>
        <w:t>dado que</w:t>
      </w:r>
      <w:r w:rsidR="007267B1" w:rsidRPr="005D131A">
        <w:rPr>
          <w:i/>
          <w:sz w:val="28"/>
          <w:szCs w:val="28"/>
        </w:rPr>
        <w:t xml:space="preserve"> </w:t>
      </w:r>
      <w:r w:rsidR="007267B1" w:rsidRPr="005D131A">
        <w:rPr>
          <w:sz w:val="28"/>
          <w:szCs w:val="28"/>
          <w:lang w:val="es-CO"/>
        </w:rPr>
        <w:t>la demora en el proceso de recobro afecta la sostenibilidad de las EPS.</w:t>
      </w:r>
    </w:p>
    <w:p w:rsidR="0023250D" w:rsidRPr="005D131A" w:rsidRDefault="0023250D" w:rsidP="005D131A">
      <w:pPr>
        <w:rPr>
          <w:sz w:val="28"/>
          <w:szCs w:val="28"/>
          <w:lang w:val="es-CO"/>
        </w:rPr>
      </w:pPr>
    </w:p>
    <w:p w:rsidR="00F614A3" w:rsidRPr="005D131A" w:rsidRDefault="009F2A0A" w:rsidP="005D131A">
      <w:pPr>
        <w:pStyle w:val="Prrafodelista"/>
        <w:tabs>
          <w:tab w:val="left" w:pos="567"/>
        </w:tabs>
        <w:ind w:left="0"/>
        <w:rPr>
          <w:sz w:val="28"/>
          <w:szCs w:val="28"/>
          <w:lang w:val="es-CO"/>
        </w:rPr>
      </w:pPr>
      <w:r w:rsidRPr="005D131A">
        <w:rPr>
          <w:sz w:val="28"/>
          <w:szCs w:val="28"/>
          <w:lang w:val="es-CO"/>
        </w:rPr>
        <w:t xml:space="preserve">8.1.2. </w:t>
      </w:r>
      <w:r w:rsidR="006A066B" w:rsidRPr="005D131A">
        <w:rPr>
          <w:sz w:val="28"/>
          <w:szCs w:val="28"/>
        </w:rPr>
        <w:t xml:space="preserve">Mediante escrito radicado el </w:t>
      </w:r>
      <w:r w:rsidR="006A066B" w:rsidRPr="005D131A">
        <w:rPr>
          <w:sz w:val="28"/>
          <w:szCs w:val="28"/>
          <w:lang w:val="es-CO"/>
        </w:rPr>
        <w:t>13 de julio de 2010</w:t>
      </w:r>
      <w:r w:rsidR="0032779C" w:rsidRPr="005D131A">
        <w:rPr>
          <w:sz w:val="28"/>
          <w:szCs w:val="28"/>
          <w:vertAlign w:val="superscript"/>
          <w:lang w:val="es-CO"/>
        </w:rPr>
        <w:footnoteReference w:id="15"/>
      </w:r>
      <w:r w:rsidR="004740F4" w:rsidRPr="005D131A">
        <w:rPr>
          <w:sz w:val="28"/>
          <w:szCs w:val="28"/>
        </w:rPr>
        <w:t>, la</w:t>
      </w:r>
      <w:r w:rsidR="006A066B" w:rsidRPr="005D131A">
        <w:rPr>
          <w:sz w:val="28"/>
          <w:szCs w:val="28"/>
        </w:rPr>
        <w:t xml:space="preserve"> Defensor</w:t>
      </w:r>
      <w:r w:rsidR="004740F4" w:rsidRPr="005D131A">
        <w:rPr>
          <w:sz w:val="28"/>
          <w:szCs w:val="28"/>
        </w:rPr>
        <w:t>ía</w:t>
      </w:r>
      <w:r w:rsidR="006A066B" w:rsidRPr="005D131A">
        <w:rPr>
          <w:sz w:val="28"/>
          <w:szCs w:val="28"/>
        </w:rPr>
        <w:t xml:space="preserve"> del Pueblo</w:t>
      </w:r>
      <w:r w:rsidR="004740F4" w:rsidRPr="005D131A">
        <w:rPr>
          <w:sz w:val="28"/>
          <w:szCs w:val="28"/>
        </w:rPr>
        <w:t xml:space="preserve"> reiteró los argumentos expuestos en el informe de </w:t>
      </w:r>
      <w:r w:rsidR="002B2C24" w:rsidRPr="005D131A">
        <w:rPr>
          <w:sz w:val="28"/>
          <w:szCs w:val="28"/>
          <w:lang w:val="es-CO"/>
        </w:rPr>
        <w:t>25 de junio de 2009. Recordó que la Resolución 3099 de 2008 fue expedida antes de la sentencia bajo seguimiento y las subsiguientes modificaciones solo se han referido al sistema de recobros, dejando de lado la garantía del goce efectivo del derecho</w:t>
      </w:r>
      <w:r w:rsidR="002B2C24" w:rsidRPr="005D131A">
        <w:rPr>
          <w:sz w:val="28"/>
          <w:szCs w:val="28"/>
          <w:vertAlign w:val="superscript"/>
          <w:lang w:val="es-CO"/>
        </w:rPr>
        <w:t xml:space="preserve"> </w:t>
      </w:r>
      <w:r w:rsidR="002B2C24" w:rsidRPr="005D131A">
        <w:rPr>
          <w:sz w:val="28"/>
          <w:szCs w:val="28"/>
          <w:lang w:val="es-CO"/>
        </w:rPr>
        <w:t xml:space="preserve">a la salud. Insistió en que </w:t>
      </w:r>
      <w:r w:rsidR="00F614A3" w:rsidRPr="005D131A">
        <w:rPr>
          <w:sz w:val="28"/>
          <w:szCs w:val="28"/>
          <w:lang w:val="es-CO"/>
        </w:rPr>
        <w:t xml:space="preserve">la </w:t>
      </w:r>
      <w:r w:rsidR="004740F4" w:rsidRPr="005D131A">
        <w:rPr>
          <w:sz w:val="28"/>
          <w:szCs w:val="28"/>
          <w:lang w:val="es-CO"/>
        </w:rPr>
        <w:t>reglamentación vigente genera</w:t>
      </w:r>
      <w:r w:rsidR="008D6DDB" w:rsidRPr="005D131A">
        <w:rPr>
          <w:sz w:val="28"/>
          <w:szCs w:val="28"/>
          <w:lang w:val="es-CO"/>
        </w:rPr>
        <w:t xml:space="preserve"> </w:t>
      </w:r>
      <w:r w:rsidR="004740F4" w:rsidRPr="005D131A">
        <w:rPr>
          <w:sz w:val="28"/>
          <w:szCs w:val="28"/>
          <w:lang w:val="es-CO"/>
        </w:rPr>
        <w:t xml:space="preserve">varios </w:t>
      </w:r>
      <w:r w:rsidR="0009456A" w:rsidRPr="005D131A">
        <w:rPr>
          <w:sz w:val="28"/>
          <w:szCs w:val="28"/>
          <w:lang w:val="es-CO"/>
        </w:rPr>
        <w:t>inconveniente</w:t>
      </w:r>
      <w:r w:rsidR="004740F4" w:rsidRPr="005D131A">
        <w:rPr>
          <w:sz w:val="28"/>
          <w:szCs w:val="28"/>
          <w:lang w:val="es-CO"/>
        </w:rPr>
        <w:t xml:space="preserve">s para que el usuario acceda </w:t>
      </w:r>
      <w:r w:rsidR="0009456A" w:rsidRPr="005D131A">
        <w:rPr>
          <w:sz w:val="28"/>
          <w:szCs w:val="28"/>
          <w:lang w:val="es-CO"/>
        </w:rPr>
        <w:t>a los servicios de salud</w:t>
      </w:r>
      <w:r w:rsidR="00F324E1" w:rsidRPr="005D131A">
        <w:rPr>
          <w:sz w:val="28"/>
          <w:szCs w:val="28"/>
          <w:lang w:val="es-CO"/>
        </w:rPr>
        <w:t xml:space="preserve"> no POS </w:t>
      </w:r>
      <w:r w:rsidR="0009456A" w:rsidRPr="005D131A">
        <w:rPr>
          <w:sz w:val="28"/>
          <w:szCs w:val="28"/>
          <w:lang w:val="es-CO"/>
        </w:rPr>
        <w:t>que requiere</w:t>
      </w:r>
      <w:r w:rsidR="0032779C" w:rsidRPr="005D131A">
        <w:rPr>
          <w:sz w:val="28"/>
          <w:szCs w:val="28"/>
          <w:lang w:val="es-CO"/>
        </w:rPr>
        <w:t>.</w:t>
      </w:r>
    </w:p>
    <w:p w:rsidR="00BC2733" w:rsidRPr="005D131A" w:rsidRDefault="00BC2733" w:rsidP="005D131A">
      <w:pPr>
        <w:pStyle w:val="Prrafodelista"/>
        <w:tabs>
          <w:tab w:val="left" w:pos="567"/>
        </w:tabs>
        <w:ind w:left="0"/>
        <w:rPr>
          <w:sz w:val="28"/>
          <w:szCs w:val="28"/>
          <w:lang w:val="es-CO"/>
        </w:rPr>
      </w:pPr>
    </w:p>
    <w:p w:rsidR="00096C1C" w:rsidRDefault="008A2F8F" w:rsidP="005D131A">
      <w:pPr>
        <w:pStyle w:val="Prrafodelista"/>
        <w:tabs>
          <w:tab w:val="left" w:pos="567"/>
        </w:tabs>
        <w:ind w:left="0"/>
        <w:rPr>
          <w:sz w:val="28"/>
          <w:szCs w:val="28"/>
          <w:lang w:val="es-CO"/>
        </w:rPr>
      </w:pPr>
      <w:r w:rsidRPr="005D131A">
        <w:rPr>
          <w:sz w:val="28"/>
          <w:szCs w:val="28"/>
          <w:lang w:val="es-CO"/>
        </w:rPr>
        <w:t>La D</w:t>
      </w:r>
      <w:r w:rsidR="00AB75E0" w:rsidRPr="005D131A">
        <w:rPr>
          <w:sz w:val="28"/>
          <w:szCs w:val="28"/>
          <w:lang w:val="es-CO"/>
        </w:rPr>
        <w:t>efensoría, teniendo en cuenta que muchas de las n</w:t>
      </w:r>
      <w:r w:rsidR="009F2A0A" w:rsidRPr="005D131A">
        <w:rPr>
          <w:sz w:val="28"/>
          <w:szCs w:val="28"/>
          <w:lang w:val="es-CO"/>
        </w:rPr>
        <w:t>egaciones de servicios en salud</w:t>
      </w:r>
      <w:r w:rsidR="00AB75E0" w:rsidRPr="005D131A">
        <w:rPr>
          <w:sz w:val="28"/>
          <w:szCs w:val="28"/>
          <w:lang w:val="es-CO"/>
        </w:rPr>
        <w:t xml:space="preserve"> están fundamentadas en la Resolución 3099 de 2008, solicitó al Ministerio </w:t>
      </w:r>
      <w:r w:rsidR="00437F6B" w:rsidRPr="005D131A">
        <w:rPr>
          <w:sz w:val="28"/>
          <w:szCs w:val="28"/>
          <w:lang w:val="es-CO"/>
        </w:rPr>
        <w:t xml:space="preserve">de Salud </w:t>
      </w:r>
      <w:r w:rsidR="006A0625" w:rsidRPr="005D131A">
        <w:rPr>
          <w:sz w:val="28"/>
          <w:szCs w:val="28"/>
          <w:lang w:val="es-CO"/>
        </w:rPr>
        <w:t>que ajustara dicha normativa</w:t>
      </w:r>
      <w:r w:rsidR="00AB75E0" w:rsidRPr="005D131A">
        <w:rPr>
          <w:sz w:val="28"/>
          <w:szCs w:val="28"/>
          <w:lang w:val="es-CO"/>
        </w:rPr>
        <w:t xml:space="preserve"> a lo ordenado por la Corte, ya que las dos modificaciones realizadas (resoluciones 3754 y 5334 de 2008) solo hacen referencia a recobros. Los ajus</w:t>
      </w:r>
      <w:r w:rsidRPr="005D131A">
        <w:rPr>
          <w:sz w:val="28"/>
          <w:szCs w:val="28"/>
          <w:lang w:val="es-CO"/>
        </w:rPr>
        <w:t>tes que la entidad consideró</w:t>
      </w:r>
      <w:r w:rsidR="00AB75E0" w:rsidRPr="005D131A">
        <w:rPr>
          <w:sz w:val="28"/>
          <w:szCs w:val="28"/>
          <w:lang w:val="es-CO"/>
        </w:rPr>
        <w:t xml:space="preserve"> debían realizarse </w:t>
      </w:r>
      <w:r w:rsidR="006A0625" w:rsidRPr="005D131A">
        <w:rPr>
          <w:sz w:val="28"/>
          <w:szCs w:val="28"/>
          <w:lang w:val="es-CO"/>
        </w:rPr>
        <w:t>tiene</w:t>
      </w:r>
      <w:r w:rsidR="009253F7" w:rsidRPr="005D131A">
        <w:rPr>
          <w:sz w:val="28"/>
          <w:szCs w:val="28"/>
          <w:lang w:val="es-CO"/>
        </w:rPr>
        <w:t>n</w:t>
      </w:r>
      <w:r w:rsidR="006A0625" w:rsidRPr="005D131A">
        <w:rPr>
          <w:sz w:val="28"/>
          <w:szCs w:val="28"/>
          <w:lang w:val="es-CO"/>
        </w:rPr>
        <w:t xml:space="preserve"> que ver con </w:t>
      </w:r>
      <w:r w:rsidR="007C6D56" w:rsidRPr="005D131A">
        <w:rPr>
          <w:i/>
          <w:sz w:val="28"/>
          <w:szCs w:val="28"/>
          <w:lang w:val="es-CO"/>
        </w:rPr>
        <w:t>i)</w:t>
      </w:r>
      <w:r w:rsidR="006A0625" w:rsidRPr="005D131A">
        <w:rPr>
          <w:sz w:val="28"/>
          <w:szCs w:val="28"/>
          <w:lang w:val="es-CO"/>
        </w:rPr>
        <w:t xml:space="preserve"> l</w:t>
      </w:r>
      <w:r w:rsidR="007C6D56" w:rsidRPr="005D131A">
        <w:rPr>
          <w:sz w:val="28"/>
          <w:szCs w:val="28"/>
          <w:lang w:val="es-CO"/>
        </w:rPr>
        <w:t>a p</w:t>
      </w:r>
      <w:r w:rsidRPr="005D131A">
        <w:rPr>
          <w:sz w:val="28"/>
          <w:szCs w:val="28"/>
          <w:lang w:val="es-CO"/>
        </w:rPr>
        <w:t>eriodicidad de las reuniones de los</w:t>
      </w:r>
      <w:r w:rsidR="006A0625" w:rsidRPr="005D131A">
        <w:rPr>
          <w:sz w:val="28"/>
          <w:szCs w:val="28"/>
          <w:lang w:val="es-CO"/>
        </w:rPr>
        <w:t xml:space="preserve"> CTC</w:t>
      </w:r>
      <w:r w:rsidR="007C6D56" w:rsidRPr="005D131A">
        <w:rPr>
          <w:sz w:val="28"/>
          <w:szCs w:val="28"/>
          <w:vertAlign w:val="superscript"/>
          <w:lang w:val="es-CO"/>
        </w:rPr>
        <w:footnoteReference w:id="16"/>
      </w:r>
      <w:r w:rsidR="007C6D56" w:rsidRPr="005D131A">
        <w:rPr>
          <w:sz w:val="28"/>
          <w:szCs w:val="28"/>
          <w:lang w:val="es-CO"/>
        </w:rPr>
        <w:t xml:space="preserve"> no es suficiente para evacuar el alto número de solicitudes y desestimular el uso de la acción de tutela; </w:t>
      </w:r>
      <w:r w:rsidR="007C6D56" w:rsidRPr="005D131A">
        <w:rPr>
          <w:i/>
          <w:sz w:val="28"/>
          <w:szCs w:val="28"/>
          <w:lang w:val="es-CO"/>
        </w:rPr>
        <w:t>ii)</w:t>
      </w:r>
      <w:r w:rsidR="007C6D56" w:rsidRPr="005D131A">
        <w:rPr>
          <w:sz w:val="28"/>
          <w:szCs w:val="28"/>
          <w:lang w:val="es-CO"/>
        </w:rPr>
        <w:t xml:space="preserve"> </w:t>
      </w:r>
      <w:r w:rsidR="00734AA3" w:rsidRPr="005D131A">
        <w:rPr>
          <w:sz w:val="28"/>
          <w:szCs w:val="28"/>
          <w:lang w:val="es-CO"/>
        </w:rPr>
        <w:t xml:space="preserve">el acceso </w:t>
      </w:r>
      <w:r w:rsidR="007C6D56" w:rsidRPr="005D131A">
        <w:rPr>
          <w:sz w:val="28"/>
          <w:szCs w:val="28"/>
          <w:lang w:val="es-CO"/>
        </w:rPr>
        <w:t xml:space="preserve">a la prestación no </w:t>
      </w:r>
      <w:r w:rsidR="00734AA3" w:rsidRPr="005D131A">
        <w:rPr>
          <w:sz w:val="28"/>
          <w:szCs w:val="28"/>
          <w:lang w:val="es-CO"/>
        </w:rPr>
        <w:t>implica que el</w:t>
      </w:r>
      <w:r w:rsidR="007C6D56" w:rsidRPr="005D131A">
        <w:rPr>
          <w:sz w:val="28"/>
          <w:szCs w:val="28"/>
          <w:lang w:val="es-CO"/>
        </w:rPr>
        <w:t xml:space="preserve"> paciente </w:t>
      </w:r>
      <w:r w:rsidR="00734AA3" w:rsidRPr="005D131A">
        <w:rPr>
          <w:sz w:val="28"/>
          <w:szCs w:val="28"/>
          <w:lang w:val="es-CO"/>
        </w:rPr>
        <w:t xml:space="preserve">deba </w:t>
      </w:r>
      <w:r w:rsidR="007C6D56" w:rsidRPr="005D131A">
        <w:rPr>
          <w:sz w:val="28"/>
          <w:szCs w:val="28"/>
          <w:lang w:val="es-CO"/>
        </w:rPr>
        <w:t xml:space="preserve">encontrarse en una situación de riesgo inminente para su vida o salud </w:t>
      </w:r>
      <w:r w:rsidR="00437F6B" w:rsidRPr="005D131A">
        <w:rPr>
          <w:sz w:val="28"/>
          <w:szCs w:val="28"/>
          <w:lang w:val="es-CO"/>
        </w:rPr>
        <w:t xml:space="preserve">al ser </w:t>
      </w:r>
      <w:r w:rsidR="007C6D56" w:rsidRPr="005D131A">
        <w:rPr>
          <w:sz w:val="28"/>
          <w:szCs w:val="28"/>
          <w:lang w:val="es-CO"/>
        </w:rPr>
        <w:t xml:space="preserve">contrario a la finalidad del mecanismo de autorizaciones; y </w:t>
      </w:r>
      <w:r w:rsidR="007C6D56" w:rsidRPr="005D131A">
        <w:rPr>
          <w:i/>
          <w:sz w:val="28"/>
          <w:szCs w:val="28"/>
          <w:lang w:val="es-CO"/>
        </w:rPr>
        <w:t xml:space="preserve">iii) </w:t>
      </w:r>
      <w:r w:rsidR="007C6D56" w:rsidRPr="005D131A">
        <w:rPr>
          <w:sz w:val="28"/>
          <w:szCs w:val="28"/>
          <w:lang w:val="es-CO"/>
        </w:rPr>
        <w:t>se deben diferenciar los medicamentos de los demás servicios de salud, puesto que solo los primeros cuentan con alternativas terapéuticas definidas en guías de atención.</w:t>
      </w:r>
    </w:p>
    <w:p w:rsidR="00A37700" w:rsidRPr="005D131A" w:rsidRDefault="00A37700" w:rsidP="005D131A">
      <w:pPr>
        <w:pStyle w:val="Prrafodelista"/>
        <w:tabs>
          <w:tab w:val="left" w:pos="567"/>
        </w:tabs>
        <w:ind w:left="0"/>
        <w:rPr>
          <w:sz w:val="28"/>
          <w:szCs w:val="28"/>
          <w:lang w:val="es-CO"/>
        </w:rPr>
      </w:pPr>
    </w:p>
    <w:p w:rsidR="00BC2733" w:rsidRPr="005D131A" w:rsidRDefault="007320AB" w:rsidP="005D131A">
      <w:pPr>
        <w:pStyle w:val="Prrafodelista"/>
        <w:tabs>
          <w:tab w:val="left" w:pos="567"/>
        </w:tabs>
        <w:ind w:left="0"/>
        <w:rPr>
          <w:sz w:val="28"/>
          <w:szCs w:val="28"/>
          <w:lang w:val="es-CO"/>
        </w:rPr>
      </w:pPr>
      <w:r w:rsidRPr="005D131A">
        <w:rPr>
          <w:sz w:val="28"/>
          <w:szCs w:val="28"/>
          <w:lang w:val="es-CO"/>
        </w:rPr>
        <w:t>De este modo, la Defensoría c</w:t>
      </w:r>
      <w:r w:rsidR="007C6D56" w:rsidRPr="005D131A">
        <w:rPr>
          <w:sz w:val="28"/>
          <w:szCs w:val="28"/>
          <w:lang w:val="es-CO"/>
        </w:rPr>
        <w:t xml:space="preserve">oncluyó que la reglamentación actual </w:t>
      </w:r>
      <w:r w:rsidR="007C6D56" w:rsidRPr="005D131A">
        <w:rPr>
          <w:i/>
          <w:sz w:val="28"/>
          <w:szCs w:val="28"/>
          <w:lang w:val="es-CO"/>
        </w:rPr>
        <w:t>“no ofrece soluciones efectivas a la problemática de los medicamentos, actividades e intervenciones”</w:t>
      </w:r>
      <w:r w:rsidR="006A0625" w:rsidRPr="005D131A">
        <w:rPr>
          <w:i/>
          <w:sz w:val="28"/>
          <w:szCs w:val="28"/>
          <w:lang w:val="es-CO"/>
        </w:rPr>
        <w:t>.</w:t>
      </w:r>
    </w:p>
    <w:p w:rsidR="00E34EE8" w:rsidRPr="005D131A" w:rsidRDefault="00E34EE8" w:rsidP="005D131A">
      <w:pPr>
        <w:pStyle w:val="Prrafodelista"/>
        <w:tabs>
          <w:tab w:val="left" w:pos="567"/>
        </w:tabs>
        <w:ind w:left="0"/>
        <w:rPr>
          <w:sz w:val="28"/>
          <w:szCs w:val="28"/>
          <w:lang w:val="es-CO"/>
        </w:rPr>
      </w:pPr>
    </w:p>
    <w:p w:rsidR="00E34EE8" w:rsidRPr="005D131A" w:rsidRDefault="006A0625" w:rsidP="005D131A">
      <w:pPr>
        <w:pStyle w:val="Prrafodelista"/>
        <w:tabs>
          <w:tab w:val="left" w:pos="567"/>
        </w:tabs>
        <w:ind w:left="0"/>
        <w:rPr>
          <w:sz w:val="28"/>
          <w:szCs w:val="28"/>
          <w:lang w:val="es-CO"/>
        </w:rPr>
      </w:pPr>
      <w:r w:rsidRPr="005D131A">
        <w:rPr>
          <w:sz w:val="28"/>
          <w:szCs w:val="28"/>
          <w:lang w:val="es-CO"/>
        </w:rPr>
        <w:t xml:space="preserve">Por último, </w:t>
      </w:r>
      <w:r w:rsidR="00E34EE8" w:rsidRPr="005D131A">
        <w:rPr>
          <w:sz w:val="28"/>
          <w:szCs w:val="28"/>
          <w:lang w:val="es-CO"/>
        </w:rPr>
        <w:t>conminó al Ministerio para que modificara la Res</w:t>
      </w:r>
      <w:r w:rsidRPr="005D131A">
        <w:rPr>
          <w:sz w:val="28"/>
          <w:szCs w:val="28"/>
          <w:lang w:val="es-CO"/>
        </w:rPr>
        <w:t>olución 3099 de 2008 porque, en su concepto,</w:t>
      </w:r>
      <w:r w:rsidR="000805CD" w:rsidRPr="005D131A">
        <w:rPr>
          <w:sz w:val="28"/>
          <w:szCs w:val="28"/>
          <w:lang w:val="es-CO"/>
        </w:rPr>
        <w:t xml:space="preserve"> no cumple con lo</w:t>
      </w:r>
      <w:r w:rsidR="00E34EE8" w:rsidRPr="005D131A">
        <w:rPr>
          <w:sz w:val="28"/>
          <w:szCs w:val="28"/>
          <w:lang w:val="es-CO"/>
        </w:rPr>
        <w:t xml:space="preserve"> ordenado por la Corte respecto de la garantía de acceso a </w:t>
      </w:r>
      <w:r w:rsidR="000805CD" w:rsidRPr="005D131A">
        <w:rPr>
          <w:sz w:val="28"/>
          <w:szCs w:val="28"/>
          <w:lang w:val="es-CO"/>
        </w:rPr>
        <w:t>los servicios de salud, lo cual</w:t>
      </w:r>
      <w:r w:rsidR="00B96957" w:rsidRPr="005D131A">
        <w:rPr>
          <w:sz w:val="28"/>
          <w:szCs w:val="28"/>
          <w:lang w:val="es-CO"/>
        </w:rPr>
        <w:t xml:space="preserve"> </w:t>
      </w:r>
      <w:r w:rsidR="00E34EE8" w:rsidRPr="005D131A">
        <w:rPr>
          <w:sz w:val="28"/>
          <w:szCs w:val="28"/>
          <w:lang w:val="es-CO"/>
        </w:rPr>
        <w:t>ha generado negaciones que, en la m</w:t>
      </w:r>
      <w:r w:rsidRPr="005D131A">
        <w:rPr>
          <w:sz w:val="28"/>
          <w:szCs w:val="28"/>
          <w:lang w:val="es-CO"/>
        </w:rPr>
        <w:t>ayoría de los casos</w:t>
      </w:r>
      <w:r w:rsidR="000805CD" w:rsidRPr="005D131A">
        <w:rPr>
          <w:sz w:val="28"/>
          <w:szCs w:val="28"/>
          <w:lang w:val="es-CO"/>
        </w:rPr>
        <w:t>,</w:t>
      </w:r>
      <w:r w:rsidRPr="005D131A">
        <w:rPr>
          <w:sz w:val="28"/>
          <w:szCs w:val="28"/>
          <w:lang w:val="es-CO"/>
        </w:rPr>
        <w:t xml:space="preserve"> </w:t>
      </w:r>
      <w:r w:rsidR="00E34EE8" w:rsidRPr="005D131A">
        <w:rPr>
          <w:sz w:val="28"/>
          <w:szCs w:val="28"/>
          <w:lang w:val="es-CO"/>
        </w:rPr>
        <w:t xml:space="preserve">pueden convertirse en </w:t>
      </w:r>
      <w:r w:rsidR="00B96957" w:rsidRPr="005D131A">
        <w:rPr>
          <w:sz w:val="28"/>
          <w:szCs w:val="28"/>
          <w:lang w:val="es-CO"/>
        </w:rPr>
        <w:t>acciones de tutela</w:t>
      </w:r>
      <w:r w:rsidR="00E34EE8" w:rsidRPr="005D131A">
        <w:rPr>
          <w:sz w:val="28"/>
          <w:szCs w:val="28"/>
          <w:lang w:val="es-CO"/>
        </w:rPr>
        <w:t xml:space="preserve">. </w:t>
      </w:r>
    </w:p>
    <w:p w:rsidR="00BC2733" w:rsidRPr="005D131A" w:rsidRDefault="00BC2733" w:rsidP="005D131A">
      <w:pPr>
        <w:pStyle w:val="Prrafodelista"/>
        <w:tabs>
          <w:tab w:val="left" w:pos="567"/>
        </w:tabs>
        <w:ind w:left="0"/>
        <w:rPr>
          <w:sz w:val="28"/>
          <w:szCs w:val="28"/>
          <w:lang w:val="es-CO"/>
        </w:rPr>
      </w:pPr>
    </w:p>
    <w:p w:rsidR="00686ECC" w:rsidRPr="005D131A" w:rsidRDefault="009F2A0A" w:rsidP="005D131A">
      <w:pPr>
        <w:pStyle w:val="Prrafodelista"/>
        <w:tabs>
          <w:tab w:val="left" w:pos="567"/>
        </w:tabs>
        <w:ind w:left="0"/>
        <w:rPr>
          <w:rStyle w:val="Hipervnculo"/>
          <w:bCs/>
          <w:color w:val="auto"/>
          <w:sz w:val="28"/>
          <w:szCs w:val="28"/>
          <w:u w:val="none"/>
          <w:lang w:val="es-CO"/>
        </w:rPr>
      </w:pPr>
      <w:r w:rsidRPr="005D131A">
        <w:rPr>
          <w:sz w:val="28"/>
          <w:szCs w:val="28"/>
          <w:lang w:val="es-CO"/>
        </w:rPr>
        <w:t>8.1.3.</w:t>
      </w:r>
      <w:r w:rsidR="0027664D" w:rsidRPr="005D131A">
        <w:rPr>
          <w:sz w:val="28"/>
          <w:szCs w:val="28"/>
          <w:lang w:val="es-CO"/>
        </w:rPr>
        <w:t xml:space="preserve"> </w:t>
      </w:r>
      <w:r w:rsidR="000777EC" w:rsidRPr="005D131A">
        <w:rPr>
          <w:sz w:val="28"/>
          <w:szCs w:val="28"/>
          <w:lang w:val="es-CO"/>
        </w:rPr>
        <w:t>Por su parte, el 15 de julio de 2010</w:t>
      </w:r>
      <w:r w:rsidR="006E26F5" w:rsidRPr="005D131A">
        <w:rPr>
          <w:sz w:val="28"/>
          <w:szCs w:val="28"/>
          <w:vertAlign w:val="superscript"/>
          <w:lang w:val="es-CO"/>
        </w:rPr>
        <w:footnoteReference w:id="17"/>
      </w:r>
      <w:r w:rsidR="006E26F5" w:rsidRPr="005D131A">
        <w:rPr>
          <w:sz w:val="28"/>
          <w:szCs w:val="28"/>
          <w:lang w:val="es-CO"/>
        </w:rPr>
        <w:t xml:space="preserve">, </w:t>
      </w:r>
      <w:r w:rsidR="000777EC" w:rsidRPr="005D131A">
        <w:rPr>
          <w:sz w:val="28"/>
          <w:szCs w:val="28"/>
          <w:lang w:val="es-CO"/>
        </w:rPr>
        <w:t xml:space="preserve">la </w:t>
      </w:r>
      <w:hyperlink r:id="rId8" w:history="1">
        <w:r w:rsidR="00F614A3" w:rsidRPr="005D131A">
          <w:rPr>
            <w:rStyle w:val="Hipervnculo"/>
            <w:bCs/>
            <w:color w:val="auto"/>
            <w:sz w:val="28"/>
            <w:szCs w:val="28"/>
            <w:u w:val="none"/>
            <w:lang w:val="es-CO"/>
          </w:rPr>
          <w:t>Superintendencia Nacional de Salud</w:t>
        </w:r>
      </w:hyperlink>
      <w:r w:rsidR="000805CD" w:rsidRPr="005D131A">
        <w:rPr>
          <w:rStyle w:val="Hipervnculo"/>
          <w:bCs/>
          <w:color w:val="auto"/>
          <w:sz w:val="28"/>
          <w:szCs w:val="28"/>
          <w:u w:val="none"/>
          <w:lang w:val="es-CO"/>
        </w:rPr>
        <w:t xml:space="preserve"> </w:t>
      </w:r>
      <w:r w:rsidR="000777EC" w:rsidRPr="005D131A">
        <w:rPr>
          <w:rStyle w:val="Hipervnculo"/>
          <w:bCs/>
          <w:color w:val="auto"/>
          <w:sz w:val="28"/>
          <w:szCs w:val="28"/>
          <w:u w:val="none"/>
          <w:lang w:val="es-CO"/>
        </w:rPr>
        <w:t xml:space="preserve">señaló que las EPS </w:t>
      </w:r>
      <w:r w:rsidR="000805CD" w:rsidRPr="005D131A">
        <w:rPr>
          <w:rStyle w:val="Hipervnculo"/>
          <w:bCs/>
          <w:color w:val="auto"/>
          <w:sz w:val="28"/>
          <w:szCs w:val="28"/>
          <w:u w:val="none"/>
          <w:lang w:val="es-CO"/>
        </w:rPr>
        <w:t>existentes</w:t>
      </w:r>
      <w:r w:rsidR="000777EC" w:rsidRPr="005D131A">
        <w:rPr>
          <w:rStyle w:val="Hipervnculo"/>
          <w:bCs/>
          <w:color w:val="auto"/>
          <w:sz w:val="28"/>
          <w:szCs w:val="28"/>
          <w:u w:val="none"/>
          <w:lang w:val="es-CO"/>
        </w:rPr>
        <w:t xml:space="preserve"> en el país son 81</w:t>
      </w:r>
      <w:r w:rsidR="00F466F9" w:rsidRPr="005D131A">
        <w:rPr>
          <w:rStyle w:val="Hipervnculo"/>
          <w:bCs/>
          <w:color w:val="auto"/>
          <w:sz w:val="28"/>
          <w:szCs w:val="28"/>
          <w:u w:val="none"/>
          <w:lang w:val="es-CO"/>
        </w:rPr>
        <w:t>,</w:t>
      </w:r>
      <w:r w:rsidR="000805CD" w:rsidRPr="005D131A">
        <w:rPr>
          <w:rStyle w:val="Hipervnculo"/>
          <w:bCs/>
          <w:color w:val="auto"/>
          <w:sz w:val="28"/>
          <w:szCs w:val="28"/>
          <w:u w:val="none"/>
          <w:lang w:val="es-CO"/>
        </w:rPr>
        <w:t xml:space="preserve"> de las cuales 22 integran el r</w:t>
      </w:r>
      <w:r w:rsidR="00262C02" w:rsidRPr="005D131A">
        <w:rPr>
          <w:rStyle w:val="Hipervnculo"/>
          <w:bCs/>
          <w:color w:val="auto"/>
          <w:sz w:val="28"/>
          <w:szCs w:val="28"/>
          <w:u w:val="none"/>
          <w:lang w:val="es-CO"/>
        </w:rPr>
        <w:t xml:space="preserve">égimen </w:t>
      </w:r>
      <w:r w:rsidR="000805CD" w:rsidRPr="005D131A">
        <w:rPr>
          <w:rStyle w:val="Hipervnculo"/>
          <w:bCs/>
          <w:color w:val="auto"/>
          <w:sz w:val="28"/>
          <w:szCs w:val="28"/>
          <w:u w:val="none"/>
          <w:lang w:val="es-CO"/>
        </w:rPr>
        <w:t>contributivo, 12 el régimen subsidiado, 21 las cajas de compensación f</w:t>
      </w:r>
      <w:r w:rsidR="00262C02" w:rsidRPr="005D131A">
        <w:rPr>
          <w:rStyle w:val="Hipervnculo"/>
          <w:bCs/>
          <w:color w:val="auto"/>
          <w:sz w:val="28"/>
          <w:szCs w:val="28"/>
          <w:u w:val="none"/>
          <w:lang w:val="es-CO"/>
        </w:rPr>
        <w:t>amili</w:t>
      </w:r>
      <w:r w:rsidR="000805CD" w:rsidRPr="005D131A">
        <w:rPr>
          <w:rStyle w:val="Hipervnculo"/>
          <w:bCs/>
          <w:color w:val="auto"/>
          <w:sz w:val="28"/>
          <w:szCs w:val="28"/>
          <w:u w:val="none"/>
          <w:lang w:val="es-CO"/>
        </w:rPr>
        <w:t>ar, 2 las EPS adaptadas, 8 las empresas s</w:t>
      </w:r>
      <w:r w:rsidR="00262C02" w:rsidRPr="005D131A">
        <w:rPr>
          <w:rStyle w:val="Hipervnculo"/>
          <w:bCs/>
          <w:color w:val="auto"/>
          <w:sz w:val="28"/>
          <w:szCs w:val="28"/>
          <w:u w:val="none"/>
          <w:lang w:val="es-CO"/>
        </w:rPr>
        <w:t>olidarias, 6 las EPS indígenas</w:t>
      </w:r>
      <w:r w:rsidR="000805CD" w:rsidRPr="005D131A">
        <w:rPr>
          <w:rStyle w:val="Hipervnculo"/>
          <w:bCs/>
          <w:color w:val="auto"/>
          <w:sz w:val="28"/>
          <w:szCs w:val="28"/>
          <w:u w:val="none"/>
          <w:lang w:val="es-CO"/>
        </w:rPr>
        <w:t xml:space="preserve"> y 10 los regímenes especiales. </w:t>
      </w:r>
      <w:r w:rsidR="00686ECC" w:rsidRPr="005D131A">
        <w:rPr>
          <w:rStyle w:val="Hipervnculo"/>
          <w:bCs/>
          <w:color w:val="auto"/>
          <w:sz w:val="28"/>
          <w:szCs w:val="28"/>
          <w:u w:val="none"/>
          <w:lang w:val="es-CO"/>
        </w:rPr>
        <w:t xml:space="preserve">Advirtió que los regímenes especiales no tienen </w:t>
      </w:r>
      <w:r w:rsidR="000805CD" w:rsidRPr="005D131A">
        <w:rPr>
          <w:rStyle w:val="Hipervnculo"/>
          <w:bCs/>
          <w:color w:val="auto"/>
          <w:sz w:val="28"/>
          <w:szCs w:val="28"/>
          <w:u w:val="none"/>
          <w:lang w:val="es-CO"/>
        </w:rPr>
        <w:t xml:space="preserve">CTC, </w:t>
      </w:r>
      <w:r w:rsidR="00686ECC" w:rsidRPr="005D131A">
        <w:rPr>
          <w:rStyle w:val="Hipervnculo"/>
          <w:bCs/>
          <w:color w:val="auto"/>
          <w:sz w:val="28"/>
          <w:szCs w:val="28"/>
          <w:u w:val="none"/>
          <w:lang w:val="es-CO"/>
        </w:rPr>
        <w:t>en raz</w:t>
      </w:r>
      <w:r w:rsidR="0059355F" w:rsidRPr="005D131A">
        <w:rPr>
          <w:rStyle w:val="Hipervnculo"/>
          <w:bCs/>
          <w:color w:val="auto"/>
          <w:sz w:val="28"/>
          <w:szCs w:val="28"/>
          <w:u w:val="none"/>
          <w:lang w:val="es-CO"/>
        </w:rPr>
        <w:t xml:space="preserve">ón a que </w:t>
      </w:r>
      <w:r w:rsidR="000805CD" w:rsidRPr="005D131A">
        <w:rPr>
          <w:rStyle w:val="Hipervnculo"/>
          <w:bCs/>
          <w:color w:val="auto"/>
          <w:sz w:val="28"/>
          <w:szCs w:val="28"/>
          <w:u w:val="none"/>
          <w:lang w:val="es-CO"/>
        </w:rPr>
        <w:t>sus</w:t>
      </w:r>
      <w:r w:rsidR="0059355F" w:rsidRPr="005D131A">
        <w:rPr>
          <w:rStyle w:val="Hipervnculo"/>
          <w:bCs/>
          <w:color w:val="auto"/>
          <w:sz w:val="28"/>
          <w:szCs w:val="28"/>
          <w:u w:val="none"/>
          <w:lang w:val="es-CO"/>
        </w:rPr>
        <w:t xml:space="preserve"> planes de salud incluyen servicios no incluidos en el POS. </w:t>
      </w:r>
    </w:p>
    <w:p w:rsidR="00262C02" w:rsidRPr="005D131A" w:rsidRDefault="00262C02" w:rsidP="005D131A">
      <w:pPr>
        <w:pStyle w:val="Prrafodelista"/>
        <w:tabs>
          <w:tab w:val="left" w:pos="567"/>
        </w:tabs>
        <w:ind w:left="0"/>
        <w:rPr>
          <w:rStyle w:val="Hipervnculo"/>
          <w:bCs/>
          <w:color w:val="auto"/>
          <w:sz w:val="28"/>
          <w:szCs w:val="28"/>
          <w:u w:val="none"/>
          <w:lang w:val="es-CO"/>
        </w:rPr>
      </w:pPr>
    </w:p>
    <w:p w:rsidR="003A1583" w:rsidRPr="005D131A" w:rsidRDefault="004A57AE" w:rsidP="005D131A">
      <w:pPr>
        <w:pStyle w:val="Prrafodelista"/>
        <w:tabs>
          <w:tab w:val="left" w:pos="567"/>
        </w:tabs>
        <w:ind w:left="0"/>
        <w:rPr>
          <w:bCs/>
          <w:sz w:val="28"/>
          <w:szCs w:val="28"/>
          <w:lang w:val="es-CO"/>
        </w:rPr>
      </w:pPr>
      <w:r w:rsidRPr="005D131A">
        <w:rPr>
          <w:rStyle w:val="Hipervnculo"/>
          <w:bCs/>
          <w:color w:val="auto"/>
          <w:sz w:val="28"/>
          <w:szCs w:val="28"/>
          <w:u w:val="none"/>
          <w:lang w:val="es-CO"/>
        </w:rPr>
        <w:t xml:space="preserve">Especificó, </w:t>
      </w:r>
      <w:r w:rsidR="00262C02" w:rsidRPr="005D131A">
        <w:rPr>
          <w:rStyle w:val="Hipervnculo"/>
          <w:bCs/>
          <w:color w:val="auto"/>
          <w:sz w:val="28"/>
          <w:szCs w:val="28"/>
          <w:u w:val="none"/>
          <w:lang w:val="es-CO"/>
        </w:rPr>
        <w:t>además</w:t>
      </w:r>
      <w:r w:rsidRPr="005D131A">
        <w:rPr>
          <w:rStyle w:val="Hipervnculo"/>
          <w:bCs/>
          <w:color w:val="auto"/>
          <w:sz w:val="28"/>
          <w:szCs w:val="28"/>
          <w:u w:val="none"/>
          <w:lang w:val="es-CO"/>
        </w:rPr>
        <w:t>,</w:t>
      </w:r>
      <w:r w:rsidR="00262C02" w:rsidRPr="005D131A">
        <w:rPr>
          <w:rStyle w:val="Hipervnculo"/>
          <w:bCs/>
          <w:color w:val="auto"/>
          <w:sz w:val="28"/>
          <w:szCs w:val="28"/>
          <w:u w:val="none"/>
          <w:lang w:val="es-CO"/>
        </w:rPr>
        <w:t xml:space="preserve"> que para verificar el correcto funcionamiento de </w:t>
      </w:r>
      <w:r w:rsidR="00C42D58" w:rsidRPr="005D131A">
        <w:rPr>
          <w:rStyle w:val="Hipervnculo"/>
          <w:bCs/>
          <w:color w:val="auto"/>
          <w:sz w:val="28"/>
          <w:szCs w:val="28"/>
          <w:u w:val="none"/>
          <w:lang w:val="es-CO"/>
        </w:rPr>
        <w:t xml:space="preserve">los CTC </w:t>
      </w:r>
      <w:r w:rsidRPr="005D131A">
        <w:rPr>
          <w:rStyle w:val="Hipervnculo"/>
          <w:bCs/>
          <w:color w:val="auto"/>
          <w:sz w:val="28"/>
          <w:szCs w:val="28"/>
          <w:u w:val="none"/>
          <w:lang w:val="es-CO"/>
        </w:rPr>
        <w:t>del país</w:t>
      </w:r>
      <w:r w:rsidR="00262C02" w:rsidRPr="005D131A">
        <w:rPr>
          <w:rStyle w:val="Hipervnculo"/>
          <w:bCs/>
          <w:color w:val="auto"/>
          <w:sz w:val="28"/>
          <w:szCs w:val="28"/>
          <w:u w:val="none"/>
          <w:lang w:val="es-CO"/>
        </w:rPr>
        <w:t xml:space="preserve"> requirió a las </w:t>
      </w:r>
      <w:r w:rsidR="008B6CE2" w:rsidRPr="005D131A">
        <w:rPr>
          <w:rStyle w:val="Hipervnculo"/>
          <w:bCs/>
          <w:color w:val="auto"/>
          <w:sz w:val="28"/>
          <w:szCs w:val="28"/>
          <w:u w:val="none"/>
          <w:lang w:val="es-CO"/>
        </w:rPr>
        <w:t>EPS información en la que</w:t>
      </w:r>
      <w:r w:rsidR="00262C02" w:rsidRPr="005D131A">
        <w:rPr>
          <w:rStyle w:val="Hipervnculo"/>
          <w:bCs/>
          <w:color w:val="auto"/>
          <w:sz w:val="28"/>
          <w:szCs w:val="28"/>
          <w:u w:val="none"/>
          <w:lang w:val="es-CO"/>
        </w:rPr>
        <w:t xml:space="preserve"> definieran y establecieran los mecanismos que permitieran la evaluación de calidad</w:t>
      </w:r>
      <w:r w:rsidR="008B6CE2" w:rsidRPr="005D131A">
        <w:rPr>
          <w:rStyle w:val="Hipervnculo"/>
          <w:bCs/>
          <w:color w:val="auto"/>
          <w:sz w:val="28"/>
          <w:szCs w:val="28"/>
          <w:u w:val="none"/>
          <w:lang w:val="es-CO"/>
        </w:rPr>
        <w:t xml:space="preserve"> de esos organismos</w:t>
      </w:r>
      <w:r w:rsidR="00C42D58" w:rsidRPr="005D131A">
        <w:rPr>
          <w:rStyle w:val="Hipervnculo"/>
          <w:bCs/>
          <w:color w:val="auto"/>
          <w:sz w:val="28"/>
          <w:szCs w:val="28"/>
          <w:u w:val="none"/>
          <w:lang w:val="es-CO"/>
        </w:rPr>
        <w:t xml:space="preserve">. </w:t>
      </w:r>
      <w:r w:rsidR="008B6CE2" w:rsidRPr="005D131A">
        <w:rPr>
          <w:rStyle w:val="Hipervnculo"/>
          <w:bCs/>
          <w:color w:val="auto"/>
          <w:sz w:val="28"/>
          <w:szCs w:val="28"/>
          <w:u w:val="none"/>
          <w:lang w:val="es-CO"/>
        </w:rPr>
        <w:t xml:space="preserve">Sin embargo, </w:t>
      </w:r>
      <w:r w:rsidR="0027664D" w:rsidRPr="005D131A">
        <w:rPr>
          <w:rStyle w:val="Hipervnculo"/>
          <w:bCs/>
          <w:color w:val="auto"/>
          <w:sz w:val="28"/>
          <w:szCs w:val="28"/>
          <w:u w:val="none"/>
          <w:lang w:val="es-CO"/>
        </w:rPr>
        <w:t xml:space="preserve">sostuvo </w:t>
      </w:r>
      <w:r w:rsidR="003A1583" w:rsidRPr="005D131A">
        <w:rPr>
          <w:rStyle w:val="Hipervnculo"/>
          <w:bCs/>
          <w:color w:val="auto"/>
          <w:sz w:val="28"/>
          <w:szCs w:val="28"/>
          <w:u w:val="none"/>
          <w:lang w:val="es-CO"/>
        </w:rPr>
        <w:t xml:space="preserve">que </w:t>
      </w:r>
      <w:r w:rsidR="00692BB0" w:rsidRPr="005D131A">
        <w:rPr>
          <w:sz w:val="28"/>
          <w:szCs w:val="28"/>
          <w:lang w:val="es-CO"/>
        </w:rPr>
        <w:t>el 70.4%</w:t>
      </w:r>
      <w:r w:rsidR="003F26C6" w:rsidRPr="005D131A">
        <w:rPr>
          <w:sz w:val="28"/>
          <w:szCs w:val="28"/>
          <w:lang w:val="es-CO"/>
        </w:rPr>
        <w:t xml:space="preserve"> </w:t>
      </w:r>
      <w:r w:rsidR="00692BB0" w:rsidRPr="005D131A">
        <w:rPr>
          <w:sz w:val="28"/>
          <w:szCs w:val="28"/>
          <w:lang w:val="es-CO"/>
        </w:rPr>
        <w:t xml:space="preserve">de los </w:t>
      </w:r>
      <w:r w:rsidR="007C2CE1" w:rsidRPr="005D131A">
        <w:rPr>
          <w:sz w:val="28"/>
          <w:szCs w:val="28"/>
          <w:lang w:val="es-CO"/>
        </w:rPr>
        <w:t xml:space="preserve">programas de auditoría </w:t>
      </w:r>
      <w:r w:rsidR="003A1583" w:rsidRPr="005D131A">
        <w:rPr>
          <w:sz w:val="28"/>
          <w:szCs w:val="28"/>
          <w:lang w:val="es-CO"/>
        </w:rPr>
        <w:t>para el mejoramiento de la cali</w:t>
      </w:r>
      <w:r w:rsidR="008B6CE2" w:rsidRPr="005D131A">
        <w:rPr>
          <w:sz w:val="28"/>
          <w:szCs w:val="28"/>
          <w:lang w:val="es-CO"/>
        </w:rPr>
        <w:t xml:space="preserve">dad de atención en salud de las promotoras </w:t>
      </w:r>
      <w:r w:rsidR="00692BB0" w:rsidRPr="005D131A">
        <w:rPr>
          <w:sz w:val="28"/>
          <w:szCs w:val="28"/>
          <w:lang w:val="es-CO"/>
        </w:rPr>
        <w:t>han implementad</w:t>
      </w:r>
      <w:r w:rsidR="003A1583" w:rsidRPr="005D131A">
        <w:rPr>
          <w:sz w:val="28"/>
          <w:szCs w:val="28"/>
          <w:lang w:val="es-CO"/>
        </w:rPr>
        <w:t>o el proceso de e</w:t>
      </w:r>
      <w:r w:rsidR="008B6CE2" w:rsidRPr="005D131A">
        <w:rPr>
          <w:sz w:val="28"/>
          <w:szCs w:val="28"/>
          <w:lang w:val="es-CO"/>
        </w:rPr>
        <w:t xml:space="preserve">valuación de calidad de los comités. </w:t>
      </w:r>
    </w:p>
    <w:p w:rsidR="00881A02" w:rsidRPr="005D131A" w:rsidRDefault="00881A02" w:rsidP="005D131A">
      <w:pPr>
        <w:pStyle w:val="Prrafodelista"/>
        <w:tabs>
          <w:tab w:val="left" w:pos="567"/>
        </w:tabs>
        <w:ind w:left="0"/>
        <w:rPr>
          <w:sz w:val="28"/>
          <w:szCs w:val="28"/>
          <w:lang w:val="es-CO"/>
        </w:rPr>
      </w:pPr>
    </w:p>
    <w:p w:rsidR="00881A02" w:rsidRPr="005D131A" w:rsidRDefault="00881A02" w:rsidP="005D131A">
      <w:pPr>
        <w:pStyle w:val="Prrafodelista"/>
        <w:tabs>
          <w:tab w:val="left" w:pos="567"/>
        </w:tabs>
        <w:ind w:left="0"/>
        <w:rPr>
          <w:sz w:val="28"/>
          <w:szCs w:val="28"/>
          <w:lang w:val="es-CO"/>
        </w:rPr>
      </w:pPr>
      <w:r w:rsidRPr="005D131A">
        <w:rPr>
          <w:sz w:val="28"/>
          <w:szCs w:val="28"/>
          <w:lang w:val="es-CO"/>
        </w:rPr>
        <w:t>En su concepto, el principal avance de la Resolución 3099 de 2008</w:t>
      </w:r>
      <w:r w:rsidR="008016F0" w:rsidRPr="005D131A">
        <w:rPr>
          <w:sz w:val="28"/>
          <w:szCs w:val="28"/>
          <w:lang w:val="es-CO"/>
        </w:rPr>
        <w:t xml:space="preserve"> </w:t>
      </w:r>
      <w:r w:rsidRPr="005D131A">
        <w:rPr>
          <w:sz w:val="28"/>
          <w:szCs w:val="28"/>
          <w:lang w:val="es-CO"/>
        </w:rPr>
        <w:t xml:space="preserve">consiste en la ampliación de la cobertura, dado que los usuarios pueden acceder a lo no POS previa justificación médica. Finalmente, como dificultades expuso los múltiples trámites administrativos que tienen que adelantar los pacientes y que las EPS no realizan los CTC a todas las solicitudes en el tiempo estipulado. </w:t>
      </w:r>
    </w:p>
    <w:p w:rsidR="006E26F5" w:rsidRPr="005D131A" w:rsidRDefault="006E26F5" w:rsidP="005D131A">
      <w:pPr>
        <w:pStyle w:val="Prrafodelista"/>
        <w:tabs>
          <w:tab w:val="left" w:pos="567"/>
        </w:tabs>
        <w:ind w:left="0"/>
        <w:rPr>
          <w:sz w:val="28"/>
          <w:szCs w:val="28"/>
          <w:lang w:val="es-CO"/>
        </w:rPr>
      </w:pPr>
    </w:p>
    <w:p w:rsidR="00AC6BCF" w:rsidRPr="005D131A" w:rsidRDefault="009F2A0A" w:rsidP="005D131A">
      <w:pPr>
        <w:pStyle w:val="Prrafodelista"/>
        <w:tabs>
          <w:tab w:val="left" w:pos="567"/>
        </w:tabs>
        <w:ind w:left="0"/>
        <w:rPr>
          <w:sz w:val="28"/>
          <w:szCs w:val="28"/>
          <w:lang w:val="es-CO"/>
        </w:rPr>
      </w:pPr>
      <w:r w:rsidRPr="005D131A">
        <w:rPr>
          <w:sz w:val="28"/>
          <w:szCs w:val="28"/>
          <w:lang w:val="es-CO"/>
        </w:rPr>
        <w:t xml:space="preserve">8.1.4. </w:t>
      </w:r>
      <w:r w:rsidR="00EA5365" w:rsidRPr="005D131A">
        <w:rPr>
          <w:sz w:val="28"/>
          <w:szCs w:val="28"/>
          <w:lang w:val="es-CO"/>
        </w:rPr>
        <w:t>La</w:t>
      </w:r>
      <w:r w:rsidR="008011AD" w:rsidRPr="005D131A">
        <w:rPr>
          <w:sz w:val="28"/>
          <w:szCs w:val="28"/>
          <w:lang w:val="es-CO"/>
        </w:rPr>
        <w:t xml:space="preserve">s </w:t>
      </w:r>
      <w:r w:rsidR="00F614A3" w:rsidRPr="005D131A">
        <w:rPr>
          <w:sz w:val="28"/>
          <w:szCs w:val="28"/>
          <w:lang w:val="es-CO"/>
        </w:rPr>
        <w:t xml:space="preserve">respuestas </w:t>
      </w:r>
      <w:r w:rsidR="0027664D" w:rsidRPr="005D131A">
        <w:rPr>
          <w:sz w:val="28"/>
          <w:szCs w:val="28"/>
          <w:lang w:val="es-CO"/>
        </w:rPr>
        <w:t xml:space="preserve">allegadas a esta Corporación por parte de las </w:t>
      </w:r>
      <w:r w:rsidR="00AB22A1" w:rsidRPr="005D131A">
        <w:rPr>
          <w:sz w:val="28"/>
          <w:szCs w:val="28"/>
          <w:lang w:val="es-CO"/>
        </w:rPr>
        <w:t>EPS del régimen c</w:t>
      </w:r>
      <w:r w:rsidR="00F614A3" w:rsidRPr="005D131A">
        <w:rPr>
          <w:sz w:val="28"/>
          <w:szCs w:val="28"/>
          <w:lang w:val="es-CO"/>
        </w:rPr>
        <w:t>ontributivo</w:t>
      </w:r>
      <w:r w:rsidR="00F614A3" w:rsidRPr="005D131A">
        <w:rPr>
          <w:sz w:val="28"/>
          <w:szCs w:val="28"/>
          <w:vertAlign w:val="superscript"/>
          <w:lang w:val="es-CO"/>
        </w:rPr>
        <w:footnoteReference w:id="18"/>
      </w:r>
      <w:r w:rsidR="008011AD" w:rsidRPr="005D131A">
        <w:rPr>
          <w:sz w:val="28"/>
          <w:szCs w:val="28"/>
          <w:lang w:val="es-CO"/>
        </w:rPr>
        <w:t xml:space="preserve"> </w:t>
      </w:r>
      <w:r w:rsidR="00AC6BCF" w:rsidRPr="005D131A">
        <w:rPr>
          <w:sz w:val="28"/>
          <w:szCs w:val="28"/>
          <w:lang w:val="es-CO"/>
        </w:rPr>
        <w:t>fueron</w:t>
      </w:r>
      <w:r w:rsidR="00EA5365" w:rsidRPr="005D131A">
        <w:rPr>
          <w:sz w:val="28"/>
          <w:szCs w:val="28"/>
          <w:lang w:val="es-CO"/>
        </w:rPr>
        <w:t xml:space="preserve"> uniformes en señalar que </w:t>
      </w:r>
      <w:r w:rsidR="008011AD" w:rsidRPr="005D131A">
        <w:rPr>
          <w:sz w:val="28"/>
          <w:szCs w:val="28"/>
          <w:lang w:val="es-CO"/>
        </w:rPr>
        <w:t>las medidas adoptadas no ha</w:t>
      </w:r>
      <w:r w:rsidR="009253F7" w:rsidRPr="005D131A">
        <w:rPr>
          <w:sz w:val="28"/>
          <w:szCs w:val="28"/>
          <w:lang w:val="es-CO"/>
        </w:rPr>
        <w:t>n</w:t>
      </w:r>
      <w:r w:rsidR="008011AD" w:rsidRPr="005D131A">
        <w:rPr>
          <w:sz w:val="28"/>
          <w:szCs w:val="28"/>
          <w:lang w:val="es-CO"/>
        </w:rPr>
        <w:t xml:space="preserve"> sido suficientemente efectivas y eficaces </w:t>
      </w:r>
      <w:r w:rsidR="00462A91" w:rsidRPr="005D131A">
        <w:rPr>
          <w:sz w:val="28"/>
          <w:szCs w:val="28"/>
          <w:lang w:val="es-CO"/>
        </w:rPr>
        <w:t>porque las mismas implican un cambio cultural y logístico en</w:t>
      </w:r>
      <w:r w:rsidR="00AC6BCF" w:rsidRPr="005D131A">
        <w:rPr>
          <w:sz w:val="28"/>
          <w:szCs w:val="28"/>
          <w:lang w:val="es-CO"/>
        </w:rPr>
        <w:t xml:space="preserve"> todos los actores del sistema. </w:t>
      </w:r>
      <w:r w:rsidR="00EA5365" w:rsidRPr="005D131A">
        <w:rPr>
          <w:sz w:val="28"/>
          <w:szCs w:val="28"/>
          <w:lang w:val="es-CO"/>
        </w:rPr>
        <w:t>A</w:t>
      </w:r>
      <w:r w:rsidR="00993B88" w:rsidRPr="005D131A">
        <w:rPr>
          <w:sz w:val="28"/>
          <w:szCs w:val="28"/>
          <w:lang w:val="es-CO"/>
        </w:rPr>
        <w:t>s</w:t>
      </w:r>
      <w:r w:rsidR="00EA5365" w:rsidRPr="005D131A">
        <w:rPr>
          <w:sz w:val="28"/>
          <w:szCs w:val="28"/>
          <w:lang w:val="es-CO"/>
        </w:rPr>
        <w:t>imismo</w:t>
      </w:r>
      <w:r w:rsidR="00AC6BCF" w:rsidRPr="005D131A">
        <w:rPr>
          <w:sz w:val="28"/>
          <w:szCs w:val="28"/>
          <w:lang w:val="es-CO"/>
        </w:rPr>
        <w:t>, coincidieron en indicar</w:t>
      </w:r>
      <w:r w:rsidR="00993B88" w:rsidRPr="005D131A">
        <w:rPr>
          <w:sz w:val="28"/>
          <w:szCs w:val="28"/>
          <w:lang w:val="es-CO"/>
        </w:rPr>
        <w:t xml:space="preserve"> que </w:t>
      </w:r>
      <w:r w:rsidR="00A51D32" w:rsidRPr="005D131A">
        <w:rPr>
          <w:sz w:val="28"/>
          <w:szCs w:val="28"/>
          <w:lang w:val="es-CO"/>
        </w:rPr>
        <w:t xml:space="preserve">la Resolución 3099 </w:t>
      </w:r>
      <w:r w:rsidR="00993B88" w:rsidRPr="005D131A">
        <w:rPr>
          <w:sz w:val="28"/>
          <w:szCs w:val="28"/>
          <w:lang w:val="es-CO"/>
        </w:rPr>
        <w:t xml:space="preserve">de 2008 </w:t>
      </w:r>
      <w:r w:rsidR="00A51D32" w:rsidRPr="005D131A">
        <w:rPr>
          <w:sz w:val="28"/>
          <w:szCs w:val="28"/>
          <w:lang w:val="es-CO"/>
        </w:rPr>
        <w:t xml:space="preserve">no </w:t>
      </w:r>
      <w:r w:rsidR="00682569" w:rsidRPr="005D131A">
        <w:rPr>
          <w:sz w:val="28"/>
          <w:szCs w:val="28"/>
          <w:lang w:val="es-CO"/>
        </w:rPr>
        <w:t xml:space="preserve">ha </w:t>
      </w:r>
      <w:r w:rsidR="00C00B8F" w:rsidRPr="005D131A">
        <w:rPr>
          <w:sz w:val="28"/>
          <w:szCs w:val="28"/>
          <w:lang w:val="es-CO"/>
        </w:rPr>
        <w:t>conducido</w:t>
      </w:r>
      <w:r w:rsidR="00682569" w:rsidRPr="005D131A">
        <w:rPr>
          <w:sz w:val="28"/>
          <w:szCs w:val="28"/>
          <w:lang w:val="es-CO"/>
        </w:rPr>
        <w:t xml:space="preserve"> </w:t>
      </w:r>
      <w:r w:rsidR="00830A5B" w:rsidRPr="005D131A">
        <w:rPr>
          <w:sz w:val="28"/>
          <w:szCs w:val="28"/>
          <w:lang w:val="es-CO"/>
        </w:rPr>
        <w:t>al</w:t>
      </w:r>
      <w:r w:rsidR="00993B88" w:rsidRPr="005D131A">
        <w:rPr>
          <w:sz w:val="28"/>
          <w:szCs w:val="28"/>
          <w:lang w:val="es-CO"/>
        </w:rPr>
        <w:t xml:space="preserve"> cumplimiento de la sentencia, por el contrario </w:t>
      </w:r>
      <w:r w:rsidR="00187CE1" w:rsidRPr="005D131A">
        <w:rPr>
          <w:sz w:val="28"/>
          <w:szCs w:val="28"/>
          <w:lang w:val="es-CO"/>
        </w:rPr>
        <w:t>ha generado varios</w:t>
      </w:r>
      <w:r w:rsidR="00830A5B" w:rsidRPr="005D131A">
        <w:rPr>
          <w:sz w:val="28"/>
          <w:szCs w:val="28"/>
          <w:lang w:val="es-CO"/>
        </w:rPr>
        <w:t xml:space="preserve"> inconvenientes al interior de las EPS. </w:t>
      </w:r>
    </w:p>
    <w:p w:rsidR="00AC6BCF" w:rsidRPr="005D131A" w:rsidRDefault="00AC6BCF" w:rsidP="005D131A">
      <w:pPr>
        <w:pStyle w:val="Prrafodelista"/>
        <w:tabs>
          <w:tab w:val="left" w:pos="567"/>
        </w:tabs>
        <w:ind w:left="0"/>
        <w:rPr>
          <w:sz w:val="28"/>
          <w:szCs w:val="28"/>
          <w:lang w:val="es-CO"/>
        </w:rPr>
      </w:pPr>
    </w:p>
    <w:p w:rsidR="00C33A3E" w:rsidRPr="005D131A" w:rsidRDefault="00C33A3E" w:rsidP="005D131A">
      <w:pPr>
        <w:pStyle w:val="Prrafodelista"/>
        <w:tabs>
          <w:tab w:val="left" w:pos="567"/>
        </w:tabs>
        <w:ind w:left="0"/>
        <w:rPr>
          <w:sz w:val="28"/>
          <w:szCs w:val="28"/>
          <w:lang w:val="es-CO"/>
        </w:rPr>
      </w:pPr>
      <w:r w:rsidRPr="005D131A">
        <w:rPr>
          <w:sz w:val="28"/>
          <w:szCs w:val="28"/>
          <w:lang w:val="es-CO"/>
        </w:rPr>
        <w:t xml:space="preserve">Como causas más frecuentes de negación de servicios </w:t>
      </w:r>
      <w:r w:rsidR="00AC6BCF" w:rsidRPr="005D131A">
        <w:rPr>
          <w:sz w:val="28"/>
          <w:szCs w:val="28"/>
          <w:lang w:val="es-CO"/>
        </w:rPr>
        <w:t>adujeron</w:t>
      </w:r>
      <w:r w:rsidRPr="005D131A">
        <w:rPr>
          <w:sz w:val="28"/>
          <w:szCs w:val="28"/>
          <w:lang w:val="es-CO"/>
        </w:rPr>
        <w:t xml:space="preserve">: </w:t>
      </w:r>
      <w:r w:rsidRPr="005D131A">
        <w:rPr>
          <w:i/>
          <w:sz w:val="28"/>
          <w:szCs w:val="28"/>
          <w:lang w:val="es-CO"/>
        </w:rPr>
        <w:t xml:space="preserve">i) </w:t>
      </w:r>
      <w:r w:rsidRPr="005D131A">
        <w:rPr>
          <w:sz w:val="28"/>
          <w:szCs w:val="28"/>
          <w:lang w:val="es-CO"/>
        </w:rPr>
        <w:t>la</w:t>
      </w:r>
      <w:r w:rsidR="00AA36AC" w:rsidRPr="005D131A">
        <w:rPr>
          <w:sz w:val="28"/>
          <w:szCs w:val="28"/>
          <w:lang w:val="es-CO"/>
        </w:rPr>
        <w:t xml:space="preserve"> prescripción sin haber agotado</w:t>
      </w:r>
      <w:r w:rsidRPr="005D131A">
        <w:rPr>
          <w:sz w:val="28"/>
          <w:szCs w:val="28"/>
          <w:lang w:val="es-CO"/>
        </w:rPr>
        <w:t xml:space="preserve"> las alternativas POS; </w:t>
      </w:r>
      <w:r w:rsidRPr="005D131A">
        <w:rPr>
          <w:i/>
          <w:sz w:val="28"/>
          <w:szCs w:val="28"/>
          <w:lang w:val="es-CO"/>
        </w:rPr>
        <w:t>ii)</w:t>
      </w:r>
      <w:r w:rsidR="00BD6F9D" w:rsidRPr="005D131A">
        <w:rPr>
          <w:i/>
          <w:sz w:val="28"/>
          <w:szCs w:val="28"/>
          <w:lang w:val="es-CO"/>
        </w:rPr>
        <w:t xml:space="preserve"> </w:t>
      </w:r>
      <w:r w:rsidR="00BD6F9D" w:rsidRPr="005D131A">
        <w:rPr>
          <w:sz w:val="28"/>
          <w:szCs w:val="28"/>
          <w:lang w:val="es-CO"/>
        </w:rPr>
        <w:t>algunas de las solicitudes de servicios que se someten a valoración por parte del CTC no se encuentran registradas ante el</w:t>
      </w:r>
      <w:r w:rsidR="001D7236" w:rsidRPr="005D131A">
        <w:rPr>
          <w:sz w:val="28"/>
          <w:szCs w:val="28"/>
          <w:lang w:val="es-CO"/>
        </w:rPr>
        <w:t xml:space="preserve"> Instituto Nacional de Vigilancia de Medicamentos y Alimentos</w:t>
      </w:r>
      <w:r w:rsidR="00AC6BCF" w:rsidRPr="005D131A">
        <w:rPr>
          <w:rStyle w:val="apple-converted-space"/>
          <w:sz w:val="28"/>
          <w:szCs w:val="28"/>
          <w:shd w:val="clear" w:color="auto" w:fill="FFFFFF"/>
        </w:rPr>
        <w:t> </w:t>
      </w:r>
      <w:r w:rsidR="00AC6BCF" w:rsidRPr="005D131A">
        <w:rPr>
          <w:sz w:val="28"/>
          <w:szCs w:val="28"/>
          <w:lang w:val="es-CO"/>
        </w:rPr>
        <w:t>-</w:t>
      </w:r>
      <w:r w:rsidRPr="005D131A">
        <w:rPr>
          <w:sz w:val="28"/>
          <w:szCs w:val="28"/>
          <w:lang w:val="es-CO"/>
        </w:rPr>
        <w:t>Invima</w:t>
      </w:r>
      <w:r w:rsidR="00AC6BCF" w:rsidRPr="005D131A">
        <w:rPr>
          <w:sz w:val="28"/>
          <w:szCs w:val="28"/>
          <w:lang w:val="es-CO"/>
        </w:rPr>
        <w:t>-, circunstancia que impide su aprobación</w:t>
      </w:r>
      <w:r w:rsidRPr="005D131A">
        <w:rPr>
          <w:sz w:val="28"/>
          <w:szCs w:val="28"/>
          <w:lang w:val="es-CO"/>
        </w:rPr>
        <w:t xml:space="preserve">; </w:t>
      </w:r>
      <w:r w:rsidRPr="005D131A">
        <w:rPr>
          <w:i/>
          <w:sz w:val="28"/>
          <w:szCs w:val="28"/>
          <w:lang w:val="es-CO"/>
        </w:rPr>
        <w:t xml:space="preserve">iii) </w:t>
      </w:r>
      <w:r w:rsidRPr="005D131A">
        <w:rPr>
          <w:sz w:val="28"/>
          <w:szCs w:val="28"/>
          <w:lang w:val="es-CO"/>
        </w:rPr>
        <w:t>la</w:t>
      </w:r>
      <w:r w:rsidRPr="005D131A">
        <w:rPr>
          <w:i/>
          <w:sz w:val="28"/>
          <w:szCs w:val="28"/>
          <w:lang w:val="es-CO"/>
        </w:rPr>
        <w:t xml:space="preserve"> </w:t>
      </w:r>
      <w:r w:rsidRPr="005D131A">
        <w:rPr>
          <w:sz w:val="28"/>
          <w:szCs w:val="28"/>
          <w:lang w:val="es-CO"/>
        </w:rPr>
        <w:t xml:space="preserve">carencia de riesgo inminente para la vida o la salud del paciente; </w:t>
      </w:r>
      <w:r w:rsidRPr="005D131A">
        <w:rPr>
          <w:i/>
          <w:sz w:val="28"/>
          <w:szCs w:val="28"/>
          <w:lang w:val="es-CO"/>
        </w:rPr>
        <w:t xml:space="preserve">iv) </w:t>
      </w:r>
      <w:r w:rsidRPr="005D131A">
        <w:rPr>
          <w:sz w:val="28"/>
          <w:szCs w:val="28"/>
          <w:lang w:val="es-CO"/>
        </w:rPr>
        <w:t>la formulación de servicios que no se enmarcan en el concepto de salud como</w:t>
      </w:r>
      <w:r w:rsidR="00AC6BCF" w:rsidRPr="005D131A">
        <w:rPr>
          <w:sz w:val="28"/>
          <w:szCs w:val="28"/>
          <w:lang w:val="es-CO"/>
        </w:rPr>
        <w:t>, por ejemplo,</w:t>
      </w:r>
      <w:r w:rsidRPr="005D131A">
        <w:rPr>
          <w:sz w:val="28"/>
          <w:szCs w:val="28"/>
          <w:lang w:val="es-CO"/>
        </w:rPr>
        <w:t xml:space="preserve"> elementos de aseo, pañales, pañitos húmedos, lociones, champús, traslado de pacientes ambulatorios, educación especial, entre otros; </w:t>
      </w:r>
      <w:r w:rsidRPr="005D131A">
        <w:rPr>
          <w:i/>
          <w:sz w:val="28"/>
          <w:szCs w:val="28"/>
          <w:lang w:val="es-CO"/>
        </w:rPr>
        <w:t xml:space="preserve">v) </w:t>
      </w:r>
      <w:r w:rsidRPr="005D131A">
        <w:rPr>
          <w:sz w:val="28"/>
          <w:szCs w:val="28"/>
          <w:lang w:val="es-CO"/>
        </w:rPr>
        <w:t xml:space="preserve">solicitudes efectuadas por médicos que no están adscritos a la promotora; </w:t>
      </w:r>
      <w:r w:rsidRPr="005D131A">
        <w:rPr>
          <w:i/>
          <w:sz w:val="28"/>
          <w:szCs w:val="28"/>
          <w:lang w:val="es-CO"/>
        </w:rPr>
        <w:t>vi)</w:t>
      </w:r>
      <w:r w:rsidRPr="005D131A">
        <w:rPr>
          <w:sz w:val="28"/>
          <w:szCs w:val="28"/>
          <w:lang w:val="es-CO"/>
        </w:rPr>
        <w:t xml:space="preserve"> prestaciones expresamente excluidas como cirugías estétic</w:t>
      </w:r>
      <w:r w:rsidR="005A2424" w:rsidRPr="005D131A">
        <w:rPr>
          <w:sz w:val="28"/>
          <w:szCs w:val="28"/>
          <w:lang w:val="es-CO"/>
        </w:rPr>
        <w:t>as o tratamientos de fertilidad</w:t>
      </w:r>
      <w:r w:rsidR="00CD46A5" w:rsidRPr="005D131A">
        <w:rPr>
          <w:sz w:val="28"/>
          <w:szCs w:val="28"/>
          <w:lang w:val="es-CO"/>
        </w:rPr>
        <w:t xml:space="preserve"> o experimentales</w:t>
      </w:r>
      <w:r w:rsidR="005A2424" w:rsidRPr="005D131A">
        <w:rPr>
          <w:sz w:val="28"/>
          <w:szCs w:val="28"/>
          <w:lang w:val="es-CO"/>
        </w:rPr>
        <w:t>;</w:t>
      </w:r>
      <w:r w:rsidR="00906F57" w:rsidRPr="005D131A">
        <w:rPr>
          <w:sz w:val="28"/>
          <w:szCs w:val="28"/>
          <w:lang w:val="es-CO"/>
        </w:rPr>
        <w:t xml:space="preserve"> </w:t>
      </w:r>
      <w:r w:rsidR="005A2424" w:rsidRPr="005D131A">
        <w:rPr>
          <w:i/>
          <w:sz w:val="28"/>
          <w:szCs w:val="28"/>
          <w:lang w:val="es-CO"/>
        </w:rPr>
        <w:t xml:space="preserve">vii) </w:t>
      </w:r>
      <w:r w:rsidR="00BD6F9D" w:rsidRPr="005D131A">
        <w:rPr>
          <w:sz w:val="28"/>
          <w:szCs w:val="28"/>
          <w:lang w:val="es-CO"/>
        </w:rPr>
        <w:t>elementos incluidos en el POS;</w:t>
      </w:r>
      <w:r w:rsidR="00AA36AC" w:rsidRPr="005D131A">
        <w:rPr>
          <w:sz w:val="28"/>
          <w:szCs w:val="28"/>
          <w:lang w:val="es-CO"/>
        </w:rPr>
        <w:t xml:space="preserve"> </w:t>
      </w:r>
      <w:r w:rsidR="00AA36AC" w:rsidRPr="005D131A">
        <w:rPr>
          <w:i/>
          <w:sz w:val="28"/>
          <w:szCs w:val="28"/>
          <w:lang w:val="es-CO"/>
        </w:rPr>
        <w:t>viii)</w:t>
      </w:r>
      <w:r w:rsidR="00AC6BCF" w:rsidRPr="005D131A">
        <w:rPr>
          <w:i/>
          <w:sz w:val="28"/>
          <w:szCs w:val="28"/>
          <w:lang w:val="es-CO"/>
        </w:rPr>
        <w:t xml:space="preserve"> </w:t>
      </w:r>
      <w:r w:rsidR="00AC6BCF" w:rsidRPr="005D131A">
        <w:rPr>
          <w:sz w:val="28"/>
          <w:szCs w:val="28"/>
          <w:lang w:val="es-CO"/>
        </w:rPr>
        <w:t>prescripciones médicas sin soporte;</w:t>
      </w:r>
      <w:r w:rsidR="00BD6F9D" w:rsidRPr="005D131A">
        <w:rPr>
          <w:sz w:val="28"/>
          <w:szCs w:val="28"/>
          <w:lang w:val="es-CO"/>
        </w:rPr>
        <w:t xml:space="preserve"> y </w:t>
      </w:r>
      <w:r w:rsidR="00BD6F9D" w:rsidRPr="005D131A">
        <w:rPr>
          <w:i/>
          <w:sz w:val="28"/>
          <w:szCs w:val="28"/>
          <w:lang w:val="es-CO"/>
        </w:rPr>
        <w:t>ix)</w:t>
      </w:r>
      <w:r w:rsidR="00BD6F9D" w:rsidRPr="005D131A">
        <w:rPr>
          <w:sz w:val="28"/>
          <w:szCs w:val="28"/>
          <w:lang w:val="es-CO"/>
        </w:rPr>
        <w:t xml:space="preserve"> la falta de claridad sobre la definición de servicios de salud. </w:t>
      </w:r>
    </w:p>
    <w:p w:rsidR="00C33A3E" w:rsidRPr="005D131A" w:rsidRDefault="00C33A3E" w:rsidP="005D131A">
      <w:pPr>
        <w:pStyle w:val="Prrafodelista"/>
        <w:rPr>
          <w:sz w:val="28"/>
          <w:szCs w:val="28"/>
          <w:lang w:val="es-CO"/>
        </w:rPr>
      </w:pPr>
    </w:p>
    <w:p w:rsidR="00A34A50" w:rsidRPr="005D131A" w:rsidRDefault="00BD6F9D" w:rsidP="005D131A">
      <w:pPr>
        <w:pStyle w:val="Prrafodelista"/>
        <w:tabs>
          <w:tab w:val="left" w:pos="567"/>
        </w:tabs>
        <w:ind w:left="0"/>
        <w:rPr>
          <w:sz w:val="28"/>
          <w:szCs w:val="28"/>
          <w:lang w:val="es-CO"/>
        </w:rPr>
      </w:pPr>
      <w:r w:rsidRPr="005D131A">
        <w:rPr>
          <w:sz w:val="28"/>
          <w:szCs w:val="28"/>
          <w:lang w:val="es-CO"/>
        </w:rPr>
        <w:t>De este modo, las EPS contributivas sostuvieron que l</w:t>
      </w:r>
      <w:r w:rsidR="00830A5B" w:rsidRPr="005D131A">
        <w:rPr>
          <w:sz w:val="28"/>
          <w:szCs w:val="28"/>
          <w:lang w:val="es-CO"/>
        </w:rPr>
        <w:t xml:space="preserve">as mayores dificultades </w:t>
      </w:r>
      <w:r w:rsidR="00AC6BCF" w:rsidRPr="005D131A">
        <w:rPr>
          <w:sz w:val="28"/>
          <w:szCs w:val="28"/>
          <w:lang w:val="es-CO"/>
        </w:rPr>
        <w:t xml:space="preserve">evidenciadas </w:t>
      </w:r>
      <w:r w:rsidR="00830A5B" w:rsidRPr="005D131A">
        <w:rPr>
          <w:sz w:val="28"/>
          <w:szCs w:val="28"/>
          <w:lang w:val="es-CO"/>
        </w:rPr>
        <w:t xml:space="preserve">se refieren a </w:t>
      </w:r>
      <w:r w:rsidR="00617657" w:rsidRPr="005D131A">
        <w:rPr>
          <w:sz w:val="28"/>
          <w:szCs w:val="28"/>
          <w:lang w:val="es-CO"/>
        </w:rPr>
        <w:t>la falta de delimitación de los contenidos de los planes de beneficios</w:t>
      </w:r>
      <w:r w:rsidR="00313351" w:rsidRPr="005D131A">
        <w:rPr>
          <w:sz w:val="28"/>
          <w:szCs w:val="28"/>
          <w:lang w:val="es-CO"/>
        </w:rPr>
        <w:t xml:space="preserve"> </w:t>
      </w:r>
      <w:r w:rsidR="00617657" w:rsidRPr="005D131A">
        <w:rPr>
          <w:sz w:val="28"/>
          <w:szCs w:val="28"/>
          <w:lang w:val="es-CO"/>
        </w:rPr>
        <w:t>y su desactualización,</w:t>
      </w:r>
      <w:r w:rsidR="00AA5D36" w:rsidRPr="005D131A">
        <w:rPr>
          <w:sz w:val="28"/>
          <w:szCs w:val="28"/>
          <w:lang w:val="es-CO"/>
        </w:rPr>
        <w:t xml:space="preserve"> la inexistencia de guías de práctica</w:t>
      </w:r>
      <w:r w:rsidR="00313351" w:rsidRPr="005D131A">
        <w:rPr>
          <w:sz w:val="28"/>
          <w:szCs w:val="28"/>
          <w:lang w:val="es-CO"/>
        </w:rPr>
        <w:t xml:space="preserve"> </w:t>
      </w:r>
      <w:r w:rsidR="00D92732" w:rsidRPr="005D131A">
        <w:rPr>
          <w:sz w:val="28"/>
          <w:szCs w:val="28"/>
          <w:lang w:val="es-CO"/>
        </w:rPr>
        <w:t xml:space="preserve">médica </w:t>
      </w:r>
      <w:r w:rsidR="00313351" w:rsidRPr="005D131A">
        <w:rPr>
          <w:sz w:val="28"/>
          <w:szCs w:val="28"/>
          <w:lang w:val="es-CO"/>
        </w:rPr>
        <w:t>públicas y gratu</w:t>
      </w:r>
      <w:r w:rsidRPr="005D131A">
        <w:rPr>
          <w:sz w:val="28"/>
          <w:szCs w:val="28"/>
          <w:lang w:val="es-CO"/>
        </w:rPr>
        <w:t>itas, tablas de homologación,</w:t>
      </w:r>
      <w:r w:rsidR="00313351" w:rsidRPr="005D131A">
        <w:rPr>
          <w:sz w:val="28"/>
          <w:szCs w:val="28"/>
          <w:lang w:val="es-CO"/>
        </w:rPr>
        <w:t xml:space="preserve"> una línea base de tecnología media</w:t>
      </w:r>
      <w:r w:rsidR="001C58D3" w:rsidRPr="005D131A">
        <w:rPr>
          <w:sz w:val="28"/>
          <w:szCs w:val="28"/>
          <w:lang w:val="es-CO"/>
        </w:rPr>
        <w:t xml:space="preserve"> y de codificación </w:t>
      </w:r>
      <w:r w:rsidR="00CD46A5" w:rsidRPr="005D131A">
        <w:rPr>
          <w:sz w:val="28"/>
          <w:szCs w:val="28"/>
          <w:lang w:val="es-CO"/>
        </w:rPr>
        <w:t>estandarizada</w:t>
      </w:r>
      <w:r w:rsidRPr="005D131A">
        <w:rPr>
          <w:sz w:val="28"/>
          <w:szCs w:val="28"/>
          <w:lang w:val="es-CO"/>
        </w:rPr>
        <w:t>,</w:t>
      </w:r>
      <w:r w:rsidR="00617657" w:rsidRPr="005D131A">
        <w:rPr>
          <w:sz w:val="28"/>
          <w:szCs w:val="28"/>
          <w:lang w:val="es-CO"/>
        </w:rPr>
        <w:t xml:space="preserve"> ausencia de definición del concepto de riesgo inminente para la salud y la vida,</w:t>
      </w:r>
      <w:r w:rsidR="00E30A89" w:rsidRPr="005D131A">
        <w:rPr>
          <w:sz w:val="28"/>
          <w:szCs w:val="28"/>
          <w:lang w:val="es-CO"/>
        </w:rPr>
        <w:t xml:space="preserve"> así como</w:t>
      </w:r>
      <w:r w:rsidR="00617657" w:rsidRPr="005D131A">
        <w:rPr>
          <w:sz w:val="28"/>
          <w:szCs w:val="28"/>
          <w:lang w:val="es-CO"/>
        </w:rPr>
        <w:t xml:space="preserve"> la exclusión de los criterios de capacidad de pago y de pertinencia médica como motivos de negación del servicio</w:t>
      </w:r>
      <w:r w:rsidR="00617657" w:rsidRPr="005D131A">
        <w:rPr>
          <w:sz w:val="28"/>
          <w:szCs w:val="28"/>
          <w:vertAlign w:val="superscript"/>
          <w:lang w:val="es-CO"/>
        </w:rPr>
        <w:footnoteReference w:id="19"/>
      </w:r>
      <w:r w:rsidR="00DB56CB" w:rsidRPr="005D131A">
        <w:rPr>
          <w:sz w:val="28"/>
          <w:szCs w:val="28"/>
          <w:lang w:val="es-CO"/>
        </w:rPr>
        <w:t>. También refirieron como</w:t>
      </w:r>
      <w:r w:rsidR="00617657" w:rsidRPr="005D131A">
        <w:rPr>
          <w:sz w:val="28"/>
          <w:szCs w:val="28"/>
          <w:lang w:val="es-CO"/>
        </w:rPr>
        <w:t xml:space="preserve"> </w:t>
      </w:r>
      <w:r w:rsidR="00DB56CB" w:rsidRPr="005D131A">
        <w:rPr>
          <w:sz w:val="28"/>
          <w:szCs w:val="28"/>
          <w:lang w:val="es-CO"/>
        </w:rPr>
        <w:t xml:space="preserve">barreras </w:t>
      </w:r>
      <w:r w:rsidR="00617657" w:rsidRPr="005D131A">
        <w:rPr>
          <w:sz w:val="28"/>
          <w:szCs w:val="28"/>
          <w:lang w:val="es-CO"/>
        </w:rPr>
        <w:t xml:space="preserve">la no consagración de una solicitud </w:t>
      </w:r>
      <w:r w:rsidR="00AA5D36" w:rsidRPr="005D131A">
        <w:rPr>
          <w:sz w:val="28"/>
          <w:szCs w:val="28"/>
          <w:lang w:val="es-CO"/>
        </w:rPr>
        <w:t>estándar</w:t>
      </w:r>
      <w:r w:rsidR="00313351" w:rsidRPr="005D131A">
        <w:rPr>
          <w:sz w:val="28"/>
          <w:szCs w:val="28"/>
          <w:lang w:val="es-CO"/>
        </w:rPr>
        <w:t xml:space="preserve"> a nivel nacional</w:t>
      </w:r>
      <w:r w:rsidR="00AA5D36" w:rsidRPr="005D131A">
        <w:rPr>
          <w:sz w:val="28"/>
          <w:szCs w:val="28"/>
          <w:lang w:val="es-CO"/>
        </w:rPr>
        <w:t xml:space="preserve">, </w:t>
      </w:r>
      <w:r w:rsidR="00617657" w:rsidRPr="005D131A">
        <w:rPr>
          <w:sz w:val="28"/>
          <w:szCs w:val="28"/>
          <w:lang w:val="es-CO"/>
        </w:rPr>
        <w:t>la renuencia del personal méd</w:t>
      </w:r>
      <w:r w:rsidR="009253F7" w:rsidRPr="005D131A">
        <w:rPr>
          <w:sz w:val="28"/>
          <w:szCs w:val="28"/>
          <w:lang w:val="es-CO"/>
        </w:rPr>
        <w:t>ico de</w:t>
      </w:r>
      <w:r w:rsidRPr="005D131A">
        <w:rPr>
          <w:sz w:val="28"/>
          <w:szCs w:val="28"/>
          <w:lang w:val="es-CO"/>
        </w:rPr>
        <w:t xml:space="preserve"> diligenciar adecuada </w:t>
      </w:r>
      <w:r w:rsidR="00CD46A5" w:rsidRPr="005D131A">
        <w:rPr>
          <w:sz w:val="28"/>
          <w:szCs w:val="28"/>
          <w:lang w:val="es-CO"/>
        </w:rPr>
        <w:t xml:space="preserve">y oportunamente </w:t>
      </w:r>
      <w:r w:rsidR="00617657" w:rsidRPr="005D131A">
        <w:rPr>
          <w:sz w:val="28"/>
          <w:szCs w:val="28"/>
          <w:lang w:val="es-CO"/>
        </w:rPr>
        <w:t>el formato</w:t>
      </w:r>
      <w:r w:rsidR="00C33A3E" w:rsidRPr="005D131A">
        <w:rPr>
          <w:sz w:val="28"/>
          <w:szCs w:val="28"/>
          <w:vertAlign w:val="superscript"/>
          <w:lang w:val="es-CO"/>
        </w:rPr>
        <w:footnoteReference w:id="20"/>
      </w:r>
      <w:r w:rsidR="00AA5D36" w:rsidRPr="005D131A">
        <w:rPr>
          <w:sz w:val="28"/>
          <w:szCs w:val="28"/>
          <w:lang w:val="es-CO"/>
        </w:rPr>
        <w:t>,</w:t>
      </w:r>
      <w:r w:rsidR="00B65509" w:rsidRPr="005D131A">
        <w:rPr>
          <w:sz w:val="28"/>
          <w:szCs w:val="28"/>
          <w:lang w:val="es-CO"/>
        </w:rPr>
        <w:t xml:space="preserve"> la petición de</w:t>
      </w:r>
      <w:r w:rsidR="00AA5D36" w:rsidRPr="005D131A">
        <w:rPr>
          <w:sz w:val="28"/>
          <w:szCs w:val="28"/>
          <w:lang w:val="es-CO"/>
        </w:rPr>
        <w:t xml:space="preserve"> </w:t>
      </w:r>
      <w:r w:rsidR="00B65509" w:rsidRPr="005D131A">
        <w:rPr>
          <w:sz w:val="28"/>
          <w:szCs w:val="28"/>
          <w:lang w:val="es-CO"/>
        </w:rPr>
        <w:t xml:space="preserve">insumos que están incluidos dentro de los procedimientos, la </w:t>
      </w:r>
      <w:r w:rsidR="00AA5D36" w:rsidRPr="005D131A">
        <w:rPr>
          <w:sz w:val="28"/>
          <w:szCs w:val="28"/>
          <w:lang w:val="es-CO"/>
        </w:rPr>
        <w:t xml:space="preserve">incertidumbre sobre si </w:t>
      </w:r>
      <w:r w:rsidR="00010712" w:rsidRPr="005D131A">
        <w:rPr>
          <w:sz w:val="28"/>
          <w:szCs w:val="28"/>
          <w:lang w:val="es-CO"/>
        </w:rPr>
        <w:t xml:space="preserve">los </w:t>
      </w:r>
      <w:r w:rsidR="00AA5D36" w:rsidRPr="005D131A">
        <w:rPr>
          <w:sz w:val="28"/>
          <w:szCs w:val="28"/>
          <w:lang w:val="es-CO"/>
        </w:rPr>
        <w:t xml:space="preserve">odontólogos, psicólogos, terapeutas y fonoaudiólogos pueden </w:t>
      </w:r>
      <w:r w:rsidR="00313351" w:rsidRPr="005D131A">
        <w:rPr>
          <w:sz w:val="28"/>
          <w:szCs w:val="28"/>
          <w:lang w:val="es-CO"/>
        </w:rPr>
        <w:t>hacer</w:t>
      </w:r>
      <w:r w:rsidR="00917F74" w:rsidRPr="005D131A">
        <w:rPr>
          <w:sz w:val="28"/>
          <w:szCs w:val="28"/>
          <w:lang w:val="es-CO"/>
        </w:rPr>
        <w:t xml:space="preserve"> peticiones ante los comités, </w:t>
      </w:r>
      <w:r w:rsidR="00C66E27" w:rsidRPr="005D131A">
        <w:rPr>
          <w:sz w:val="28"/>
          <w:szCs w:val="28"/>
          <w:lang w:val="es-CO"/>
        </w:rPr>
        <w:t xml:space="preserve">la ausencia de un sistema informático de uso exclusivo de los CTC </w:t>
      </w:r>
      <w:r w:rsidR="00917F74" w:rsidRPr="005D131A">
        <w:rPr>
          <w:sz w:val="28"/>
          <w:szCs w:val="28"/>
          <w:lang w:val="es-CO"/>
        </w:rPr>
        <w:t xml:space="preserve">y la falta de herramientas anticorrupción para que el mecanismo no sea utilizado en favor de intereses del prescriptor o de la industria </w:t>
      </w:r>
      <w:r w:rsidR="00490E89" w:rsidRPr="005D131A">
        <w:rPr>
          <w:sz w:val="28"/>
          <w:szCs w:val="28"/>
          <w:lang w:val="es-CO"/>
        </w:rPr>
        <w:t>farmacéutica</w:t>
      </w:r>
      <w:r w:rsidR="00917F74" w:rsidRPr="005D131A">
        <w:rPr>
          <w:sz w:val="28"/>
          <w:szCs w:val="28"/>
          <w:lang w:val="es-CO"/>
        </w:rPr>
        <w:t>.</w:t>
      </w:r>
    </w:p>
    <w:p w:rsidR="009253F7" w:rsidRPr="005D131A" w:rsidRDefault="009253F7" w:rsidP="005D131A">
      <w:pPr>
        <w:pStyle w:val="Prrafodelista"/>
        <w:tabs>
          <w:tab w:val="left" w:pos="567"/>
        </w:tabs>
        <w:ind w:left="0"/>
        <w:rPr>
          <w:sz w:val="28"/>
          <w:szCs w:val="28"/>
          <w:lang w:val="es-CO"/>
        </w:rPr>
      </w:pPr>
    </w:p>
    <w:p w:rsidR="00BD6F9D" w:rsidRPr="005D131A" w:rsidRDefault="00A34A50" w:rsidP="005D131A">
      <w:pPr>
        <w:rPr>
          <w:sz w:val="28"/>
          <w:szCs w:val="28"/>
          <w:lang w:val="es-CO"/>
        </w:rPr>
      </w:pPr>
      <w:r w:rsidRPr="005D131A">
        <w:rPr>
          <w:sz w:val="28"/>
          <w:szCs w:val="28"/>
          <w:lang w:val="es-CO"/>
        </w:rPr>
        <w:t xml:space="preserve">Respecto de las consecuencias económicas de la </w:t>
      </w:r>
      <w:r w:rsidR="00490E89" w:rsidRPr="005D131A">
        <w:rPr>
          <w:sz w:val="28"/>
          <w:szCs w:val="28"/>
          <w:lang w:val="es-CO"/>
        </w:rPr>
        <w:t>norma</w:t>
      </w:r>
      <w:r w:rsidR="004A57AE" w:rsidRPr="005D131A">
        <w:rPr>
          <w:sz w:val="28"/>
          <w:szCs w:val="28"/>
          <w:lang w:val="es-CO"/>
        </w:rPr>
        <w:t xml:space="preserve"> </w:t>
      </w:r>
      <w:r w:rsidRPr="005D131A">
        <w:rPr>
          <w:sz w:val="28"/>
          <w:szCs w:val="28"/>
          <w:lang w:val="es-CO"/>
        </w:rPr>
        <w:t xml:space="preserve">indicaron la necesidad de reconocer un valor adicional por el personal extra que tuvieron que contratar para </w:t>
      </w:r>
      <w:r w:rsidR="005C37A5" w:rsidRPr="005D131A">
        <w:rPr>
          <w:sz w:val="28"/>
          <w:szCs w:val="28"/>
          <w:lang w:val="es-CO"/>
        </w:rPr>
        <w:t xml:space="preserve">implementar </w:t>
      </w:r>
      <w:r w:rsidR="006F75BF" w:rsidRPr="005D131A">
        <w:rPr>
          <w:sz w:val="28"/>
          <w:szCs w:val="28"/>
          <w:lang w:val="es-CO"/>
        </w:rPr>
        <w:t xml:space="preserve">el proceso </w:t>
      </w:r>
      <w:r w:rsidR="005C37A5" w:rsidRPr="005D131A">
        <w:rPr>
          <w:sz w:val="28"/>
          <w:szCs w:val="28"/>
          <w:lang w:val="es-CO"/>
        </w:rPr>
        <w:t>de autorización. Criticaron la sanción en el recobro</w:t>
      </w:r>
      <w:r w:rsidR="0048183E" w:rsidRPr="005D131A">
        <w:rPr>
          <w:sz w:val="28"/>
          <w:szCs w:val="28"/>
          <w:lang w:val="es-CO"/>
        </w:rPr>
        <w:t xml:space="preserve"> del 50% cuando un juez de tutela ordena una prestación negada por el CTC bajo ar</w:t>
      </w:r>
      <w:r w:rsidR="00C33A3E" w:rsidRPr="005D131A">
        <w:rPr>
          <w:sz w:val="28"/>
          <w:szCs w:val="28"/>
          <w:lang w:val="es-CO"/>
        </w:rPr>
        <w:t>gumen</w:t>
      </w:r>
      <w:r w:rsidR="00912DEF" w:rsidRPr="005D131A">
        <w:rPr>
          <w:sz w:val="28"/>
          <w:szCs w:val="28"/>
          <w:lang w:val="es-CO"/>
        </w:rPr>
        <w:t xml:space="preserve">tos científicos y médicos. </w:t>
      </w:r>
    </w:p>
    <w:p w:rsidR="00BD6F9D" w:rsidRPr="005D131A" w:rsidRDefault="00BD6F9D" w:rsidP="005D131A">
      <w:pPr>
        <w:rPr>
          <w:sz w:val="28"/>
          <w:szCs w:val="28"/>
          <w:lang w:val="es-CO"/>
        </w:rPr>
      </w:pPr>
    </w:p>
    <w:p w:rsidR="005F643D" w:rsidRPr="005D131A" w:rsidRDefault="00912DEF" w:rsidP="005D131A">
      <w:pPr>
        <w:rPr>
          <w:sz w:val="28"/>
          <w:szCs w:val="28"/>
          <w:lang w:val="es-CO"/>
        </w:rPr>
      </w:pPr>
      <w:r w:rsidRPr="005D131A">
        <w:rPr>
          <w:sz w:val="28"/>
          <w:szCs w:val="28"/>
          <w:lang w:val="es-CO"/>
        </w:rPr>
        <w:t>Asimismo</w:t>
      </w:r>
      <w:r w:rsidR="00BD6F9D" w:rsidRPr="005D131A">
        <w:rPr>
          <w:sz w:val="28"/>
          <w:szCs w:val="28"/>
          <w:lang w:val="es-CO"/>
        </w:rPr>
        <w:t>, p</w:t>
      </w:r>
      <w:r w:rsidR="00C33A3E" w:rsidRPr="005D131A">
        <w:rPr>
          <w:sz w:val="28"/>
          <w:szCs w:val="28"/>
          <w:lang w:val="es-CO"/>
        </w:rPr>
        <w:t xml:space="preserve">idieron que se evaluara una remuneración económica para los representantes de usuarios que </w:t>
      </w:r>
      <w:r w:rsidRPr="005D131A">
        <w:rPr>
          <w:sz w:val="28"/>
          <w:szCs w:val="28"/>
          <w:lang w:val="es-CO"/>
        </w:rPr>
        <w:t xml:space="preserve">integran </w:t>
      </w:r>
      <w:r w:rsidR="00C33A3E" w:rsidRPr="005D131A">
        <w:rPr>
          <w:sz w:val="28"/>
          <w:szCs w:val="28"/>
          <w:lang w:val="es-CO"/>
        </w:rPr>
        <w:t xml:space="preserve">los comités, puesto que la frecuencia de las reuniones impide que </w:t>
      </w:r>
      <w:r w:rsidR="00A5725B" w:rsidRPr="005D131A">
        <w:rPr>
          <w:sz w:val="28"/>
          <w:szCs w:val="28"/>
          <w:lang w:val="es-CO"/>
        </w:rPr>
        <w:t>desempeñen otra actividad</w:t>
      </w:r>
      <w:r w:rsidR="00C33A3E" w:rsidRPr="005D131A">
        <w:rPr>
          <w:sz w:val="28"/>
          <w:szCs w:val="28"/>
          <w:lang w:val="es-CO"/>
        </w:rPr>
        <w:t>.</w:t>
      </w:r>
      <w:r w:rsidR="00240ED2" w:rsidRPr="005D131A">
        <w:rPr>
          <w:sz w:val="28"/>
          <w:szCs w:val="28"/>
          <w:lang w:val="es-CO"/>
        </w:rPr>
        <w:t xml:space="preserve"> </w:t>
      </w:r>
      <w:r w:rsidR="00BD6F9D" w:rsidRPr="005D131A">
        <w:rPr>
          <w:sz w:val="28"/>
          <w:szCs w:val="28"/>
          <w:lang w:val="es-CO"/>
        </w:rPr>
        <w:t>Aunado a ello</w:t>
      </w:r>
      <w:r w:rsidR="00313351" w:rsidRPr="005D131A">
        <w:rPr>
          <w:sz w:val="28"/>
          <w:szCs w:val="28"/>
          <w:lang w:val="es-CO"/>
        </w:rPr>
        <w:t>, a</w:t>
      </w:r>
      <w:r w:rsidR="005F643D" w:rsidRPr="005D131A">
        <w:rPr>
          <w:sz w:val="28"/>
          <w:szCs w:val="28"/>
          <w:lang w:val="es-CO"/>
        </w:rPr>
        <w:t xml:space="preserve">lgunas promotoras mencionaron que no recibieron capacitación sobre el funcionamiento de los CTC por parte de los órganos rectores del sector. </w:t>
      </w:r>
    </w:p>
    <w:p w:rsidR="00240ED2" w:rsidRPr="005D131A" w:rsidRDefault="00240ED2" w:rsidP="005D131A">
      <w:pPr>
        <w:pStyle w:val="Prrafodelista"/>
        <w:tabs>
          <w:tab w:val="left" w:pos="567"/>
        </w:tabs>
        <w:ind w:left="0"/>
        <w:rPr>
          <w:sz w:val="28"/>
          <w:szCs w:val="28"/>
          <w:lang w:val="es-CO"/>
        </w:rPr>
      </w:pPr>
    </w:p>
    <w:p w:rsidR="000A7E02" w:rsidRPr="005D131A" w:rsidRDefault="009F2A0A" w:rsidP="005D131A">
      <w:pPr>
        <w:pStyle w:val="Sinespaciado1"/>
        <w:tabs>
          <w:tab w:val="left" w:pos="284"/>
          <w:tab w:val="left" w:pos="567"/>
        </w:tabs>
        <w:ind w:right="-40"/>
        <w:jc w:val="both"/>
        <w:rPr>
          <w:rFonts w:ascii="Times New Roman" w:hAnsi="Times New Roman"/>
          <w:sz w:val="28"/>
          <w:szCs w:val="28"/>
        </w:rPr>
      </w:pPr>
      <w:r w:rsidRPr="005D131A">
        <w:rPr>
          <w:rFonts w:ascii="Times New Roman" w:hAnsi="Times New Roman"/>
          <w:sz w:val="28"/>
          <w:szCs w:val="28"/>
        </w:rPr>
        <w:t>8.1.5.</w:t>
      </w:r>
      <w:r w:rsidR="00240ED2" w:rsidRPr="005D131A">
        <w:rPr>
          <w:rFonts w:ascii="Times New Roman" w:hAnsi="Times New Roman"/>
          <w:sz w:val="28"/>
          <w:szCs w:val="28"/>
        </w:rPr>
        <w:t xml:space="preserve"> </w:t>
      </w:r>
      <w:r w:rsidR="000A7E02" w:rsidRPr="005D131A">
        <w:rPr>
          <w:rFonts w:ascii="Times New Roman" w:hAnsi="Times New Roman"/>
          <w:sz w:val="28"/>
          <w:szCs w:val="28"/>
        </w:rPr>
        <w:t xml:space="preserve">Por su parte, las EPS del </w:t>
      </w:r>
      <w:r w:rsidR="00AB22A1" w:rsidRPr="005D131A">
        <w:rPr>
          <w:rFonts w:ascii="Times New Roman" w:hAnsi="Times New Roman"/>
          <w:sz w:val="28"/>
          <w:szCs w:val="28"/>
        </w:rPr>
        <w:t>régimen s</w:t>
      </w:r>
      <w:r w:rsidR="000A7E02" w:rsidRPr="005D131A">
        <w:rPr>
          <w:rFonts w:ascii="Times New Roman" w:hAnsi="Times New Roman"/>
          <w:sz w:val="28"/>
          <w:szCs w:val="28"/>
        </w:rPr>
        <w:t>ubsidiado</w:t>
      </w:r>
      <w:r w:rsidR="000A7E02" w:rsidRPr="005D131A">
        <w:rPr>
          <w:rFonts w:ascii="Times New Roman" w:hAnsi="Times New Roman"/>
          <w:sz w:val="28"/>
          <w:szCs w:val="28"/>
          <w:vertAlign w:val="superscript"/>
        </w:rPr>
        <w:footnoteReference w:id="21"/>
      </w:r>
      <w:r w:rsidR="000A7E02" w:rsidRPr="005D131A">
        <w:rPr>
          <w:rFonts w:ascii="Times New Roman" w:hAnsi="Times New Roman"/>
          <w:sz w:val="28"/>
          <w:szCs w:val="28"/>
        </w:rPr>
        <w:t xml:space="preserve"> </w:t>
      </w:r>
      <w:r w:rsidR="00C8376F" w:rsidRPr="005D131A">
        <w:rPr>
          <w:rFonts w:ascii="Times New Roman" w:hAnsi="Times New Roman"/>
          <w:sz w:val="28"/>
          <w:szCs w:val="28"/>
        </w:rPr>
        <w:t xml:space="preserve">expusieron </w:t>
      </w:r>
      <w:r w:rsidR="0044307D" w:rsidRPr="005D131A">
        <w:rPr>
          <w:rFonts w:ascii="Times New Roman" w:hAnsi="Times New Roman"/>
          <w:sz w:val="28"/>
          <w:szCs w:val="28"/>
        </w:rPr>
        <w:t xml:space="preserve">diversas </w:t>
      </w:r>
      <w:r w:rsidR="00C8376F" w:rsidRPr="005D131A">
        <w:rPr>
          <w:rFonts w:ascii="Times New Roman" w:hAnsi="Times New Roman"/>
          <w:sz w:val="28"/>
          <w:szCs w:val="28"/>
        </w:rPr>
        <w:t>opiniones sobre la efectividad de las medidas adoptadas en ra</w:t>
      </w:r>
      <w:r w:rsidR="00A5725B" w:rsidRPr="005D131A">
        <w:rPr>
          <w:rFonts w:ascii="Times New Roman" w:hAnsi="Times New Roman"/>
          <w:sz w:val="28"/>
          <w:szCs w:val="28"/>
        </w:rPr>
        <w:t>zón a la orden vigésima tercera.</w:t>
      </w:r>
      <w:r w:rsidR="00C8376F" w:rsidRPr="005D131A">
        <w:rPr>
          <w:rFonts w:ascii="Times New Roman" w:hAnsi="Times New Roman"/>
          <w:sz w:val="28"/>
          <w:szCs w:val="28"/>
        </w:rPr>
        <w:t xml:space="preserve"> Para algunas son suficientes, pero otras presentaron </w:t>
      </w:r>
      <w:r w:rsidR="005B3A6C" w:rsidRPr="005D131A">
        <w:rPr>
          <w:rFonts w:ascii="Times New Roman" w:hAnsi="Times New Roman"/>
          <w:sz w:val="28"/>
          <w:szCs w:val="28"/>
        </w:rPr>
        <w:t xml:space="preserve">reparos similares a los </w:t>
      </w:r>
      <w:r w:rsidR="0059393E" w:rsidRPr="005D131A">
        <w:rPr>
          <w:rFonts w:ascii="Times New Roman" w:hAnsi="Times New Roman"/>
          <w:sz w:val="28"/>
          <w:szCs w:val="28"/>
        </w:rPr>
        <w:t xml:space="preserve">argüidos </w:t>
      </w:r>
      <w:r w:rsidR="005B3A6C" w:rsidRPr="005D131A">
        <w:rPr>
          <w:rFonts w:ascii="Times New Roman" w:hAnsi="Times New Roman"/>
          <w:sz w:val="28"/>
          <w:szCs w:val="28"/>
        </w:rPr>
        <w:t>por las del régimen contributivo</w:t>
      </w:r>
      <w:r w:rsidR="00684547" w:rsidRPr="005D131A">
        <w:rPr>
          <w:rFonts w:ascii="Times New Roman" w:hAnsi="Times New Roman"/>
          <w:sz w:val="28"/>
          <w:szCs w:val="28"/>
        </w:rPr>
        <w:t>.</w:t>
      </w:r>
      <w:r w:rsidR="002A2828" w:rsidRPr="005D131A">
        <w:rPr>
          <w:rFonts w:ascii="Times New Roman" w:hAnsi="Times New Roman"/>
          <w:sz w:val="28"/>
          <w:szCs w:val="28"/>
        </w:rPr>
        <w:t xml:space="preserve"> </w:t>
      </w:r>
      <w:r w:rsidR="000A7E02" w:rsidRPr="005D131A">
        <w:rPr>
          <w:rFonts w:ascii="Times New Roman" w:hAnsi="Times New Roman"/>
          <w:sz w:val="28"/>
          <w:szCs w:val="28"/>
        </w:rPr>
        <w:t xml:space="preserve">Manifestaron que las medidas no han sido efectivas, ya que no existe un listado de insumos y dispositivos médicos que permita identificar con claridad la cobertura, ni las sanciones por el incorrecto diligenciamiento de la información requerida para el trámite </w:t>
      </w:r>
      <w:r w:rsidR="00A5725B" w:rsidRPr="005D131A">
        <w:rPr>
          <w:rFonts w:ascii="Times New Roman" w:hAnsi="Times New Roman"/>
          <w:sz w:val="28"/>
          <w:szCs w:val="28"/>
        </w:rPr>
        <w:t xml:space="preserve">ante el CTC. </w:t>
      </w:r>
    </w:p>
    <w:p w:rsidR="000A7E02" w:rsidRPr="005D131A" w:rsidRDefault="000A7E02" w:rsidP="005D131A">
      <w:pPr>
        <w:pStyle w:val="Prrafodelista"/>
        <w:tabs>
          <w:tab w:val="left" w:pos="567"/>
        </w:tabs>
        <w:ind w:left="0"/>
        <w:rPr>
          <w:sz w:val="28"/>
          <w:szCs w:val="28"/>
          <w:lang w:val="es-CO"/>
        </w:rPr>
      </w:pPr>
    </w:p>
    <w:p w:rsidR="00240ED2" w:rsidRPr="005D131A" w:rsidRDefault="002A2828" w:rsidP="005D131A">
      <w:pPr>
        <w:pStyle w:val="Prrafodelista"/>
        <w:tabs>
          <w:tab w:val="left" w:pos="567"/>
        </w:tabs>
        <w:ind w:left="0"/>
        <w:rPr>
          <w:i/>
          <w:sz w:val="28"/>
          <w:szCs w:val="28"/>
          <w:lang w:val="es-CO"/>
        </w:rPr>
      </w:pPr>
      <w:r w:rsidRPr="005D131A">
        <w:rPr>
          <w:sz w:val="28"/>
          <w:szCs w:val="28"/>
          <w:lang w:val="es-CO"/>
        </w:rPr>
        <w:t>C</w:t>
      </w:r>
      <w:r w:rsidR="00684547" w:rsidRPr="005D131A">
        <w:rPr>
          <w:sz w:val="28"/>
          <w:szCs w:val="28"/>
          <w:lang w:val="es-CO"/>
        </w:rPr>
        <w:t xml:space="preserve">uestionaron la falta de precisión de los contenidos del plan de beneficios </w:t>
      </w:r>
      <w:r w:rsidR="00A50C30" w:rsidRPr="005D131A">
        <w:rPr>
          <w:sz w:val="28"/>
          <w:szCs w:val="28"/>
          <w:lang w:val="es-CO"/>
        </w:rPr>
        <w:t xml:space="preserve">y de los elementos que pueden ser autorizados </w:t>
      </w:r>
      <w:r w:rsidR="00A5725B" w:rsidRPr="005D131A">
        <w:rPr>
          <w:sz w:val="28"/>
          <w:szCs w:val="28"/>
          <w:lang w:val="es-CO"/>
        </w:rPr>
        <w:t>y r</w:t>
      </w:r>
      <w:r w:rsidR="000A7E02" w:rsidRPr="005D131A">
        <w:rPr>
          <w:sz w:val="28"/>
          <w:szCs w:val="28"/>
          <w:lang w:val="es-CO"/>
        </w:rPr>
        <w:t>eprocharon</w:t>
      </w:r>
      <w:r w:rsidR="00A50C30" w:rsidRPr="005D131A">
        <w:rPr>
          <w:sz w:val="28"/>
          <w:szCs w:val="28"/>
          <w:lang w:val="es-CO"/>
        </w:rPr>
        <w:t xml:space="preserve"> que no se hubiera previsto </w:t>
      </w:r>
      <w:r w:rsidR="00A5725B" w:rsidRPr="005D131A">
        <w:rPr>
          <w:sz w:val="28"/>
          <w:szCs w:val="28"/>
          <w:lang w:val="es-CO"/>
        </w:rPr>
        <w:t>una forma de financiación de</w:t>
      </w:r>
      <w:r w:rsidR="00A50C30" w:rsidRPr="005D131A">
        <w:rPr>
          <w:sz w:val="28"/>
          <w:szCs w:val="28"/>
          <w:lang w:val="es-CO"/>
        </w:rPr>
        <w:t xml:space="preserve"> servicios no POS, en detriment</w:t>
      </w:r>
      <w:r w:rsidR="00A51D32" w:rsidRPr="005D131A">
        <w:rPr>
          <w:sz w:val="28"/>
          <w:szCs w:val="28"/>
          <w:lang w:val="es-CO"/>
        </w:rPr>
        <w:t>o</w:t>
      </w:r>
      <w:r w:rsidR="00A50C30" w:rsidRPr="005D131A">
        <w:rPr>
          <w:sz w:val="28"/>
          <w:szCs w:val="28"/>
          <w:lang w:val="es-CO"/>
        </w:rPr>
        <w:t xml:space="preserve"> de las finanzas de las EPS, puesto que los entes territoriales se niegan a cubrirlos</w:t>
      </w:r>
      <w:r w:rsidR="00244F8D" w:rsidRPr="005D131A">
        <w:rPr>
          <w:sz w:val="28"/>
          <w:szCs w:val="28"/>
          <w:lang w:val="es-CO"/>
        </w:rPr>
        <w:t xml:space="preserve">. </w:t>
      </w:r>
      <w:r w:rsidR="00A50C30" w:rsidRPr="005D131A">
        <w:rPr>
          <w:sz w:val="28"/>
          <w:szCs w:val="28"/>
          <w:lang w:val="es-CO"/>
        </w:rPr>
        <w:t>Además, la re</w:t>
      </w:r>
      <w:r w:rsidRPr="005D131A">
        <w:rPr>
          <w:sz w:val="28"/>
          <w:szCs w:val="28"/>
          <w:lang w:val="es-CO"/>
        </w:rPr>
        <w:t xml:space="preserve">gulación no consagró un formato unificado para la solicitud del médico tratante, </w:t>
      </w:r>
      <w:r w:rsidR="00A5725B" w:rsidRPr="005D131A">
        <w:rPr>
          <w:sz w:val="28"/>
          <w:szCs w:val="28"/>
          <w:lang w:val="es-CO"/>
        </w:rPr>
        <w:t xml:space="preserve">lo que generó </w:t>
      </w:r>
      <w:r w:rsidRPr="005D131A">
        <w:rPr>
          <w:sz w:val="28"/>
          <w:szCs w:val="28"/>
          <w:lang w:val="es-CO"/>
        </w:rPr>
        <w:t xml:space="preserve">problemas por ausencia de justificación médica, historias clínicas ilegibles o </w:t>
      </w:r>
      <w:r w:rsidR="0059393E" w:rsidRPr="005D131A">
        <w:rPr>
          <w:sz w:val="28"/>
          <w:szCs w:val="28"/>
          <w:lang w:val="es-CO"/>
        </w:rPr>
        <w:t xml:space="preserve">formularios </w:t>
      </w:r>
      <w:r w:rsidRPr="005D131A">
        <w:rPr>
          <w:sz w:val="28"/>
          <w:szCs w:val="28"/>
          <w:lang w:val="es-CO"/>
        </w:rPr>
        <w:t>incomplet</w:t>
      </w:r>
      <w:r w:rsidR="00B52BB2" w:rsidRPr="005D131A">
        <w:rPr>
          <w:sz w:val="28"/>
          <w:szCs w:val="28"/>
          <w:lang w:val="es-CO"/>
        </w:rPr>
        <w:t>o</w:t>
      </w:r>
      <w:r w:rsidRPr="005D131A">
        <w:rPr>
          <w:sz w:val="28"/>
          <w:szCs w:val="28"/>
          <w:lang w:val="es-CO"/>
        </w:rPr>
        <w:t>s.</w:t>
      </w:r>
      <w:r w:rsidR="00B93F37" w:rsidRPr="005D131A">
        <w:rPr>
          <w:sz w:val="28"/>
          <w:szCs w:val="28"/>
          <w:lang w:val="es-CO"/>
        </w:rPr>
        <w:t xml:space="preserve"> </w:t>
      </w:r>
    </w:p>
    <w:p w:rsidR="00240ED2" w:rsidRPr="005D131A" w:rsidRDefault="00240ED2" w:rsidP="005D131A">
      <w:pPr>
        <w:pStyle w:val="Prrafodelista"/>
        <w:tabs>
          <w:tab w:val="left" w:pos="567"/>
        </w:tabs>
        <w:ind w:left="0"/>
        <w:rPr>
          <w:i/>
          <w:sz w:val="28"/>
          <w:szCs w:val="28"/>
          <w:lang w:val="es-CO"/>
        </w:rPr>
      </w:pPr>
    </w:p>
    <w:p w:rsidR="001A4744" w:rsidRPr="005D131A" w:rsidRDefault="00B93F37" w:rsidP="005D131A">
      <w:pPr>
        <w:pStyle w:val="Prrafodelista"/>
        <w:tabs>
          <w:tab w:val="left" w:pos="567"/>
        </w:tabs>
        <w:ind w:left="0"/>
        <w:rPr>
          <w:sz w:val="28"/>
          <w:szCs w:val="28"/>
          <w:lang w:val="es-CO"/>
        </w:rPr>
      </w:pPr>
      <w:r w:rsidRPr="005D131A">
        <w:rPr>
          <w:sz w:val="28"/>
          <w:szCs w:val="28"/>
          <w:lang w:val="es-CO"/>
        </w:rPr>
        <w:t xml:space="preserve">Ahora bien, como las causas más frecuentes de negación </w:t>
      </w:r>
      <w:r w:rsidR="00B7398D" w:rsidRPr="005D131A">
        <w:rPr>
          <w:sz w:val="28"/>
          <w:szCs w:val="28"/>
          <w:lang w:val="es-CO"/>
        </w:rPr>
        <w:t xml:space="preserve">de </w:t>
      </w:r>
      <w:r w:rsidRPr="005D131A">
        <w:rPr>
          <w:sz w:val="28"/>
          <w:szCs w:val="28"/>
          <w:lang w:val="es-CO"/>
        </w:rPr>
        <w:t>ser</w:t>
      </w:r>
      <w:r w:rsidR="00A5725B" w:rsidRPr="005D131A">
        <w:rPr>
          <w:sz w:val="28"/>
          <w:szCs w:val="28"/>
          <w:lang w:val="es-CO"/>
        </w:rPr>
        <w:t>vicios por los comités indicaron</w:t>
      </w:r>
      <w:r w:rsidR="004E0E08" w:rsidRPr="005D131A">
        <w:rPr>
          <w:sz w:val="28"/>
          <w:szCs w:val="28"/>
          <w:lang w:val="es-CO"/>
        </w:rPr>
        <w:t xml:space="preserve"> el no agotamiento de las alternativas terapéuticas del POS, el incumplimiento del uso indicado por el Invima y la “</w:t>
      </w:r>
      <w:r w:rsidR="001A4744" w:rsidRPr="005D131A">
        <w:rPr>
          <w:i/>
          <w:sz w:val="28"/>
          <w:szCs w:val="28"/>
          <w:lang w:val="es-CO"/>
        </w:rPr>
        <w:t xml:space="preserve">falta de respuesta sobre la competencia del Ente Territorial conforme a la Resolución 5334 de </w:t>
      </w:r>
      <w:smartTag w:uri="urn:schemas-microsoft-com:office:smarttags" w:element="metricconverter">
        <w:smartTagPr>
          <w:attr w:name="ProductID" w:val="2008”"/>
        </w:smartTagPr>
        <w:r w:rsidR="001A4744" w:rsidRPr="005D131A">
          <w:rPr>
            <w:i/>
            <w:sz w:val="28"/>
            <w:szCs w:val="28"/>
            <w:lang w:val="es-CO"/>
          </w:rPr>
          <w:t>2008”</w:t>
        </w:r>
      </w:smartTag>
      <w:r w:rsidR="001A4744" w:rsidRPr="005D131A">
        <w:rPr>
          <w:i/>
          <w:sz w:val="28"/>
          <w:szCs w:val="28"/>
          <w:lang w:val="es-CO"/>
        </w:rPr>
        <w:t>.</w:t>
      </w:r>
    </w:p>
    <w:p w:rsidR="00F614A3" w:rsidRPr="005D131A" w:rsidRDefault="00F614A3" w:rsidP="005D131A">
      <w:pPr>
        <w:rPr>
          <w:sz w:val="28"/>
          <w:szCs w:val="28"/>
          <w:lang w:val="es-CO"/>
        </w:rPr>
      </w:pPr>
    </w:p>
    <w:p w:rsidR="0020719D" w:rsidRPr="005D131A" w:rsidRDefault="00A5725B" w:rsidP="005D131A">
      <w:pPr>
        <w:pStyle w:val="Prrafodelista"/>
        <w:tabs>
          <w:tab w:val="left" w:pos="567"/>
        </w:tabs>
        <w:ind w:left="0"/>
        <w:rPr>
          <w:sz w:val="28"/>
          <w:szCs w:val="28"/>
          <w:lang w:val="es-CO"/>
        </w:rPr>
      </w:pPr>
      <w:r w:rsidRPr="005D131A">
        <w:rPr>
          <w:sz w:val="28"/>
          <w:szCs w:val="28"/>
          <w:lang w:val="es-CO"/>
        </w:rPr>
        <w:t>8.1.6. Por su parte</w:t>
      </w:r>
      <w:r w:rsidR="0020719D" w:rsidRPr="005D131A">
        <w:rPr>
          <w:sz w:val="28"/>
          <w:szCs w:val="28"/>
          <w:lang w:val="es-CO"/>
        </w:rPr>
        <w:t>, las EPS indígenas</w:t>
      </w:r>
      <w:r w:rsidR="0020719D" w:rsidRPr="005D131A">
        <w:rPr>
          <w:sz w:val="28"/>
          <w:szCs w:val="28"/>
          <w:vertAlign w:val="superscript"/>
          <w:lang w:val="es-CO"/>
        </w:rPr>
        <w:footnoteReference w:id="22"/>
      </w:r>
      <w:r w:rsidR="0020719D" w:rsidRPr="005D131A">
        <w:rPr>
          <w:sz w:val="28"/>
          <w:szCs w:val="28"/>
          <w:lang w:val="es-CO"/>
        </w:rPr>
        <w:t xml:space="preserve"> indicaron que las acciones adelantadas en  cumplimiento de la sentencia no</w:t>
      </w:r>
      <w:r w:rsidR="003D4F7B" w:rsidRPr="005D131A">
        <w:rPr>
          <w:sz w:val="28"/>
          <w:szCs w:val="28"/>
          <w:lang w:val="es-CO"/>
        </w:rPr>
        <w:t xml:space="preserve"> han sido efectivas ni eficaces</w:t>
      </w:r>
      <w:r w:rsidR="0020719D" w:rsidRPr="005D131A">
        <w:rPr>
          <w:sz w:val="28"/>
          <w:szCs w:val="28"/>
          <w:lang w:val="es-CO"/>
        </w:rPr>
        <w:t>, toda vez que no se han previsto claramente las fuentes que financiaran los costos.</w:t>
      </w:r>
      <w:r w:rsidR="003D4F7B" w:rsidRPr="005D131A">
        <w:rPr>
          <w:sz w:val="28"/>
          <w:szCs w:val="28"/>
          <w:lang w:val="es-CO"/>
        </w:rPr>
        <w:t xml:space="preserve"> </w:t>
      </w:r>
      <w:r w:rsidR="00F8727C" w:rsidRPr="005D131A">
        <w:rPr>
          <w:sz w:val="28"/>
          <w:szCs w:val="28"/>
          <w:lang w:val="es-CO"/>
        </w:rPr>
        <w:t>Au</w:t>
      </w:r>
      <w:r w:rsidRPr="005D131A">
        <w:rPr>
          <w:sz w:val="28"/>
          <w:szCs w:val="28"/>
          <w:lang w:val="es-CO"/>
        </w:rPr>
        <w:t>nado a ello, lo regulado en la R</w:t>
      </w:r>
      <w:r w:rsidR="00F8727C" w:rsidRPr="005D131A">
        <w:rPr>
          <w:sz w:val="28"/>
          <w:szCs w:val="28"/>
          <w:lang w:val="es-CO"/>
        </w:rPr>
        <w:t xml:space="preserve">esolución 5334 de 2008 se ha convertido en una barrera de acceso para la atención integral y oportuna de las necesidades en salud de los afiliados. </w:t>
      </w:r>
    </w:p>
    <w:p w:rsidR="001B2DE6" w:rsidRPr="005D131A" w:rsidRDefault="001B2DE6" w:rsidP="005D131A">
      <w:pPr>
        <w:pStyle w:val="Prrafodelista"/>
        <w:tabs>
          <w:tab w:val="left" w:pos="567"/>
        </w:tabs>
        <w:ind w:left="0"/>
        <w:rPr>
          <w:sz w:val="28"/>
          <w:szCs w:val="28"/>
          <w:lang w:val="es-CO"/>
        </w:rPr>
      </w:pPr>
    </w:p>
    <w:p w:rsidR="0020719D" w:rsidRPr="005D131A" w:rsidRDefault="00F8727C" w:rsidP="005D131A">
      <w:pPr>
        <w:tabs>
          <w:tab w:val="left" w:pos="426"/>
        </w:tabs>
        <w:rPr>
          <w:sz w:val="28"/>
          <w:szCs w:val="28"/>
          <w:lang w:val="es-CO"/>
        </w:rPr>
      </w:pPr>
      <w:r w:rsidRPr="005D131A">
        <w:rPr>
          <w:sz w:val="28"/>
          <w:szCs w:val="28"/>
          <w:lang w:val="es-CO"/>
        </w:rPr>
        <w:t>Lo anterior, en razón a que</w:t>
      </w:r>
      <w:r w:rsidR="002E1355" w:rsidRPr="005D131A">
        <w:rPr>
          <w:sz w:val="28"/>
          <w:szCs w:val="28"/>
          <w:lang w:val="es-CO"/>
        </w:rPr>
        <w:t xml:space="preserve"> antes de la entrada en vigencia de la mencionada Resolución, las EPS Indígenas tenían la facultad de presentar directamente ante los CTC </w:t>
      </w:r>
      <w:r w:rsidR="001B2DE6" w:rsidRPr="005D131A">
        <w:rPr>
          <w:sz w:val="28"/>
          <w:szCs w:val="28"/>
          <w:lang w:val="es-CO"/>
        </w:rPr>
        <w:t xml:space="preserve">la </w:t>
      </w:r>
      <w:r w:rsidR="002E1355" w:rsidRPr="005D131A">
        <w:rPr>
          <w:sz w:val="28"/>
          <w:szCs w:val="28"/>
          <w:lang w:val="es-CO"/>
        </w:rPr>
        <w:t xml:space="preserve">solicitud de servicio o medicamento no incluido en el POS-S; ahora, deben </w:t>
      </w:r>
      <w:r w:rsidRPr="005D131A">
        <w:rPr>
          <w:sz w:val="28"/>
          <w:szCs w:val="28"/>
          <w:lang w:val="es-CO"/>
        </w:rPr>
        <w:t>direccionar a la enti</w:t>
      </w:r>
      <w:r w:rsidR="00670276" w:rsidRPr="005D131A">
        <w:rPr>
          <w:sz w:val="28"/>
          <w:szCs w:val="28"/>
          <w:lang w:val="es-CO"/>
        </w:rPr>
        <w:t>dad territorial dicha solicitud, lo cual ha representado mayores trámites administrativo</w:t>
      </w:r>
      <w:r w:rsidR="002E1355" w:rsidRPr="005D131A">
        <w:rPr>
          <w:sz w:val="28"/>
          <w:szCs w:val="28"/>
          <w:lang w:val="es-CO"/>
        </w:rPr>
        <w:t xml:space="preserve">s, más tiempo en la respuesta </w:t>
      </w:r>
      <w:r w:rsidR="00670276" w:rsidRPr="005D131A">
        <w:rPr>
          <w:sz w:val="28"/>
          <w:szCs w:val="28"/>
          <w:lang w:val="es-CO"/>
        </w:rPr>
        <w:t xml:space="preserve">y conflicto entre la EPS y la entidad territorial, dado que algunas de estas últimas retrasan el procedimiento. </w:t>
      </w:r>
      <w:r w:rsidR="002144F2" w:rsidRPr="005D131A">
        <w:rPr>
          <w:sz w:val="28"/>
          <w:szCs w:val="28"/>
          <w:lang w:val="es-CO"/>
        </w:rPr>
        <w:t xml:space="preserve">Reiteraron que uno de los mayores inconvenientes radicaba en la falta de argumentación científica </w:t>
      </w:r>
      <w:r w:rsidR="002E1355" w:rsidRPr="005D131A">
        <w:rPr>
          <w:sz w:val="28"/>
          <w:szCs w:val="28"/>
          <w:lang w:val="es-CO"/>
        </w:rPr>
        <w:t>de las prescripciones</w:t>
      </w:r>
      <w:r w:rsidR="002144F2" w:rsidRPr="005D131A">
        <w:rPr>
          <w:sz w:val="28"/>
          <w:szCs w:val="28"/>
          <w:lang w:val="es-CO"/>
        </w:rPr>
        <w:t xml:space="preserve"> por parte de los galenos, </w:t>
      </w:r>
      <w:r w:rsidR="002E1355" w:rsidRPr="005D131A">
        <w:rPr>
          <w:sz w:val="28"/>
          <w:szCs w:val="28"/>
          <w:lang w:val="es-CO"/>
        </w:rPr>
        <w:t>quienes no expresan</w:t>
      </w:r>
      <w:r w:rsidR="002144F2" w:rsidRPr="005D131A">
        <w:rPr>
          <w:sz w:val="28"/>
          <w:szCs w:val="28"/>
          <w:lang w:val="es-CO"/>
        </w:rPr>
        <w:t xml:space="preserve"> de forma clara el motivo por el cual se reemplazan o sustituyen las opciones incluidas en el</w:t>
      </w:r>
      <w:r w:rsidR="002E1355" w:rsidRPr="005D131A">
        <w:rPr>
          <w:sz w:val="28"/>
          <w:szCs w:val="28"/>
          <w:lang w:val="es-CO"/>
        </w:rPr>
        <w:t xml:space="preserve"> POS</w:t>
      </w:r>
      <w:r w:rsidR="002144F2" w:rsidRPr="005D131A">
        <w:rPr>
          <w:sz w:val="28"/>
          <w:szCs w:val="28"/>
          <w:lang w:val="es-CO"/>
        </w:rPr>
        <w:t>, lo que conlleva a la negación</w:t>
      </w:r>
      <w:r w:rsidR="002E1355" w:rsidRPr="005D131A">
        <w:rPr>
          <w:sz w:val="28"/>
          <w:szCs w:val="28"/>
          <w:lang w:val="es-CO"/>
        </w:rPr>
        <w:t xml:space="preserve"> del servicio y a la instauración de acciones de tutela </w:t>
      </w:r>
      <w:r w:rsidR="002144F2" w:rsidRPr="005D131A">
        <w:rPr>
          <w:sz w:val="28"/>
          <w:szCs w:val="28"/>
          <w:lang w:val="es-CO"/>
        </w:rPr>
        <w:t xml:space="preserve">por parte de los usuarios. </w:t>
      </w:r>
    </w:p>
    <w:p w:rsidR="0020719D" w:rsidRPr="005D131A" w:rsidRDefault="0020719D" w:rsidP="005D131A">
      <w:pPr>
        <w:pStyle w:val="Prrafodelista"/>
        <w:tabs>
          <w:tab w:val="left" w:pos="567"/>
        </w:tabs>
        <w:ind w:left="0"/>
        <w:rPr>
          <w:sz w:val="28"/>
          <w:szCs w:val="28"/>
          <w:lang w:val="es-CO"/>
        </w:rPr>
      </w:pPr>
    </w:p>
    <w:p w:rsidR="00426053" w:rsidRDefault="009F2A0A" w:rsidP="005D131A">
      <w:pPr>
        <w:pStyle w:val="Prrafodelista"/>
        <w:tabs>
          <w:tab w:val="left" w:pos="567"/>
        </w:tabs>
        <w:ind w:left="0"/>
        <w:rPr>
          <w:sz w:val="28"/>
          <w:szCs w:val="28"/>
          <w:lang w:val="es-CO"/>
        </w:rPr>
      </w:pPr>
      <w:r w:rsidRPr="005D131A">
        <w:rPr>
          <w:sz w:val="28"/>
          <w:szCs w:val="28"/>
          <w:lang w:val="es-CO"/>
        </w:rPr>
        <w:t xml:space="preserve">8.1.7. </w:t>
      </w:r>
      <w:r w:rsidR="002E1355" w:rsidRPr="005D131A">
        <w:rPr>
          <w:sz w:val="28"/>
          <w:szCs w:val="28"/>
          <w:lang w:val="es-CO"/>
        </w:rPr>
        <w:t xml:space="preserve"> En su respuesta, las compañías</w:t>
      </w:r>
      <w:r w:rsidR="00620E0D" w:rsidRPr="005D131A">
        <w:rPr>
          <w:sz w:val="28"/>
          <w:szCs w:val="28"/>
          <w:lang w:val="es-CO"/>
        </w:rPr>
        <w:t xml:space="preserve"> prepagadas</w:t>
      </w:r>
      <w:r w:rsidR="00620E0D" w:rsidRPr="005D131A">
        <w:rPr>
          <w:sz w:val="28"/>
          <w:szCs w:val="28"/>
          <w:vertAlign w:val="superscript"/>
        </w:rPr>
        <w:footnoteReference w:id="23"/>
      </w:r>
      <w:r w:rsidR="004A57AE" w:rsidRPr="005D131A">
        <w:rPr>
          <w:sz w:val="28"/>
          <w:szCs w:val="28"/>
        </w:rPr>
        <w:t xml:space="preserve"> </w:t>
      </w:r>
      <w:r w:rsidR="00620E0D" w:rsidRPr="005D131A">
        <w:rPr>
          <w:sz w:val="28"/>
          <w:szCs w:val="28"/>
          <w:lang w:val="es-CO"/>
        </w:rPr>
        <w:t>precisaron que</w:t>
      </w:r>
      <w:r w:rsidR="00426053" w:rsidRPr="005D131A">
        <w:rPr>
          <w:sz w:val="28"/>
          <w:szCs w:val="28"/>
          <w:lang w:val="es-CO"/>
        </w:rPr>
        <w:t xml:space="preserve"> </w:t>
      </w:r>
      <w:r w:rsidR="00BC7DCB" w:rsidRPr="005D131A">
        <w:rPr>
          <w:sz w:val="28"/>
          <w:szCs w:val="28"/>
          <w:lang w:val="es-CO"/>
        </w:rPr>
        <w:t>no ostentan el car</w:t>
      </w:r>
      <w:r w:rsidR="008D2F04" w:rsidRPr="005D131A">
        <w:rPr>
          <w:sz w:val="28"/>
          <w:szCs w:val="28"/>
          <w:lang w:val="es-CO"/>
        </w:rPr>
        <w:t xml:space="preserve">ácter de EPS dado que </w:t>
      </w:r>
      <w:r w:rsidR="008732FD" w:rsidRPr="005D131A">
        <w:rPr>
          <w:sz w:val="28"/>
          <w:szCs w:val="28"/>
          <w:lang w:val="es-CO"/>
        </w:rPr>
        <w:t>actúan dentro del Sistema de Seguridad Social en Salud como administradoras de planes adicionales</w:t>
      </w:r>
      <w:r w:rsidR="008D2F04" w:rsidRPr="005D131A">
        <w:rPr>
          <w:sz w:val="28"/>
          <w:szCs w:val="28"/>
          <w:lang w:val="es-CO"/>
        </w:rPr>
        <w:t xml:space="preserve">. </w:t>
      </w:r>
      <w:r w:rsidR="00BC7DCB" w:rsidRPr="005D131A">
        <w:rPr>
          <w:sz w:val="28"/>
          <w:szCs w:val="28"/>
          <w:lang w:val="es-CO"/>
        </w:rPr>
        <w:t xml:space="preserve"> </w:t>
      </w:r>
    </w:p>
    <w:p w:rsidR="00091338" w:rsidRPr="005D131A" w:rsidRDefault="00091338" w:rsidP="005D131A">
      <w:pPr>
        <w:pStyle w:val="Prrafodelista"/>
        <w:tabs>
          <w:tab w:val="left" w:pos="567"/>
        </w:tabs>
        <w:ind w:left="0"/>
        <w:rPr>
          <w:sz w:val="28"/>
          <w:szCs w:val="28"/>
          <w:lang w:val="es-CO"/>
        </w:rPr>
      </w:pPr>
    </w:p>
    <w:p w:rsidR="0020719D" w:rsidRPr="005D131A" w:rsidRDefault="00426053" w:rsidP="005D131A">
      <w:pPr>
        <w:pStyle w:val="Prrafodelista"/>
        <w:tabs>
          <w:tab w:val="left" w:pos="567"/>
        </w:tabs>
        <w:ind w:left="0"/>
        <w:rPr>
          <w:sz w:val="28"/>
          <w:szCs w:val="28"/>
          <w:lang w:val="es-CO"/>
        </w:rPr>
      </w:pPr>
      <w:r w:rsidRPr="005D131A">
        <w:rPr>
          <w:sz w:val="28"/>
          <w:szCs w:val="28"/>
          <w:lang w:val="es-CO"/>
        </w:rPr>
        <w:t xml:space="preserve">Advirtieron que </w:t>
      </w:r>
      <w:r w:rsidR="00620E0D" w:rsidRPr="005D131A">
        <w:rPr>
          <w:sz w:val="28"/>
          <w:szCs w:val="28"/>
          <w:lang w:val="es-CO"/>
        </w:rPr>
        <w:t>el CTC es el mecanismo con el que cuentan los usuarios para acceder a los servicios médicos que no hacen parte de</w:t>
      </w:r>
      <w:r w:rsidR="008D2F04" w:rsidRPr="005D131A">
        <w:rPr>
          <w:sz w:val="28"/>
          <w:szCs w:val="28"/>
          <w:lang w:val="es-CO"/>
        </w:rPr>
        <w:t>l POS</w:t>
      </w:r>
      <w:r w:rsidR="004A57AE" w:rsidRPr="005D131A">
        <w:rPr>
          <w:sz w:val="28"/>
          <w:szCs w:val="28"/>
          <w:lang w:val="es-CO"/>
        </w:rPr>
        <w:t>. E</w:t>
      </w:r>
      <w:r w:rsidR="00620E0D" w:rsidRPr="005D131A">
        <w:rPr>
          <w:sz w:val="28"/>
          <w:szCs w:val="28"/>
          <w:lang w:val="es-CO"/>
        </w:rPr>
        <w:t xml:space="preserve">n tal sentido, las prestaciones ordenadas con ocasión de una acción de tutela fallada en contra </w:t>
      </w:r>
      <w:r w:rsidR="004A57AE" w:rsidRPr="005D131A">
        <w:rPr>
          <w:sz w:val="28"/>
          <w:szCs w:val="28"/>
          <w:lang w:val="es-CO"/>
        </w:rPr>
        <w:t xml:space="preserve">de las citadas compañías quedaran a cargo del </w:t>
      </w:r>
      <w:r w:rsidR="00620E0D" w:rsidRPr="005D131A">
        <w:rPr>
          <w:sz w:val="28"/>
          <w:szCs w:val="28"/>
          <w:lang w:val="es-CO"/>
        </w:rPr>
        <w:t xml:space="preserve">cargo </w:t>
      </w:r>
      <w:r w:rsidR="00BC7DCB" w:rsidRPr="005D131A">
        <w:rPr>
          <w:sz w:val="28"/>
          <w:szCs w:val="28"/>
          <w:lang w:val="es-CO"/>
        </w:rPr>
        <w:t>al respectivo contrato sin que exista la posibilidad de</w:t>
      </w:r>
      <w:r w:rsidR="00620E0D" w:rsidRPr="005D131A">
        <w:rPr>
          <w:sz w:val="28"/>
          <w:szCs w:val="28"/>
          <w:lang w:val="es-CO"/>
        </w:rPr>
        <w:t xml:space="preserve"> recobro al Fosyga. </w:t>
      </w:r>
    </w:p>
    <w:p w:rsidR="008D2F04" w:rsidRPr="005D131A" w:rsidRDefault="008D2F04" w:rsidP="005D131A">
      <w:pPr>
        <w:pStyle w:val="Prrafodelista"/>
        <w:tabs>
          <w:tab w:val="left" w:pos="567"/>
        </w:tabs>
        <w:ind w:left="0"/>
        <w:rPr>
          <w:sz w:val="28"/>
          <w:szCs w:val="28"/>
          <w:lang w:val="es-CO"/>
        </w:rPr>
      </w:pPr>
    </w:p>
    <w:p w:rsidR="007829CE" w:rsidRPr="005D131A" w:rsidRDefault="008D2F04" w:rsidP="005D131A">
      <w:pPr>
        <w:pStyle w:val="Prrafodelista"/>
        <w:tabs>
          <w:tab w:val="left" w:pos="567"/>
        </w:tabs>
        <w:ind w:left="0"/>
        <w:rPr>
          <w:sz w:val="28"/>
          <w:szCs w:val="28"/>
          <w:lang w:val="es-CO"/>
        </w:rPr>
      </w:pPr>
      <w:r w:rsidRPr="005D131A">
        <w:rPr>
          <w:sz w:val="28"/>
          <w:szCs w:val="28"/>
          <w:lang w:val="es-CO"/>
        </w:rPr>
        <w:t xml:space="preserve">8.1.8. </w:t>
      </w:r>
      <w:r w:rsidR="00F614A3" w:rsidRPr="005D131A">
        <w:rPr>
          <w:sz w:val="28"/>
          <w:szCs w:val="28"/>
          <w:lang w:val="es-CO"/>
        </w:rPr>
        <w:t>Por otro lado, las</w:t>
      </w:r>
      <w:r w:rsidR="007829CE" w:rsidRPr="005D131A">
        <w:rPr>
          <w:sz w:val="28"/>
          <w:szCs w:val="28"/>
          <w:lang w:val="es-CO"/>
        </w:rPr>
        <w:t xml:space="preserve"> EPS </w:t>
      </w:r>
      <w:r w:rsidR="001839FB" w:rsidRPr="005D131A">
        <w:rPr>
          <w:sz w:val="28"/>
          <w:szCs w:val="28"/>
          <w:lang w:val="es-CO"/>
        </w:rPr>
        <w:t xml:space="preserve">que conforman los regímenes especiales, </w:t>
      </w:r>
      <w:r w:rsidR="004A57AE" w:rsidRPr="005D131A">
        <w:rPr>
          <w:sz w:val="28"/>
          <w:szCs w:val="28"/>
          <w:lang w:val="es-CO"/>
        </w:rPr>
        <w:t xml:space="preserve">como </w:t>
      </w:r>
      <w:r w:rsidR="007829CE" w:rsidRPr="005D131A">
        <w:rPr>
          <w:sz w:val="28"/>
          <w:szCs w:val="28"/>
          <w:lang w:val="es-CO"/>
        </w:rPr>
        <w:t>las Fuerzas M</w:t>
      </w:r>
      <w:r w:rsidR="001839FB" w:rsidRPr="005D131A">
        <w:rPr>
          <w:sz w:val="28"/>
          <w:szCs w:val="28"/>
          <w:lang w:val="es-CO"/>
        </w:rPr>
        <w:t>ilitares</w:t>
      </w:r>
      <w:r w:rsidR="001839FB" w:rsidRPr="005D131A">
        <w:rPr>
          <w:sz w:val="28"/>
          <w:szCs w:val="28"/>
          <w:vertAlign w:val="superscript"/>
          <w:lang w:val="es-CO"/>
        </w:rPr>
        <w:footnoteReference w:id="24"/>
      </w:r>
      <w:r w:rsidR="007829CE" w:rsidRPr="005D131A">
        <w:rPr>
          <w:sz w:val="28"/>
          <w:szCs w:val="28"/>
          <w:lang w:val="es-CO"/>
        </w:rPr>
        <w:t xml:space="preserve"> y de P</w:t>
      </w:r>
      <w:r w:rsidR="001839FB" w:rsidRPr="005D131A">
        <w:rPr>
          <w:sz w:val="28"/>
          <w:szCs w:val="28"/>
          <w:lang w:val="es-CO"/>
        </w:rPr>
        <w:t>olicía</w:t>
      </w:r>
      <w:r w:rsidR="001839FB" w:rsidRPr="005D131A">
        <w:rPr>
          <w:sz w:val="28"/>
          <w:szCs w:val="28"/>
          <w:vertAlign w:val="superscript"/>
          <w:lang w:val="es-CO"/>
        </w:rPr>
        <w:footnoteReference w:id="25"/>
      </w:r>
      <w:r w:rsidR="007829CE" w:rsidRPr="005D131A">
        <w:rPr>
          <w:sz w:val="28"/>
          <w:szCs w:val="28"/>
          <w:lang w:val="es-CO"/>
        </w:rPr>
        <w:t>, señalaron que</w:t>
      </w:r>
      <w:r w:rsidR="006C721B" w:rsidRPr="005D131A">
        <w:rPr>
          <w:sz w:val="28"/>
          <w:szCs w:val="28"/>
          <w:lang w:val="es-CO"/>
        </w:rPr>
        <w:t xml:space="preserve"> su organización no responde al esquema de </w:t>
      </w:r>
      <w:r w:rsidR="001B2DE6" w:rsidRPr="005D131A">
        <w:rPr>
          <w:sz w:val="28"/>
          <w:szCs w:val="28"/>
          <w:lang w:val="es-CO"/>
        </w:rPr>
        <w:t xml:space="preserve">una </w:t>
      </w:r>
      <w:r w:rsidR="006C721B" w:rsidRPr="005D131A">
        <w:rPr>
          <w:sz w:val="28"/>
          <w:szCs w:val="28"/>
          <w:lang w:val="es-CO"/>
        </w:rPr>
        <w:t>EPS</w:t>
      </w:r>
      <w:r w:rsidRPr="005D131A">
        <w:rPr>
          <w:sz w:val="28"/>
          <w:szCs w:val="28"/>
          <w:lang w:val="es-CO"/>
        </w:rPr>
        <w:t xml:space="preserve"> porque </w:t>
      </w:r>
      <w:r w:rsidR="007829CE" w:rsidRPr="005D131A">
        <w:rPr>
          <w:sz w:val="28"/>
          <w:szCs w:val="28"/>
          <w:lang w:val="es-CO"/>
        </w:rPr>
        <w:t>de conformidad con el art</w:t>
      </w:r>
      <w:r w:rsidR="001B2DE6" w:rsidRPr="005D131A">
        <w:rPr>
          <w:sz w:val="28"/>
          <w:szCs w:val="28"/>
          <w:lang w:val="es-CO"/>
        </w:rPr>
        <w:t>ículo 279 de la Ley 100 de 1993</w:t>
      </w:r>
      <w:r w:rsidRPr="005D131A">
        <w:rPr>
          <w:sz w:val="28"/>
          <w:szCs w:val="28"/>
          <w:lang w:val="es-CO"/>
        </w:rPr>
        <w:t xml:space="preserve"> pertenecen a un régimen de excepción. De este modo, el </w:t>
      </w:r>
      <w:r w:rsidR="007829CE" w:rsidRPr="005D131A">
        <w:rPr>
          <w:sz w:val="28"/>
          <w:szCs w:val="28"/>
          <w:lang w:val="es-CO"/>
        </w:rPr>
        <w:t xml:space="preserve">POS establecido en el Sistema General de </w:t>
      </w:r>
      <w:r w:rsidRPr="005D131A">
        <w:rPr>
          <w:sz w:val="28"/>
          <w:szCs w:val="28"/>
          <w:lang w:val="es-CO"/>
        </w:rPr>
        <w:t>Salud no los cobija y</w:t>
      </w:r>
      <w:r w:rsidR="006C721B" w:rsidRPr="005D131A">
        <w:rPr>
          <w:sz w:val="28"/>
          <w:szCs w:val="28"/>
          <w:lang w:val="es-CO"/>
        </w:rPr>
        <w:t xml:space="preserve"> los CTC operan de acu</w:t>
      </w:r>
      <w:r w:rsidRPr="005D131A">
        <w:rPr>
          <w:sz w:val="28"/>
          <w:szCs w:val="28"/>
          <w:lang w:val="es-CO"/>
        </w:rPr>
        <w:t xml:space="preserve">erdo a la reglamentación propia. </w:t>
      </w:r>
    </w:p>
    <w:p w:rsidR="008D2F04" w:rsidRPr="005D131A" w:rsidRDefault="008D2F04" w:rsidP="005D131A">
      <w:pPr>
        <w:pStyle w:val="Prrafodelista"/>
        <w:tabs>
          <w:tab w:val="left" w:pos="567"/>
        </w:tabs>
        <w:ind w:left="0"/>
        <w:rPr>
          <w:sz w:val="28"/>
          <w:szCs w:val="28"/>
          <w:lang w:val="es-CO"/>
        </w:rPr>
      </w:pPr>
    </w:p>
    <w:p w:rsidR="008D2F04" w:rsidRPr="005D131A" w:rsidRDefault="008D2F04" w:rsidP="005D131A">
      <w:pPr>
        <w:pStyle w:val="Prrafodelista"/>
        <w:tabs>
          <w:tab w:val="left" w:pos="567"/>
        </w:tabs>
        <w:ind w:left="0"/>
        <w:rPr>
          <w:sz w:val="28"/>
          <w:szCs w:val="28"/>
          <w:lang w:val="es-CO"/>
        </w:rPr>
      </w:pPr>
      <w:r w:rsidRPr="005D131A">
        <w:rPr>
          <w:sz w:val="28"/>
          <w:szCs w:val="28"/>
          <w:lang w:val="es-CO"/>
        </w:rPr>
        <w:t xml:space="preserve">8.1.9. </w:t>
      </w:r>
      <w:r w:rsidR="004A57AE" w:rsidRPr="005D131A">
        <w:rPr>
          <w:sz w:val="28"/>
          <w:szCs w:val="28"/>
          <w:lang w:val="es-CO"/>
        </w:rPr>
        <w:t xml:space="preserve">En sus respuestas </w:t>
      </w:r>
      <w:r w:rsidRPr="005D131A">
        <w:rPr>
          <w:sz w:val="28"/>
          <w:szCs w:val="28"/>
          <w:lang w:val="es-CO"/>
        </w:rPr>
        <w:t>las EPS de las universidades</w:t>
      </w:r>
      <w:r w:rsidRPr="005D131A">
        <w:rPr>
          <w:sz w:val="28"/>
          <w:szCs w:val="28"/>
          <w:vertAlign w:val="superscript"/>
          <w:lang w:val="es-CO"/>
        </w:rPr>
        <w:footnoteReference w:id="26"/>
      </w:r>
      <w:r w:rsidRPr="005D131A">
        <w:rPr>
          <w:sz w:val="28"/>
          <w:szCs w:val="28"/>
          <w:lang w:val="es-CO"/>
        </w:rPr>
        <w:t xml:space="preserve"> sostuvieron que además del Plan Obligatorio de Salud cuentan con un plan complementario que permite el cubrimiento de servicios excluidos del POS. </w:t>
      </w:r>
    </w:p>
    <w:p w:rsidR="008D2F04" w:rsidRPr="005D131A" w:rsidRDefault="008D2F04" w:rsidP="005D131A">
      <w:pPr>
        <w:pStyle w:val="Prrafodelista"/>
        <w:tabs>
          <w:tab w:val="left" w:pos="567"/>
        </w:tabs>
        <w:ind w:left="0"/>
        <w:rPr>
          <w:sz w:val="28"/>
          <w:szCs w:val="28"/>
          <w:lang w:val="es-CO"/>
        </w:rPr>
      </w:pPr>
    </w:p>
    <w:p w:rsidR="00291754" w:rsidRPr="005D131A" w:rsidRDefault="008D2F04" w:rsidP="005D131A">
      <w:pPr>
        <w:pStyle w:val="Prrafodelista"/>
        <w:ind w:left="0"/>
        <w:rPr>
          <w:sz w:val="28"/>
          <w:szCs w:val="28"/>
          <w:lang w:val="es-CO"/>
        </w:rPr>
      </w:pPr>
      <w:r w:rsidRPr="005D131A">
        <w:rPr>
          <w:sz w:val="28"/>
          <w:szCs w:val="28"/>
          <w:lang w:val="es-CO"/>
        </w:rPr>
        <w:t>8.1.10.</w:t>
      </w:r>
      <w:r w:rsidR="001B2DE6" w:rsidRPr="005D131A">
        <w:rPr>
          <w:sz w:val="28"/>
          <w:szCs w:val="28"/>
          <w:lang w:val="es-CO"/>
        </w:rPr>
        <w:t xml:space="preserve"> Finalmente</w:t>
      </w:r>
      <w:r w:rsidR="006C721B" w:rsidRPr="005D131A">
        <w:rPr>
          <w:sz w:val="28"/>
          <w:szCs w:val="28"/>
          <w:lang w:val="es-CO"/>
        </w:rPr>
        <w:t xml:space="preserve">, </w:t>
      </w:r>
      <w:r w:rsidRPr="005D131A">
        <w:rPr>
          <w:sz w:val="28"/>
          <w:szCs w:val="28"/>
          <w:lang w:val="es-CO"/>
        </w:rPr>
        <w:t>e</w:t>
      </w:r>
      <w:r w:rsidR="00291754" w:rsidRPr="005D131A">
        <w:rPr>
          <w:sz w:val="28"/>
          <w:szCs w:val="28"/>
          <w:lang w:val="es-CO"/>
        </w:rPr>
        <w:t>l</w:t>
      </w:r>
      <w:r w:rsidR="00B87B17" w:rsidRPr="005D131A">
        <w:rPr>
          <w:sz w:val="28"/>
          <w:szCs w:val="28"/>
          <w:lang w:val="es-CO"/>
        </w:rPr>
        <w:t xml:space="preserve"> 22 de julio de 2010</w:t>
      </w:r>
      <w:r w:rsidR="000E0D7E" w:rsidRPr="005D131A">
        <w:rPr>
          <w:sz w:val="28"/>
          <w:szCs w:val="28"/>
          <w:vertAlign w:val="superscript"/>
          <w:lang w:val="es-CO"/>
        </w:rPr>
        <w:footnoteReference w:id="27"/>
      </w:r>
      <w:r w:rsidR="00B87B17" w:rsidRPr="005D131A">
        <w:rPr>
          <w:sz w:val="28"/>
          <w:szCs w:val="28"/>
          <w:lang w:val="es-CO"/>
        </w:rPr>
        <w:t>,</w:t>
      </w:r>
      <w:r w:rsidR="00564FFF" w:rsidRPr="005D131A">
        <w:rPr>
          <w:sz w:val="28"/>
          <w:szCs w:val="28"/>
          <w:lang w:val="es-CO"/>
        </w:rPr>
        <w:t xml:space="preserve"> el</w:t>
      </w:r>
      <w:r w:rsidR="00291754" w:rsidRPr="005D131A">
        <w:rPr>
          <w:sz w:val="28"/>
          <w:szCs w:val="28"/>
          <w:lang w:val="es-CO"/>
        </w:rPr>
        <w:t xml:space="preserve"> Fondo de Pasivo Social de Ferro</w:t>
      </w:r>
      <w:r w:rsidR="00C42D58" w:rsidRPr="005D131A">
        <w:rPr>
          <w:sz w:val="28"/>
          <w:szCs w:val="28"/>
          <w:lang w:val="es-CO"/>
        </w:rPr>
        <w:t xml:space="preserve">carriles Nacionales de Colombia, </w:t>
      </w:r>
      <w:r w:rsidR="00D87C86" w:rsidRPr="005D131A">
        <w:rPr>
          <w:sz w:val="28"/>
          <w:szCs w:val="28"/>
          <w:lang w:val="es-CO"/>
        </w:rPr>
        <w:t>adujo como</w:t>
      </w:r>
      <w:r w:rsidR="00E44653" w:rsidRPr="005D131A">
        <w:rPr>
          <w:sz w:val="28"/>
          <w:szCs w:val="28"/>
          <w:lang w:val="es-CO"/>
        </w:rPr>
        <w:t xml:space="preserve"> problemas de la actual reglamentación</w:t>
      </w:r>
      <w:r w:rsidR="00D87C86" w:rsidRPr="005D131A">
        <w:rPr>
          <w:sz w:val="28"/>
          <w:szCs w:val="28"/>
          <w:lang w:val="es-CO"/>
        </w:rPr>
        <w:t xml:space="preserve"> </w:t>
      </w:r>
      <w:r w:rsidR="004A57AE" w:rsidRPr="005D131A">
        <w:rPr>
          <w:sz w:val="28"/>
          <w:szCs w:val="28"/>
          <w:lang w:val="es-CO"/>
        </w:rPr>
        <w:t>la inadecuada motivación</w:t>
      </w:r>
      <w:r w:rsidR="00822588" w:rsidRPr="005D131A">
        <w:rPr>
          <w:sz w:val="28"/>
          <w:szCs w:val="28"/>
          <w:lang w:val="es-CO"/>
        </w:rPr>
        <w:t xml:space="preserve"> por parte de los galenos</w:t>
      </w:r>
      <w:r w:rsidR="004A57AE" w:rsidRPr="005D131A">
        <w:rPr>
          <w:sz w:val="28"/>
          <w:szCs w:val="28"/>
          <w:lang w:val="es-CO"/>
        </w:rPr>
        <w:t xml:space="preserve"> para justificar el servicio</w:t>
      </w:r>
      <w:r w:rsidR="00822588" w:rsidRPr="005D131A">
        <w:rPr>
          <w:sz w:val="28"/>
          <w:szCs w:val="28"/>
          <w:lang w:val="es-CO"/>
        </w:rPr>
        <w:t>, la no utilización de los servicios POS y la inexistencia de riesgo para la vida o salud del paciente.</w:t>
      </w:r>
    </w:p>
    <w:p w:rsidR="006E26F5" w:rsidRPr="005D131A" w:rsidRDefault="006E26F5" w:rsidP="005D131A">
      <w:pPr>
        <w:tabs>
          <w:tab w:val="left" w:pos="426"/>
        </w:tabs>
        <w:rPr>
          <w:sz w:val="28"/>
          <w:szCs w:val="28"/>
          <w:lang w:val="es-CO"/>
        </w:rPr>
      </w:pPr>
    </w:p>
    <w:p w:rsidR="009A0EA4" w:rsidRPr="005D131A" w:rsidRDefault="009A0EA4" w:rsidP="005D131A">
      <w:pPr>
        <w:pStyle w:val="Sinespaciado1"/>
        <w:ind w:right="-40"/>
        <w:jc w:val="both"/>
        <w:rPr>
          <w:rFonts w:ascii="Times New Roman" w:hAnsi="Times New Roman"/>
          <w:sz w:val="28"/>
          <w:szCs w:val="28"/>
        </w:rPr>
      </w:pPr>
      <w:r w:rsidRPr="005D131A">
        <w:rPr>
          <w:rFonts w:ascii="Times New Roman" w:hAnsi="Times New Roman"/>
          <w:sz w:val="28"/>
          <w:szCs w:val="28"/>
        </w:rPr>
        <w:t xml:space="preserve">9. </w:t>
      </w:r>
      <w:r w:rsidR="00400359" w:rsidRPr="005D131A">
        <w:rPr>
          <w:rFonts w:ascii="Times New Roman" w:hAnsi="Times New Roman"/>
          <w:sz w:val="28"/>
          <w:szCs w:val="28"/>
        </w:rPr>
        <w:t xml:space="preserve">El </w:t>
      </w:r>
      <w:r w:rsidR="00674766" w:rsidRPr="005D131A">
        <w:rPr>
          <w:rFonts w:ascii="Times New Roman" w:hAnsi="Times New Roman"/>
          <w:sz w:val="28"/>
          <w:szCs w:val="28"/>
        </w:rPr>
        <w:t xml:space="preserve">19 de enero de 2011 </w:t>
      </w:r>
      <w:r w:rsidRPr="005D131A">
        <w:rPr>
          <w:rFonts w:ascii="Times New Roman" w:hAnsi="Times New Roman"/>
          <w:sz w:val="28"/>
          <w:szCs w:val="28"/>
        </w:rPr>
        <w:t>fue proferida la Ley 1438, que en su artículo 27</w:t>
      </w:r>
      <w:r w:rsidRPr="005D131A">
        <w:rPr>
          <w:rFonts w:ascii="Times New Roman" w:hAnsi="Times New Roman"/>
          <w:sz w:val="28"/>
          <w:szCs w:val="28"/>
          <w:vertAlign w:val="superscript"/>
        </w:rPr>
        <w:footnoteReference w:id="28"/>
      </w:r>
      <w:r w:rsidRPr="005D131A">
        <w:rPr>
          <w:rFonts w:ascii="Times New Roman" w:hAnsi="Times New Roman"/>
          <w:sz w:val="28"/>
          <w:szCs w:val="28"/>
        </w:rPr>
        <w:t xml:space="preserve"> estableció que la Superintendencia Nac</w:t>
      </w:r>
      <w:r w:rsidR="00255DF6" w:rsidRPr="005D131A">
        <w:rPr>
          <w:rFonts w:ascii="Times New Roman" w:hAnsi="Times New Roman"/>
          <w:sz w:val="28"/>
          <w:szCs w:val="28"/>
        </w:rPr>
        <w:t>ional de Salud tendría</w:t>
      </w:r>
      <w:r w:rsidRPr="005D131A">
        <w:rPr>
          <w:rFonts w:ascii="Times New Roman" w:hAnsi="Times New Roman"/>
          <w:sz w:val="28"/>
          <w:szCs w:val="28"/>
        </w:rPr>
        <w:t xml:space="preserve"> una Junta Técnico Científica de Pares</w:t>
      </w:r>
      <w:r w:rsidR="000E0D7E" w:rsidRPr="005D131A">
        <w:rPr>
          <w:rFonts w:ascii="Times New Roman" w:hAnsi="Times New Roman"/>
          <w:sz w:val="28"/>
          <w:szCs w:val="28"/>
        </w:rPr>
        <w:t xml:space="preserve"> </w:t>
      </w:r>
      <w:r w:rsidRPr="005D131A">
        <w:rPr>
          <w:rFonts w:ascii="Times New Roman" w:hAnsi="Times New Roman"/>
          <w:sz w:val="28"/>
          <w:szCs w:val="28"/>
        </w:rPr>
        <w:t xml:space="preserve">-JTCP-, para emitir concepto sobre la prestación ordenada por </w:t>
      </w:r>
      <w:r w:rsidR="00674766" w:rsidRPr="005D131A">
        <w:rPr>
          <w:rFonts w:ascii="Times New Roman" w:hAnsi="Times New Roman"/>
          <w:sz w:val="28"/>
          <w:szCs w:val="28"/>
        </w:rPr>
        <w:t xml:space="preserve">el </w:t>
      </w:r>
      <w:r w:rsidRPr="005D131A">
        <w:rPr>
          <w:rFonts w:ascii="Times New Roman" w:hAnsi="Times New Roman"/>
          <w:sz w:val="28"/>
          <w:szCs w:val="28"/>
        </w:rPr>
        <w:t>médico tratante no prevista en el Plan de Beneficios, negada o aceptada por el CTC de la Entidad Promotora de Salud. Dicha figura debería ser conformada en un plazo no mayor a seis (6) meses.</w:t>
      </w:r>
    </w:p>
    <w:p w:rsidR="00F572CC" w:rsidRPr="005D131A" w:rsidRDefault="00F572CC" w:rsidP="005D131A">
      <w:pPr>
        <w:pStyle w:val="Sinespaciado1"/>
        <w:ind w:right="-40"/>
        <w:jc w:val="both"/>
        <w:rPr>
          <w:rFonts w:ascii="Times New Roman" w:hAnsi="Times New Roman"/>
          <w:sz w:val="28"/>
          <w:szCs w:val="28"/>
        </w:rPr>
      </w:pPr>
    </w:p>
    <w:p w:rsidR="009A0EA4" w:rsidRDefault="000E0D7E" w:rsidP="005D131A">
      <w:pPr>
        <w:pStyle w:val="Sinespaciado1"/>
        <w:tabs>
          <w:tab w:val="left" w:pos="284"/>
        </w:tabs>
        <w:ind w:right="-40"/>
        <w:jc w:val="both"/>
        <w:rPr>
          <w:rFonts w:ascii="Times New Roman" w:hAnsi="Times New Roman"/>
          <w:sz w:val="28"/>
          <w:szCs w:val="28"/>
          <w:lang w:val="es-ES" w:eastAsia="es-ES"/>
        </w:rPr>
      </w:pPr>
      <w:r w:rsidRPr="005D131A">
        <w:rPr>
          <w:rFonts w:ascii="Times New Roman" w:hAnsi="Times New Roman"/>
          <w:sz w:val="28"/>
          <w:szCs w:val="28"/>
        </w:rPr>
        <w:t xml:space="preserve">Dicho </w:t>
      </w:r>
      <w:r w:rsidR="009A0EA4" w:rsidRPr="005D131A">
        <w:rPr>
          <w:rFonts w:ascii="Times New Roman" w:hAnsi="Times New Roman"/>
          <w:sz w:val="28"/>
          <w:szCs w:val="28"/>
        </w:rPr>
        <w:t xml:space="preserve">precepto fue modificado por el artículo 116 del Decreto Ley 019 de 2012, en el sentido de que el suministro </w:t>
      </w:r>
      <w:r w:rsidR="009A0EA4" w:rsidRPr="005D131A">
        <w:rPr>
          <w:rFonts w:ascii="Times New Roman" w:hAnsi="Times New Roman"/>
          <w:sz w:val="28"/>
          <w:szCs w:val="28"/>
          <w:lang w:val="es-ES" w:eastAsia="es-ES"/>
        </w:rPr>
        <w:t>de servicios No POS, requeridos con necesidad y ordenados por el médi</w:t>
      </w:r>
      <w:r w:rsidRPr="005D131A">
        <w:rPr>
          <w:rFonts w:ascii="Times New Roman" w:hAnsi="Times New Roman"/>
          <w:sz w:val="28"/>
          <w:szCs w:val="28"/>
          <w:lang w:val="es-ES" w:eastAsia="es-ES"/>
        </w:rPr>
        <w:t>co tratante, deberá ser sometido</w:t>
      </w:r>
      <w:r w:rsidR="009A0EA4" w:rsidRPr="005D131A">
        <w:rPr>
          <w:rFonts w:ascii="Times New Roman" w:hAnsi="Times New Roman"/>
          <w:sz w:val="28"/>
          <w:szCs w:val="28"/>
          <w:lang w:val="es-ES" w:eastAsia="es-ES"/>
        </w:rPr>
        <w:t xml:space="preserve"> por la </w:t>
      </w:r>
      <w:r w:rsidR="00910B87" w:rsidRPr="005D131A">
        <w:rPr>
          <w:rFonts w:ascii="Times New Roman" w:hAnsi="Times New Roman"/>
          <w:sz w:val="28"/>
          <w:szCs w:val="28"/>
          <w:lang w:val="es-ES" w:eastAsia="es-ES"/>
        </w:rPr>
        <w:t xml:space="preserve">EPS </w:t>
      </w:r>
      <w:r w:rsidR="009A0EA4" w:rsidRPr="005D131A">
        <w:rPr>
          <w:rFonts w:ascii="Times New Roman" w:hAnsi="Times New Roman"/>
          <w:sz w:val="28"/>
          <w:szCs w:val="28"/>
          <w:lang w:val="es-ES" w:eastAsia="es-ES"/>
        </w:rPr>
        <w:t xml:space="preserve">al </w:t>
      </w:r>
      <w:r w:rsidRPr="005D131A">
        <w:rPr>
          <w:rFonts w:ascii="Times New Roman" w:hAnsi="Times New Roman"/>
          <w:sz w:val="28"/>
          <w:szCs w:val="28"/>
          <w:lang w:val="es-ES" w:eastAsia="es-ES"/>
        </w:rPr>
        <w:t xml:space="preserve">CTC </w:t>
      </w:r>
      <w:r w:rsidR="009A0EA4" w:rsidRPr="005D131A">
        <w:rPr>
          <w:rFonts w:ascii="Times New Roman" w:hAnsi="Times New Roman"/>
          <w:sz w:val="28"/>
          <w:szCs w:val="28"/>
          <w:lang w:val="es-ES" w:eastAsia="es-ES"/>
        </w:rPr>
        <w:t xml:space="preserve">o a la Junta Técnico-Científica de Pares de la Superintendencia Nacional de Salud, de conformidad con lo que determine el reglamento. </w:t>
      </w:r>
    </w:p>
    <w:p w:rsidR="00091338" w:rsidRPr="005D131A" w:rsidRDefault="00091338" w:rsidP="005D131A">
      <w:pPr>
        <w:pStyle w:val="Sinespaciado1"/>
        <w:tabs>
          <w:tab w:val="left" w:pos="284"/>
        </w:tabs>
        <w:ind w:right="-40"/>
        <w:jc w:val="both"/>
        <w:rPr>
          <w:rFonts w:ascii="Times New Roman" w:hAnsi="Times New Roman"/>
          <w:sz w:val="28"/>
          <w:szCs w:val="28"/>
          <w:lang w:val="es-ES" w:eastAsia="es-ES"/>
        </w:rPr>
      </w:pPr>
    </w:p>
    <w:p w:rsidR="009A0EA4" w:rsidRPr="005D131A" w:rsidRDefault="000E0D7E" w:rsidP="005D131A">
      <w:pPr>
        <w:tabs>
          <w:tab w:val="left" w:pos="8880"/>
        </w:tabs>
        <w:ind w:right="-40"/>
        <w:rPr>
          <w:sz w:val="28"/>
          <w:szCs w:val="28"/>
        </w:rPr>
      </w:pPr>
      <w:r w:rsidRPr="005D131A">
        <w:rPr>
          <w:sz w:val="28"/>
          <w:szCs w:val="28"/>
        </w:rPr>
        <w:t xml:space="preserve">De igual forma, </w:t>
      </w:r>
      <w:r w:rsidR="009A0EA4" w:rsidRPr="005D131A">
        <w:rPr>
          <w:sz w:val="28"/>
          <w:szCs w:val="28"/>
        </w:rPr>
        <w:t>señaló que tanto los C</w:t>
      </w:r>
      <w:r w:rsidRPr="005D131A">
        <w:rPr>
          <w:sz w:val="28"/>
          <w:szCs w:val="28"/>
        </w:rPr>
        <w:t>TC como las JTCP debían pronunciarse</w:t>
      </w:r>
      <w:r w:rsidR="009A0EA4" w:rsidRPr="005D131A">
        <w:rPr>
          <w:sz w:val="28"/>
          <w:szCs w:val="28"/>
        </w:rPr>
        <w:t xml:space="preserve"> sobre la insuficiencia de las prestaciones explícitas, la necesidad y la pertinencia de la provisión de servicios extraordinarios, en un plazo no mayor a siete (7) días calendario desde la solicitud completa del concepto, que se establecerá por el reglamento y de acuerdo con las condiciones médicas del paciente.</w:t>
      </w:r>
    </w:p>
    <w:p w:rsidR="00EE4CC7" w:rsidRPr="005D131A" w:rsidRDefault="00EE4CC7" w:rsidP="005D131A">
      <w:pPr>
        <w:tabs>
          <w:tab w:val="left" w:pos="8880"/>
        </w:tabs>
        <w:ind w:right="-40"/>
        <w:rPr>
          <w:sz w:val="28"/>
          <w:szCs w:val="28"/>
        </w:rPr>
      </w:pPr>
    </w:p>
    <w:p w:rsidR="00EA2037" w:rsidRPr="005D131A" w:rsidRDefault="009A0EA4" w:rsidP="005D131A">
      <w:pPr>
        <w:tabs>
          <w:tab w:val="left" w:pos="426"/>
        </w:tabs>
        <w:rPr>
          <w:sz w:val="28"/>
          <w:szCs w:val="28"/>
          <w:lang w:val="es-CO"/>
        </w:rPr>
      </w:pPr>
      <w:r w:rsidRPr="005D131A">
        <w:rPr>
          <w:sz w:val="28"/>
          <w:szCs w:val="28"/>
          <w:lang w:val="es-CO"/>
        </w:rPr>
        <w:t>10</w:t>
      </w:r>
      <w:r w:rsidR="006C721B" w:rsidRPr="005D131A">
        <w:rPr>
          <w:sz w:val="28"/>
          <w:szCs w:val="28"/>
          <w:lang w:val="es-CO"/>
        </w:rPr>
        <w:t xml:space="preserve">. </w:t>
      </w:r>
      <w:r w:rsidR="00EF2654" w:rsidRPr="005D131A">
        <w:rPr>
          <w:sz w:val="28"/>
          <w:szCs w:val="28"/>
          <w:lang w:val="es-CO"/>
        </w:rPr>
        <w:t xml:space="preserve">Por otro lado, la Corte mediante </w:t>
      </w:r>
      <w:r w:rsidR="00F614A3" w:rsidRPr="005D131A">
        <w:rPr>
          <w:b/>
          <w:sz w:val="28"/>
          <w:szCs w:val="28"/>
          <w:lang w:val="es-CO"/>
        </w:rPr>
        <w:t xml:space="preserve">Auto 317 de </w:t>
      </w:r>
      <w:r w:rsidR="00EF2654" w:rsidRPr="005D131A">
        <w:rPr>
          <w:b/>
          <w:sz w:val="28"/>
          <w:szCs w:val="28"/>
          <w:lang w:val="es-CO"/>
        </w:rPr>
        <w:t xml:space="preserve">28 de septiembre de </w:t>
      </w:r>
      <w:r w:rsidR="00F614A3" w:rsidRPr="005D131A">
        <w:rPr>
          <w:b/>
          <w:sz w:val="28"/>
          <w:szCs w:val="28"/>
          <w:lang w:val="es-CO"/>
        </w:rPr>
        <w:t>2010</w:t>
      </w:r>
      <w:r w:rsidR="00F614A3" w:rsidRPr="005D131A">
        <w:rPr>
          <w:sz w:val="28"/>
          <w:szCs w:val="28"/>
          <w:lang w:val="es-CO"/>
        </w:rPr>
        <w:t xml:space="preserve"> </w:t>
      </w:r>
      <w:r w:rsidR="00EF2654" w:rsidRPr="005D131A">
        <w:rPr>
          <w:sz w:val="28"/>
          <w:szCs w:val="28"/>
          <w:lang w:val="es-CO"/>
        </w:rPr>
        <w:t>invitó a algunas entidades académicas del orden nacional con el fin de que realizaran diagnósticos y propuestas sobre los temas cr</w:t>
      </w:r>
      <w:r w:rsidR="00734DE9" w:rsidRPr="005D131A">
        <w:rPr>
          <w:sz w:val="28"/>
          <w:szCs w:val="28"/>
          <w:lang w:val="es-CO"/>
        </w:rPr>
        <w:t>íticos y complejos</w:t>
      </w:r>
      <w:r w:rsidR="00674766" w:rsidRPr="005D131A">
        <w:rPr>
          <w:sz w:val="28"/>
          <w:szCs w:val="28"/>
          <w:lang w:val="es-CO"/>
        </w:rPr>
        <w:t xml:space="preserve"> que </w:t>
      </w:r>
      <w:r w:rsidR="00734DE9" w:rsidRPr="005D131A">
        <w:rPr>
          <w:sz w:val="28"/>
          <w:szCs w:val="28"/>
          <w:lang w:val="es-CO"/>
        </w:rPr>
        <w:t xml:space="preserve">han influido de manera negativa para el cabal cumplimiento de </w:t>
      </w:r>
      <w:r w:rsidR="00EF2654" w:rsidRPr="005D131A">
        <w:rPr>
          <w:sz w:val="28"/>
          <w:szCs w:val="28"/>
          <w:lang w:val="es-CO"/>
        </w:rPr>
        <w:t xml:space="preserve">la </w:t>
      </w:r>
      <w:r w:rsidR="00015D51" w:rsidRPr="005D131A">
        <w:rPr>
          <w:sz w:val="28"/>
          <w:szCs w:val="28"/>
          <w:lang w:val="es-CO"/>
        </w:rPr>
        <w:t>sente</w:t>
      </w:r>
      <w:r w:rsidR="00465153" w:rsidRPr="005D131A">
        <w:rPr>
          <w:sz w:val="28"/>
          <w:szCs w:val="28"/>
          <w:lang w:val="es-CO"/>
        </w:rPr>
        <w:t>ncia T-760 de 2008. En ese sentido</w:t>
      </w:r>
      <w:r w:rsidR="00015D51" w:rsidRPr="005D131A">
        <w:rPr>
          <w:sz w:val="28"/>
          <w:szCs w:val="28"/>
          <w:lang w:val="es-CO"/>
        </w:rPr>
        <w:t xml:space="preserve">, solicitó a las universidades, a los grupos </w:t>
      </w:r>
      <w:r w:rsidR="00255DF6" w:rsidRPr="005D131A">
        <w:rPr>
          <w:sz w:val="28"/>
          <w:szCs w:val="28"/>
          <w:lang w:val="es-CO"/>
        </w:rPr>
        <w:t xml:space="preserve">de seguimiento y </w:t>
      </w:r>
      <w:r w:rsidR="00674766" w:rsidRPr="005D131A">
        <w:rPr>
          <w:sz w:val="28"/>
          <w:szCs w:val="28"/>
          <w:lang w:val="es-CO"/>
        </w:rPr>
        <w:t xml:space="preserve">de investigación, </w:t>
      </w:r>
      <w:r w:rsidR="00734DE9" w:rsidRPr="005D131A">
        <w:rPr>
          <w:sz w:val="28"/>
          <w:szCs w:val="28"/>
          <w:lang w:val="es-CO"/>
        </w:rPr>
        <w:t xml:space="preserve">para que </w:t>
      </w:r>
      <w:r w:rsidR="008E2F9D" w:rsidRPr="005D131A">
        <w:rPr>
          <w:sz w:val="28"/>
          <w:szCs w:val="28"/>
          <w:lang w:val="es-CO"/>
        </w:rPr>
        <w:t xml:space="preserve">contestaran una serie de interrogantes </w:t>
      </w:r>
      <w:r w:rsidR="00AD2A2D" w:rsidRPr="005D131A">
        <w:rPr>
          <w:sz w:val="28"/>
          <w:szCs w:val="28"/>
          <w:lang w:val="es-CO"/>
        </w:rPr>
        <w:t>relacionado</w:t>
      </w:r>
      <w:r w:rsidR="00734DE9" w:rsidRPr="005D131A">
        <w:rPr>
          <w:sz w:val="28"/>
          <w:szCs w:val="28"/>
          <w:lang w:val="es-CO"/>
        </w:rPr>
        <w:t>s con e</w:t>
      </w:r>
      <w:r w:rsidR="00AD2A2D" w:rsidRPr="005D131A">
        <w:rPr>
          <w:sz w:val="28"/>
          <w:szCs w:val="28"/>
          <w:lang w:val="es-CO"/>
        </w:rPr>
        <w:t>l grado de acatamiento de alguno</w:t>
      </w:r>
      <w:r w:rsidR="00734DE9" w:rsidRPr="005D131A">
        <w:rPr>
          <w:sz w:val="28"/>
          <w:szCs w:val="28"/>
          <w:lang w:val="es-CO"/>
        </w:rPr>
        <w:t>s de los manda</w:t>
      </w:r>
      <w:r w:rsidR="00674766" w:rsidRPr="005D131A">
        <w:rPr>
          <w:sz w:val="28"/>
          <w:szCs w:val="28"/>
          <w:lang w:val="es-CO"/>
        </w:rPr>
        <w:t>tos de la providencia</w:t>
      </w:r>
      <w:r w:rsidR="00734DE9" w:rsidRPr="005D131A">
        <w:rPr>
          <w:sz w:val="28"/>
          <w:szCs w:val="28"/>
          <w:lang w:val="es-CO"/>
        </w:rPr>
        <w:t xml:space="preserve"> y las anomalías que persisten. </w:t>
      </w:r>
    </w:p>
    <w:p w:rsidR="00EA2037" w:rsidRPr="005D131A" w:rsidRDefault="00EA2037" w:rsidP="005D131A">
      <w:pPr>
        <w:tabs>
          <w:tab w:val="left" w:pos="426"/>
        </w:tabs>
        <w:rPr>
          <w:sz w:val="28"/>
          <w:szCs w:val="28"/>
          <w:lang w:val="es-CO"/>
        </w:rPr>
      </w:pPr>
    </w:p>
    <w:p w:rsidR="006E26F5" w:rsidRPr="005D131A" w:rsidRDefault="00734DE9" w:rsidP="005D131A">
      <w:pPr>
        <w:tabs>
          <w:tab w:val="left" w:pos="426"/>
        </w:tabs>
        <w:rPr>
          <w:sz w:val="28"/>
          <w:szCs w:val="28"/>
          <w:lang w:val="es-CO"/>
        </w:rPr>
      </w:pPr>
      <w:r w:rsidRPr="005D131A">
        <w:rPr>
          <w:sz w:val="28"/>
          <w:szCs w:val="28"/>
          <w:lang w:val="es-CO"/>
        </w:rPr>
        <w:t>Específicamente, en relación con la ord</w:t>
      </w:r>
      <w:r w:rsidR="00674766" w:rsidRPr="005D131A">
        <w:rPr>
          <w:sz w:val="28"/>
          <w:szCs w:val="28"/>
          <w:lang w:val="es-CO"/>
        </w:rPr>
        <w:t>en 23 el Tribunal</w:t>
      </w:r>
      <w:r w:rsidRPr="005D131A">
        <w:rPr>
          <w:sz w:val="28"/>
          <w:szCs w:val="28"/>
          <w:lang w:val="es-CO"/>
        </w:rPr>
        <w:t xml:space="preserve"> elaboró dos preguntas. La primera de ellas, </w:t>
      </w:r>
      <w:r w:rsidR="009B7562" w:rsidRPr="005D131A">
        <w:rPr>
          <w:sz w:val="28"/>
          <w:szCs w:val="28"/>
          <w:lang w:val="es-CO"/>
        </w:rPr>
        <w:t>hizo</w:t>
      </w:r>
      <w:r w:rsidR="00465153" w:rsidRPr="005D131A">
        <w:rPr>
          <w:sz w:val="28"/>
          <w:szCs w:val="28"/>
          <w:lang w:val="es-CO"/>
        </w:rPr>
        <w:t xml:space="preserve"> referencia a</w:t>
      </w:r>
      <w:r w:rsidR="00AD2A2D" w:rsidRPr="005D131A">
        <w:rPr>
          <w:sz w:val="28"/>
          <w:szCs w:val="28"/>
          <w:lang w:val="es-CO"/>
        </w:rPr>
        <w:t xml:space="preserve"> </w:t>
      </w:r>
      <w:r w:rsidR="008E2F9D" w:rsidRPr="005D131A">
        <w:rPr>
          <w:sz w:val="28"/>
          <w:szCs w:val="28"/>
          <w:lang w:val="es-CO"/>
        </w:rPr>
        <w:t xml:space="preserve">si la normativa </w:t>
      </w:r>
      <w:r w:rsidR="00AD2A2D" w:rsidRPr="005D131A">
        <w:rPr>
          <w:sz w:val="28"/>
          <w:szCs w:val="28"/>
          <w:lang w:val="es-CO"/>
        </w:rPr>
        <w:t xml:space="preserve">existente era </w:t>
      </w:r>
      <w:r w:rsidR="008E2F9D" w:rsidRPr="005D131A">
        <w:rPr>
          <w:sz w:val="28"/>
          <w:szCs w:val="28"/>
          <w:lang w:val="es-CO"/>
        </w:rPr>
        <w:t xml:space="preserve">suficiente para garantizar el trámite interno directo de  autorizaciones de los servicios no POS ordenados por el médico tratante. </w:t>
      </w:r>
      <w:r w:rsidR="00465153" w:rsidRPr="005D131A">
        <w:rPr>
          <w:sz w:val="28"/>
          <w:szCs w:val="28"/>
          <w:lang w:val="es-CO"/>
        </w:rPr>
        <w:t>Por su parte, e</w:t>
      </w:r>
      <w:r w:rsidR="006F77E2" w:rsidRPr="005D131A">
        <w:rPr>
          <w:sz w:val="28"/>
          <w:szCs w:val="28"/>
          <w:lang w:val="es-CO"/>
        </w:rPr>
        <w:t xml:space="preserve">l segundo interrogante </w:t>
      </w:r>
      <w:r w:rsidR="008E2F9D" w:rsidRPr="005D131A">
        <w:rPr>
          <w:sz w:val="28"/>
          <w:szCs w:val="28"/>
          <w:lang w:val="es-CO"/>
        </w:rPr>
        <w:t xml:space="preserve">indagó </w:t>
      </w:r>
      <w:r w:rsidR="00465153" w:rsidRPr="005D131A">
        <w:rPr>
          <w:sz w:val="28"/>
          <w:szCs w:val="28"/>
          <w:lang w:val="es-CO"/>
        </w:rPr>
        <w:t xml:space="preserve">si </w:t>
      </w:r>
      <w:r w:rsidR="008E2F9D" w:rsidRPr="005D131A">
        <w:rPr>
          <w:sz w:val="28"/>
          <w:szCs w:val="28"/>
          <w:lang w:val="es-CO"/>
        </w:rPr>
        <w:t xml:space="preserve">los </w:t>
      </w:r>
      <w:r w:rsidR="00EE57D8" w:rsidRPr="005D131A">
        <w:rPr>
          <w:sz w:val="28"/>
          <w:szCs w:val="28"/>
          <w:lang w:val="es-CO"/>
        </w:rPr>
        <w:t xml:space="preserve">CTC </w:t>
      </w:r>
      <w:r w:rsidR="008E2F9D" w:rsidRPr="005D131A">
        <w:rPr>
          <w:sz w:val="28"/>
          <w:szCs w:val="28"/>
          <w:lang w:val="es-CO"/>
        </w:rPr>
        <w:t>constituye</w:t>
      </w:r>
      <w:r w:rsidR="00465153" w:rsidRPr="005D131A">
        <w:rPr>
          <w:sz w:val="28"/>
          <w:szCs w:val="28"/>
          <w:lang w:val="es-CO"/>
        </w:rPr>
        <w:t>n</w:t>
      </w:r>
      <w:r w:rsidR="008E2F9D" w:rsidRPr="005D131A">
        <w:rPr>
          <w:sz w:val="28"/>
          <w:szCs w:val="28"/>
          <w:lang w:val="es-CO"/>
        </w:rPr>
        <w:t xml:space="preserve"> una garantía real para que </w:t>
      </w:r>
      <w:r w:rsidR="008A2A5C" w:rsidRPr="005D131A">
        <w:rPr>
          <w:sz w:val="28"/>
          <w:szCs w:val="28"/>
          <w:lang w:val="es-CO"/>
        </w:rPr>
        <w:t>los usuarios acceda</w:t>
      </w:r>
      <w:r w:rsidR="008E2F9D" w:rsidRPr="005D131A">
        <w:rPr>
          <w:sz w:val="28"/>
          <w:szCs w:val="28"/>
          <w:lang w:val="es-CO"/>
        </w:rPr>
        <w:t>n de manera efectiva</w:t>
      </w:r>
      <w:r w:rsidR="008A2A5C" w:rsidRPr="005D131A">
        <w:rPr>
          <w:sz w:val="28"/>
          <w:szCs w:val="28"/>
          <w:lang w:val="es-CO"/>
        </w:rPr>
        <w:t xml:space="preserve"> a los servicios de sa</w:t>
      </w:r>
      <w:r w:rsidR="00674766" w:rsidRPr="005D131A">
        <w:rPr>
          <w:sz w:val="28"/>
          <w:szCs w:val="28"/>
          <w:lang w:val="es-CO"/>
        </w:rPr>
        <w:t xml:space="preserve">lud que requieren con necesidad, </w:t>
      </w:r>
      <w:r w:rsidR="008A2A5C" w:rsidRPr="005D131A">
        <w:rPr>
          <w:sz w:val="28"/>
          <w:szCs w:val="28"/>
          <w:lang w:val="es-CO"/>
        </w:rPr>
        <w:t>y controlar los posibles excesos o abusos</w:t>
      </w:r>
      <w:r w:rsidR="008E2F9D" w:rsidRPr="005D131A">
        <w:rPr>
          <w:sz w:val="28"/>
          <w:szCs w:val="28"/>
          <w:lang w:val="es-CO"/>
        </w:rPr>
        <w:t xml:space="preserve"> por parte de las</w:t>
      </w:r>
      <w:r w:rsidR="00EE57D8" w:rsidRPr="005D131A">
        <w:rPr>
          <w:sz w:val="28"/>
          <w:szCs w:val="28"/>
          <w:lang w:val="es-CO"/>
        </w:rPr>
        <w:t xml:space="preserve"> EPS</w:t>
      </w:r>
      <w:r w:rsidR="008A2A5C" w:rsidRPr="005D131A">
        <w:rPr>
          <w:sz w:val="28"/>
          <w:szCs w:val="28"/>
          <w:lang w:val="es-CO"/>
        </w:rPr>
        <w:t xml:space="preserve">. </w:t>
      </w:r>
      <w:r w:rsidR="00F614A3" w:rsidRPr="005D131A">
        <w:rPr>
          <w:sz w:val="28"/>
          <w:szCs w:val="28"/>
          <w:lang w:val="es-CO"/>
        </w:rPr>
        <w:t>En respuesta, fueron radicados los siguientes documentos:</w:t>
      </w:r>
    </w:p>
    <w:p w:rsidR="00465153" w:rsidRPr="005D131A" w:rsidRDefault="00465153" w:rsidP="005D131A">
      <w:pPr>
        <w:tabs>
          <w:tab w:val="left" w:pos="426"/>
        </w:tabs>
        <w:rPr>
          <w:sz w:val="28"/>
          <w:szCs w:val="28"/>
          <w:lang w:val="es-CO"/>
        </w:rPr>
      </w:pPr>
    </w:p>
    <w:p w:rsidR="00102BB6" w:rsidRPr="005D131A" w:rsidRDefault="009F2A0A" w:rsidP="005D131A">
      <w:pPr>
        <w:pStyle w:val="Prrafodelista"/>
        <w:tabs>
          <w:tab w:val="left" w:pos="567"/>
        </w:tabs>
        <w:ind w:left="0"/>
        <w:rPr>
          <w:i/>
          <w:sz w:val="28"/>
          <w:szCs w:val="28"/>
          <w:lang w:val="es-CO"/>
        </w:rPr>
      </w:pPr>
      <w:r w:rsidRPr="005D131A">
        <w:rPr>
          <w:sz w:val="28"/>
          <w:szCs w:val="28"/>
          <w:lang w:val="es-CO"/>
        </w:rPr>
        <w:t>10.1.</w:t>
      </w:r>
      <w:r w:rsidR="00B1422F" w:rsidRPr="005D131A">
        <w:rPr>
          <w:sz w:val="28"/>
          <w:szCs w:val="28"/>
          <w:lang w:val="es-CO"/>
        </w:rPr>
        <w:t xml:space="preserve"> El 1º de febrero de 2011</w:t>
      </w:r>
      <w:r w:rsidR="00102BB6" w:rsidRPr="005D131A">
        <w:rPr>
          <w:sz w:val="28"/>
          <w:szCs w:val="28"/>
          <w:vertAlign w:val="superscript"/>
          <w:lang w:val="es-CO"/>
        </w:rPr>
        <w:footnoteReference w:id="29"/>
      </w:r>
      <w:r w:rsidR="00102BB6" w:rsidRPr="005D131A">
        <w:rPr>
          <w:sz w:val="28"/>
          <w:szCs w:val="28"/>
          <w:lang w:val="es-CO"/>
        </w:rPr>
        <w:t xml:space="preserve"> </w:t>
      </w:r>
      <w:r w:rsidR="00B1422F" w:rsidRPr="005D131A">
        <w:rPr>
          <w:sz w:val="28"/>
          <w:szCs w:val="28"/>
          <w:lang w:val="es-CO"/>
        </w:rPr>
        <w:t>Acemi</w:t>
      </w:r>
      <w:r w:rsidR="00102BB6" w:rsidRPr="005D131A">
        <w:rPr>
          <w:sz w:val="28"/>
          <w:szCs w:val="28"/>
          <w:lang w:val="es-CO"/>
        </w:rPr>
        <w:t xml:space="preserve"> </w:t>
      </w:r>
      <w:r w:rsidR="00C61F11" w:rsidRPr="005D131A">
        <w:rPr>
          <w:sz w:val="28"/>
          <w:szCs w:val="28"/>
          <w:lang w:val="es-CO"/>
        </w:rPr>
        <w:t>adujo que la normativa</w:t>
      </w:r>
      <w:r w:rsidR="00102BB6" w:rsidRPr="005D131A">
        <w:rPr>
          <w:sz w:val="28"/>
          <w:szCs w:val="28"/>
          <w:lang w:val="es-CO"/>
        </w:rPr>
        <w:t xml:space="preserve"> existente es insuficiente, por lo que</w:t>
      </w:r>
      <w:r w:rsidR="00C61F11" w:rsidRPr="005D131A">
        <w:rPr>
          <w:sz w:val="28"/>
          <w:szCs w:val="28"/>
          <w:lang w:val="es-CO"/>
        </w:rPr>
        <w:t xml:space="preserve"> </w:t>
      </w:r>
      <w:r w:rsidR="00C61F11" w:rsidRPr="005D131A">
        <w:rPr>
          <w:i/>
          <w:sz w:val="28"/>
          <w:szCs w:val="28"/>
          <w:lang w:val="es-CO"/>
        </w:rPr>
        <w:t>“es</w:t>
      </w:r>
      <w:r w:rsidR="00C61F11" w:rsidRPr="005D131A">
        <w:rPr>
          <w:sz w:val="28"/>
          <w:szCs w:val="28"/>
          <w:lang w:val="es-CO"/>
        </w:rPr>
        <w:t xml:space="preserve"> </w:t>
      </w:r>
      <w:r w:rsidR="00C61F11" w:rsidRPr="005D131A">
        <w:rPr>
          <w:i/>
          <w:sz w:val="28"/>
          <w:szCs w:val="28"/>
          <w:lang w:val="es-CO"/>
        </w:rPr>
        <w:t xml:space="preserve">imprescindible la asignación de la fuente de financiación específica y suficiente para cubrir estos servicios, y definir la estructura administrativa que se encargue de su gestión, contratación y del pago de las autorizaciones emanadas”. </w:t>
      </w:r>
      <w:r w:rsidR="00C61F11" w:rsidRPr="005D131A">
        <w:rPr>
          <w:sz w:val="28"/>
          <w:szCs w:val="28"/>
          <w:lang w:val="es-CO"/>
        </w:rPr>
        <w:t xml:space="preserve">Sostuvo, que </w:t>
      </w:r>
      <w:r w:rsidR="00102BB6" w:rsidRPr="005D131A">
        <w:rPr>
          <w:sz w:val="28"/>
          <w:szCs w:val="28"/>
          <w:lang w:val="es-CO"/>
        </w:rPr>
        <w:t xml:space="preserve">la composición de los </w:t>
      </w:r>
      <w:r w:rsidR="00C61F11" w:rsidRPr="005D131A">
        <w:rPr>
          <w:sz w:val="28"/>
          <w:szCs w:val="28"/>
          <w:lang w:val="es-CO"/>
        </w:rPr>
        <w:t>CTC fue reformulada mediante la Ley 1438 de 2011</w:t>
      </w:r>
      <w:r w:rsidR="00C61F11" w:rsidRPr="005D131A">
        <w:rPr>
          <w:sz w:val="28"/>
          <w:szCs w:val="28"/>
          <w:vertAlign w:val="superscript"/>
          <w:lang w:val="es-CO"/>
        </w:rPr>
        <w:footnoteReference w:id="30"/>
      </w:r>
      <w:r w:rsidR="00102BB6" w:rsidRPr="005D131A">
        <w:rPr>
          <w:sz w:val="28"/>
          <w:szCs w:val="28"/>
          <w:lang w:val="es-CO"/>
        </w:rPr>
        <w:t xml:space="preserve">, disposición que estableció un plazo no superior a 2 días calendario para tramitar y decidir las solicitudes de autorización de servicios.  </w:t>
      </w:r>
    </w:p>
    <w:p w:rsidR="00F55F55" w:rsidRPr="005D131A" w:rsidRDefault="00F55F55" w:rsidP="005D131A">
      <w:pPr>
        <w:rPr>
          <w:sz w:val="28"/>
          <w:szCs w:val="28"/>
          <w:lang w:val="es-CO"/>
        </w:rPr>
      </w:pPr>
    </w:p>
    <w:p w:rsidR="003C4BB6" w:rsidRPr="005D131A" w:rsidRDefault="009F2A0A" w:rsidP="005D131A">
      <w:pPr>
        <w:tabs>
          <w:tab w:val="left" w:pos="567"/>
        </w:tabs>
        <w:rPr>
          <w:sz w:val="28"/>
          <w:szCs w:val="28"/>
          <w:lang w:val="es-CO"/>
        </w:rPr>
      </w:pPr>
      <w:r w:rsidRPr="005D131A">
        <w:rPr>
          <w:sz w:val="28"/>
          <w:szCs w:val="28"/>
          <w:lang w:val="es-CO"/>
        </w:rPr>
        <w:t xml:space="preserve">10.2. </w:t>
      </w:r>
      <w:r w:rsidR="00CC7BA6" w:rsidRPr="005D131A">
        <w:rPr>
          <w:sz w:val="28"/>
          <w:szCs w:val="28"/>
          <w:lang w:val="es-CO"/>
        </w:rPr>
        <w:t xml:space="preserve">El </w:t>
      </w:r>
      <w:r w:rsidR="00676867" w:rsidRPr="005D131A">
        <w:rPr>
          <w:sz w:val="28"/>
          <w:szCs w:val="28"/>
          <w:lang w:val="es-CO"/>
        </w:rPr>
        <w:t xml:space="preserve">Departamento de Medicina Preventiva y Salud Pública de la Universidad de Antioquia, </w:t>
      </w:r>
      <w:r w:rsidR="00CC7BA6" w:rsidRPr="005D131A">
        <w:rPr>
          <w:sz w:val="28"/>
          <w:szCs w:val="28"/>
          <w:lang w:val="es-CO"/>
        </w:rPr>
        <w:t xml:space="preserve">mediante </w:t>
      </w:r>
      <w:r w:rsidR="00CC7BA6" w:rsidRPr="005D131A">
        <w:rPr>
          <w:i/>
          <w:sz w:val="28"/>
          <w:szCs w:val="28"/>
          <w:lang w:val="es-CO"/>
        </w:rPr>
        <w:t>e-mail</w:t>
      </w:r>
      <w:r w:rsidR="00CC7BA6" w:rsidRPr="005D131A">
        <w:rPr>
          <w:sz w:val="28"/>
          <w:szCs w:val="28"/>
          <w:lang w:val="es-CO"/>
        </w:rPr>
        <w:t xml:space="preserve"> enviado a esta Corporación el </w:t>
      </w:r>
      <w:r w:rsidR="00F524AD" w:rsidRPr="005D131A">
        <w:rPr>
          <w:sz w:val="28"/>
          <w:szCs w:val="28"/>
          <w:lang w:val="es-CO"/>
        </w:rPr>
        <w:t>2 de febrero de 2011</w:t>
      </w:r>
      <w:r w:rsidR="0058454B" w:rsidRPr="005D131A">
        <w:rPr>
          <w:sz w:val="28"/>
          <w:szCs w:val="28"/>
          <w:vertAlign w:val="superscript"/>
          <w:lang w:val="es-CO"/>
        </w:rPr>
        <w:footnoteReference w:id="31"/>
      </w:r>
      <w:r w:rsidR="00F524AD" w:rsidRPr="005D131A">
        <w:rPr>
          <w:sz w:val="28"/>
          <w:szCs w:val="28"/>
          <w:lang w:val="es-CO"/>
        </w:rPr>
        <w:t xml:space="preserve"> cuestionó la independencia de los CTC respecto de las EPS porque </w:t>
      </w:r>
      <w:r w:rsidR="007D4E46" w:rsidRPr="005D131A">
        <w:rPr>
          <w:sz w:val="28"/>
          <w:szCs w:val="28"/>
          <w:lang w:val="es-CO"/>
        </w:rPr>
        <w:t xml:space="preserve">esos organismos </w:t>
      </w:r>
      <w:r w:rsidR="00F524AD" w:rsidRPr="005D131A">
        <w:rPr>
          <w:sz w:val="28"/>
          <w:szCs w:val="28"/>
          <w:lang w:val="es-CO"/>
        </w:rPr>
        <w:t>están más comprometidos con los intermediarios que con los usuar</w:t>
      </w:r>
      <w:r w:rsidR="007D4E46" w:rsidRPr="005D131A">
        <w:rPr>
          <w:sz w:val="28"/>
          <w:szCs w:val="28"/>
          <w:lang w:val="es-CO"/>
        </w:rPr>
        <w:t>ios</w:t>
      </w:r>
      <w:r w:rsidR="00674766" w:rsidRPr="005D131A">
        <w:rPr>
          <w:sz w:val="28"/>
          <w:szCs w:val="28"/>
          <w:lang w:val="es-CO"/>
        </w:rPr>
        <w:t>,</w:t>
      </w:r>
      <w:r w:rsidR="007D4E46" w:rsidRPr="005D131A">
        <w:rPr>
          <w:sz w:val="28"/>
          <w:szCs w:val="28"/>
          <w:lang w:val="es-CO"/>
        </w:rPr>
        <w:t xml:space="preserve"> y su labor no es imparcial ya </w:t>
      </w:r>
      <w:r w:rsidR="00E71218" w:rsidRPr="005D131A">
        <w:rPr>
          <w:sz w:val="28"/>
          <w:szCs w:val="28"/>
          <w:lang w:val="es-CO"/>
        </w:rPr>
        <w:t>que</w:t>
      </w:r>
      <w:r w:rsidR="00E71218" w:rsidRPr="005D131A">
        <w:rPr>
          <w:i/>
          <w:sz w:val="28"/>
          <w:szCs w:val="28"/>
          <w:lang w:val="es-CO"/>
        </w:rPr>
        <w:t xml:space="preserve"> “es</w:t>
      </w:r>
      <w:r w:rsidR="00F524AD" w:rsidRPr="005D131A">
        <w:rPr>
          <w:i/>
          <w:sz w:val="28"/>
          <w:szCs w:val="28"/>
          <w:lang w:val="es-CO"/>
        </w:rPr>
        <w:t xml:space="preserve"> evidente la capacidad de manipulación de sus miembros por las relaciones de dependencia con las EPS y muy dudosa la independencia de los representantes de los usuarios dada la pobre organización social que existe alrededor del sistema de salud”</w:t>
      </w:r>
      <w:r w:rsidR="00F524AD" w:rsidRPr="005D131A">
        <w:rPr>
          <w:sz w:val="28"/>
          <w:szCs w:val="28"/>
          <w:lang w:val="es-CO"/>
        </w:rPr>
        <w:t xml:space="preserve">. </w:t>
      </w:r>
    </w:p>
    <w:p w:rsidR="003C4BB6" w:rsidRPr="005D131A" w:rsidRDefault="003C4BB6" w:rsidP="005D131A">
      <w:pPr>
        <w:tabs>
          <w:tab w:val="left" w:pos="567"/>
        </w:tabs>
        <w:rPr>
          <w:sz w:val="28"/>
          <w:szCs w:val="28"/>
          <w:lang w:val="es-CO"/>
        </w:rPr>
      </w:pPr>
    </w:p>
    <w:p w:rsidR="008C36B1" w:rsidRPr="005D131A" w:rsidRDefault="00807276" w:rsidP="005D131A">
      <w:pPr>
        <w:tabs>
          <w:tab w:val="left" w:pos="567"/>
        </w:tabs>
        <w:rPr>
          <w:sz w:val="28"/>
          <w:szCs w:val="28"/>
          <w:lang w:val="es-CO"/>
        </w:rPr>
      </w:pPr>
      <w:r w:rsidRPr="005D131A">
        <w:rPr>
          <w:sz w:val="28"/>
          <w:szCs w:val="28"/>
          <w:lang w:val="es-CO"/>
        </w:rPr>
        <w:t xml:space="preserve">Teniendo en cuenta que </w:t>
      </w:r>
      <w:r w:rsidR="008C36B1" w:rsidRPr="005D131A">
        <w:rPr>
          <w:sz w:val="28"/>
          <w:szCs w:val="28"/>
          <w:lang w:val="es-CO"/>
        </w:rPr>
        <w:t>la Ley 1438 de 2011 cambió la conformación de los</w:t>
      </w:r>
      <w:r w:rsidR="007D4E46" w:rsidRPr="005D131A">
        <w:rPr>
          <w:sz w:val="28"/>
          <w:szCs w:val="28"/>
          <w:lang w:val="es-CO"/>
        </w:rPr>
        <w:t xml:space="preserve"> CTC</w:t>
      </w:r>
      <w:r w:rsidRPr="005D131A">
        <w:rPr>
          <w:sz w:val="28"/>
          <w:szCs w:val="28"/>
          <w:lang w:val="es-CO"/>
        </w:rPr>
        <w:t>, haciendo énfasis en que debían ser</w:t>
      </w:r>
      <w:r w:rsidR="008C36B1" w:rsidRPr="005D131A">
        <w:rPr>
          <w:sz w:val="28"/>
          <w:szCs w:val="28"/>
          <w:lang w:val="es-CO"/>
        </w:rPr>
        <w:t xml:space="preserve"> in</w:t>
      </w:r>
      <w:r w:rsidR="007C2E5A" w:rsidRPr="005D131A">
        <w:rPr>
          <w:sz w:val="28"/>
          <w:szCs w:val="28"/>
          <w:lang w:val="es-CO"/>
        </w:rPr>
        <w:t>tegra</w:t>
      </w:r>
      <w:r w:rsidR="00AB22A1" w:rsidRPr="005D131A">
        <w:rPr>
          <w:sz w:val="28"/>
          <w:szCs w:val="28"/>
          <w:lang w:val="es-CO"/>
        </w:rPr>
        <w:t>d</w:t>
      </w:r>
      <w:r w:rsidR="008C36B1" w:rsidRPr="005D131A">
        <w:rPr>
          <w:sz w:val="28"/>
          <w:szCs w:val="28"/>
          <w:lang w:val="es-CO"/>
        </w:rPr>
        <w:t xml:space="preserve">os </w:t>
      </w:r>
      <w:r w:rsidRPr="005D131A">
        <w:rPr>
          <w:sz w:val="28"/>
          <w:szCs w:val="28"/>
          <w:lang w:val="es-CO"/>
        </w:rPr>
        <w:t xml:space="preserve">por </w:t>
      </w:r>
      <w:r w:rsidR="008C36B1" w:rsidRPr="005D131A">
        <w:rPr>
          <w:sz w:val="28"/>
          <w:szCs w:val="28"/>
          <w:lang w:val="es-CO"/>
        </w:rPr>
        <w:t>m</w:t>
      </w:r>
      <w:r w:rsidRPr="005D131A">
        <w:rPr>
          <w:sz w:val="28"/>
          <w:szCs w:val="28"/>
          <w:lang w:val="es-CO"/>
        </w:rPr>
        <w:t xml:space="preserve">édicos tratantes o científicos, </w:t>
      </w:r>
      <w:r w:rsidR="008C36B1" w:rsidRPr="005D131A">
        <w:rPr>
          <w:sz w:val="28"/>
          <w:szCs w:val="28"/>
          <w:lang w:val="es-CO"/>
        </w:rPr>
        <w:t xml:space="preserve">propuso que </w:t>
      </w:r>
      <w:r w:rsidRPr="005D131A">
        <w:rPr>
          <w:sz w:val="28"/>
          <w:szCs w:val="28"/>
          <w:lang w:val="es-CO"/>
        </w:rPr>
        <w:t xml:space="preserve">sus </w:t>
      </w:r>
      <w:r w:rsidR="007F7D33" w:rsidRPr="005D131A">
        <w:rPr>
          <w:sz w:val="28"/>
          <w:szCs w:val="28"/>
          <w:lang w:val="es-CO"/>
        </w:rPr>
        <w:t>miembros</w:t>
      </w:r>
      <w:r w:rsidR="008C36B1" w:rsidRPr="005D131A">
        <w:rPr>
          <w:sz w:val="28"/>
          <w:szCs w:val="28"/>
          <w:lang w:val="es-CO"/>
        </w:rPr>
        <w:t xml:space="preserve"> </w:t>
      </w:r>
      <w:r w:rsidRPr="005D131A">
        <w:rPr>
          <w:sz w:val="28"/>
          <w:szCs w:val="28"/>
          <w:lang w:val="es-CO"/>
        </w:rPr>
        <w:t xml:space="preserve">fueran </w:t>
      </w:r>
      <w:r w:rsidR="008C36B1" w:rsidRPr="005D131A">
        <w:rPr>
          <w:sz w:val="28"/>
          <w:szCs w:val="28"/>
          <w:lang w:val="es-CO"/>
        </w:rPr>
        <w:t xml:space="preserve">elegidos por las Defensorías del </w:t>
      </w:r>
      <w:r w:rsidR="007F7D33" w:rsidRPr="005D131A">
        <w:rPr>
          <w:sz w:val="28"/>
          <w:szCs w:val="28"/>
          <w:lang w:val="es-CO"/>
        </w:rPr>
        <w:t>P</w:t>
      </w:r>
      <w:r w:rsidR="008C36B1" w:rsidRPr="005D131A">
        <w:rPr>
          <w:sz w:val="28"/>
          <w:szCs w:val="28"/>
          <w:lang w:val="es-CO"/>
        </w:rPr>
        <w:t>ueblo, las Personerías y las Secretarías Municipales de Salud.</w:t>
      </w:r>
    </w:p>
    <w:p w:rsidR="0058454B" w:rsidRPr="005D131A" w:rsidRDefault="0058454B" w:rsidP="005D131A">
      <w:pPr>
        <w:tabs>
          <w:tab w:val="left" w:pos="567"/>
        </w:tabs>
        <w:rPr>
          <w:sz w:val="28"/>
          <w:szCs w:val="28"/>
          <w:lang w:val="es-CO"/>
        </w:rPr>
      </w:pPr>
    </w:p>
    <w:p w:rsidR="007F7D33" w:rsidRPr="005D131A" w:rsidRDefault="00A74AC5" w:rsidP="005D131A">
      <w:pPr>
        <w:tabs>
          <w:tab w:val="left" w:pos="567"/>
        </w:tabs>
        <w:rPr>
          <w:sz w:val="28"/>
          <w:szCs w:val="28"/>
          <w:lang w:val="es-CO"/>
        </w:rPr>
      </w:pPr>
      <w:r w:rsidRPr="005D131A">
        <w:rPr>
          <w:sz w:val="28"/>
          <w:szCs w:val="28"/>
          <w:lang w:val="es-CO"/>
        </w:rPr>
        <w:t>Agregó que</w:t>
      </w:r>
      <w:r w:rsidR="003C463F" w:rsidRPr="005D131A">
        <w:rPr>
          <w:sz w:val="28"/>
          <w:szCs w:val="28"/>
          <w:lang w:val="es-CO"/>
        </w:rPr>
        <w:t xml:space="preserve"> </w:t>
      </w:r>
      <w:r w:rsidR="000007FF" w:rsidRPr="005D131A">
        <w:rPr>
          <w:sz w:val="28"/>
          <w:szCs w:val="28"/>
          <w:lang w:val="es-CO"/>
        </w:rPr>
        <w:t>quienes han tenido que acudir a este organismo manifestaron su desconfianza respecto de la eficacia, diligencia y transparencia, aunado a ello algunos</w:t>
      </w:r>
      <w:r w:rsidR="003C463F" w:rsidRPr="005D131A">
        <w:rPr>
          <w:sz w:val="28"/>
          <w:szCs w:val="28"/>
          <w:lang w:val="es-CO"/>
        </w:rPr>
        <w:t xml:space="preserve"> usuarios desconocen la misión y funcionamiento de los </w:t>
      </w:r>
      <w:r w:rsidR="000007FF" w:rsidRPr="005D131A">
        <w:rPr>
          <w:sz w:val="28"/>
          <w:szCs w:val="28"/>
          <w:lang w:val="es-CO"/>
        </w:rPr>
        <w:t xml:space="preserve">CTC, por lo que </w:t>
      </w:r>
      <w:r w:rsidR="007F7D33" w:rsidRPr="005D131A">
        <w:rPr>
          <w:sz w:val="28"/>
          <w:szCs w:val="28"/>
          <w:lang w:val="es-CO"/>
        </w:rPr>
        <w:t>la regulación vigente</w:t>
      </w:r>
      <w:r w:rsidR="003C463F" w:rsidRPr="005D131A">
        <w:rPr>
          <w:sz w:val="28"/>
          <w:szCs w:val="28"/>
          <w:lang w:val="es-CO"/>
        </w:rPr>
        <w:t>, incluyendo la Ley 1438 de 2011</w:t>
      </w:r>
      <w:r w:rsidR="002B3EE1" w:rsidRPr="005D131A">
        <w:rPr>
          <w:sz w:val="28"/>
          <w:szCs w:val="28"/>
          <w:lang w:val="es-CO"/>
        </w:rPr>
        <w:t xml:space="preserve">, </w:t>
      </w:r>
      <w:r w:rsidR="003C463F" w:rsidRPr="005D131A">
        <w:rPr>
          <w:sz w:val="28"/>
          <w:szCs w:val="28"/>
          <w:lang w:val="es-CO"/>
        </w:rPr>
        <w:t xml:space="preserve">no es suficiente para </w:t>
      </w:r>
      <w:r w:rsidR="007F7D33" w:rsidRPr="005D131A">
        <w:rPr>
          <w:sz w:val="28"/>
          <w:szCs w:val="28"/>
          <w:lang w:val="es-CO"/>
        </w:rPr>
        <w:t>garantizar la autorización directa de los servicios no POS ordenados por el médico tratante</w:t>
      </w:r>
      <w:r w:rsidR="003C463F" w:rsidRPr="005D131A">
        <w:rPr>
          <w:sz w:val="28"/>
          <w:szCs w:val="28"/>
          <w:lang w:val="es-CO"/>
        </w:rPr>
        <w:t xml:space="preserve">. </w:t>
      </w:r>
    </w:p>
    <w:p w:rsidR="007F7D33" w:rsidRPr="005D131A" w:rsidRDefault="007F7D33" w:rsidP="005D131A">
      <w:pPr>
        <w:pStyle w:val="Prrafodelista"/>
        <w:ind w:left="0"/>
        <w:rPr>
          <w:sz w:val="28"/>
          <w:szCs w:val="28"/>
          <w:lang w:val="es-CO"/>
        </w:rPr>
      </w:pPr>
    </w:p>
    <w:p w:rsidR="00AA11EB" w:rsidRPr="005D131A" w:rsidRDefault="009F2A0A" w:rsidP="005D131A">
      <w:pPr>
        <w:tabs>
          <w:tab w:val="left" w:pos="567"/>
        </w:tabs>
        <w:rPr>
          <w:sz w:val="28"/>
          <w:szCs w:val="28"/>
          <w:lang w:val="es-CO"/>
        </w:rPr>
      </w:pPr>
      <w:r w:rsidRPr="005D131A">
        <w:rPr>
          <w:sz w:val="28"/>
          <w:szCs w:val="28"/>
          <w:lang w:val="es-CO"/>
        </w:rPr>
        <w:t>10.3.</w:t>
      </w:r>
      <w:r w:rsidR="008F2BBA" w:rsidRPr="005D131A">
        <w:rPr>
          <w:sz w:val="28"/>
          <w:szCs w:val="28"/>
          <w:lang w:val="es-CO"/>
        </w:rPr>
        <w:t xml:space="preserve"> </w:t>
      </w:r>
      <w:r w:rsidR="002B3EE1" w:rsidRPr="005D131A">
        <w:rPr>
          <w:sz w:val="28"/>
          <w:szCs w:val="28"/>
          <w:lang w:val="es-CO"/>
        </w:rPr>
        <w:t xml:space="preserve">La EPS Indígena </w:t>
      </w:r>
      <w:r w:rsidR="004C2706" w:rsidRPr="005D131A">
        <w:rPr>
          <w:sz w:val="28"/>
          <w:szCs w:val="28"/>
          <w:lang w:val="es-CO"/>
        </w:rPr>
        <w:t>Mallamas</w:t>
      </w:r>
      <w:r w:rsidR="00277B59" w:rsidRPr="005D131A">
        <w:rPr>
          <w:sz w:val="28"/>
          <w:szCs w:val="28"/>
          <w:vertAlign w:val="superscript"/>
          <w:lang w:val="es-CO"/>
        </w:rPr>
        <w:footnoteReference w:id="32"/>
      </w:r>
      <w:r w:rsidR="003A5D4A" w:rsidRPr="005D131A">
        <w:rPr>
          <w:sz w:val="28"/>
          <w:szCs w:val="28"/>
          <w:lang w:val="es-CO"/>
        </w:rPr>
        <w:t>,</w:t>
      </w:r>
      <w:r w:rsidR="008F2BBA" w:rsidRPr="005D131A">
        <w:rPr>
          <w:sz w:val="28"/>
          <w:szCs w:val="28"/>
          <w:lang w:val="es-CO"/>
        </w:rPr>
        <w:t xml:space="preserve"> </w:t>
      </w:r>
      <w:r w:rsidR="00AE36AC" w:rsidRPr="005D131A">
        <w:rPr>
          <w:sz w:val="28"/>
          <w:szCs w:val="28"/>
          <w:lang w:val="es-CO"/>
        </w:rPr>
        <w:t xml:space="preserve">sostuvo </w:t>
      </w:r>
      <w:r w:rsidR="00465153" w:rsidRPr="005D131A">
        <w:rPr>
          <w:sz w:val="28"/>
          <w:szCs w:val="28"/>
          <w:lang w:val="es-CO"/>
        </w:rPr>
        <w:t>que la normativa no era</w:t>
      </w:r>
      <w:r w:rsidR="00AA11EB" w:rsidRPr="005D131A">
        <w:rPr>
          <w:sz w:val="28"/>
          <w:szCs w:val="28"/>
          <w:lang w:val="es-CO"/>
        </w:rPr>
        <w:t xml:space="preserve"> suficiente para garantizar el trámite interno de autorización de servicios no POS, </w:t>
      </w:r>
      <w:r w:rsidR="00A91B1A" w:rsidRPr="005D131A">
        <w:rPr>
          <w:sz w:val="28"/>
          <w:szCs w:val="28"/>
          <w:lang w:val="es-CO"/>
        </w:rPr>
        <w:t xml:space="preserve">toda vez que no se han </w:t>
      </w:r>
      <w:r w:rsidR="00430296" w:rsidRPr="005D131A">
        <w:rPr>
          <w:sz w:val="28"/>
          <w:szCs w:val="28"/>
          <w:lang w:val="es-CO"/>
        </w:rPr>
        <w:t xml:space="preserve">establecido clara y eficientemente los mecanismos para </w:t>
      </w:r>
      <w:r w:rsidR="00BD705B" w:rsidRPr="005D131A">
        <w:rPr>
          <w:sz w:val="28"/>
          <w:szCs w:val="28"/>
          <w:lang w:val="es-CO"/>
        </w:rPr>
        <w:t>amparar económicamente las obligaciones que los entes territoriales y las EPS deben asumir. Adujo</w:t>
      </w:r>
      <w:r w:rsidR="00E71218" w:rsidRPr="005D131A">
        <w:rPr>
          <w:sz w:val="28"/>
          <w:szCs w:val="28"/>
          <w:lang w:val="es-CO"/>
        </w:rPr>
        <w:t>,</w:t>
      </w:r>
      <w:r w:rsidR="00BD705B" w:rsidRPr="005D131A">
        <w:rPr>
          <w:sz w:val="28"/>
          <w:szCs w:val="28"/>
          <w:lang w:val="es-CO"/>
        </w:rPr>
        <w:t xml:space="preserve"> que como consecuencia de la crisis financiera acaecida en los años 2009 y 2010 la prestación del servicio de salud</w:t>
      </w:r>
      <w:r w:rsidR="00701936" w:rsidRPr="005D131A">
        <w:rPr>
          <w:sz w:val="28"/>
          <w:szCs w:val="28"/>
          <w:lang w:val="es-CO"/>
        </w:rPr>
        <w:t xml:space="preserve"> se afectó</w:t>
      </w:r>
      <w:r w:rsidR="00BD705B" w:rsidRPr="005D131A">
        <w:rPr>
          <w:sz w:val="28"/>
          <w:szCs w:val="28"/>
          <w:lang w:val="es-CO"/>
        </w:rPr>
        <w:t xml:space="preserve"> por cuanto se dilataron los t</w:t>
      </w:r>
      <w:r w:rsidR="00633219" w:rsidRPr="005D131A">
        <w:rPr>
          <w:sz w:val="28"/>
          <w:szCs w:val="28"/>
          <w:lang w:val="es-CO"/>
        </w:rPr>
        <w:t xml:space="preserve">érminos para acceder </w:t>
      </w:r>
      <w:r w:rsidR="00E71218" w:rsidRPr="005D131A">
        <w:rPr>
          <w:sz w:val="28"/>
          <w:szCs w:val="28"/>
          <w:lang w:val="es-CO"/>
        </w:rPr>
        <w:t>a l</w:t>
      </w:r>
      <w:r w:rsidR="00633219" w:rsidRPr="005D131A">
        <w:rPr>
          <w:sz w:val="28"/>
          <w:szCs w:val="28"/>
          <w:lang w:val="es-CO"/>
        </w:rPr>
        <w:t>os</w:t>
      </w:r>
      <w:r w:rsidR="00BD705B" w:rsidRPr="005D131A">
        <w:rPr>
          <w:sz w:val="28"/>
          <w:szCs w:val="28"/>
          <w:lang w:val="es-CO"/>
        </w:rPr>
        <w:t xml:space="preserve"> servicio</w:t>
      </w:r>
      <w:r w:rsidR="00633219" w:rsidRPr="005D131A">
        <w:rPr>
          <w:sz w:val="28"/>
          <w:szCs w:val="28"/>
          <w:lang w:val="es-CO"/>
        </w:rPr>
        <w:t>s</w:t>
      </w:r>
      <w:r w:rsidR="00BD705B" w:rsidRPr="005D131A">
        <w:rPr>
          <w:sz w:val="28"/>
          <w:szCs w:val="28"/>
          <w:lang w:val="es-CO"/>
        </w:rPr>
        <w:t xml:space="preserve"> solicitado</w:t>
      </w:r>
      <w:r w:rsidR="00633219" w:rsidRPr="005D131A">
        <w:rPr>
          <w:sz w:val="28"/>
          <w:szCs w:val="28"/>
          <w:lang w:val="es-CO"/>
        </w:rPr>
        <w:t>s</w:t>
      </w:r>
      <w:r w:rsidR="00BD705B" w:rsidRPr="005D131A">
        <w:rPr>
          <w:sz w:val="28"/>
          <w:szCs w:val="28"/>
          <w:lang w:val="es-CO"/>
        </w:rPr>
        <w:t xml:space="preserve">. </w:t>
      </w:r>
    </w:p>
    <w:p w:rsidR="00AA11EB" w:rsidRPr="005D131A" w:rsidRDefault="00AA11EB" w:rsidP="005D131A">
      <w:pPr>
        <w:tabs>
          <w:tab w:val="left" w:pos="567"/>
        </w:tabs>
        <w:rPr>
          <w:sz w:val="28"/>
          <w:szCs w:val="28"/>
          <w:lang w:val="es-CO"/>
        </w:rPr>
      </w:pPr>
    </w:p>
    <w:p w:rsidR="00633219" w:rsidRPr="005D131A" w:rsidRDefault="008163BB" w:rsidP="005D131A">
      <w:pPr>
        <w:tabs>
          <w:tab w:val="left" w:pos="567"/>
        </w:tabs>
        <w:rPr>
          <w:sz w:val="28"/>
          <w:szCs w:val="28"/>
          <w:lang w:val="es-CO"/>
        </w:rPr>
      </w:pPr>
      <w:r w:rsidRPr="005D131A">
        <w:rPr>
          <w:sz w:val="28"/>
          <w:szCs w:val="28"/>
          <w:lang w:val="es-CO"/>
        </w:rPr>
        <w:t>Afirm</w:t>
      </w:r>
      <w:r w:rsidR="00751929" w:rsidRPr="005D131A">
        <w:rPr>
          <w:sz w:val="28"/>
          <w:szCs w:val="28"/>
          <w:lang w:val="es-CO"/>
        </w:rPr>
        <w:t xml:space="preserve">ó, </w:t>
      </w:r>
      <w:r w:rsidR="00633219" w:rsidRPr="005D131A">
        <w:rPr>
          <w:sz w:val="28"/>
          <w:szCs w:val="28"/>
          <w:lang w:val="es-CO"/>
        </w:rPr>
        <w:t xml:space="preserve">que si bien </w:t>
      </w:r>
      <w:r w:rsidRPr="005D131A">
        <w:rPr>
          <w:sz w:val="28"/>
          <w:szCs w:val="28"/>
          <w:lang w:val="es-CO"/>
        </w:rPr>
        <w:t xml:space="preserve">los CTC </w:t>
      </w:r>
      <w:r w:rsidR="00633219" w:rsidRPr="005D131A">
        <w:rPr>
          <w:sz w:val="28"/>
          <w:szCs w:val="28"/>
          <w:lang w:val="es-CO"/>
        </w:rPr>
        <w:t>posibilitan que el afiliado acceda a servicios no POS, el suministro generalmente s</w:t>
      </w:r>
      <w:r w:rsidR="00E71218" w:rsidRPr="005D131A">
        <w:rPr>
          <w:sz w:val="28"/>
          <w:szCs w:val="28"/>
          <w:lang w:val="es-CO"/>
        </w:rPr>
        <w:t>e da de manera extemporánea debido</w:t>
      </w:r>
      <w:r w:rsidR="00633219" w:rsidRPr="005D131A">
        <w:rPr>
          <w:sz w:val="28"/>
          <w:szCs w:val="28"/>
          <w:lang w:val="es-CO"/>
        </w:rPr>
        <w:t xml:space="preserve"> al tiempo que tardan en estudiar los casos. </w:t>
      </w:r>
      <w:r w:rsidR="00277B59" w:rsidRPr="005D131A">
        <w:rPr>
          <w:sz w:val="28"/>
          <w:szCs w:val="28"/>
          <w:lang w:val="es-CO"/>
        </w:rPr>
        <w:t>Respecto al control de los posibles exceso</w:t>
      </w:r>
      <w:r w:rsidR="003F33DC" w:rsidRPr="005D131A">
        <w:rPr>
          <w:sz w:val="28"/>
          <w:szCs w:val="28"/>
          <w:lang w:val="es-CO"/>
        </w:rPr>
        <w:t>s</w:t>
      </w:r>
      <w:r w:rsidR="00277B59" w:rsidRPr="005D131A">
        <w:rPr>
          <w:sz w:val="28"/>
          <w:szCs w:val="28"/>
          <w:lang w:val="es-CO"/>
        </w:rPr>
        <w:t xml:space="preserve"> o abusos en las solicitudes no POS-S, indic</w:t>
      </w:r>
      <w:r w:rsidR="003F33DC" w:rsidRPr="005D131A">
        <w:rPr>
          <w:sz w:val="28"/>
          <w:szCs w:val="28"/>
          <w:lang w:val="es-CO"/>
        </w:rPr>
        <w:t xml:space="preserve">ó que el </w:t>
      </w:r>
      <w:r w:rsidR="00277B59" w:rsidRPr="005D131A">
        <w:rPr>
          <w:sz w:val="28"/>
          <w:szCs w:val="28"/>
          <w:lang w:val="es-CO"/>
        </w:rPr>
        <w:t xml:space="preserve">control es relativo dado que </w:t>
      </w:r>
      <w:r w:rsidR="00277B59" w:rsidRPr="005D131A">
        <w:rPr>
          <w:i/>
          <w:sz w:val="28"/>
          <w:szCs w:val="28"/>
          <w:lang w:val="es-CO"/>
        </w:rPr>
        <w:t>“</w:t>
      </w:r>
      <w:r w:rsidR="003F33DC" w:rsidRPr="005D131A">
        <w:rPr>
          <w:i/>
          <w:sz w:val="28"/>
          <w:szCs w:val="28"/>
          <w:lang w:val="es-CO"/>
        </w:rPr>
        <w:t>la normatividad lo ha tipificado como una herramienta absolutamente necesaria para evitar que el usuario termine accediendo a un servicio no pos-s por tutela”</w:t>
      </w:r>
      <w:r w:rsidR="003F33DC" w:rsidRPr="005D131A">
        <w:rPr>
          <w:sz w:val="28"/>
          <w:szCs w:val="28"/>
          <w:lang w:val="es-CO"/>
        </w:rPr>
        <w:t>. Sin embar</w:t>
      </w:r>
      <w:r w:rsidR="00E71218" w:rsidRPr="005D131A">
        <w:rPr>
          <w:sz w:val="28"/>
          <w:szCs w:val="28"/>
          <w:lang w:val="es-CO"/>
        </w:rPr>
        <w:t xml:space="preserve">go, </w:t>
      </w:r>
      <w:r w:rsidR="003F33DC" w:rsidRPr="005D131A">
        <w:rPr>
          <w:sz w:val="28"/>
          <w:szCs w:val="28"/>
          <w:lang w:val="es-CO"/>
        </w:rPr>
        <w:t xml:space="preserve">es allí donde no existe control alguno porque el juez constitucional termina </w:t>
      </w:r>
      <w:r w:rsidR="003F33DC" w:rsidRPr="005D131A">
        <w:rPr>
          <w:i/>
          <w:sz w:val="28"/>
          <w:szCs w:val="28"/>
          <w:lang w:val="es-CO"/>
        </w:rPr>
        <w:t>“</w:t>
      </w:r>
      <w:r w:rsidR="002C0743" w:rsidRPr="005D131A">
        <w:rPr>
          <w:i/>
          <w:sz w:val="28"/>
          <w:szCs w:val="28"/>
          <w:lang w:val="es-CO"/>
        </w:rPr>
        <w:t>convirtiéndose en una oficina alterna de autorizaciones”</w:t>
      </w:r>
      <w:r w:rsidR="002C0743" w:rsidRPr="005D131A">
        <w:rPr>
          <w:sz w:val="28"/>
          <w:szCs w:val="28"/>
          <w:lang w:val="es-CO"/>
        </w:rPr>
        <w:t xml:space="preserve">. </w:t>
      </w:r>
    </w:p>
    <w:p w:rsidR="004C2706" w:rsidRPr="005D131A" w:rsidRDefault="004C2706" w:rsidP="005D131A">
      <w:pPr>
        <w:pStyle w:val="Prrafodelista"/>
        <w:ind w:left="0"/>
        <w:rPr>
          <w:sz w:val="28"/>
          <w:szCs w:val="28"/>
          <w:lang w:val="es-CO"/>
        </w:rPr>
      </w:pPr>
    </w:p>
    <w:p w:rsidR="000C44D1" w:rsidRPr="005D131A" w:rsidRDefault="009F2A0A" w:rsidP="005D131A">
      <w:pPr>
        <w:tabs>
          <w:tab w:val="left" w:pos="567"/>
        </w:tabs>
        <w:rPr>
          <w:sz w:val="28"/>
          <w:szCs w:val="28"/>
          <w:lang w:val="es-CO"/>
        </w:rPr>
      </w:pPr>
      <w:r w:rsidRPr="005D131A">
        <w:rPr>
          <w:sz w:val="28"/>
          <w:szCs w:val="28"/>
          <w:lang w:val="es-CO"/>
        </w:rPr>
        <w:t xml:space="preserve">10.4. </w:t>
      </w:r>
      <w:r w:rsidR="000C44D1" w:rsidRPr="005D131A">
        <w:rPr>
          <w:sz w:val="28"/>
          <w:szCs w:val="28"/>
          <w:lang w:val="es-CO"/>
        </w:rPr>
        <w:t xml:space="preserve"> </w:t>
      </w:r>
      <w:r w:rsidR="00E71218" w:rsidRPr="005D131A">
        <w:rPr>
          <w:sz w:val="28"/>
          <w:szCs w:val="28"/>
          <w:lang w:val="es-CO"/>
        </w:rPr>
        <w:t xml:space="preserve">El </w:t>
      </w:r>
      <w:r w:rsidR="000C44D1" w:rsidRPr="005D131A">
        <w:rPr>
          <w:sz w:val="28"/>
          <w:szCs w:val="28"/>
          <w:lang w:val="es-CO"/>
        </w:rPr>
        <w:t xml:space="preserve">Centro de Investigaciones y Estudios Sociojurídicos de la Universidad de Nariño mediante </w:t>
      </w:r>
      <w:r w:rsidR="00E71218" w:rsidRPr="005D131A">
        <w:rPr>
          <w:i/>
          <w:sz w:val="28"/>
          <w:szCs w:val="28"/>
          <w:lang w:val="es-CO"/>
        </w:rPr>
        <w:t>e</w:t>
      </w:r>
      <w:r w:rsidR="000C44D1" w:rsidRPr="005D131A">
        <w:rPr>
          <w:i/>
          <w:sz w:val="28"/>
          <w:szCs w:val="28"/>
          <w:lang w:val="es-CO"/>
        </w:rPr>
        <w:t>-mail</w:t>
      </w:r>
      <w:r w:rsidR="000C44D1" w:rsidRPr="005D131A">
        <w:rPr>
          <w:sz w:val="28"/>
          <w:szCs w:val="28"/>
          <w:lang w:val="es-CO"/>
        </w:rPr>
        <w:t xml:space="preserve"> enviado a la Corte Constitucional el 2 de febrero de 2011</w:t>
      </w:r>
      <w:r w:rsidR="007A0D1C" w:rsidRPr="005D131A">
        <w:rPr>
          <w:sz w:val="28"/>
          <w:szCs w:val="28"/>
          <w:vertAlign w:val="superscript"/>
          <w:lang w:val="es-CO"/>
        </w:rPr>
        <w:footnoteReference w:id="33"/>
      </w:r>
      <w:r w:rsidR="000C44D1" w:rsidRPr="005D131A">
        <w:rPr>
          <w:sz w:val="28"/>
          <w:szCs w:val="28"/>
          <w:lang w:val="es-CO"/>
        </w:rPr>
        <w:t xml:space="preserve">, señaló que una vez consultadas algunas IPS y EPS pudo verificar que la normativa actual responde a las necesidades del sector </w:t>
      </w:r>
      <w:r w:rsidR="007A0D1C" w:rsidRPr="005D131A">
        <w:rPr>
          <w:sz w:val="28"/>
          <w:szCs w:val="28"/>
          <w:lang w:val="es-CO"/>
        </w:rPr>
        <w:t>dado</w:t>
      </w:r>
      <w:r w:rsidR="00E71218" w:rsidRPr="005D131A">
        <w:rPr>
          <w:sz w:val="28"/>
          <w:szCs w:val="28"/>
          <w:lang w:val="es-CO"/>
        </w:rPr>
        <w:t xml:space="preserve"> el carácter tripartido de los CTC; s</w:t>
      </w:r>
      <w:r w:rsidR="007A0D1C" w:rsidRPr="005D131A">
        <w:rPr>
          <w:sz w:val="28"/>
          <w:szCs w:val="28"/>
          <w:lang w:val="es-CO"/>
        </w:rPr>
        <w:t xml:space="preserve">in embargo, </w:t>
      </w:r>
      <w:r w:rsidR="00E71218" w:rsidRPr="005D131A">
        <w:rPr>
          <w:sz w:val="28"/>
          <w:szCs w:val="28"/>
          <w:lang w:val="es-CO"/>
        </w:rPr>
        <w:t>e</w:t>
      </w:r>
      <w:r w:rsidR="007A0D1C" w:rsidRPr="005D131A">
        <w:rPr>
          <w:sz w:val="28"/>
          <w:szCs w:val="28"/>
          <w:lang w:val="es-CO"/>
        </w:rPr>
        <w:t>n ocasiones</w:t>
      </w:r>
      <w:r w:rsidR="00E71218" w:rsidRPr="005D131A">
        <w:rPr>
          <w:sz w:val="28"/>
          <w:szCs w:val="28"/>
          <w:lang w:val="es-CO"/>
        </w:rPr>
        <w:t xml:space="preserve"> los comités</w:t>
      </w:r>
      <w:r w:rsidR="007A0D1C" w:rsidRPr="005D131A">
        <w:rPr>
          <w:sz w:val="28"/>
          <w:szCs w:val="28"/>
          <w:lang w:val="es-CO"/>
        </w:rPr>
        <w:t xml:space="preserve"> pierden autoridad porque los servicios no POS negados con fundamentos técnicos y científicos son concedidos a través de una orden de tutela. Por lo anterior, propuso la creación de una segunda instancia para </w:t>
      </w:r>
      <w:r w:rsidR="00E71218" w:rsidRPr="005D131A">
        <w:rPr>
          <w:sz w:val="28"/>
          <w:szCs w:val="28"/>
          <w:lang w:val="es-CO"/>
        </w:rPr>
        <w:t xml:space="preserve">que </w:t>
      </w:r>
      <w:r w:rsidR="009D661E" w:rsidRPr="005D131A">
        <w:rPr>
          <w:sz w:val="28"/>
          <w:szCs w:val="28"/>
          <w:lang w:val="es-CO"/>
        </w:rPr>
        <w:t xml:space="preserve">las </w:t>
      </w:r>
      <w:r w:rsidR="007A0D1C" w:rsidRPr="005D131A">
        <w:rPr>
          <w:sz w:val="28"/>
          <w:szCs w:val="28"/>
          <w:lang w:val="es-CO"/>
        </w:rPr>
        <w:t>decisi</w:t>
      </w:r>
      <w:r w:rsidR="00E71218" w:rsidRPr="005D131A">
        <w:rPr>
          <w:sz w:val="28"/>
          <w:szCs w:val="28"/>
          <w:lang w:val="es-CO"/>
        </w:rPr>
        <w:t xml:space="preserve">ones que generen inconformidad sean revisadas. </w:t>
      </w:r>
    </w:p>
    <w:p w:rsidR="00F572CC" w:rsidRPr="005D131A" w:rsidRDefault="00F572CC" w:rsidP="005D131A">
      <w:pPr>
        <w:tabs>
          <w:tab w:val="left" w:pos="567"/>
        </w:tabs>
        <w:rPr>
          <w:sz w:val="28"/>
          <w:szCs w:val="28"/>
          <w:lang w:val="es-CO"/>
        </w:rPr>
      </w:pPr>
    </w:p>
    <w:p w:rsidR="003A5D4A" w:rsidRPr="005D131A" w:rsidRDefault="007A0D1C" w:rsidP="005D131A">
      <w:pPr>
        <w:tabs>
          <w:tab w:val="left" w:pos="567"/>
        </w:tabs>
        <w:rPr>
          <w:sz w:val="28"/>
          <w:szCs w:val="28"/>
          <w:lang w:val="es-CO"/>
        </w:rPr>
      </w:pPr>
      <w:r w:rsidRPr="005D131A">
        <w:rPr>
          <w:sz w:val="28"/>
          <w:szCs w:val="28"/>
          <w:lang w:val="es-CO"/>
        </w:rPr>
        <w:t>A su juicio, los CTC constituyen</w:t>
      </w:r>
      <w:r w:rsidR="003A5D4A" w:rsidRPr="005D131A">
        <w:rPr>
          <w:sz w:val="28"/>
          <w:szCs w:val="28"/>
          <w:lang w:val="es-CO"/>
        </w:rPr>
        <w:t xml:space="preserve"> </w:t>
      </w:r>
      <w:r w:rsidR="00070801" w:rsidRPr="005D131A">
        <w:rPr>
          <w:sz w:val="28"/>
          <w:szCs w:val="28"/>
          <w:lang w:val="es-CO"/>
        </w:rPr>
        <w:t xml:space="preserve">mediana garantía para el acceso a servicios con criterio de necesidad, así como para controlar los posibles excesos o abusos de los usuarios, </w:t>
      </w:r>
      <w:r w:rsidR="00225B97" w:rsidRPr="005D131A">
        <w:rPr>
          <w:sz w:val="28"/>
          <w:szCs w:val="28"/>
          <w:lang w:val="es-CO"/>
        </w:rPr>
        <w:t>“</w:t>
      </w:r>
      <w:r w:rsidR="00070801" w:rsidRPr="005D131A">
        <w:rPr>
          <w:i/>
          <w:sz w:val="28"/>
          <w:szCs w:val="28"/>
          <w:lang w:val="es-CO"/>
        </w:rPr>
        <w:t xml:space="preserve">sin que ello sea suficiente para evitar la manipulación de sus conceptos a través del llamado tráfico de influencias”. </w:t>
      </w:r>
      <w:r w:rsidR="00070801" w:rsidRPr="005D131A">
        <w:rPr>
          <w:sz w:val="28"/>
          <w:szCs w:val="28"/>
          <w:lang w:val="es-CO"/>
        </w:rPr>
        <w:t>De ahí que resulte</w:t>
      </w:r>
      <w:r w:rsidR="00070801" w:rsidRPr="005D131A">
        <w:rPr>
          <w:i/>
          <w:sz w:val="28"/>
          <w:szCs w:val="28"/>
          <w:lang w:val="es-CO"/>
        </w:rPr>
        <w:t xml:space="preserve"> </w:t>
      </w:r>
      <w:r w:rsidR="00070801" w:rsidRPr="005D131A">
        <w:rPr>
          <w:sz w:val="28"/>
          <w:szCs w:val="28"/>
          <w:lang w:val="es-CO"/>
        </w:rPr>
        <w:t>necesario</w:t>
      </w:r>
      <w:r w:rsidR="003A5D4A" w:rsidRPr="005D131A">
        <w:rPr>
          <w:sz w:val="28"/>
          <w:szCs w:val="28"/>
          <w:lang w:val="es-CO"/>
        </w:rPr>
        <w:t xml:space="preserve"> informar a los pacientes sobre</w:t>
      </w:r>
      <w:r w:rsidRPr="005D131A">
        <w:rPr>
          <w:sz w:val="28"/>
          <w:szCs w:val="28"/>
          <w:lang w:val="es-CO"/>
        </w:rPr>
        <w:t xml:space="preserve"> su existencia y reglamentación</w:t>
      </w:r>
      <w:r w:rsidR="00225B97" w:rsidRPr="005D131A">
        <w:rPr>
          <w:sz w:val="28"/>
          <w:szCs w:val="28"/>
          <w:lang w:val="es-CO"/>
        </w:rPr>
        <w:t xml:space="preserve">. </w:t>
      </w:r>
    </w:p>
    <w:p w:rsidR="00070801" w:rsidRPr="005D131A" w:rsidRDefault="00070801" w:rsidP="005D131A">
      <w:pPr>
        <w:pStyle w:val="Prrafodelista"/>
        <w:ind w:left="0"/>
        <w:rPr>
          <w:sz w:val="28"/>
          <w:szCs w:val="28"/>
          <w:lang w:val="es-CO"/>
        </w:rPr>
      </w:pPr>
    </w:p>
    <w:p w:rsidR="00F01DFF" w:rsidRPr="005D131A" w:rsidRDefault="009F2A0A" w:rsidP="005D131A">
      <w:pPr>
        <w:tabs>
          <w:tab w:val="left" w:pos="567"/>
        </w:tabs>
        <w:rPr>
          <w:b/>
          <w:sz w:val="28"/>
          <w:szCs w:val="28"/>
          <w:lang w:val="es-CO"/>
        </w:rPr>
      </w:pPr>
      <w:r w:rsidRPr="005D131A">
        <w:rPr>
          <w:sz w:val="28"/>
          <w:szCs w:val="28"/>
          <w:lang w:val="es-CO"/>
        </w:rPr>
        <w:t xml:space="preserve">10.5. </w:t>
      </w:r>
      <w:r w:rsidR="00AA60CF" w:rsidRPr="005D131A">
        <w:rPr>
          <w:sz w:val="28"/>
          <w:szCs w:val="28"/>
          <w:lang w:val="es-CO"/>
        </w:rPr>
        <w:t xml:space="preserve">La </w:t>
      </w:r>
      <w:r w:rsidR="00E67280" w:rsidRPr="005D131A">
        <w:rPr>
          <w:sz w:val="28"/>
          <w:szCs w:val="28"/>
          <w:lang w:val="es-CO"/>
        </w:rPr>
        <w:t>CSR</w:t>
      </w:r>
      <w:r w:rsidR="009B1604" w:rsidRPr="005D131A">
        <w:rPr>
          <w:sz w:val="28"/>
          <w:szCs w:val="28"/>
          <w:lang w:val="es-CO"/>
        </w:rPr>
        <w:t xml:space="preserve">, en escrito de igual </w:t>
      </w:r>
      <w:r w:rsidR="008F2BBA" w:rsidRPr="005D131A">
        <w:rPr>
          <w:sz w:val="28"/>
          <w:szCs w:val="28"/>
          <w:lang w:val="es-CO"/>
        </w:rPr>
        <w:t>fecha</w:t>
      </w:r>
      <w:r w:rsidR="00225B97" w:rsidRPr="005D131A">
        <w:rPr>
          <w:sz w:val="28"/>
          <w:szCs w:val="28"/>
          <w:vertAlign w:val="superscript"/>
          <w:lang w:val="es-CO"/>
        </w:rPr>
        <w:footnoteReference w:id="34"/>
      </w:r>
      <w:r w:rsidR="009B1604" w:rsidRPr="005D131A">
        <w:rPr>
          <w:sz w:val="28"/>
          <w:szCs w:val="28"/>
          <w:lang w:val="es-CO"/>
        </w:rPr>
        <w:t xml:space="preserve">, sostuvo que era imposible determinar la eficacia del CTC como mecanismo de autorización de servicios </w:t>
      </w:r>
      <w:r w:rsidR="000D57E6" w:rsidRPr="005D131A">
        <w:rPr>
          <w:sz w:val="28"/>
          <w:szCs w:val="28"/>
          <w:lang w:val="es-CO"/>
        </w:rPr>
        <w:t>no POS</w:t>
      </w:r>
      <w:r w:rsidR="009B1604" w:rsidRPr="005D131A">
        <w:rPr>
          <w:sz w:val="28"/>
          <w:szCs w:val="28"/>
          <w:lang w:val="es-CO"/>
        </w:rPr>
        <w:t xml:space="preserve">, puesto que la información </w:t>
      </w:r>
      <w:r w:rsidR="00880EDC" w:rsidRPr="005D131A">
        <w:rPr>
          <w:sz w:val="28"/>
          <w:szCs w:val="28"/>
          <w:lang w:val="es-CO"/>
        </w:rPr>
        <w:t>solicitada</w:t>
      </w:r>
      <w:r w:rsidR="00E36CD1" w:rsidRPr="005D131A">
        <w:rPr>
          <w:sz w:val="28"/>
          <w:szCs w:val="28"/>
          <w:lang w:val="es-CO"/>
        </w:rPr>
        <w:t xml:space="preserve"> a </w:t>
      </w:r>
      <w:r w:rsidR="009B1604" w:rsidRPr="005D131A">
        <w:rPr>
          <w:sz w:val="28"/>
          <w:szCs w:val="28"/>
          <w:lang w:val="es-CO"/>
        </w:rPr>
        <w:t xml:space="preserve">las </w:t>
      </w:r>
      <w:r w:rsidR="00E36CD1" w:rsidRPr="005D131A">
        <w:rPr>
          <w:sz w:val="28"/>
          <w:szCs w:val="28"/>
          <w:lang w:val="es-CO"/>
        </w:rPr>
        <w:t>EPS</w:t>
      </w:r>
      <w:r w:rsidR="009B1604" w:rsidRPr="005D131A">
        <w:rPr>
          <w:sz w:val="28"/>
          <w:szCs w:val="28"/>
          <w:lang w:val="es-CO"/>
        </w:rPr>
        <w:t xml:space="preserve"> </w:t>
      </w:r>
      <w:r w:rsidR="00E36CD1" w:rsidRPr="005D131A">
        <w:rPr>
          <w:sz w:val="28"/>
          <w:szCs w:val="28"/>
          <w:lang w:val="es-CO"/>
        </w:rPr>
        <w:t xml:space="preserve">para responder ese interrogante </w:t>
      </w:r>
      <w:r w:rsidR="000820F5" w:rsidRPr="005D131A">
        <w:rPr>
          <w:sz w:val="28"/>
          <w:szCs w:val="28"/>
          <w:lang w:val="es-CO"/>
        </w:rPr>
        <w:t xml:space="preserve">no </w:t>
      </w:r>
      <w:r w:rsidR="00225B97" w:rsidRPr="005D131A">
        <w:rPr>
          <w:sz w:val="28"/>
          <w:szCs w:val="28"/>
          <w:lang w:val="es-CO"/>
        </w:rPr>
        <w:t>fue</w:t>
      </w:r>
      <w:r w:rsidR="009B1604" w:rsidRPr="005D131A">
        <w:rPr>
          <w:sz w:val="28"/>
          <w:szCs w:val="28"/>
          <w:lang w:val="es-CO"/>
        </w:rPr>
        <w:t xml:space="preserve"> </w:t>
      </w:r>
      <w:r w:rsidR="00880EDC" w:rsidRPr="005D131A">
        <w:rPr>
          <w:sz w:val="28"/>
          <w:szCs w:val="28"/>
          <w:lang w:val="es-CO"/>
        </w:rPr>
        <w:t>clara y uniforme, lo que</w:t>
      </w:r>
      <w:r w:rsidR="00225B97" w:rsidRPr="005D131A">
        <w:rPr>
          <w:sz w:val="28"/>
          <w:szCs w:val="28"/>
          <w:lang w:val="es-CO"/>
        </w:rPr>
        <w:t xml:space="preserve"> impidió</w:t>
      </w:r>
      <w:r w:rsidR="000820F5" w:rsidRPr="005D131A">
        <w:rPr>
          <w:sz w:val="28"/>
          <w:szCs w:val="28"/>
          <w:lang w:val="es-CO"/>
        </w:rPr>
        <w:t xml:space="preserve"> </w:t>
      </w:r>
      <w:r w:rsidR="009B1604" w:rsidRPr="005D131A">
        <w:rPr>
          <w:sz w:val="28"/>
          <w:szCs w:val="28"/>
          <w:lang w:val="es-CO"/>
        </w:rPr>
        <w:t>establecer si se ha obstaculizado</w:t>
      </w:r>
      <w:r w:rsidR="00225B97" w:rsidRPr="005D131A">
        <w:rPr>
          <w:sz w:val="28"/>
          <w:szCs w:val="28"/>
          <w:lang w:val="es-CO"/>
        </w:rPr>
        <w:t xml:space="preserve"> o no</w:t>
      </w:r>
      <w:r w:rsidR="009B1604" w:rsidRPr="005D131A">
        <w:rPr>
          <w:sz w:val="28"/>
          <w:szCs w:val="28"/>
          <w:lang w:val="es-CO"/>
        </w:rPr>
        <w:t xml:space="preserve"> el goce efectivo del derecho</w:t>
      </w:r>
      <w:r w:rsidR="00E36CD1" w:rsidRPr="005D131A">
        <w:rPr>
          <w:sz w:val="28"/>
          <w:szCs w:val="28"/>
          <w:lang w:val="es-CO"/>
        </w:rPr>
        <w:t xml:space="preserve"> a la salud</w:t>
      </w:r>
      <w:r w:rsidR="009B1604" w:rsidRPr="005D131A">
        <w:rPr>
          <w:sz w:val="28"/>
          <w:szCs w:val="28"/>
          <w:lang w:val="es-CO"/>
        </w:rPr>
        <w:t>.</w:t>
      </w:r>
      <w:r w:rsidR="00070801" w:rsidRPr="005D131A">
        <w:rPr>
          <w:sz w:val="28"/>
          <w:szCs w:val="28"/>
          <w:lang w:val="es-CO"/>
        </w:rPr>
        <w:t xml:space="preserve"> </w:t>
      </w:r>
    </w:p>
    <w:p w:rsidR="00D32AD8" w:rsidRPr="005D131A" w:rsidRDefault="00D32AD8" w:rsidP="005D131A">
      <w:pPr>
        <w:tabs>
          <w:tab w:val="left" w:pos="567"/>
        </w:tabs>
        <w:rPr>
          <w:b/>
          <w:sz w:val="28"/>
          <w:szCs w:val="28"/>
          <w:lang w:val="es-CO"/>
        </w:rPr>
      </w:pPr>
    </w:p>
    <w:p w:rsidR="00A02B57" w:rsidRPr="005D131A" w:rsidRDefault="00225B97" w:rsidP="005D131A">
      <w:pPr>
        <w:tabs>
          <w:tab w:val="left" w:pos="567"/>
        </w:tabs>
        <w:rPr>
          <w:sz w:val="28"/>
          <w:szCs w:val="28"/>
          <w:lang w:val="es-CO"/>
        </w:rPr>
      </w:pPr>
      <w:r w:rsidRPr="005D131A">
        <w:rPr>
          <w:sz w:val="28"/>
          <w:szCs w:val="28"/>
          <w:lang w:val="es-CO"/>
        </w:rPr>
        <w:t>11</w:t>
      </w:r>
      <w:r w:rsidR="00FB5C8E" w:rsidRPr="005D131A">
        <w:rPr>
          <w:sz w:val="28"/>
          <w:szCs w:val="28"/>
          <w:lang w:val="es-CO"/>
        </w:rPr>
        <w:t xml:space="preserve">. </w:t>
      </w:r>
      <w:r w:rsidRPr="005D131A">
        <w:rPr>
          <w:sz w:val="28"/>
          <w:szCs w:val="28"/>
          <w:lang w:val="es-CO"/>
        </w:rPr>
        <w:t xml:space="preserve">Mediante </w:t>
      </w:r>
      <w:r w:rsidR="00E663CD" w:rsidRPr="005D131A">
        <w:rPr>
          <w:b/>
          <w:sz w:val="28"/>
          <w:szCs w:val="28"/>
          <w:lang w:val="es-CO"/>
        </w:rPr>
        <w:t>Auto 066 de 29 de marzo de 2012</w:t>
      </w:r>
      <w:r w:rsidR="007C2E5A" w:rsidRPr="005D131A">
        <w:rPr>
          <w:b/>
          <w:sz w:val="28"/>
          <w:szCs w:val="28"/>
          <w:lang w:val="es-CO"/>
        </w:rPr>
        <w:t xml:space="preserve"> </w:t>
      </w:r>
      <w:r w:rsidRPr="005D131A">
        <w:rPr>
          <w:sz w:val="28"/>
          <w:szCs w:val="28"/>
          <w:lang w:val="es-CO"/>
        </w:rPr>
        <w:t xml:space="preserve">se </w:t>
      </w:r>
      <w:r w:rsidR="00EA2037" w:rsidRPr="005D131A">
        <w:rPr>
          <w:sz w:val="28"/>
          <w:szCs w:val="28"/>
        </w:rPr>
        <w:t xml:space="preserve">requirió al </w:t>
      </w:r>
      <w:r w:rsidR="00E663CD" w:rsidRPr="005D131A">
        <w:rPr>
          <w:sz w:val="28"/>
          <w:szCs w:val="28"/>
        </w:rPr>
        <w:t xml:space="preserve">Ministerio de Salud con el fin de que adoptara las medidas </w:t>
      </w:r>
      <w:r w:rsidR="00E663CD" w:rsidRPr="005D131A">
        <w:rPr>
          <w:sz w:val="28"/>
          <w:szCs w:val="28"/>
          <w:lang w:val="es-CO"/>
        </w:rPr>
        <w:t xml:space="preserve">necesarias para notificarle a todas las EPS del país que cuando se requiera con urgencia un servicio de salud no incluido en el </w:t>
      </w:r>
      <w:r w:rsidRPr="005D131A">
        <w:rPr>
          <w:sz w:val="28"/>
          <w:szCs w:val="28"/>
          <w:lang w:val="es-CO"/>
        </w:rPr>
        <w:t>POS</w:t>
      </w:r>
      <w:r w:rsidR="00E663CD" w:rsidRPr="005D131A">
        <w:rPr>
          <w:sz w:val="28"/>
          <w:szCs w:val="28"/>
          <w:lang w:val="es-CO"/>
        </w:rPr>
        <w:t xml:space="preserve">, debían autorizarlo de </w:t>
      </w:r>
      <w:r w:rsidR="00206781" w:rsidRPr="005D131A">
        <w:rPr>
          <w:sz w:val="28"/>
          <w:szCs w:val="28"/>
          <w:lang w:val="es-CO"/>
        </w:rPr>
        <w:t>manera inmediata y sin que mediara</w:t>
      </w:r>
      <w:r w:rsidR="00E663CD" w:rsidRPr="005D131A">
        <w:rPr>
          <w:sz w:val="28"/>
          <w:szCs w:val="28"/>
          <w:lang w:val="es-CO"/>
        </w:rPr>
        <w:t xml:space="preserve"> trámite ante ningún organismo</w:t>
      </w:r>
      <w:r w:rsidR="00E663CD" w:rsidRPr="005D131A">
        <w:rPr>
          <w:sz w:val="28"/>
          <w:szCs w:val="28"/>
          <w:vertAlign w:val="superscript"/>
          <w:lang w:val="es-CO"/>
        </w:rPr>
        <w:footnoteReference w:id="35"/>
      </w:r>
      <w:r w:rsidR="00AA60CF" w:rsidRPr="005D131A">
        <w:rPr>
          <w:sz w:val="28"/>
          <w:szCs w:val="28"/>
          <w:lang w:val="es-CO"/>
        </w:rPr>
        <w:t>.</w:t>
      </w:r>
    </w:p>
    <w:p w:rsidR="006214F1" w:rsidRPr="005D131A" w:rsidRDefault="006214F1" w:rsidP="005D131A">
      <w:pPr>
        <w:tabs>
          <w:tab w:val="left" w:pos="567"/>
        </w:tabs>
        <w:rPr>
          <w:sz w:val="28"/>
          <w:szCs w:val="28"/>
          <w:lang w:val="es-CO"/>
        </w:rPr>
      </w:pPr>
    </w:p>
    <w:p w:rsidR="009A0EA4" w:rsidRPr="005D131A" w:rsidRDefault="00206781" w:rsidP="005D131A">
      <w:pPr>
        <w:ind w:right="-40"/>
        <w:rPr>
          <w:sz w:val="28"/>
          <w:szCs w:val="28"/>
          <w:lang w:val="es-CO"/>
        </w:rPr>
      </w:pPr>
      <w:r w:rsidRPr="005D131A">
        <w:rPr>
          <w:sz w:val="28"/>
          <w:szCs w:val="28"/>
        </w:rPr>
        <w:t>11</w:t>
      </w:r>
      <w:r w:rsidR="00FB5C8E" w:rsidRPr="005D131A">
        <w:rPr>
          <w:sz w:val="28"/>
          <w:szCs w:val="28"/>
        </w:rPr>
        <w:t xml:space="preserve">.1. </w:t>
      </w:r>
      <w:r w:rsidR="009A0EA4" w:rsidRPr="005D131A">
        <w:rPr>
          <w:sz w:val="28"/>
          <w:szCs w:val="28"/>
        </w:rPr>
        <w:t>En atención a dicho mandato, el Ministerio de Salud</w:t>
      </w:r>
      <w:r w:rsidRPr="005D131A">
        <w:rPr>
          <w:sz w:val="28"/>
          <w:szCs w:val="28"/>
          <w:vertAlign w:val="superscript"/>
          <w:lang w:val="es-CO"/>
        </w:rPr>
        <w:footnoteReference w:id="36"/>
      </w:r>
      <w:r w:rsidR="009A0EA4" w:rsidRPr="005D131A">
        <w:rPr>
          <w:sz w:val="28"/>
          <w:szCs w:val="28"/>
        </w:rPr>
        <w:t xml:space="preserve"> </w:t>
      </w:r>
      <w:r w:rsidR="00E66D07" w:rsidRPr="005D131A">
        <w:rPr>
          <w:sz w:val="28"/>
          <w:szCs w:val="28"/>
          <w:lang w:val="es-CO"/>
        </w:rPr>
        <w:t>expidió la circular 00</w:t>
      </w:r>
      <w:r w:rsidR="00E663CD" w:rsidRPr="005D131A">
        <w:rPr>
          <w:sz w:val="28"/>
          <w:szCs w:val="28"/>
          <w:lang w:val="es-CO"/>
        </w:rPr>
        <w:t xml:space="preserve">0019 de 3 de mayo de 2012 </w:t>
      </w:r>
      <w:r w:rsidR="00A616B9" w:rsidRPr="005D131A">
        <w:rPr>
          <w:sz w:val="28"/>
          <w:szCs w:val="28"/>
          <w:lang w:val="es-CO"/>
        </w:rPr>
        <w:t xml:space="preserve">en la que recordó a </w:t>
      </w:r>
      <w:r w:rsidR="00F614A3" w:rsidRPr="005D131A">
        <w:rPr>
          <w:sz w:val="28"/>
          <w:szCs w:val="28"/>
          <w:lang w:val="es-CO"/>
        </w:rPr>
        <w:t xml:space="preserve">las </w:t>
      </w:r>
      <w:r w:rsidR="00E41847" w:rsidRPr="005D131A">
        <w:rPr>
          <w:sz w:val="28"/>
          <w:szCs w:val="28"/>
          <w:lang w:val="es-CO"/>
        </w:rPr>
        <w:t>EPS</w:t>
      </w:r>
      <w:r w:rsidR="00F614A3" w:rsidRPr="005D131A">
        <w:rPr>
          <w:sz w:val="28"/>
          <w:szCs w:val="28"/>
          <w:lang w:val="es-CO"/>
        </w:rPr>
        <w:t xml:space="preserve">, </w:t>
      </w:r>
      <w:r w:rsidR="00E41847" w:rsidRPr="005D131A">
        <w:rPr>
          <w:sz w:val="28"/>
          <w:szCs w:val="28"/>
          <w:lang w:val="es-CO"/>
        </w:rPr>
        <w:t>IPS</w:t>
      </w:r>
      <w:r w:rsidR="00F614A3" w:rsidRPr="005D131A">
        <w:rPr>
          <w:sz w:val="28"/>
          <w:szCs w:val="28"/>
          <w:lang w:val="es-CO"/>
        </w:rPr>
        <w:t xml:space="preserve">, Entidades Obligadas a Compensar -EOC- y </w:t>
      </w:r>
      <w:r w:rsidR="00E66D07" w:rsidRPr="005D131A">
        <w:rPr>
          <w:sz w:val="28"/>
          <w:szCs w:val="28"/>
          <w:lang w:val="es-CO"/>
        </w:rPr>
        <w:t xml:space="preserve">a las </w:t>
      </w:r>
      <w:r w:rsidR="00323942" w:rsidRPr="005D131A">
        <w:rPr>
          <w:sz w:val="28"/>
          <w:szCs w:val="28"/>
          <w:lang w:val="es-CO"/>
        </w:rPr>
        <w:t>entidades t</w:t>
      </w:r>
      <w:r w:rsidR="00F614A3" w:rsidRPr="005D131A">
        <w:rPr>
          <w:sz w:val="28"/>
          <w:szCs w:val="28"/>
          <w:lang w:val="es-CO"/>
        </w:rPr>
        <w:t>erritoriales</w:t>
      </w:r>
      <w:r w:rsidR="00A616B9" w:rsidRPr="005D131A">
        <w:rPr>
          <w:sz w:val="28"/>
          <w:szCs w:val="28"/>
          <w:lang w:val="es-CO"/>
        </w:rPr>
        <w:t xml:space="preserve"> </w:t>
      </w:r>
      <w:r w:rsidR="00F614A3" w:rsidRPr="005D131A">
        <w:rPr>
          <w:sz w:val="28"/>
          <w:szCs w:val="28"/>
          <w:lang w:val="es-CO"/>
        </w:rPr>
        <w:t xml:space="preserve">el deber que </w:t>
      </w:r>
      <w:r w:rsidR="00E66D07" w:rsidRPr="005D131A">
        <w:rPr>
          <w:sz w:val="28"/>
          <w:szCs w:val="28"/>
          <w:lang w:val="es-CO"/>
        </w:rPr>
        <w:t>les asiste</w:t>
      </w:r>
      <w:r w:rsidR="00A616B9" w:rsidRPr="005D131A">
        <w:rPr>
          <w:sz w:val="28"/>
          <w:szCs w:val="28"/>
          <w:lang w:val="es-CO"/>
        </w:rPr>
        <w:t xml:space="preserve"> de suministrar</w:t>
      </w:r>
      <w:r w:rsidR="00E66D07" w:rsidRPr="005D131A">
        <w:rPr>
          <w:sz w:val="28"/>
          <w:szCs w:val="28"/>
          <w:lang w:val="es-CO"/>
        </w:rPr>
        <w:t xml:space="preserve"> </w:t>
      </w:r>
      <w:r w:rsidR="009A0EA4" w:rsidRPr="005D131A">
        <w:rPr>
          <w:sz w:val="28"/>
          <w:szCs w:val="28"/>
        </w:rPr>
        <w:t xml:space="preserve">en casos de urgencia un servicio o procedimiento de salud no incluido en el </w:t>
      </w:r>
      <w:r w:rsidRPr="005D131A">
        <w:rPr>
          <w:sz w:val="28"/>
          <w:szCs w:val="28"/>
        </w:rPr>
        <w:t xml:space="preserve">POS </w:t>
      </w:r>
      <w:r w:rsidR="009A0EA4" w:rsidRPr="005D131A">
        <w:rPr>
          <w:sz w:val="28"/>
          <w:szCs w:val="28"/>
        </w:rPr>
        <w:t>sin que medie trámi</w:t>
      </w:r>
      <w:r w:rsidRPr="005D131A">
        <w:rPr>
          <w:sz w:val="28"/>
          <w:szCs w:val="28"/>
        </w:rPr>
        <w:t>te ante ningún organismo como los</w:t>
      </w:r>
      <w:r w:rsidR="009A0EA4" w:rsidRPr="005D131A">
        <w:rPr>
          <w:sz w:val="28"/>
          <w:szCs w:val="28"/>
        </w:rPr>
        <w:t xml:space="preserve"> </w:t>
      </w:r>
      <w:r w:rsidR="009A0EA4" w:rsidRPr="005D131A">
        <w:rPr>
          <w:sz w:val="28"/>
          <w:szCs w:val="28"/>
          <w:lang w:val="es-CO"/>
        </w:rPr>
        <w:t>CTC</w:t>
      </w:r>
      <w:r w:rsidRPr="005D131A">
        <w:rPr>
          <w:sz w:val="28"/>
          <w:szCs w:val="28"/>
          <w:lang w:val="es-CO"/>
        </w:rPr>
        <w:t xml:space="preserve"> o la Junta Técnico </w:t>
      </w:r>
      <w:r w:rsidR="009A0EA4" w:rsidRPr="005D131A">
        <w:rPr>
          <w:sz w:val="28"/>
          <w:szCs w:val="28"/>
          <w:lang w:val="es-CO"/>
        </w:rPr>
        <w:t xml:space="preserve">Científica de Pares </w:t>
      </w:r>
      <w:r w:rsidRPr="005D131A">
        <w:rPr>
          <w:sz w:val="28"/>
          <w:szCs w:val="28"/>
          <w:lang w:val="es-CO"/>
        </w:rPr>
        <w:t>-</w:t>
      </w:r>
      <w:r w:rsidR="009A0EA4" w:rsidRPr="005D131A">
        <w:rPr>
          <w:sz w:val="28"/>
          <w:szCs w:val="28"/>
          <w:lang w:val="es-CO"/>
        </w:rPr>
        <w:t>JTCP</w:t>
      </w:r>
      <w:r w:rsidRPr="005D131A">
        <w:rPr>
          <w:sz w:val="28"/>
          <w:szCs w:val="28"/>
          <w:lang w:val="es-CO"/>
        </w:rPr>
        <w:t>- de la Superintendencia Nacional de Salud</w:t>
      </w:r>
      <w:r w:rsidR="009A0EA4" w:rsidRPr="005D131A">
        <w:rPr>
          <w:sz w:val="28"/>
          <w:szCs w:val="28"/>
          <w:lang w:val="es-CO"/>
        </w:rPr>
        <w:t>, aclarando que los trámites respectivos debían realizarse de forma posterior a la prestación del servicio</w:t>
      </w:r>
      <w:r w:rsidR="00FB5C8E" w:rsidRPr="005D131A">
        <w:rPr>
          <w:sz w:val="28"/>
          <w:szCs w:val="28"/>
          <w:lang w:val="es-CO"/>
        </w:rPr>
        <w:t>.</w:t>
      </w:r>
      <w:r w:rsidRPr="005D131A">
        <w:rPr>
          <w:sz w:val="28"/>
          <w:szCs w:val="28"/>
          <w:lang w:val="es-CO"/>
        </w:rPr>
        <w:t xml:space="preserve"> </w:t>
      </w:r>
    </w:p>
    <w:p w:rsidR="001E32F5" w:rsidRPr="005D131A" w:rsidRDefault="001E32F5" w:rsidP="005D131A">
      <w:pPr>
        <w:ind w:right="-40"/>
        <w:rPr>
          <w:sz w:val="28"/>
          <w:szCs w:val="28"/>
        </w:rPr>
      </w:pPr>
    </w:p>
    <w:p w:rsidR="00F614A3" w:rsidRPr="005D131A" w:rsidRDefault="00FB5C8E" w:rsidP="005D131A">
      <w:pPr>
        <w:tabs>
          <w:tab w:val="left" w:pos="284"/>
          <w:tab w:val="left" w:pos="426"/>
        </w:tabs>
        <w:ind w:right="-40"/>
        <w:rPr>
          <w:sz w:val="28"/>
          <w:szCs w:val="28"/>
        </w:rPr>
      </w:pPr>
      <w:r w:rsidRPr="005D131A">
        <w:rPr>
          <w:sz w:val="28"/>
          <w:szCs w:val="28"/>
          <w:lang w:val="es-CO"/>
        </w:rPr>
        <w:t>1</w:t>
      </w:r>
      <w:r w:rsidR="00206781" w:rsidRPr="005D131A">
        <w:rPr>
          <w:sz w:val="28"/>
          <w:szCs w:val="28"/>
          <w:lang w:val="es-CO"/>
        </w:rPr>
        <w:t>2</w:t>
      </w:r>
      <w:r w:rsidRPr="005D131A">
        <w:rPr>
          <w:sz w:val="28"/>
          <w:szCs w:val="28"/>
          <w:lang w:val="es-CO"/>
        </w:rPr>
        <w:t>.</w:t>
      </w:r>
      <w:r w:rsidR="00B064CE" w:rsidRPr="005D131A">
        <w:rPr>
          <w:sz w:val="28"/>
          <w:szCs w:val="28"/>
          <w:lang w:val="es-CO"/>
        </w:rPr>
        <w:t xml:space="preserve"> </w:t>
      </w:r>
      <w:r w:rsidR="009D661E" w:rsidRPr="005D131A">
        <w:rPr>
          <w:sz w:val="28"/>
          <w:szCs w:val="28"/>
          <w:lang w:val="es-CO"/>
        </w:rPr>
        <w:t>Posteriormente,</w:t>
      </w:r>
      <w:r w:rsidR="0095365E" w:rsidRPr="005D131A">
        <w:rPr>
          <w:sz w:val="28"/>
          <w:szCs w:val="28"/>
          <w:lang w:val="es-CO"/>
        </w:rPr>
        <w:t xml:space="preserve"> </w:t>
      </w:r>
      <w:r w:rsidR="00D458DE" w:rsidRPr="005D131A">
        <w:rPr>
          <w:sz w:val="28"/>
          <w:szCs w:val="28"/>
          <w:lang w:val="es-CO"/>
        </w:rPr>
        <w:t>m</w:t>
      </w:r>
      <w:r w:rsidR="00F614A3" w:rsidRPr="005D131A">
        <w:rPr>
          <w:sz w:val="28"/>
          <w:szCs w:val="28"/>
          <w:lang w:val="es-CO"/>
        </w:rPr>
        <w:t xml:space="preserve">ediante </w:t>
      </w:r>
      <w:r w:rsidR="00F614A3" w:rsidRPr="005D131A">
        <w:rPr>
          <w:b/>
          <w:sz w:val="28"/>
          <w:szCs w:val="28"/>
          <w:lang w:val="es-CO"/>
        </w:rPr>
        <w:t xml:space="preserve">Auto 133A de </w:t>
      </w:r>
      <w:r w:rsidR="00D458DE" w:rsidRPr="005D131A">
        <w:rPr>
          <w:b/>
          <w:sz w:val="28"/>
          <w:szCs w:val="28"/>
          <w:lang w:val="es-CO"/>
        </w:rPr>
        <w:t>19 de junio de 2012</w:t>
      </w:r>
      <w:r w:rsidR="00223A0B" w:rsidRPr="005D131A">
        <w:rPr>
          <w:sz w:val="28"/>
          <w:szCs w:val="28"/>
          <w:lang w:val="es-CO"/>
        </w:rPr>
        <w:t xml:space="preserve"> </w:t>
      </w:r>
      <w:r w:rsidR="009D661E" w:rsidRPr="005D131A">
        <w:rPr>
          <w:sz w:val="28"/>
          <w:szCs w:val="28"/>
          <w:lang w:val="es-CO"/>
        </w:rPr>
        <w:t xml:space="preserve">se </w:t>
      </w:r>
      <w:r w:rsidR="00F614A3" w:rsidRPr="005D131A">
        <w:rPr>
          <w:sz w:val="28"/>
          <w:szCs w:val="28"/>
          <w:lang w:val="es-CO"/>
        </w:rPr>
        <w:t>requirió a los expertos</w:t>
      </w:r>
      <w:r w:rsidR="00C575AC" w:rsidRPr="005D131A">
        <w:rPr>
          <w:sz w:val="28"/>
          <w:szCs w:val="28"/>
          <w:lang w:val="es-CO"/>
        </w:rPr>
        <w:t xml:space="preserve"> que conforman el Grupo de Apoyo Especializado</w:t>
      </w:r>
      <w:r w:rsidR="00F430A1" w:rsidRPr="005D131A">
        <w:rPr>
          <w:sz w:val="28"/>
          <w:szCs w:val="28"/>
          <w:vertAlign w:val="superscript"/>
          <w:lang w:val="es-CO"/>
        </w:rPr>
        <w:footnoteReference w:id="37"/>
      </w:r>
      <w:r w:rsidR="00D458DE" w:rsidRPr="005D131A">
        <w:rPr>
          <w:sz w:val="28"/>
          <w:szCs w:val="28"/>
          <w:lang w:val="es-CO"/>
        </w:rPr>
        <w:t xml:space="preserve"> </w:t>
      </w:r>
      <w:r w:rsidR="00F614A3" w:rsidRPr="005D131A">
        <w:rPr>
          <w:sz w:val="28"/>
          <w:szCs w:val="28"/>
          <w:lang w:val="es-CO"/>
        </w:rPr>
        <w:t xml:space="preserve">para que </w:t>
      </w:r>
      <w:r w:rsidR="00223A0B" w:rsidRPr="005D131A">
        <w:rPr>
          <w:sz w:val="28"/>
          <w:szCs w:val="28"/>
        </w:rPr>
        <w:t xml:space="preserve">absolvieran algunos interrogantes relacionados con las distintas órdenes contenidas en la sentencia. En particular se les indagó sobre: </w:t>
      </w:r>
      <w:r w:rsidR="00223A0B" w:rsidRPr="005D131A">
        <w:rPr>
          <w:i/>
          <w:sz w:val="28"/>
          <w:szCs w:val="28"/>
        </w:rPr>
        <w:t>i)</w:t>
      </w:r>
      <w:r w:rsidR="00223A0B" w:rsidRPr="005D131A">
        <w:rPr>
          <w:sz w:val="28"/>
          <w:szCs w:val="28"/>
        </w:rPr>
        <w:t xml:space="preserve"> ¿si la Circular 019 de mayo de 2012 era suficiente para garantizar el goce efectivo del derecho a la salud de quienes requieren con urgencia la prestación de un servicio de salud no incluido en el Plan Obligatorio de Salud que haya sido ordenado por el médico tratante? y, </w:t>
      </w:r>
      <w:r w:rsidR="00223A0B" w:rsidRPr="005D131A">
        <w:rPr>
          <w:i/>
          <w:sz w:val="28"/>
          <w:szCs w:val="28"/>
        </w:rPr>
        <w:t>ii)</w:t>
      </w:r>
      <w:r w:rsidR="00223A0B" w:rsidRPr="005D131A">
        <w:rPr>
          <w:sz w:val="28"/>
          <w:szCs w:val="28"/>
        </w:rPr>
        <w:t xml:space="preserve"> ¿qué otras medidas deberían haberse adoptado para garantizar el goce efectivo del derecho a la salud de quienes requieren con urge</w:t>
      </w:r>
      <w:r w:rsidR="00B064CE" w:rsidRPr="005D131A">
        <w:rPr>
          <w:sz w:val="28"/>
          <w:szCs w:val="28"/>
        </w:rPr>
        <w:t>ncia servicios de salud no POS?</w:t>
      </w:r>
    </w:p>
    <w:p w:rsidR="00F614A3" w:rsidRPr="005D131A" w:rsidRDefault="00F614A3" w:rsidP="005D131A">
      <w:pPr>
        <w:rPr>
          <w:sz w:val="28"/>
          <w:szCs w:val="28"/>
          <w:lang w:val="es-CO"/>
        </w:rPr>
      </w:pPr>
    </w:p>
    <w:p w:rsidR="007443EA" w:rsidRPr="005D131A" w:rsidRDefault="008158BD" w:rsidP="005D131A">
      <w:pPr>
        <w:pStyle w:val="Prrafodelista"/>
        <w:tabs>
          <w:tab w:val="left" w:pos="567"/>
        </w:tabs>
        <w:ind w:left="0"/>
        <w:rPr>
          <w:sz w:val="28"/>
          <w:szCs w:val="28"/>
          <w:lang w:val="es-CO"/>
        </w:rPr>
      </w:pPr>
      <w:r w:rsidRPr="005D131A">
        <w:rPr>
          <w:sz w:val="28"/>
          <w:szCs w:val="28"/>
          <w:lang w:val="es-CO"/>
        </w:rPr>
        <w:t>1</w:t>
      </w:r>
      <w:r w:rsidR="00206781" w:rsidRPr="005D131A">
        <w:rPr>
          <w:sz w:val="28"/>
          <w:szCs w:val="28"/>
          <w:lang w:val="es-CO"/>
        </w:rPr>
        <w:t>2</w:t>
      </w:r>
      <w:r w:rsidRPr="005D131A">
        <w:rPr>
          <w:sz w:val="28"/>
          <w:szCs w:val="28"/>
          <w:lang w:val="es-CO"/>
        </w:rPr>
        <w:t xml:space="preserve">.1. </w:t>
      </w:r>
      <w:r w:rsidR="00B064CE" w:rsidRPr="005D131A">
        <w:rPr>
          <w:sz w:val="28"/>
          <w:szCs w:val="28"/>
          <w:lang w:val="es-CO"/>
        </w:rPr>
        <w:t>En respuesta a dichos pronunciamientos,</w:t>
      </w:r>
      <w:r w:rsidR="0095365E" w:rsidRPr="005D131A">
        <w:rPr>
          <w:sz w:val="28"/>
          <w:szCs w:val="28"/>
          <w:lang w:val="es-CO"/>
        </w:rPr>
        <w:t xml:space="preserve"> </w:t>
      </w:r>
      <w:r w:rsidR="00B064CE" w:rsidRPr="005D131A">
        <w:rPr>
          <w:sz w:val="28"/>
          <w:szCs w:val="28"/>
          <w:lang w:val="es-CO"/>
        </w:rPr>
        <w:t>l</w:t>
      </w:r>
      <w:r w:rsidR="008D0D6E" w:rsidRPr="005D131A">
        <w:rPr>
          <w:sz w:val="28"/>
          <w:szCs w:val="28"/>
          <w:lang w:val="es-CO"/>
        </w:rPr>
        <w:t>a Universidad Nacional de Colombia mediante memorial de</w:t>
      </w:r>
      <w:r w:rsidR="00BB2F69" w:rsidRPr="005D131A">
        <w:rPr>
          <w:sz w:val="28"/>
          <w:szCs w:val="28"/>
          <w:lang w:val="es-CO"/>
        </w:rPr>
        <w:t xml:space="preserve"> </w:t>
      </w:r>
      <w:r w:rsidR="008D0D6E" w:rsidRPr="005D131A">
        <w:rPr>
          <w:sz w:val="28"/>
          <w:szCs w:val="28"/>
          <w:lang w:val="es-CO"/>
        </w:rPr>
        <w:t>5 de julio de 2012</w:t>
      </w:r>
      <w:r w:rsidR="0095365E" w:rsidRPr="005D131A">
        <w:rPr>
          <w:sz w:val="28"/>
          <w:szCs w:val="28"/>
          <w:vertAlign w:val="superscript"/>
          <w:lang w:val="es-CO"/>
        </w:rPr>
        <w:footnoteReference w:id="38"/>
      </w:r>
      <w:r w:rsidR="008D0D6E" w:rsidRPr="005D131A">
        <w:rPr>
          <w:sz w:val="28"/>
          <w:szCs w:val="28"/>
          <w:lang w:val="es-CO"/>
        </w:rPr>
        <w:t xml:space="preserve"> </w:t>
      </w:r>
      <w:r w:rsidR="0095365E" w:rsidRPr="005D131A">
        <w:rPr>
          <w:sz w:val="28"/>
          <w:szCs w:val="28"/>
          <w:lang w:val="es-CO"/>
        </w:rPr>
        <w:t xml:space="preserve">consideró suficiente </w:t>
      </w:r>
      <w:r w:rsidR="00F614A3" w:rsidRPr="005D131A">
        <w:rPr>
          <w:sz w:val="28"/>
          <w:szCs w:val="28"/>
          <w:lang w:val="es-CO"/>
        </w:rPr>
        <w:t>la Circular 019</w:t>
      </w:r>
      <w:r w:rsidR="009B2CC8" w:rsidRPr="005D131A">
        <w:rPr>
          <w:sz w:val="28"/>
          <w:szCs w:val="28"/>
          <w:lang w:val="es-CO"/>
        </w:rPr>
        <w:t xml:space="preserve"> de 2012</w:t>
      </w:r>
      <w:r w:rsidR="00223A0B" w:rsidRPr="005D131A">
        <w:rPr>
          <w:sz w:val="28"/>
          <w:szCs w:val="28"/>
          <w:lang w:val="es-CO"/>
        </w:rPr>
        <w:t xml:space="preserve"> </w:t>
      </w:r>
      <w:r w:rsidR="0095365E" w:rsidRPr="005D131A">
        <w:rPr>
          <w:sz w:val="28"/>
          <w:szCs w:val="28"/>
          <w:lang w:val="es-CO"/>
        </w:rPr>
        <w:t xml:space="preserve">porque </w:t>
      </w:r>
      <w:r w:rsidR="007443EA" w:rsidRPr="005D131A">
        <w:rPr>
          <w:sz w:val="28"/>
          <w:szCs w:val="28"/>
          <w:lang w:val="es-CO"/>
        </w:rPr>
        <w:t>cuando</w:t>
      </w:r>
      <w:r w:rsidR="009B2CC8" w:rsidRPr="005D131A">
        <w:rPr>
          <w:sz w:val="28"/>
          <w:szCs w:val="28"/>
          <w:lang w:val="es-CO"/>
        </w:rPr>
        <w:t xml:space="preserve"> </w:t>
      </w:r>
      <w:r w:rsidR="007443EA" w:rsidRPr="005D131A">
        <w:rPr>
          <w:sz w:val="28"/>
          <w:szCs w:val="28"/>
          <w:lang w:val="es-CO"/>
        </w:rPr>
        <w:t>está</w:t>
      </w:r>
      <w:r w:rsidR="009B2CC8" w:rsidRPr="005D131A">
        <w:rPr>
          <w:sz w:val="28"/>
          <w:szCs w:val="28"/>
          <w:lang w:val="es-CO"/>
        </w:rPr>
        <w:t xml:space="preserve"> en riesgo la vida de una persona se deb</w:t>
      </w:r>
      <w:r w:rsidR="007443EA" w:rsidRPr="005D131A">
        <w:rPr>
          <w:sz w:val="28"/>
          <w:szCs w:val="28"/>
          <w:lang w:val="es-CO"/>
        </w:rPr>
        <w:t>e</w:t>
      </w:r>
      <w:r w:rsidR="009B2CC8" w:rsidRPr="005D131A">
        <w:rPr>
          <w:sz w:val="28"/>
          <w:szCs w:val="28"/>
          <w:lang w:val="es-CO"/>
        </w:rPr>
        <w:t xml:space="preserve"> acudir en el menor tiempo posible a todos los medios tendientes a </w:t>
      </w:r>
      <w:r w:rsidR="007443EA" w:rsidRPr="005D131A">
        <w:rPr>
          <w:sz w:val="28"/>
          <w:szCs w:val="28"/>
          <w:lang w:val="es-CO"/>
        </w:rPr>
        <w:t>disminuir</w:t>
      </w:r>
      <w:r w:rsidR="009B2CC8" w:rsidRPr="005D131A">
        <w:rPr>
          <w:sz w:val="28"/>
          <w:szCs w:val="28"/>
          <w:lang w:val="es-CO"/>
        </w:rPr>
        <w:t xml:space="preserve"> los riesgos de invalidez </w:t>
      </w:r>
      <w:r w:rsidR="007443EA" w:rsidRPr="005D131A">
        <w:rPr>
          <w:sz w:val="28"/>
          <w:szCs w:val="28"/>
          <w:lang w:val="es-CO"/>
        </w:rPr>
        <w:t>y muerte</w:t>
      </w:r>
      <w:r w:rsidR="000E5CB7" w:rsidRPr="005D131A">
        <w:rPr>
          <w:sz w:val="28"/>
          <w:szCs w:val="28"/>
          <w:lang w:val="es-CO"/>
        </w:rPr>
        <w:t>. S</w:t>
      </w:r>
      <w:r w:rsidR="00F614A3" w:rsidRPr="005D131A">
        <w:rPr>
          <w:sz w:val="28"/>
          <w:szCs w:val="28"/>
          <w:lang w:val="es-CO"/>
        </w:rPr>
        <w:t>in embargo</w:t>
      </w:r>
      <w:r w:rsidR="000E5CB7" w:rsidRPr="005D131A">
        <w:rPr>
          <w:sz w:val="28"/>
          <w:szCs w:val="28"/>
          <w:lang w:val="es-CO"/>
        </w:rPr>
        <w:t xml:space="preserve">, estimó </w:t>
      </w:r>
      <w:r w:rsidR="00F614A3" w:rsidRPr="005D131A">
        <w:rPr>
          <w:sz w:val="28"/>
          <w:szCs w:val="28"/>
          <w:lang w:val="es-CO"/>
        </w:rPr>
        <w:t>necesario</w:t>
      </w:r>
      <w:r w:rsidR="0095365E" w:rsidRPr="005D131A">
        <w:rPr>
          <w:sz w:val="28"/>
          <w:szCs w:val="28"/>
          <w:lang w:val="es-CO"/>
        </w:rPr>
        <w:t xml:space="preserve"> adicionarla</w:t>
      </w:r>
      <w:r w:rsidR="007443EA" w:rsidRPr="005D131A">
        <w:rPr>
          <w:sz w:val="28"/>
          <w:szCs w:val="28"/>
          <w:lang w:val="es-CO"/>
        </w:rPr>
        <w:t xml:space="preserve"> en el sentido de especificar que el paciente que requiera continuar de manera ambulatoria con el medicamento administrado en un procedimiento de urgencias debe ser suministrado</w:t>
      </w:r>
      <w:r w:rsidR="000E5CB7" w:rsidRPr="005D131A">
        <w:rPr>
          <w:sz w:val="28"/>
          <w:szCs w:val="28"/>
          <w:lang w:val="es-CO"/>
        </w:rPr>
        <w:t xml:space="preserve"> por la institución que prestó la asistencia inicial.</w:t>
      </w:r>
    </w:p>
    <w:p w:rsidR="00F572CC" w:rsidRPr="005D131A" w:rsidRDefault="00F572CC" w:rsidP="005D131A">
      <w:pPr>
        <w:pStyle w:val="Prrafodelista"/>
        <w:tabs>
          <w:tab w:val="left" w:pos="567"/>
        </w:tabs>
        <w:ind w:left="0"/>
        <w:rPr>
          <w:sz w:val="28"/>
          <w:szCs w:val="28"/>
          <w:lang w:val="es-CO"/>
        </w:rPr>
      </w:pPr>
    </w:p>
    <w:p w:rsidR="002F00B5" w:rsidRPr="005D131A" w:rsidRDefault="0095365E" w:rsidP="005D131A">
      <w:pPr>
        <w:tabs>
          <w:tab w:val="left" w:pos="567"/>
        </w:tabs>
        <w:rPr>
          <w:sz w:val="28"/>
          <w:szCs w:val="28"/>
        </w:rPr>
      </w:pPr>
      <w:r w:rsidRPr="005D131A">
        <w:rPr>
          <w:sz w:val="28"/>
          <w:szCs w:val="28"/>
          <w:lang w:val="es-CO"/>
        </w:rPr>
        <w:t>12</w:t>
      </w:r>
      <w:r w:rsidR="008158BD" w:rsidRPr="005D131A">
        <w:rPr>
          <w:sz w:val="28"/>
          <w:szCs w:val="28"/>
          <w:lang w:val="es-CO"/>
        </w:rPr>
        <w:t>.2.</w:t>
      </w:r>
      <w:r w:rsidR="007443EA" w:rsidRPr="005D131A">
        <w:rPr>
          <w:sz w:val="28"/>
          <w:szCs w:val="28"/>
          <w:lang w:val="es-CO"/>
        </w:rPr>
        <w:t xml:space="preserve"> </w:t>
      </w:r>
      <w:r w:rsidR="008158BD" w:rsidRPr="005D131A">
        <w:rPr>
          <w:sz w:val="28"/>
          <w:szCs w:val="28"/>
          <w:lang w:val="es-CO"/>
        </w:rPr>
        <w:t>Por su parte</w:t>
      </w:r>
      <w:r w:rsidR="007C2E5A" w:rsidRPr="005D131A">
        <w:rPr>
          <w:sz w:val="28"/>
          <w:szCs w:val="28"/>
          <w:lang w:val="es-CO"/>
        </w:rPr>
        <w:t>,</w:t>
      </w:r>
      <w:r w:rsidR="00B1267F" w:rsidRPr="005D131A">
        <w:rPr>
          <w:sz w:val="28"/>
          <w:szCs w:val="28"/>
          <w:lang w:val="es-CO"/>
        </w:rPr>
        <w:t xml:space="preserve"> </w:t>
      </w:r>
      <w:r w:rsidRPr="005D131A">
        <w:rPr>
          <w:i/>
          <w:sz w:val="28"/>
          <w:szCs w:val="28"/>
          <w:lang w:val="es-CO"/>
        </w:rPr>
        <w:t xml:space="preserve">“Así Vamos en Salud” </w:t>
      </w:r>
      <w:r w:rsidR="007443EA" w:rsidRPr="005D131A">
        <w:rPr>
          <w:sz w:val="28"/>
          <w:szCs w:val="28"/>
          <w:lang w:val="es-CO"/>
        </w:rPr>
        <w:t>manifestó</w:t>
      </w:r>
      <w:r w:rsidR="005C0F18" w:rsidRPr="005D131A">
        <w:rPr>
          <w:sz w:val="28"/>
          <w:szCs w:val="28"/>
          <w:lang w:val="es-CO"/>
        </w:rPr>
        <w:t xml:space="preserve"> que </w:t>
      </w:r>
      <w:r w:rsidRPr="005D131A">
        <w:rPr>
          <w:sz w:val="28"/>
          <w:szCs w:val="28"/>
          <w:lang w:val="es-CO"/>
        </w:rPr>
        <w:t>si bien es cierto la c</w:t>
      </w:r>
      <w:r w:rsidR="002F00B5" w:rsidRPr="005D131A">
        <w:rPr>
          <w:sz w:val="28"/>
          <w:szCs w:val="28"/>
          <w:lang w:val="es-CO"/>
        </w:rPr>
        <w:t xml:space="preserve">ircular </w:t>
      </w:r>
      <w:r w:rsidRPr="005D131A">
        <w:rPr>
          <w:sz w:val="28"/>
          <w:szCs w:val="28"/>
          <w:lang w:val="es-CO"/>
        </w:rPr>
        <w:t>en mención</w:t>
      </w:r>
      <w:r w:rsidR="002F00B5" w:rsidRPr="005D131A">
        <w:rPr>
          <w:sz w:val="28"/>
          <w:szCs w:val="28"/>
        </w:rPr>
        <w:t xml:space="preserve"> tiene elementos claros y definitivos para la </w:t>
      </w:r>
      <w:r w:rsidR="00AA60CF" w:rsidRPr="005D131A">
        <w:rPr>
          <w:sz w:val="28"/>
          <w:szCs w:val="28"/>
        </w:rPr>
        <w:t xml:space="preserve">comprensión de la norma como </w:t>
      </w:r>
      <w:r w:rsidR="002F00B5" w:rsidRPr="005D131A">
        <w:rPr>
          <w:sz w:val="28"/>
          <w:szCs w:val="28"/>
        </w:rPr>
        <w:t xml:space="preserve">recordar a las EPS sobre los servicios que se requieran con necesidad, la definición de urgencias, la claridad en el término de excepciones, la autonomía otorgada al médico tratante y el énfasis cuando se hace referencia a la </w:t>
      </w:r>
      <w:r w:rsidR="002F00B5" w:rsidRPr="005D131A">
        <w:rPr>
          <w:i/>
          <w:sz w:val="28"/>
          <w:szCs w:val="28"/>
        </w:rPr>
        <w:t>“celeridad que el caso lo requiera, de manera inmediata”</w:t>
      </w:r>
      <w:r w:rsidR="00AA60CF" w:rsidRPr="005D131A">
        <w:rPr>
          <w:sz w:val="28"/>
          <w:szCs w:val="28"/>
        </w:rPr>
        <w:t xml:space="preserve">; </w:t>
      </w:r>
      <w:r w:rsidRPr="005D131A">
        <w:rPr>
          <w:sz w:val="28"/>
          <w:szCs w:val="28"/>
        </w:rPr>
        <w:t>también lo es</w:t>
      </w:r>
      <w:r w:rsidR="002F00B5" w:rsidRPr="005D131A">
        <w:rPr>
          <w:sz w:val="28"/>
          <w:szCs w:val="28"/>
        </w:rPr>
        <w:t xml:space="preserve"> que </w:t>
      </w:r>
      <w:r w:rsidRPr="005D131A">
        <w:rPr>
          <w:sz w:val="28"/>
          <w:szCs w:val="28"/>
        </w:rPr>
        <w:t>esa disposición n</w:t>
      </w:r>
      <w:r w:rsidR="002F00B5" w:rsidRPr="005D131A">
        <w:rPr>
          <w:sz w:val="28"/>
          <w:szCs w:val="28"/>
        </w:rPr>
        <w:t xml:space="preserve">o es suficiente para garantizar el goce efectivo del derecho a la salud de quienes requieran con urgencia servicios </w:t>
      </w:r>
      <w:r w:rsidR="00414F75" w:rsidRPr="005D131A">
        <w:rPr>
          <w:sz w:val="28"/>
          <w:szCs w:val="28"/>
        </w:rPr>
        <w:t>n</w:t>
      </w:r>
      <w:r w:rsidR="002F00B5" w:rsidRPr="005D131A">
        <w:rPr>
          <w:sz w:val="28"/>
          <w:szCs w:val="28"/>
        </w:rPr>
        <w:t>o POS.</w:t>
      </w:r>
    </w:p>
    <w:p w:rsidR="00EE4CC7" w:rsidRPr="005D131A" w:rsidRDefault="00EE4CC7" w:rsidP="005D131A">
      <w:pPr>
        <w:tabs>
          <w:tab w:val="left" w:pos="567"/>
        </w:tabs>
        <w:rPr>
          <w:sz w:val="28"/>
          <w:szCs w:val="28"/>
        </w:rPr>
      </w:pPr>
    </w:p>
    <w:p w:rsidR="00477225" w:rsidRPr="005D131A" w:rsidRDefault="00414F75" w:rsidP="005D131A">
      <w:pPr>
        <w:tabs>
          <w:tab w:val="left" w:pos="851"/>
        </w:tabs>
        <w:rPr>
          <w:sz w:val="28"/>
          <w:szCs w:val="28"/>
          <w:lang w:val="es-CO"/>
        </w:rPr>
      </w:pPr>
      <w:r w:rsidRPr="005D131A">
        <w:rPr>
          <w:sz w:val="28"/>
          <w:szCs w:val="28"/>
        </w:rPr>
        <w:t>En ese sentido, recomendó</w:t>
      </w:r>
      <w:r w:rsidR="00477225" w:rsidRPr="005D131A">
        <w:rPr>
          <w:sz w:val="28"/>
          <w:szCs w:val="28"/>
        </w:rPr>
        <w:t xml:space="preserve">: </w:t>
      </w:r>
      <w:r w:rsidR="00D3600E" w:rsidRPr="005D131A">
        <w:rPr>
          <w:i/>
          <w:sz w:val="28"/>
          <w:szCs w:val="28"/>
          <w:lang w:val="es-CO"/>
        </w:rPr>
        <w:t xml:space="preserve">i) </w:t>
      </w:r>
      <w:r w:rsidR="00D3600E" w:rsidRPr="005D131A">
        <w:rPr>
          <w:sz w:val="28"/>
          <w:szCs w:val="28"/>
          <w:lang w:val="es-CO"/>
        </w:rPr>
        <w:t xml:space="preserve">verificar </w:t>
      </w:r>
      <w:r w:rsidR="00F614A3" w:rsidRPr="005D131A">
        <w:rPr>
          <w:sz w:val="28"/>
          <w:szCs w:val="28"/>
          <w:lang w:val="es-CO"/>
        </w:rPr>
        <w:t>que todo</w:t>
      </w:r>
      <w:r w:rsidR="00C6203B" w:rsidRPr="005D131A">
        <w:rPr>
          <w:sz w:val="28"/>
          <w:szCs w:val="28"/>
          <w:lang w:val="es-CO"/>
        </w:rPr>
        <w:t xml:space="preserve">s los médicos </w:t>
      </w:r>
      <w:r w:rsidR="00253B68" w:rsidRPr="005D131A">
        <w:rPr>
          <w:sz w:val="28"/>
          <w:szCs w:val="28"/>
          <w:lang w:val="es-CO"/>
        </w:rPr>
        <w:t xml:space="preserve">conozcan y </w:t>
      </w:r>
      <w:r w:rsidR="00F614A3" w:rsidRPr="005D131A">
        <w:rPr>
          <w:sz w:val="28"/>
          <w:szCs w:val="28"/>
          <w:lang w:val="es-CO"/>
        </w:rPr>
        <w:t xml:space="preserve">entiendan el sentido exacto de la </w:t>
      </w:r>
      <w:r w:rsidR="0095365E" w:rsidRPr="005D131A">
        <w:rPr>
          <w:sz w:val="28"/>
          <w:szCs w:val="28"/>
          <w:lang w:val="es-CO"/>
        </w:rPr>
        <w:t>c</w:t>
      </w:r>
      <w:r w:rsidR="00F614A3" w:rsidRPr="005D131A">
        <w:rPr>
          <w:sz w:val="28"/>
          <w:szCs w:val="28"/>
          <w:lang w:val="es-CO"/>
        </w:rPr>
        <w:t>ircular,</w:t>
      </w:r>
      <w:r w:rsidR="00F614A3" w:rsidRPr="005D131A">
        <w:rPr>
          <w:i/>
          <w:sz w:val="28"/>
          <w:szCs w:val="28"/>
          <w:lang w:val="es-CO"/>
        </w:rPr>
        <w:t xml:space="preserve"> </w:t>
      </w:r>
      <w:r w:rsidR="00D3600E" w:rsidRPr="005D131A">
        <w:rPr>
          <w:i/>
          <w:sz w:val="28"/>
          <w:szCs w:val="28"/>
          <w:lang w:val="es-CO"/>
        </w:rPr>
        <w:t xml:space="preserve">ii) </w:t>
      </w:r>
      <w:r w:rsidR="00F614A3" w:rsidRPr="005D131A">
        <w:rPr>
          <w:sz w:val="28"/>
          <w:szCs w:val="28"/>
          <w:lang w:val="es-CO"/>
        </w:rPr>
        <w:t>monitore</w:t>
      </w:r>
      <w:r w:rsidR="00D3600E" w:rsidRPr="005D131A">
        <w:rPr>
          <w:sz w:val="28"/>
          <w:szCs w:val="28"/>
          <w:lang w:val="es-CO"/>
        </w:rPr>
        <w:t>ar</w:t>
      </w:r>
      <w:r w:rsidR="00F614A3" w:rsidRPr="005D131A">
        <w:rPr>
          <w:sz w:val="28"/>
          <w:szCs w:val="28"/>
          <w:lang w:val="es-CO"/>
        </w:rPr>
        <w:t xml:space="preserve"> </w:t>
      </w:r>
      <w:r w:rsidR="00253B68" w:rsidRPr="005D131A">
        <w:rPr>
          <w:sz w:val="28"/>
          <w:szCs w:val="28"/>
          <w:lang w:val="es-CO"/>
        </w:rPr>
        <w:t xml:space="preserve">los </w:t>
      </w:r>
      <w:r w:rsidR="00F614A3" w:rsidRPr="005D131A">
        <w:rPr>
          <w:sz w:val="28"/>
          <w:szCs w:val="28"/>
          <w:lang w:val="es-CO"/>
        </w:rPr>
        <w:t>servicio</w:t>
      </w:r>
      <w:r w:rsidR="00253B68" w:rsidRPr="005D131A">
        <w:rPr>
          <w:sz w:val="28"/>
          <w:szCs w:val="28"/>
          <w:lang w:val="es-CO"/>
        </w:rPr>
        <w:t>s</w:t>
      </w:r>
      <w:r w:rsidR="00F614A3" w:rsidRPr="005D131A">
        <w:rPr>
          <w:sz w:val="28"/>
          <w:szCs w:val="28"/>
          <w:lang w:val="es-CO"/>
        </w:rPr>
        <w:t xml:space="preserve"> de urgencias,</w:t>
      </w:r>
      <w:r w:rsidR="00C6203B" w:rsidRPr="005D131A">
        <w:rPr>
          <w:sz w:val="28"/>
          <w:szCs w:val="28"/>
          <w:lang w:val="es-CO"/>
        </w:rPr>
        <w:t xml:space="preserve"> para lo cual los sistemas de información serán la fuente principal para hacer el seguimiento</w:t>
      </w:r>
      <w:r w:rsidR="00F614A3" w:rsidRPr="005D131A">
        <w:rPr>
          <w:i/>
          <w:sz w:val="28"/>
          <w:szCs w:val="28"/>
          <w:lang w:val="es-CO"/>
        </w:rPr>
        <w:t xml:space="preserve"> </w:t>
      </w:r>
      <w:r w:rsidR="00D3600E" w:rsidRPr="005D131A">
        <w:rPr>
          <w:i/>
          <w:sz w:val="28"/>
          <w:szCs w:val="28"/>
          <w:lang w:val="es-CO"/>
        </w:rPr>
        <w:t>iii)</w:t>
      </w:r>
      <w:r w:rsidR="002250D5" w:rsidRPr="005D131A">
        <w:rPr>
          <w:i/>
          <w:sz w:val="28"/>
          <w:szCs w:val="28"/>
          <w:lang w:val="es-CO"/>
        </w:rPr>
        <w:t xml:space="preserve"> </w:t>
      </w:r>
      <w:r w:rsidR="00253B68" w:rsidRPr="005D131A">
        <w:rPr>
          <w:sz w:val="28"/>
          <w:szCs w:val="28"/>
          <w:lang w:val="es-CO"/>
        </w:rPr>
        <w:t>revisar el correcto funcionamiento en</w:t>
      </w:r>
      <w:r w:rsidR="002250D5" w:rsidRPr="005D131A">
        <w:rPr>
          <w:sz w:val="28"/>
          <w:szCs w:val="28"/>
          <w:lang w:val="es-CO"/>
        </w:rPr>
        <w:t xml:space="preserve"> la interdependencia </w:t>
      </w:r>
      <w:r w:rsidR="00253B68" w:rsidRPr="005D131A">
        <w:rPr>
          <w:sz w:val="28"/>
          <w:szCs w:val="28"/>
          <w:lang w:val="es-CO"/>
        </w:rPr>
        <w:t xml:space="preserve">de servicios para soportar la implementación de la </w:t>
      </w:r>
      <w:r w:rsidR="0095365E" w:rsidRPr="005D131A">
        <w:rPr>
          <w:sz w:val="28"/>
          <w:szCs w:val="28"/>
          <w:lang w:val="es-CO"/>
        </w:rPr>
        <w:t>regulación</w:t>
      </w:r>
      <w:r w:rsidR="00D3600E" w:rsidRPr="005D131A">
        <w:rPr>
          <w:sz w:val="28"/>
          <w:szCs w:val="28"/>
          <w:lang w:val="es-CO"/>
        </w:rPr>
        <w:t xml:space="preserve">, </w:t>
      </w:r>
      <w:r w:rsidR="00D3600E" w:rsidRPr="005D131A">
        <w:rPr>
          <w:i/>
          <w:sz w:val="28"/>
          <w:szCs w:val="28"/>
          <w:lang w:val="es-CO"/>
        </w:rPr>
        <w:t xml:space="preserve">iv) </w:t>
      </w:r>
      <w:r w:rsidR="00C6203B" w:rsidRPr="005D131A">
        <w:rPr>
          <w:sz w:val="28"/>
          <w:szCs w:val="28"/>
          <w:lang w:val="es-CO"/>
        </w:rPr>
        <w:t xml:space="preserve">considerar que a través de un soporte técnico (guías o manuales) se determine el tiempo </w:t>
      </w:r>
      <w:r w:rsidR="0095365E" w:rsidRPr="005D131A">
        <w:rPr>
          <w:sz w:val="28"/>
          <w:szCs w:val="28"/>
          <w:lang w:val="es-CO"/>
        </w:rPr>
        <w:t xml:space="preserve">que se debe emplear en el </w:t>
      </w:r>
      <w:r w:rsidR="00C6203B" w:rsidRPr="005D131A">
        <w:rPr>
          <w:sz w:val="28"/>
          <w:szCs w:val="28"/>
          <w:lang w:val="es-CO"/>
        </w:rPr>
        <w:t>servicio o procedimiento para superar el estado de urgencia</w:t>
      </w:r>
      <w:r w:rsidR="00D3600E" w:rsidRPr="005D131A">
        <w:rPr>
          <w:sz w:val="28"/>
          <w:szCs w:val="28"/>
          <w:lang w:val="es-CO"/>
        </w:rPr>
        <w:t>,</w:t>
      </w:r>
      <w:r w:rsidR="00D3600E" w:rsidRPr="005D131A">
        <w:rPr>
          <w:i/>
          <w:sz w:val="28"/>
          <w:szCs w:val="28"/>
          <w:lang w:val="es-CO"/>
        </w:rPr>
        <w:t xml:space="preserve"> v) </w:t>
      </w:r>
      <w:r w:rsidR="00D3600E" w:rsidRPr="005D131A">
        <w:rPr>
          <w:sz w:val="28"/>
          <w:szCs w:val="28"/>
          <w:lang w:val="es-CO"/>
        </w:rPr>
        <w:t>fortalecer los mecanismos de control interno</w:t>
      </w:r>
      <w:r w:rsidR="00C6203B" w:rsidRPr="005D131A">
        <w:rPr>
          <w:sz w:val="28"/>
          <w:szCs w:val="28"/>
          <w:lang w:val="es-CO"/>
        </w:rPr>
        <w:t xml:space="preserve"> en todas</w:t>
      </w:r>
      <w:r w:rsidR="0095365E" w:rsidRPr="005D131A">
        <w:rPr>
          <w:sz w:val="28"/>
          <w:szCs w:val="28"/>
          <w:lang w:val="es-CO"/>
        </w:rPr>
        <w:t xml:space="preserve"> las instituciones de salud</w:t>
      </w:r>
      <w:r w:rsidR="00C6203B" w:rsidRPr="005D131A">
        <w:rPr>
          <w:sz w:val="28"/>
          <w:szCs w:val="28"/>
          <w:lang w:val="es-CO"/>
        </w:rPr>
        <w:t xml:space="preserve"> para asegurar que la implementación de dicha norma sea la adecuada, y</w:t>
      </w:r>
      <w:r w:rsidR="00D3600E" w:rsidRPr="005D131A">
        <w:rPr>
          <w:i/>
          <w:sz w:val="28"/>
          <w:szCs w:val="28"/>
          <w:lang w:val="es-CO"/>
        </w:rPr>
        <w:t xml:space="preserve"> vi) </w:t>
      </w:r>
      <w:r w:rsidR="00B1267F" w:rsidRPr="005D131A">
        <w:rPr>
          <w:sz w:val="28"/>
          <w:szCs w:val="28"/>
          <w:lang w:val="es-CO"/>
        </w:rPr>
        <w:t>establecer</w:t>
      </w:r>
      <w:r w:rsidR="001F0C28" w:rsidRPr="005D131A">
        <w:rPr>
          <w:sz w:val="28"/>
          <w:szCs w:val="28"/>
          <w:lang w:val="es-CO"/>
        </w:rPr>
        <w:t xml:space="preserve"> </w:t>
      </w:r>
      <w:r w:rsidR="0087420E" w:rsidRPr="005D131A">
        <w:rPr>
          <w:sz w:val="28"/>
          <w:szCs w:val="28"/>
          <w:lang w:val="es-CO"/>
        </w:rPr>
        <w:t>las</w:t>
      </w:r>
      <w:r w:rsidR="001F0C28" w:rsidRPr="005D131A">
        <w:rPr>
          <w:sz w:val="28"/>
          <w:szCs w:val="28"/>
          <w:lang w:val="es-CO"/>
        </w:rPr>
        <w:t xml:space="preserve"> sanciones para las </w:t>
      </w:r>
      <w:r w:rsidR="00B1267F" w:rsidRPr="005D131A">
        <w:rPr>
          <w:sz w:val="28"/>
          <w:szCs w:val="28"/>
          <w:lang w:val="es-CO"/>
        </w:rPr>
        <w:t xml:space="preserve">EPS que no la </w:t>
      </w:r>
      <w:r w:rsidR="001F0C28" w:rsidRPr="005D131A">
        <w:rPr>
          <w:sz w:val="28"/>
          <w:szCs w:val="28"/>
          <w:lang w:val="es-CO"/>
        </w:rPr>
        <w:t>cumplan</w:t>
      </w:r>
      <w:r w:rsidR="00BD0C3A" w:rsidRPr="005D131A">
        <w:rPr>
          <w:sz w:val="28"/>
          <w:szCs w:val="28"/>
          <w:vertAlign w:val="superscript"/>
          <w:lang w:val="es-CO"/>
        </w:rPr>
        <w:footnoteReference w:id="39"/>
      </w:r>
      <w:r w:rsidR="00B1267F" w:rsidRPr="005D131A">
        <w:rPr>
          <w:sz w:val="28"/>
          <w:szCs w:val="28"/>
          <w:lang w:val="es-CO"/>
        </w:rPr>
        <w:t>.</w:t>
      </w:r>
    </w:p>
    <w:p w:rsidR="00477225" w:rsidRPr="005D131A" w:rsidRDefault="00477225" w:rsidP="005D131A">
      <w:pPr>
        <w:pStyle w:val="Prrafodelista"/>
        <w:tabs>
          <w:tab w:val="left" w:pos="567"/>
        </w:tabs>
        <w:ind w:left="0"/>
        <w:rPr>
          <w:i/>
          <w:sz w:val="28"/>
          <w:szCs w:val="28"/>
          <w:lang w:val="es-CO"/>
        </w:rPr>
      </w:pPr>
    </w:p>
    <w:p w:rsidR="000F13F2" w:rsidRPr="005D131A" w:rsidRDefault="00CF0A68" w:rsidP="005D131A">
      <w:pPr>
        <w:pStyle w:val="Prrafodelista"/>
        <w:tabs>
          <w:tab w:val="left" w:pos="567"/>
        </w:tabs>
        <w:ind w:left="0"/>
        <w:rPr>
          <w:sz w:val="28"/>
          <w:szCs w:val="28"/>
          <w:lang w:val="es-CO"/>
        </w:rPr>
      </w:pPr>
      <w:r w:rsidRPr="005D131A">
        <w:rPr>
          <w:sz w:val="28"/>
          <w:szCs w:val="28"/>
          <w:lang w:val="es-CO"/>
        </w:rPr>
        <w:t>12</w:t>
      </w:r>
      <w:r w:rsidR="008158BD" w:rsidRPr="005D131A">
        <w:rPr>
          <w:sz w:val="28"/>
          <w:szCs w:val="28"/>
          <w:lang w:val="es-CO"/>
        </w:rPr>
        <w:t xml:space="preserve">.3. </w:t>
      </w:r>
      <w:r w:rsidR="00662DE4" w:rsidRPr="005D131A">
        <w:rPr>
          <w:sz w:val="28"/>
          <w:szCs w:val="28"/>
          <w:lang w:val="es-CO"/>
        </w:rPr>
        <w:t>Igualmente</w:t>
      </w:r>
      <w:r w:rsidR="00B1267F" w:rsidRPr="005D131A">
        <w:rPr>
          <w:sz w:val="28"/>
          <w:szCs w:val="28"/>
          <w:lang w:val="es-CO"/>
        </w:rPr>
        <w:t>, l</w:t>
      </w:r>
      <w:r w:rsidR="008625FF" w:rsidRPr="005D131A">
        <w:rPr>
          <w:sz w:val="28"/>
          <w:szCs w:val="28"/>
          <w:lang w:val="es-CO"/>
        </w:rPr>
        <w:t>a Asociación Colombiana de Facultades de Medicina</w:t>
      </w:r>
      <w:r w:rsidR="0036291F" w:rsidRPr="005D131A">
        <w:rPr>
          <w:sz w:val="28"/>
          <w:szCs w:val="28"/>
          <w:lang w:val="es-CO"/>
        </w:rPr>
        <w:t xml:space="preserve"> resaltó que lo consignado en la </w:t>
      </w:r>
      <w:r w:rsidR="00B1267F" w:rsidRPr="005D131A">
        <w:rPr>
          <w:sz w:val="28"/>
          <w:szCs w:val="28"/>
          <w:lang w:val="es-CO"/>
        </w:rPr>
        <w:t>C</w:t>
      </w:r>
      <w:r w:rsidR="0036291F" w:rsidRPr="005D131A">
        <w:rPr>
          <w:sz w:val="28"/>
          <w:szCs w:val="28"/>
          <w:lang w:val="es-CO"/>
        </w:rPr>
        <w:t>ircular constituye</w:t>
      </w:r>
      <w:r w:rsidR="008625FF" w:rsidRPr="005D131A">
        <w:rPr>
          <w:sz w:val="28"/>
          <w:szCs w:val="28"/>
          <w:lang w:val="es-CO"/>
        </w:rPr>
        <w:t xml:space="preserve"> una buena medida siempre y cuando sea debidamente acatada</w:t>
      </w:r>
      <w:r w:rsidR="0036291F" w:rsidRPr="005D131A">
        <w:rPr>
          <w:sz w:val="28"/>
          <w:szCs w:val="28"/>
          <w:lang w:val="es-CO"/>
        </w:rPr>
        <w:t xml:space="preserve"> y que la posterior presentación</w:t>
      </w:r>
      <w:r w:rsidRPr="005D131A">
        <w:rPr>
          <w:sz w:val="28"/>
          <w:szCs w:val="28"/>
          <w:lang w:val="es-CO"/>
        </w:rPr>
        <w:t xml:space="preserve"> al CTC no se convierta en una retaliación contra el </w:t>
      </w:r>
      <w:r w:rsidR="0036291F" w:rsidRPr="005D131A">
        <w:rPr>
          <w:sz w:val="28"/>
          <w:szCs w:val="28"/>
          <w:lang w:val="es-CO"/>
        </w:rPr>
        <w:t xml:space="preserve">médico que autorizó el servicio. </w:t>
      </w:r>
      <w:r w:rsidR="008625FF" w:rsidRPr="005D131A">
        <w:rPr>
          <w:sz w:val="28"/>
          <w:szCs w:val="28"/>
          <w:lang w:val="es-CO"/>
        </w:rPr>
        <w:t xml:space="preserve">Sin embargo, previno sobre la existencia de barreras como </w:t>
      </w:r>
      <w:r w:rsidR="0036291F" w:rsidRPr="005D131A">
        <w:rPr>
          <w:sz w:val="28"/>
          <w:szCs w:val="28"/>
          <w:lang w:val="es-CO"/>
        </w:rPr>
        <w:t>la falta de capacitación del personal médico</w:t>
      </w:r>
      <w:r w:rsidR="000F13F2" w:rsidRPr="005D131A">
        <w:rPr>
          <w:sz w:val="28"/>
          <w:szCs w:val="28"/>
          <w:lang w:val="es-CO"/>
        </w:rPr>
        <w:t xml:space="preserve"> ya que descartan una urgencia cuando en realidad la es; circunstancia que </w:t>
      </w:r>
      <w:r w:rsidR="008625FF" w:rsidRPr="005D131A">
        <w:rPr>
          <w:sz w:val="28"/>
          <w:szCs w:val="28"/>
          <w:lang w:val="es-CO"/>
        </w:rPr>
        <w:t xml:space="preserve">en muchas ocasiones conduce al denominado </w:t>
      </w:r>
      <w:r w:rsidR="008625FF" w:rsidRPr="005D131A">
        <w:rPr>
          <w:i/>
          <w:sz w:val="28"/>
          <w:szCs w:val="28"/>
          <w:lang w:val="es-CO"/>
        </w:rPr>
        <w:t>“paseo de la muerte”</w:t>
      </w:r>
      <w:r w:rsidR="008625FF" w:rsidRPr="005D131A">
        <w:rPr>
          <w:sz w:val="28"/>
          <w:szCs w:val="28"/>
          <w:lang w:val="es-CO"/>
        </w:rPr>
        <w:t xml:space="preserve"> porque </w:t>
      </w:r>
      <w:r w:rsidR="000F13F2" w:rsidRPr="005D131A">
        <w:rPr>
          <w:sz w:val="28"/>
          <w:szCs w:val="28"/>
          <w:lang w:val="es-CO"/>
        </w:rPr>
        <w:t xml:space="preserve">los profesionales de la salud </w:t>
      </w:r>
      <w:r w:rsidR="008625FF" w:rsidRPr="005D131A">
        <w:rPr>
          <w:sz w:val="28"/>
          <w:szCs w:val="28"/>
          <w:lang w:val="es-CO"/>
        </w:rPr>
        <w:t>no responde</w:t>
      </w:r>
      <w:r w:rsidR="000F13F2" w:rsidRPr="005D131A">
        <w:rPr>
          <w:sz w:val="28"/>
          <w:szCs w:val="28"/>
          <w:lang w:val="es-CO"/>
        </w:rPr>
        <w:t>n de manera acertada</w:t>
      </w:r>
      <w:r w:rsidR="008625FF" w:rsidRPr="005D131A">
        <w:rPr>
          <w:sz w:val="28"/>
          <w:szCs w:val="28"/>
          <w:lang w:val="es-CO"/>
        </w:rPr>
        <w:t xml:space="preserve"> ante los requeri</w:t>
      </w:r>
      <w:r w:rsidR="000F13F2" w:rsidRPr="005D131A">
        <w:rPr>
          <w:sz w:val="28"/>
          <w:szCs w:val="28"/>
          <w:lang w:val="es-CO"/>
        </w:rPr>
        <w:t>mientos de premura del paciente</w:t>
      </w:r>
      <w:r w:rsidR="008625FF" w:rsidRPr="005D131A">
        <w:rPr>
          <w:sz w:val="28"/>
          <w:szCs w:val="28"/>
          <w:vertAlign w:val="superscript"/>
          <w:lang w:val="es-CO"/>
        </w:rPr>
        <w:footnoteReference w:id="40"/>
      </w:r>
      <w:r w:rsidR="000F13F2" w:rsidRPr="005D131A">
        <w:rPr>
          <w:sz w:val="28"/>
          <w:szCs w:val="28"/>
          <w:lang w:val="es-CO"/>
        </w:rPr>
        <w:t xml:space="preserve">. </w:t>
      </w:r>
    </w:p>
    <w:p w:rsidR="00096C1C" w:rsidRPr="005D131A" w:rsidRDefault="00096C1C" w:rsidP="005D131A">
      <w:pPr>
        <w:pStyle w:val="Prrafodelista"/>
        <w:tabs>
          <w:tab w:val="left" w:pos="567"/>
        </w:tabs>
        <w:ind w:left="0"/>
        <w:rPr>
          <w:sz w:val="28"/>
          <w:szCs w:val="28"/>
          <w:lang w:val="es-CO"/>
        </w:rPr>
      </w:pPr>
    </w:p>
    <w:p w:rsidR="0023559A" w:rsidRDefault="00CF0A68" w:rsidP="005D131A">
      <w:pPr>
        <w:tabs>
          <w:tab w:val="left" w:pos="567"/>
        </w:tabs>
        <w:rPr>
          <w:sz w:val="28"/>
          <w:szCs w:val="28"/>
        </w:rPr>
      </w:pPr>
      <w:r w:rsidRPr="005D131A">
        <w:rPr>
          <w:sz w:val="28"/>
          <w:szCs w:val="28"/>
          <w:lang w:val="es-CO"/>
        </w:rPr>
        <w:t>12</w:t>
      </w:r>
      <w:r w:rsidR="008158BD" w:rsidRPr="005D131A">
        <w:rPr>
          <w:sz w:val="28"/>
          <w:szCs w:val="28"/>
          <w:lang w:val="es-CO"/>
        </w:rPr>
        <w:t xml:space="preserve">.4. </w:t>
      </w:r>
      <w:r w:rsidR="000F13F2" w:rsidRPr="005D131A">
        <w:rPr>
          <w:sz w:val="28"/>
          <w:szCs w:val="28"/>
          <w:lang w:val="es-CO"/>
        </w:rPr>
        <w:t>Finalmente, l</w:t>
      </w:r>
      <w:r w:rsidR="008625FF" w:rsidRPr="005D131A">
        <w:rPr>
          <w:sz w:val="28"/>
          <w:szCs w:val="28"/>
          <w:lang w:val="es-CO"/>
        </w:rPr>
        <w:t>a Asociación Nacional de Cajas de Compensación Familiar -</w:t>
      </w:r>
      <w:r w:rsidR="00AA60CF" w:rsidRPr="005D131A">
        <w:rPr>
          <w:sz w:val="28"/>
          <w:szCs w:val="28"/>
          <w:lang w:val="es-CO"/>
        </w:rPr>
        <w:t>Asocajas</w:t>
      </w:r>
      <w:r w:rsidR="008625FF" w:rsidRPr="005D131A">
        <w:rPr>
          <w:sz w:val="28"/>
          <w:szCs w:val="28"/>
          <w:lang w:val="es-CO"/>
        </w:rPr>
        <w:t>-</w:t>
      </w:r>
      <w:r w:rsidR="00F614A3" w:rsidRPr="005D131A">
        <w:rPr>
          <w:sz w:val="28"/>
          <w:szCs w:val="28"/>
          <w:lang w:val="es-CO"/>
        </w:rPr>
        <w:t xml:space="preserve"> y </w:t>
      </w:r>
      <w:r w:rsidR="000F13F2" w:rsidRPr="005D131A">
        <w:rPr>
          <w:sz w:val="28"/>
          <w:szCs w:val="28"/>
          <w:lang w:val="es-CO"/>
        </w:rPr>
        <w:t>A</w:t>
      </w:r>
      <w:r w:rsidRPr="005D131A">
        <w:rPr>
          <w:sz w:val="28"/>
          <w:szCs w:val="28"/>
          <w:lang w:val="es-CO"/>
        </w:rPr>
        <w:t>cemi</w:t>
      </w:r>
      <w:r w:rsidR="00CE4247" w:rsidRPr="005D131A">
        <w:rPr>
          <w:sz w:val="28"/>
          <w:szCs w:val="28"/>
          <w:vertAlign w:val="superscript"/>
          <w:lang w:val="es-CO"/>
        </w:rPr>
        <w:footnoteReference w:id="41"/>
      </w:r>
      <w:r w:rsidR="002309E6" w:rsidRPr="005D131A">
        <w:rPr>
          <w:sz w:val="28"/>
          <w:szCs w:val="28"/>
          <w:lang w:val="es-CO"/>
        </w:rPr>
        <w:t>, precisaron</w:t>
      </w:r>
      <w:r w:rsidR="00B96A5A" w:rsidRPr="005D131A">
        <w:rPr>
          <w:sz w:val="28"/>
          <w:szCs w:val="28"/>
          <w:lang w:val="es-CO"/>
        </w:rPr>
        <w:t xml:space="preserve"> </w:t>
      </w:r>
      <w:r w:rsidR="00B96A5A" w:rsidRPr="005D131A">
        <w:rPr>
          <w:sz w:val="28"/>
          <w:szCs w:val="28"/>
        </w:rPr>
        <w:t xml:space="preserve">que ni las EPS ni los CTC cuentan con herramientas que permitan verificar la capacidad de pago del individuo y su grupo familiar </w:t>
      </w:r>
      <w:r w:rsidR="0023559A" w:rsidRPr="005D131A">
        <w:rPr>
          <w:sz w:val="28"/>
          <w:szCs w:val="28"/>
        </w:rPr>
        <w:t>respecto</w:t>
      </w:r>
      <w:r w:rsidR="00B96A5A" w:rsidRPr="005D131A">
        <w:rPr>
          <w:sz w:val="28"/>
          <w:szCs w:val="28"/>
        </w:rPr>
        <w:t xml:space="preserve"> </w:t>
      </w:r>
      <w:r w:rsidR="002309E6" w:rsidRPr="005D131A">
        <w:rPr>
          <w:sz w:val="28"/>
          <w:szCs w:val="28"/>
        </w:rPr>
        <w:t>de la</w:t>
      </w:r>
      <w:r w:rsidR="00B96A5A" w:rsidRPr="005D131A">
        <w:rPr>
          <w:sz w:val="28"/>
          <w:szCs w:val="28"/>
        </w:rPr>
        <w:t xml:space="preserve"> </w:t>
      </w:r>
      <w:r w:rsidR="0023559A" w:rsidRPr="005D131A">
        <w:rPr>
          <w:sz w:val="28"/>
          <w:szCs w:val="28"/>
        </w:rPr>
        <w:t>asistencia solicitada</w:t>
      </w:r>
      <w:r w:rsidR="00B96A5A" w:rsidRPr="005D131A">
        <w:rPr>
          <w:sz w:val="28"/>
          <w:szCs w:val="28"/>
        </w:rPr>
        <w:t>, lo que lleva a autorizar servicios a personas que podrían sufragarlos directamente o que cuentan</w:t>
      </w:r>
      <w:r w:rsidR="00662DE4" w:rsidRPr="005D131A">
        <w:rPr>
          <w:sz w:val="28"/>
          <w:szCs w:val="28"/>
        </w:rPr>
        <w:t xml:space="preserve"> con coberturas complementarias. En ese sentido, </w:t>
      </w:r>
      <w:r w:rsidR="00B96A5A" w:rsidRPr="005D131A">
        <w:rPr>
          <w:sz w:val="28"/>
          <w:szCs w:val="28"/>
        </w:rPr>
        <w:t>consideraron que debe definirse una instancia técnica que sea la</w:t>
      </w:r>
      <w:r w:rsidR="00662DE4" w:rsidRPr="005D131A">
        <w:rPr>
          <w:sz w:val="28"/>
          <w:szCs w:val="28"/>
        </w:rPr>
        <w:t xml:space="preserve"> competente para autorizar esos</w:t>
      </w:r>
      <w:r w:rsidR="00B96A5A" w:rsidRPr="005D131A">
        <w:rPr>
          <w:sz w:val="28"/>
          <w:szCs w:val="28"/>
        </w:rPr>
        <w:t xml:space="preserve"> servicios de salud, independiente de cualquiera de los agentes que partic</w:t>
      </w:r>
      <w:r w:rsidR="002309E6" w:rsidRPr="005D131A">
        <w:rPr>
          <w:sz w:val="28"/>
          <w:szCs w:val="28"/>
        </w:rPr>
        <w:t>ipan en el sistema y que cuente</w:t>
      </w:r>
      <w:r w:rsidR="00B96A5A" w:rsidRPr="005D131A">
        <w:rPr>
          <w:sz w:val="28"/>
          <w:szCs w:val="28"/>
        </w:rPr>
        <w:t xml:space="preserve"> con la capacidad y legitimidad para determinar en </w:t>
      </w:r>
      <w:r w:rsidR="00A4444C" w:rsidRPr="005D131A">
        <w:rPr>
          <w:sz w:val="28"/>
          <w:szCs w:val="28"/>
        </w:rPr>
        <w:t>qué</w:t>
      </w:r>
      <w:r w:rsidR="00B96A5A" w:rsidRPr="005D131A">
        <w:rPr>
          <w:sz w:val="28"/>
          <w:szCs w:val="28"/>
        </w:rPr>
        <w:t xml:space="preserve"> casos se acepta la rec</w:t>
      </w:r>
      <w:r w:rsidR="0023559A" w:rsidRPr="005D131A">
        <w:rPr>
          <w:sz w:val="28"/>
          <w:szCs w:val="28"/>
        </w:rPr>
        <w:t xml:space="preserve">omendación del médico tratante. </w:t>
      </w:r>
    </w:p>
    <w:p w:rsidR="00997F04" w:rsidRPr="005D131A" w:rsidRDefault="00997F04" w:rsidP="005D131A">
      <w:pPr>
        <w:tabs>
          <w:tab w:val="left" w:pos="567"/>
        </w:tabs>
        <w:rPr>
          <w:sz w:val="28"/>
          <w:szCs w:val="28"/>
        </w:rPr>
      </w:pPr>
    </w:p>
    <w:p w:rsidR="0023559A" w:rsidRPr="005D131A" w:rsidRDefault="00A4444C" w:rsidP="005D131A">
      <w:pPr>
        <w:tabs>
          <w:tab w:val="left" w:pos="567"/>
        </w:tabs>
        <w:rPr>
          <w:sz w:val="28"/>
          <w:szCs w:val="28"/>
        </w:rPr>
      </w:pPr>
      <w:r w:rsidRPr="005D131A">
        <w:rPr>
          <w:sz w:val="28"/>
          <w:szCs w:val="28"/>
          <w:lang w:val="es-CO"/>
        </w:rPr>
        <w:t xml:space="preserve">Por otro lado, manifestaron que la </w:t>
      </w:r>
      <w:r w:rsidR="0023559A" w:rsidRPr="005D131A">
        <w:rPr>
          <w:sz w:val="28"/>
          <w:szCs w:val="28"/>
        </w:rPr>
        <w:t xml:space="preserve">Circular </w:t>
      </w:r>
      <w:r w:rsidRPr="005D131A">
        <w:rPr>
          <w:sz w:val="28"/>
          <w:szCs w:val="28"/>
        </w:rPr>
        <w:t>019 de 2012 reiteró lo establecido en la Resolución</w:t>
      </w:r>
      <w:r w:rsidR="007D14B6" w:rsidRPr="005D131A">
        <w:rPr>
          <w:sz w:val="28"/>
          <w:szCs w:val="28"/>
        </w:rPr>
        <w:t xml:space="preserve"> 3099 de 2008 y, en esa medida, </w:t>
      </w:r>
      <w:r w:rsidR="0023559A" w:rsidRPr="005D131A">
        <w:rPr>
          <w:sz w:val="28"/>
          <w:szCs w:val="28"/>
        </w:rPr>
        <w:t xml:space="preserve">la reglamentación cumple con su cometido </w:t>
      </w:r>
      <w:r w:rsidR="00CE4247" w:rsidRPr="005D131A">
        <w:rPr>
          <w:sz w:val="28"/>
          <w:szCs w:val="28"/>
        </w:rPr>
        <w:t xml:space="preserve">en cuanto a los servicios de urgencia. </w:t>
      </w:r>
    </w:p>
    <w:p w:rsidR="00F614A3" w:rsidRPr="005D131A" w:rsidRDefault="00F614A3" w:rsidP="005D131A">
      <w:pPr>
        <w:rPr>
          <w:sz w:val="28"/>
          <w:szCs w:val="28"/>
          <w:lang w:val="es-CO"/>
        </w:rPr>
      </w:pPr>
    </w:p>
    <w:p w:rsidR="00331C78" w:rsidRPr="005D131A" w:rsidRDefault="004574C7" w:rsidP="005D131A">
      <w:pPr>
        <w:tabs>
          <w:tab w:val="left" w:pos="480"/>
        </w:tabs>
        <w:ind w:right="-40"/>
        <w:rPr>
          <w:sz w:val="28"/>
          <w:szCs w:val="28"/>
        </w:rPr>
      </w:pPr>
      <w:r w:rsidRPr="005D131A">
        <w:rPr>
          <w:sz w:val="28"/>
          <w:szCs w:val="28"/>
          <w:lang w:val="es-CO"/>
        </w:rPr>
        <w:t>13</w:t>
      </w:r>
      <w:r w:rsidR="008158BD" w:rsidRPr="005D131A">
        <w:rPr>
          <w:sz w:val="28"/>
          <w:szCs w:val="28"/>
          <w:lang w:val="es-CO"/>
        </w:rPr>
        <w:t xml:space="preserve">. </w:t>
      </w:r>
      <w:r w:rsidR="00E91267" w:rsidRPr="005D131A">
        <w:rPr>
          <w:sz w:val="28"/>
          <w:szCs w:val="28"/>
          <w:lang w:val="es-CO"/>
        </w:rPr>
        <w:t xml:space="preserve">Posteriormente, </w:t>
      </w:r>
      <w:r w:rsidRPr="005D131A">
        <w:rPr>
          <w:sz w:val="28"/>
          <w:szCs w:val="28"/>
          <w:lang w:val="es-CO"/>
        </w:rPr>
        <w:t xml:space="preserve">en el </w:t>
      </w:r>
      <w:r w:rsidR="00331C78" w:rsidRPr="005D131A">
        <w:rPr>
          <w:b/>
          <w:sz w:val="28"/>
          <w:szCs w:val="28"/>
          <w:lang w:val="es-CO"/>
        </w:rPr>
        <w:t>Auto 198 de 2012</w:t>
      </w:r>
      <w:r w:rsidRPr="005D131A">
        <w:rPr>
          <w:sz w:val="28"/>
          <w:szCs w:val="28"/>
          <w:lang w:val="es-CO"/>
        </w:rPr>
        <w:t xml:space="preserve"> la Sala dispuso que el</w:t>
      </w:r>
      <w:r w:rsidRPr="005D131A">
        <w:rPr>
          <w:b/>
          <w:sz w:val="28"/>
          <w:szCs w:val="28"/>
          <w:lang w:val="es-CO"/>
        </w:rPr>
        <w:t xml:space="preserve"> </w:t>
      </w:r>
      <w:r w:rsidR="007D14B6" w:rsidRPr="005D131A">
        <w:rPr>
          <w:sz w:val="28"/>
          <w:szCs w:val="28"/>
        </w:rPr>
        <w:t>Ministerio de Salud</w:t>
      </w:r>
      <w:r w:rsidR="00331C78" w:rsidRPr="005D131A">
        <w:rPr>
          <w:sz w:val="28"/>
          <w:szCs w:val="28"/>
        </w:rPr>
        <w:t xml:space="preserve"> y la Comisión de Regulación en Salud informaran a la Superintendencia de Sal</w:t>
      </w:r>
      <w:r w:rsidRPr="005D131A">
        <w:rPr>
          <w:sz w:val="28"/>
          <w:szCs w:val="28"/>
        </w:rPr>
        <w:t xml:space="preserve">ud y a la Defensoría del Pueblo, sobre las </w:t>
      </w:r>
      <w:r w:rsidR="00331C78" w:rsidRPr="005D131A">
        <w:rPr>
          <w:sz w:val="28"/>
          <w:szCs w:val="28"/>
        </w:rPr>
        <w:t>medidas adoptadas para garantizar el cumplimiento de la Circular 019 de 2012, así como las sanciones impuestas por la no observanc</w:t>
      </w:r>
      <w:r w:rsidR="00EC1DBB" w:rsidRPr="005D131A">
        <w:rPr>
          <w:sz w:val="28"/>
          <w:szCs w:val="28"/>
        </w:rPr>
        <w:t>ia de la mencionada normativa</w:t>
      </w:r>
      <w:r w:rsidR="00662DE4" w:rsidRPr="005D131A">
        <w:rPr>
          <w:sz w:val="28"/>
          <w:szCs w:val="28"/>
        </w:rPr>
        <w:t xml:space="preserve">. Igualmente, </w:t>
      </w:r>
      <w:r w:rsidRPr="005D131A">
        <w:rPr>
          <w:sz w:val="28"/>
          <w:szCs w:val="28"/>
        </w:rPr>
        <w:t xml:space="preserve">ordenó a </w:t>
      </w:r>
      <w:r w:rsidR="00331C78" w:rsidRPr="005D131A">
        <w:rPr>
          <w:sz w:val="28"/>
          <w:szCs w:val="28"/>
        </w:rPr>
        <w:t xml:space="preserve">dichas entidades </w:t>
      </w:r>
      <w:r w:rsidRPr="005D131A">
        <w:rPr>
          <w:sz w:val="28"/>
          <w:szCs w:val="28"/>
        </w:rPr>
        <w:t xml:space="preserve">que </w:t>
      </w:r>
      <w:r w:rsidR="00331C78" w:rsidRPr="005D131A">
        <w:rPr>
          <w:sz w:val="28"/>
          <w:szCs w:val="28"/>
        </w:rPr>
        <w:t>informaran a la Corte sí las acciones adelant</w:t>
      </w:r>
      <w:r w:rsidR="00EC1DBB" w:rsidRPr="005D131A">
        <w:rPr>
          <w:sz w:val="28"/>
          <w:szCs w:val="28"/>
        </w:rPr>
        <w:t xml:space="preserve">adas por el ente ministerial </w:t>
      </w:r>
      <w:r w:rsidR="00331C78" w:rsidRPr="005D131A">
        <w:rPr>
          <w:sz w:val="28"/>
          <w:szCs w:val="28"/>
        </w:rPr>
        <w:t>y la CRES eran suficientes para garantizar el cumplimiento de la orden vigésima tercera de la sentencia objeto de seguimiento.</w:t>
      </w:r>
    </w:p>
    <w:p w:rsidR="008E0DD2" w:rsidRPr="005D131A" w:rsidRDefault="008E0DD2" w:rsidP="005D131A">
      <w:pPr>
        <w:tabs>
          <w:tab w:val="left" w:pos="426"/>
        </w:tabs>
        <w:rPr>
          <w:sz w:val="28"/>
          <w:szCs w:val="28"/>
          <w:lang w:val="es-CO"/>
        </w:rPr>
      </w:pPr>
    </w:p>
    <w:p w:rsidR="007415E8" w:rsidRPr="005D131A" w:rsidRDefault="004574C7" w:rsidP="005D131A">
      <w:pPr>
        <w:tabs>
          <w:tab w:val="left" w:pos="480"/>
        </w:tabs>
        <w:ind w:right="-40"/>
        <w:rPr>
          <w:sz w:val="28"/>
          <w:szCs w:val="28"/>
        </w:rPr>
      </w:pPr>
      <w:r w:rsidRPr="005D131A">
        <w:rPr>
          <w:sz w:val="28"/>
          <w:szCs w:val="28"/>
        </w:rPr>
        <w:t>13</w:t>
      </w:r>
      <w:r w:rsidR="008158BD" w:rsidRPr="005D131A">
        <w:rPr>
          <w:sz w:val="28"/>
          <w:szCs w:val="28"/>
        </w:rPr>
        <w:t xml:space="preserve">.1. </w:t>
      </w:r>
      <w:r w:rsidRPr="005D131A">
        <w:rPr>
          <w:sz w:val="28"/>
          <w:szCs w:val="28"/>
        </w:rPr>
        <w:t>El 18 de septiembre de 2012</w:t>
      </w:r>
      <w:r w:rsidRPr="005D131A">
        <w:rPr>
          <w:sz w:val="28"/>
          <w:szCs w:val="28"/>
          <w:vertAlign w:val="superscript"/>
          <w:lang w:val="es-CO"/>
        </w:rPr>
        <w:footnoteReference w:id="42"/>
      </w:r>
      <w:r w:rsidRPr="005D131A">
        <w:rPr>
          <w:sz w:val="28"/>
          <w:szCs w:val="28"/>
        </w:rPr>
        <w:t xml:space="preserve"> l</w:t>
      </w:r>
      <w:r w:rsidR="007415E8" w:rsidRPr="005D131A">
        <w:rPr>
          <w:sz w:val="28"/>
          <w:szCs w:val="28"/>
        </w:rPr>
        <w:t xml:space="preserve">a </w:t>
      </w:r>
      <w:r w:rsidRPr="005D131A">
        <w:rPr>
          <w:sz w:val="28"/>
          <w:szCs w:val="28"/>
        </w:rPr>
        <w:t xml:space="preserve">CRES </w:t>
      </w:r>
      <w:r w:rsidR="007415E8" w:rsidRPr="005D131A">
        <w:rPr>
          <w:sz w:val="28"/>
          <w:szCs w:val="28"/>
        </w:rPr>
        <w:t xml:space="preserve">indicó que </w:t>
      </w:r>
      <w:r w:rsidR="00662DE4" w:rsidRPr="005D131A">
        <w:rPr>
          <w:sz w:val="28"/>
          <w:szCs w:val="28"/>
        </w:rPr>
        <w:t xml:space="preserve">la entidad </w:t>
      </w:r>
      <w:r w:rsidR="007415E8" w:rsidRPr="005D131A">
        <w:rPr>
          <w:sz w:val="28"/>
          <w:szCs w:val="28"/>
        </w:rPr>
        <w:t>competente para adoptar medidas relacionadas con el cumplimiento</w:t>
      </w:r>
      <w:r w:rsidR="00662DE4" w:rsidRPr="005D131A">
        <w:rPr>
          <w:sz w:val="28"/>
          <w:szCs w:val="28"/>
        </w:rPr>
        <w:t xml:space="preserve"> de la </w:t>
      </w:r>
      <w:r w:rsidRPr="005D131A">
        <w:rPr>
          <w:sz w:val="28"/>
          <w:szCs w:val="28"/>
        </w:rPr>
        <w:t>citada circular era</w:t>
      </w:r>
      <w:r w:rsidR="00662DE4" w:rsidRPr="005D131A">
        <w:rPr>
          <w:sz w:val="28"/>
          <w:szCs w:val="28"/>
        </w:rPr>
        <w:t xml:space="preserve"> </w:t>
      </w:r>
      <w:r w:rsidR="00A32DB6" w:rsidRPr="005D131A">
        <w:rPr>
          <w:sz w:val="28"/>
          <w:szCs w:val="28"/>
        </w:rPr>
        <w:t>el Ministerio</w:t>
      </w:r>
      <w:r w:rsidR="00662DE4" w:rsidRPr="005D131A">
        <w:rPr>
          <w:sz w:val="28"/>
          <w:szCs w:val="28"/>
        </w:rPr>
        <w:t xml:space="preserve"> de Salud</w:t>
      </w:r>
      <w:r w:rsidR="00A32DB6" w:rsidRPr="005D131A">
        <w:rPr>
          <w:sz w:val="28"/>
          <w:szCs w:val="28"/>
        </w:rPr>
        <w:t xml:space="preserve">. </w:t>
      </w:r>
      <w:r w:rsidR="00244F64" w:rsidRPr="005D131A">
        <w:rPr>
          <w:sz w:val="28"/>
          <w:szCs w:val="28"/>
        </w:rPr>
        <w:t xml:space="preserve"> </w:t>
      </w:r>
    </w:p>
    <w:p w:rsidR="00190ACD" w:rsidRPr="005D131A" w:rsidRDefault="00190ACD" w:rsidP="005D131A">
      <w:pPr>
        <w:tabs>
          <w:tab w:val="left" w:pos="480"/>
        </w:tabs>
        <w:ind w:right="-40"/>
        <w:rPr>
          <w:sz w:val="28"/>
          <w:szCs w:val="28"/>
        </w:rPr>
      </w:pPr>
    </w:p>
    <w:p w:rsidR="007415E8" w:rsidRPr="005D131A" w:rsidRDefault="007415E8" w:rsidP="005D131A">
      <w:pPr>
        <w:tabs>
          <w:tab w:val="left" w:pos="360"/>
        </w:tabs>
        <w:ind w:right="-40"/>
        <w:rPr>
          <w:sz w:val="28"/>
          <w:szCs w:val="28"/>
        </w:rPr>
      </w:pPr>
      <w:r w:rsidRPr="005D131A">
        <w:rPr>
          <w:sz w:val="28"/>
          <w:szCs w:val="28"/>
        </w:rPr>
        <w:t xml:space="preserve">En cuanto a las potestades </w:t>
      </w:r>
      <w:r w:rsidR="00A32DB6" w:rsidRPr="005D131A">
        <w:rPr>
          <w:sz w:val="28"/>
          <w:szCs w:val="28"/>
        </w:rPr>
        <w:t>sancionatorias, señaló que ni</w:t>
      </w:r>
      <w:r w:rsidRPr="005D131A">
        <w:rPr>
          <w:sz w:val="28"/>
          <w:szCs w:val="28"/>
        </w:rPr>
        <w:t xml:space="preserve"> la legislación ni la jurisprudencia obran facultades de ese orden, por lo que su gestión con referencia a dichas actividades</w:t>
      </w:r>
      <w:r w:rsidR="00A32DB6" w:rsidRPr="005D131A">
        <w:rPr>
          <w:sz w:val="28"/>
          <w:szCs w:val="28"/>
        </w:rPr>
        <w:t xml:space="preserve"> (medidas y sanciones relacionadas con el cumplimie</w:t>
      </w:r>
      <w:r w:rsidR="00F03B82" w:rsidRPr="005D131A">
        <w:rPr>
          <w:sz w:val="28"/>
          <w:szCs w:val="28"/>
        </w:rPr>
        <w:t>nto de la Circular 019 de 2012)</w:t>
      </w:r>
      <w:r w:rsidRPr="005D131A">
        <w:rPr>
          <w:sz w:val="28"/>
          <w:szCs w:val="28"/>
        </w:rPr>
        <w:t xml:space="preserve"> se limitan a poner en conocimiento d</w:t>
      </w:r>
      <w:r w:rsidR="008558C8" w:rsidRPr="005D131A">
        <w:rPr>
          <w:sz w:val="28"/>
          <w:szCs w:val="28"/>
        </w:rPr>
        <w:t xml:space="preserve">e la Superintendencia de Salud </w:t>
      </w:r>
      <w:r w:rsidRPr="005D131A">
        <w:rPr>
          <w:sz w:val="28"/>
          <w:szCs w:val="28"/>
        </w:rPr>
        <w:t xml:space="preserve">las situaciones </w:t>
      </w:r>
      <w:r w:rsidR="00F03B82" w:rsidRPr="005D131A">
        <w:rPr>
          <w:sz w:val="28"/>
          <w:szCs w:val="28"/>
        </w:rPr>
        <w:t xml:space="preserve">omisivas </w:t>
      </w:r>
      <w:r w:rsidRPr="005D131A">
        <w:rPr>
          <w:sz w:val="28"/>
          <w:szCs w:val="28"/>
        </w:rPr>
        <w:t>que llegare a detectar como destinatario de los informes de negación de servicios, o a través de los observatorios que implementa para hacer seguimiento a sus medidas regulatorias.</w:t>
      </w:r>
    </w:p>
    <w:p w:rsidR="00F03B82" w:rsidRPr="005D131A" w:rsidRDefault="00F03B82" w:rsidP="005D131A">
      <w:pPr>
        <w:tabs>
          <w:tab w:val="left" w:pos="360"/>
        </w:tabs>
        <w:ind w:right="-40"/>
        <w:rPr>
          <w:sz w:val="28"/>
          <w:szCs w:val="28"/>
        </w:rPr>
      </w:pPr>
    </w:p>
    <w:p w:rsidR="0001331C" w:rsidRPr="005D131A" w:rsidRDefault="004574C7" w:rsidP="005D131A">
      <w:pPr>
        <w:rPr>
          <w:sz w:val="28"/>
          <w:szCs w:val="28"/>
          <w:lang w:val="es-CO"/>
        </w:rPr>
      </w:pPr>
      <w:r w:rsidRPr="005D131A">
        <w:rPr>
          <w:sz w:val="28"/>
          <w:szCs w:val="28"/>
        </w:rPr>
        <w:t>13</w:t>
      </w:r>
      <w:r w:rsidR="008158BD" w:rsidRPr="005D131A">
        <w:rPr>
          <w:sz w:val="28"/>
          <w:szCs w:val="28"/>
        </w:rPr>
        <w:t xml:space="preserve">.2. </w:t>
      </w:r>
      <w:r w:rsidR="007415E8" w:rsidRPr="005D131A">
        <w:rPr>
          <w:sz w:val="28"/>
          <w:szCs w:val="28"/>
        </w:rPr>
        <w:t>Por su parte, el Ministerio de Salud y Protección Social</w:t>
      </w:r>
      <w:r w:rsidRPr="005D131A">
        <w:rPr>
          <w:sz w:val="28"/>
          <w:szCs w:val="28"/>
          <w:vertAlign w:val="superscript"/>
          <w:lang w:val="es-CO"/>
        </w:rPr>
        <w:footnoteReference w:id="43"/>
      </w:r>
      <w:r w:rsidR="007415E8" w:rsidRPr="005D131A">
        <w:rPr>
          <w:sz w:val="28"/>
          <w:szCs w:val="28"/>
        </w:rPr>
        <w:t xml:space="preserve"> manifestó que en el marco normativo vigente</w:t>
      </w:r>
      <w:r w:rsidR="00F03B82" w:rsidRPr="005D131A">
        <w:rPr>
          <w:sz w:val="28"/>
          <w:szCs w:val="28"/>
          <w:vertAlign w:val="superscript"/>
        </w:rPr>
        <w:footnoteReference w:id="44"/>
      </w:r>
      <w:r w:rsidR="007415E8" w:rsidRPr="005D131A">
        <w:rPr>
          <w:sz w:val="28"/>
          <w:szCs w:val="28"/>
        </w:rPr>
        <w:t>, la Superintendencia de Salud es la encargada de ejercer las funciones de inspección, vigilancia y control para garantizar el cumplimiento de lo dispuesto en la Circular 019 de 2012. De ahí que no haya adoptado medidas</w:t>
      </w:r>
      <w:r w:rsidR="002309E6" w:rsidRPr="005D131A">
        <w:rPr>
          <w:sz w:val="28"/>
          <w:szCs w:val="28"/>
        </w:rPr>
        <w:t xml:space="preserve"> al respecto</w:t>
      </w:r>
      <w:r w:rsidR="007415E8" w:rsidRPr="005D131A">
        <w:rPr>
          <w:sz w:val="28"/>
          <w:szCs w:val="28"/>
        </w:rPr>
        <w:t xml:space="preserve">. </w:t>
      </w:r>
      <w:r w:rsidR="002F081E" w:rsidRPr="005D131A">
        <w:rPr>
          <w:sz w:val="28"/>
          <w:szCs w:val="28"/>
        </w:rPr>
        <w:t>Por último, puntualizó que emplazaría</w:t>
      </w:r>
      <w:r w:rsidR="007415E8" w:rsidRPr="005D131A">
        <w:rPr>
          <w:sz w:val="28"/>
          <w:szCs w:val="28"/>
        </w:rPr>
        <w:t xml:space="preserve"> a dicha entidad para que presentara el </w:t>
      </w:r>
      <w:r w:rsidR="0001331C" w:rsidRPr="005D131A">
        <w:rPr>
          <w:sz w:val="28"/>
          <w:szCs w:val="28"/>
        </w:rPr>
        <w:t>informe solicitado por la Corte</w:t>
      </w:r>
      <w:r w:rsidR="0001331C" w:rsidRPr="005D131A">
        <w:rPr>
          <w:sz w:val="28"/>
          <w:szCs w:val="28"/>
          <w:lang w:val="es-CO"/>
        </w:rPr>
        <w:t>.</w:t>
      </w:r>
    </w:p>
    <w:p w:rsidR="007415E8" w:rsidRPr="005D131A" w:rsidRDefault="007415E8" w:rsidP="005D131A">
      <w:pPr>
        <w:ind w:right="-40"/>
        <w:rPr>
          <w:sz w:val="28"/>
          <w:szCs w:val="28"/>
        </w:rPr>
      </w:pPr>
    </w:p>
    <w:p w:rsidR="007415E8" w:rsidRPr="005D131A" w:rsidRDefault="002F081E" w:rsidP="005D131A">
      <w:pPr>
        <w:ind w:right="-40"/>
        <w:rPr>
          <w:sz w:val="28"/>
          <w:szCs w:val="28"/>
        </w:rPr>
      </w:pPr>
      <w:r w:rsidRPr="005D131A">
        <w:rPr>
          <w:sz w:val="28"/>
          <w:szCs w:val="28"/>
        </w:rPr>
        <w:t>13</w:t>
      </w:r>
      <w:r w:rsidR="008158BD" w:rsidRPr="005D131A">
        <w:rPr>
          <w:sz w:val="28"/>
          <w:szCs w:val="28"/>
        </w:rPr>
        <w:t xml:space="preserve">.3. </w:t>
      </w:r>
      <w:r w:rsidR="00343B8C" w:rsidRPr="005D131A">
        <w:rPr>
          <w:sz w:val="28"/>
          <w:szCs w:val="28"/>
        </w:rPr>
        <w:t>En virtud de lo anterior, e</w:t>
      </w:r>
      <w:r w:rsidR="0001331C" w:rsidRPr="005D131A">
        <w:rPr>
          <w:sz w:val="28"/>
          <w:szCs w:val="28"/>
        </w:rPr>
        <w:t>l 2 de octubre de 2012</w:t>
      </w:r>
      <w:r w:rsidRPr="005D131A">
        <w:rPr>
          <w:sz w:val="28"/>
          <w:szCs w:val="28"/>
          <w:vertAlign w:val="superscript"/>
          <w:lang w:val="es-CO"/>
        </w:rPr>
        <w:footnoteReference w:id="45"/>
      </w:r>
      <w:r w:rsidR="00343B8C" w:rsidRPr="005D131A">
        <w:rPr>
          <w:sz w:val="28"/>
          <w:szCs w:val="28"/>
        </w:rPr>
        <w:t xml:space="preserve"> </w:t>
      </w:r>
      <w:r w:rsidR="007415E8" w:rsidRPr="005D131A">
        <w:rPr>
          <w:sz w:val="28"/>
          <w:szCs w:val="28"/>
        </w:rPr>
        <w:t xml:space="preserve">la Superintendencia de Salud allegó copia del requerimiento realizado al Ministerio en el que solicitó la información que </w:t>
      </w:r>
      <w:r w:rsidR="007A5EAA" w:rsidRPr="005D131A">
        <w:rPr>
          <w:sz w:val="28"/>
          <w:szCs w:val="28"/>
        </w:rPr>
        <w:t>la cartera ministerial</w:t>
      </w:r>
      <w:r w:rsidR="00343B8C" w:rsidRPr="005D131A">
        <w:rPr>
          <w:sz w:val="28"/>
          <w:szCs w:val="28"/>
        </w:rPr>
        <w:t xml:space="preserve"> debía remitirle</w:t>
      </w:r>
      <w:r w:rsidR="00343594" w:rsidRPr="005D131A">
        <w:rPr>
          <w:sz w:val="28"/>
          <w:szCs w:val="28"/>
        </w:rPr>
        <w:t xml:space="preserve"> </w:t>
      </w:r>
      <w:r w:rsidR="007415E8" w:rsidRPr="005D131A">
        <w:rPr>
          <w:sz w:val="28"/>
          <w:szCs w:val="28"/>
        </w:rPr>
        <w:t>conforme a lo señala</w:t>
      </w:r>
      <w:r w:rsidR="00343B8C" w:rsidRPr="005D131A">
        <w:rPr>
          <w:sz w:val="28"/>
          <w:szCs w:val="28"/>
        </w:rPr>
        <w:t xml:space="preserve">do en el Auto 198 de 2012 antes mencionado. </w:t>
      </w:r>
    </w:p>
    <w:p w:rsidR="007415E8" w:rsidRPr="005D131A" w:rsidRDefault="007415E8" w:rsidP="005D131A">
      <w:pPr>
        <w:pStyle w:val="Sinespaciado1"/>
        <w:jc w:val="both"/>
        <w:rPr>
          <w:rFonts w:ascii="Times New Roman" w:hAnsi="Times New Roman"/>
          <w:sz w:val="28"/>
          <w:szCs w:val="28"/>
          <w:lang w:val="es-ES" w:eastAsia="es-ES"/>
        </w:rPr>
      </w:pPr>
    </w:p>
    <w:p w:rsidR="00B77C35" w:rsidRDefault="002F081E" w:rsidP="005D131A">
      <w:pPr>
        <w:ind w:right="-40"/>
        <w:rPr>
          <w:sz w:val="28"/>
          <w:szCs w:val="28"/>
          <w:lang w:val="es-CO"/>
        </w:rPr>
      </w:pPr>
      <w:r w:rsidRPr="005D131A">
        <w:rPr>
          <w:sz w:val="28"/>
          <w:szCs w:val="28"/>
        </w:rPr>
        <w:t>13</w:t>
      </w:r>
      <w:r w:rsidR="008158BD" w:rsidRPr="005D131A">
        <w:rPr>
          <w:sz w:val="28"/>
          <w:szCs w:val="28"/>
        </w:rPr>
        <w:t xml:space="preserve">.4. </w:t>
      </w:r>
      <w:r w:rsidR="007415E8" w:rsidRPr="005D131A">
        <w:rPr>
          <w:sz w:val="28"/>
          <w:szCs w:val="28"/>
        </w:rPr>
        <w:t>La Defensoría del Pueblo, en escrito radicado el 10 de octubre de 2012</w:t>
      </w:r>
      <w:r w:rsidRPr="005D131A">
        <w:rPr>
          <w:sz w:val="28"/>
          <w:szCs w:val="28"/>
          <w:vertAlign w:val="superscript"/>
          <w:lang w:val="es-CO"/>
        </w:rPr>
        <w:footnoteReference w:id="46"/>
      </w:r>
      <w:r w:rsidR="007415E8" w:rsidRPr="005D131A">
        <w:rPr>
          <w:sz w:val="28"/>
          <w:szCs w:val="28"/>
        </w:rPr>
        <w:t xml:space="preserve">, manifestó que vencido el término para la presentación </w:t>
      </w:r>
      <w:r w:rsidR="002309E6" w:rsidRPr="005D131A">
        <w:rPr>
          <w:sz w:val="28"/>
          <w:szCs w:val="28"/>
        </w:rPr>
        <w:t xml:space="preserve">de lo solicitado </w:t>
      </w:r>
      <w:r w:rsidR="00662DE4" w:rsidRPr="005D131A">
        <w:rPr>
          <w:sz w:val="28"/>
          <w:szCs w:val="28"/>
        </w:rPr>
        <w:t>en el Auto</w:t>
      </w:r>
      <w:r w:rsidR="008558C8" w:rsidRPr="005D131A">
        <w:rPr>
          <w:sz w:val="28"/>
          <w:szCs w:val="28"/>
        </w:rPr>
        <w:t xml:space="preserve"> antes descrito</w:t>
      </w:r>
      <w:r w:rsidR="007415E8" w:rsidRPr="005D131A">
        <w:rPr>
          <w:sz w:val="28"/>
          <w:szCs w:val="28"/>
        </w:rPr>
        <w:t xml:space="preserve">, </w:t>
      </w:r>
      <w:r w:rsidRPr="005D131A">
        <w:rPr>
          <w:sz w:val="28"/>
          <w:szCs w:val="28"/>
        </w:rPr>
        <w:t>únicamente</w:t>
      </w:r>
      <w:r w:rsidR="007415E8" w:rsidRPr="005D131A">
        <w:rPr>
          <w:sz w:val="28"/>
          <w:szCs w:val="28"/>
        </w:rPr>
        <w:t xml:space="preserve"> recibió respuesta por parte de la</w:t>
      </w:r>
      <w:r w:rsidRPr="005D131A">
        <w:rPr>
          <w:sz w:val="28"/>
          <w:szCs w:val="28"/>
        </w:rPr>
        <w:t xml:space="preserve"> CRES</w:t>
      </w:r>
      <w:r w:rsidR="007415E8" w:rsidRPr="005D131A">
        <w:rPr>
          <w:sz w:val="28"/>
          <w:szCs w:val="28"/>
        </w:rPr>
        <w:t>, razón por la cual realizó una nueva solicitud al</w:t>
      </w:r>
      <w:r w:rsidR="00662DE4" w:rsidRPr="005D131A">
        <w:rPr>
          <w:sz w:val="28"/>
          <w:szCs w:val="28"/>
        </w:rPr>
        <w:t xml:space="preserve"> ente ministerial</w:t>
      </w:r>
      <w:r w:rsidR="007415E8" w:rsidRPr="005D131A">
        <w:rPr>
          <w:sz w:val="28"/>
          <w:szCs w:val="28"/>
        </w:rPr>
        <w:t xml:space="preserve">, </w:t>
      </w:r>
      <w:r w:rsidR="00662DE4" w:rsidRPr="005D131A">
        <w:rPr>
          <w:sz w:val="28"/>
          <w:szCs w:val="28"/>
        </w:rPr>
        <w:t>la cual no fue contestada</w:t>
      </w:r>
      <w:r w:rsidR="00A5196A" w:rsidRPr="005D131A">
        <w:rPr>
          <w:sz w:val="28"/>
          <w:szCs w:val="28"/>
          <w:lang w:val="es-CO"/>
        </w:rPr>
        <w:t>.</w:t>
      </w:r>
    </w:p>
    <w:p w:rsidR="00997F04" w:rsidRPr="005D131A" w:rsidRDefault="00997F04" w:rsidP="005D131A">
      <w:pPr>
        <w:ind w:right="-40"/>
        <w:rPr>
          <w:sz w:val="28"/>
          <w:szCs w:val="28"/>
        </w:rPr>
      </w:pPr>
    </w:p>
    <w:p w:rsidR="00BA44F2" w:rsidRPr="005D131A" w:rsidRDefault="002F081E" w:rsidP="005D131A">
      <w:pPr>
        <w:tabs>
          <w:tab w:val="left" w:pos="426"/>
        </w:tabs>
        <w:rPr>
          <w:sz w:val="28"/>
          <w:szCs w:val="28"/>
          <w:lang w:val="es-CO"/>
        </w:rPr>
      </w:pPr>
      <w:r w:rsidRPr="005D131A">
        <w:rPr>
          <w:sz w:val="28"/>
          <w:szCs w:val="28"/>
        </w:rPr>
        <w:t>14</w:t>
      </w:r>
      <w:r w:rsidR="008158BD" w:rsidRPr="005D131A">
        <w:rPr>
          <w:sz w:val="28"/>
          <w:szCs w:val="28"/>
        </w:rPr>
        <w:t xml:space="preserve">. </w:t>
      </w:r>
      <w:r w:rsidRPr="005D131A">
        <w:rPr>
          <w:sz w:val="28"/>
          <w:szCs w:val="28"/>
        </w:rPr>
        <w:t>El</w:t>
      </w:r>
      <w:r w:rsidRPr="005D131A">
        <w:rPr>
          <w:sz w:val="28"/>
          <w:szCs w:val="28"/>
          <w:lang w:val="es-CO"/>
        </w:rPr>
        <w:t xml:space="preserve"> 8 de noviembre de 2012</w:t>
      </w:r>
      <w:r w:rsidRPr="005D131A">
        <w:rPr>
          <w:sz w:val="28"/>
          <w:szCs w:val="28"/>
          <w:vertAlign w:val="superscript"/>
          <w:lang w:val="es-CO"/>
        </w:rPr>
        <w:footnoteReference w:id="47"/>
      </w:r>
      <w:r w:rsidRPr="005D131A">
        <w:rPr>
          <w:sz w:val="28"/>
          <w:szCs w:val="28"/>
          <w:lang w:val="es-CO"/>
        </w:rPr>
        <w:t>, e</w:t>
      </w:r>
      <w:r w:rsidRPr="005D131A">
        <w:rPr>
          <w:sz w:val="28"/>
          <w:szCs w:val="28"/>
        </w:rPr>
        <w:t>l mencionado ente de control</w:t>
      </w:r>
      <w:r w:rsidR="00BA44F2" w:rsidRPr="005D131A">
        <w:rPr>
          <w:sz w:val="28"/>
          <w:szCs w:val="28"/>
        </w:rPr>
        <w:t xml:space="preserve"> </w:t>
      </w:r>
      <w:r w:rsidR="00BA44F2" w:rsidRPr="005D131A">
        <w:rPr>
          <w:sz w:val="28"/>
          <w:szCs w:val="28"/>
          <w:lang w:val="es-CO"/>
        </w:rPr>
        <w:t>presentó el cuarto informe de seguimien</w:t>
      </w:r>
      <w:r w:rsidRPr="005D131A">
        <w:rPr>
          <w:sz w:val="28"/>
          <w:szCs w:val="28"/>
          <w:lang w:val="es-CO"/>
        </w:rPr>
        <w:t>to a la Sentencia T-760 de 2008, específicamente sobre l</w:t>
      </w:r>
      <w:r w:rsidR="00BA44F2" w:rsidRPr="005D131A">
        <w:rPr>
          <w:sz w:val="28"/>
          <w:szCs w:val="28"/>
          <w:lang w:val="es-CO"/>
        </w:rPr>
        <w:t xml:space="preserve">a orden 23 adujo </w:t>
      </w:r>
      <w:r w:rsidR="00BA44F2" w:rsidRPr="005D131A">
        <w:rPr>
          <w:sz w:val="28"/>
          <w:szCs w:val="28"/>
        </w:rPr>
        <w:t>que el único avance que advertía era</w:t>
      </w:r>
      <w:r w:rsidR="00B77C35" w:rsidRPr="005D131A">
        <w:rPr>
          <w:sz w:val="28"/>
          <w:szCs w:val="28"/>
        </w:rPr>
        <w:t xml:space="preserve"> la expedición de la Circular 019 de 2012. Finalmente, reiteró que para esa fecha no había recibido el informe a cargo del Ministerio</w:t>
      </w:r>
      <w:r w:rsidRPr="005D131A">
        <w:rPr>
          <w:sz w:val="28"/>
          <w:szCs w:val="28"/>
        </w:rPr>
        <w:t>.</w:t>
      </w:r>
    </w:p>
    <w:p w:rsidR="00983674" w:rsidRPr="005D131A" w:rsidRDefault="00983674" w:rsidP="005D131A">
      <w:pPr>
        <w:tabs>
          <w:tab w:val="left" w:pos="426"/>
        </w:tabs>
        <w:ind w:right="-40"/>
        <w:rPr>
          <w:sz w:val="28"/>
          <w:szCs w:val="28"/>
        </w:rPr>
      </w:pPr>
    </w:p>
    <w:p w:rsidR="00B77C35" w:rsidRPr="005D131A" w:rsidRDefault="002F081E" w:rsidP="005D131A">
      <w:pPr>
        <w:tabs>
          <w:tab w:val="left" w:pos="426"/>
        </w:tabs>
        <w:ind w:right="-40"/>
        <w:rPr>
          <w:sz w:val="28"/>
          <w:szCs w:val="28"/>
        </w:rPr>
      </w:pPr>
      <w:r w:rsidRPr="005D131A">
        <w:rPr>
          <w:sz w:val="28"/>
          <w:szCs w:val="28"/>
        </w:rPr>
        <w:t>15</w:t>
      </w:r>
      <w:r w:rsidR="008158BD" w:rsidRPr="005D131A">
        <w:rPr>
          <w:sz w:val="28"/>
          <w:szCs w:val="28"/>
        </w:rPr>
        <w:t xml:space="preserve">. </w:t>
      </w:r>
      <w:r w:rsidR="00B77C35" w:rsidRPr="005D131A">
        <w:rPr>
          <w:sz w:val="28"/>
          <w:szCs w:val="28"/>
        </w:rPr>
        <w:t>El Gobierno Nacional suprimi</w:t>
      </w:r>
      <w:r w:rsidR="008158BD" w:rsidRPr="005D131A">
        <w:rPr>
          <w:sz w:val="28"/>
          <w:szCs w:val="28"/>
        </w:rPr>
        <w:t xml:space="preserve">ó la </w:t>
      </w:r>
      <w:r w:rsidR="00B77C35" w:rsidRPr="005D131A">
        <w:rPr>
          <w:sz w:val="28"/>
          <w:szCs w:val="28"/>
        </w:rPr>
        <w:t>CRES, mediante el Decreto 2560 de 10 de diciembre de 2012</w:t>
      </w:r>
      <w:r w:rsidR="00B77C35" w:rsidRPr="005D131A">
        <w:rPr>
          <w:sz w:val="28"/>
          <w:szCs w:val="28"/>
          <w:vertAlign w:val="superscript"/>
        </w:rPr>
        <w:footnoteReference w:id="48"/>
      </w:r>
      <w:r w:rsidR="00B77C35" w:rsidRPr="005D131A">
        <w:rPr>
          <w:sz w:val="28"/>
          <w:szCs w:val="28"/>
        </w:rPr>
        <w:t xml:space="preserve">, en el que se ordenó su liquidación y el traslado de sus funciones al Ministerio de Salud y Protección Social. </w:t>
      </w:r>
    </w:p>
    <w:p w:rsidR="0071013F" w:rsidRPr="005D131A" w:rsidRDefault="0071013F" w:rsidP="005D131A">
      <w:pPr>
        <w:tabs>
          <w:tab w:val="left" w:pos="426"/>
        </w:tabs>
        <w:rPr>
          <w:sz w:val="28"/>
          <w:szCs w:val="28"/>
          <w:lang w:val="es-CO"/>
        </w:rPr>
      </w:pPr>
    </w:p>
    <w:p w:rsidR="0071013F" w:rsidRPr="005D131A" w:rsidRDefault="00503F04" w:rsidP="005D131A">
      <w:pPr>
        <w:tabs>
          <w:tab w:val="left" w:pos="426"/>
        </w:tabs>
        <w:rPr>
          <w:sz w:val="28"/>
          <w:szCs w:val="28"/>
          <w:lang w:val="es-CO"/>
        </w:rPr>
      </w:pPr>
      <w:r w:rsidRPr="005D131A">
        <w:rPr>
          <w:sz w:val="28"/>
          <w:szCs w:val="28"/>
          <w:lang w:val="es-CO"/>
        </w:rPr>
        <w:t>16</w:t>
      </w:r>
      <w:r w:rsidR="008158BD" w:rsidRPr="005D131A">
        <w:rPr>
          <w:sz w:val="28"/>
          <w:szCs w:val="28"/>
          <w:lang w:val="es-CO"/>
        </w:rPr>
        <w:t xml:space="preserve">. </w:t>
      </w:r>
      <w:r w:rsidR="00983674" w:rsidRPr="005D131A">
        <w:rPr>
          <w:sz w:val="28"/>
          <w:szCs w:val="28"/>
          <w:lang w:val="es-CO"/>
        </w:rPr>
        <w:t xml:space="preserve">Teniendo en cuenta que ni el Ministerio </w:t>
      </w:r>
      <w:r w:rsidR="00983674" w:rsidRPr="005D131A">
        <w:rPr>
          <w:sz w:val="28"/>
          <w:szCs w:val="28"/>
        </w:rPr>
        <w:t xml:space="preserve">de Salud </w:t>
      </w:r>
      <w:r w:rsidR="001376FA" w:rsidRPr="005D131A">
        <w:rPr>
          <w:sz w:val="28"/>
          <w:szCs w:val="28"/>
        </w:rPr>
        <w:t>ni la Superintendencia</w:t>
      </w:r>
      <w:r w:rsidR="00983674" w:rsidRPr="005D131A">
        <w:rPr>
          <w:sz w:val="28"/>
          <w:szCs w:val="28"/>
        </w:rPr>
        <w:t xml:space="preserve"> de Salud cumplieron </w:t>
      </w:r>
      <w:r w:rsidR="00EE5DB8" w:rsidRPr="005D131A">
        <w:rPr>
          <w:sz w:val="28"/>
          <w:szCs w:val="28"/>
        </w:rPr>
        <w:t>con lo previsto en el</w:t>
      </w:r>
      <w:r w:rsidR="00983674" w:rsidRPr="005D131A">
        <w:rPr>
          <w:sz w:val="28"/>
          <w:szCs w:val="28"/>
        </w:rPr>
        <w:t xml:space="preserve"> Auto </w:t>
      </w:r>
      <w:r w:rsidR="00983674" w:rsidRPr="005D131A">
        <w:rPr>
          <w:sz w:val="28"/>
          <w:szCs w:val="28"/>
          <w:lang w:val="es-CO"/>
        </w:rPr>
        <w:t xml:space="preserve">198 de 2012, la Corte mediante </w:t>
      </w:r>
      <w:r w:rsidR="00983674" w:rsidRPr="005D131A">
        <w:rPr>
          <w:b/>
          <w:sz w:val="28"/>
          <w:szCs w:val="28"/>
          <w:lang w:val="es-CO"/>
        </w:rPr>
        <w:t>proveído de 5 de junio de 2013</w:t>
      </w:r>
      <w:r w:rsidR="00983674" w:rsidRPr="005D131A">
        <w:rPr>
          <w:sz w:val="28"/>
          <w:szCs w:val="28"/>
          <w:lang w:val="es-CO"/>
        </w:rPr>
        <w:t xml:space="preserve"> solicitó a dichas entidades que acreditaran el c</w:t>
      </w:r>
      <w:r w:rsidRPr="005D131A">
        <w:rPr>
          <w:sz w:val="28"/>
          <w:szCs w:val="28"/>
          <w:lang w:val="es-CO"/>
        </w:rPr>
        <w:t xml:space="preserve">umplimiento de la orden </w:t>
      </w:r>
      <w:r w:rsidR="00983674" w:rsidRPr="005D131A">
        <w:rPr>
          <w:sz w:val="28"/>
          <w:szCs w:val="28"/>
          <w:lang w:val="es-CO"/>
        </w:rPr>
        <w:t xml:space="preserve">para lo cual </w:t>
      </w:r>
      <w:r w:rsidR="00D4341D" w:rsidRPr="005D131A">
        <w:rPr>
          <w:sz w:val="28"/>
          <w:szCs w:val="28"/>
          <w:lang w:val="es-CO"/>
        </w:rPr>
        <w:t>debían respond</w:t>
      </w:r>
      <w:r w:rsidR="008558C8" w:rsidRPr="005D131A">
        <w:rPr>
          <w:sz w:val="28"/>
          <w:szCs w:val="28"/>
          <w:lang w:val="es-CO"/>
        </w:rPr>
        <w:t xml:space="preserve">er una serie de interrogantes, requiriéndolos de nuevo </w:t>
      </w:r>
      <w:r w:rsidR="00D4341D" w:rsidRPr="005D131A">
        <w:rPr>
          <w:sz w:val="28"/>
          <w:szCs w:val="28"/>
          <w:lang w:val="es-CO"/>
        </w:rPr>
        <w:t>para que entregaran el reporte solicitado</w:t>
      </w:r>
      <w:r w:rsidR="004E4AAA" w:rsidRPr="005D131A">
        <w:rPr>
          <w:sz w:val="28"/>
          <w:szCs w:val="28"/>
          <w:lang w:val="es-CO"/>
        </w:rPr>
        <w:t xml:space="preserve"> con anterioridad</w:t>
      </w:r>
      <w:r w:rsidR="00D4341D" w:rsidRPr="005D131A">
        <w:rPr>
          <w:sz w:val="28"/>
          <w:szCs w:val="28"/>
          <w:lang w:val="es-CO"/>
        </w:rPr>
        <w:t xml:space="preserve">. Aunado a ello, pidió a la Superintendencia de Salud que presentara un informe estadístico del periodo septiembre 2008 a marzo 2013, </w:t>
      </w:r>
      <w:r w:rsidR="008558C8" w:rsidRPr="005D131A">
        <w:rPr>
          <w:sz w:val="28"/>
          <w:szCs w:val="28"/>
          <w:lang w:val="es-CO"/>
        </w:rPr>
        <w:t>en temas relacionados con: i) las quejas recibidas;</w:t>
      </w:r>
      <w:r w:rsidR="00D4341D" w:rsidRPr="005D131A">
        <w:rPr>
          <w:sz w:val="28"/>
          <w:szCs w:val="28"/>
          <w:lang w:val="es-CO"/>
        </w:rPr>
        <w:t xml:space="preserve"> ii) las investigaciones administrativas adelantadas</w:t>
      </w:r>
      <w:r w:rsidR="00EE5DB8" w:rsidRPr="005D131A">
        <w:rPr>
          <w:sz w:val="28"/>
          <w:szCs w:val="28"/>
          <w:lang w:val="es-CO"/>
        </w:rPr>
        <w:t xml:space="preserve"> y iii) las sanciones impuestas, en el marco de la orden. </w:t>
      </w:r>
    </w:p>
    <w:p w:rsidR="0071013F" w:rsidRPr="005D131A" w:rsidRDefault="0071013F" w:rsidP="005D131A">
      <w:pPr>
        <w:tabs>
          <w:tab w:val="left" w:pos="426"/>
        </w:tabs>
        <w:rPr>
          <w:sz w:val="28"/>
          <w:szCs w:val="28"/>
          <w:lang w:val="es-CO"/>
        </w:rPr>
      </w:pPr>
    </w:p>
    <w:p w:rsidR="00EE515A" w:rsidRPr="005D131A" w:rsidRDefault="00FD75A6" w:rsidP="005D131A">
      <w:pPr>
        <w:tabs>
          <w:tab w:val="left" w:pos="426"/>
        </w:tabs>
        <w:rPr>
          <w:sz w:val="28"/>
          <w:szCs w:val="28"/>
          <w:lang w:val="es-CO"/>
        </w:rPr>
      </w:pPr>
      <w:r w:rsidRPr="005D131A">
        <w:rPr>
          <w:sz w:val="28"/>
          <w:szCs w:val="28"/>
          <w:lang w:val="es-CO"/>
        </w:rPr>
        <w:t>16</w:t>
      </w:r>
      <w:r w:rsidR="000D2A47" w:rsidRPr="005D131A">
        <w:rPr>
          <w:sz w:val="28"/>
          <w:szCs w:val="28"/>
          <w:lang w:val="es-CO"/>
        </w:rPr>
        <w:t xml:space="preserve">.1. </w:t>
      </w:r>
      <w:r w:rsidR="00F55BCA" w:rsidRPr="005D131A">
        <w:rPr>
          <w:sz w:val="28"/>
          <w:szCs w:val="28"/>
          <w:lang w:val="es-CO"/>
        </w:rPr>
        <w:t xml:space="preserve">En </w:t>
      </w:r>
      <w:r w:rsidR="00503F04" w:rsidRPr="005D131A">
        <w:rPr>
          <w:sz w:val="28"/>
          <w:szCs w:val="28"/>
          <w:lang w:val="es-CO"/>
        </w:rPr>
        <w:t>cumplimiento de la referida providencia, el 18 de junio de 2013</w:t>
      </w:r>
      <w:r w:rsidR="00503F04" w:rsidRPr="005D131A">
        <w:rPr>
          <w:sz w:val="28"/>
          <w:szCs w:val="28"/>
          <w:vertAlign w:val="superscript"/>
          <w:lang w:val="es-CO"/>
        </w:rPr>
        <w:footnoteReference w:id="49"/>
      </w:r>
      <w:r w:rsidR="00503F04" w:rsidRPr="005D131A">
        <w:rPr>
          <w:sz w:val="28"/>
          <w:szCs w:val="28"/>
          <w:lang w:val="es-CO"/>
        </w:rPr>
        <w:t xml:space="preserve">, el   </w:t>
      </w:r>
      <w:r w:rsidR="00F55BCA" w:rsidRPr="005D131A">
        <w:rPr>
          <w:sz w:val="28"/>
          <w:szCs w:val="28"/>
          <w:lang w:val="es-CO"/>
        </w:rPr>
        <w:t>Ministerio de Salud</w:t>
      </w:r>
      <w:r w:rsidR="00F03340" w:rsidRPr="005D131A">
        <w:rPr>
          <w:sz w:val="28"/>
          <w:szCs w:val="28"/>
          <w:lang w:val="es-CO"/>
        </w:rPr>
        <w:t xml:space="preserve"> </w:t>
      </w:r>
      <w:r w:rsidR="00F302CA" w:rsidRPr="005D131A">
        <w:rPr>
          <w:sz w:val="28"/>
          <w:szCs w:val="28"/>
          <w:lang w:val="es-CO"/>
        </w:rPr>
        <w:t>precisó que la Resolución 3099 de 2008 ha regulado en forma acertada y suficiente los CTC.</w:t>
      </w:r>
      <w:r w:rsidR="002309E6" w:rsidRPr="005D131A">
        <w:rPr>
          <w:sz w:val="28"/>
          <w:szCs w:val="28"/>
          <w:lang w:val="es-CO"/>
        </w:rPr>
        <w:t xml:space="preserve"> Agregó que</w:t>
      </w:r>
      <w:r w:rsidR="00F302CA" w:rsidRPr="005D131A">
        <w:rPr>
          <w:sz w:val="28"/>
          <w:szCs w:val="28"/>
          <w:lang w:val="es-CO"/>
        </w:rPr>
        <w:t xml:space="preserve"> </w:t>
      </w:r>
      <w:r w:rsidR="00454453" w:rsidRPr="005D131A">
        <w:rPr>
          <w:sz w:val="28"/>
          <w:szCs w:val="28"/>
          <w:lang w:val="es-CO"/>
        </w:rPr>
        <w:t>el 3 de mayo de 2012</w:t>
      </w:r>
      <w:r w:rsidR="006D4053" w:rsidRPr="005D131A">
        <w:rPr>
          <w:sz w:val="28"/>
          <w:szCs w:val="28"/>
          <w:lang w:val="es-CO"/>
        </w:rPr>
        <w:t xml:space="preserve"> </w:t>
      </w:r>
      <w:r w:rsidR="00F302CA" w:rsidRPr="005D131A">
        <w:rPr>
          <w:sz w:val="28"/>
          <w:szCs w:val="28"/>
          <w:lang w:val="es-CO"/>
        </w:rPr>
        <w:t xml:space="preserve">se </w:t>
      </w:r>
      <w:r w:rsidR="00671983" w:rsidRPr="005D131A">
        <w:rPr>
          <w:sz w:val="28"/>
          <w:szCs w:val="28"/>
          <w:lang w:val="es-CO"/>
        </w:rPr>
        <w:t>profirió</w:t>
      </w:r>
      <w:r w:rsidR="00F302CA" w:rsidRPr="005D131A">
        <w:rPr>
          <w:sz w:val="28"/>
          <w:szCs w:val="28"/>
          <w:lang w:val="es-CO"/>
        </w:rPr>
        <w:t xml:space="preserve"> la Circular 019</w:t>
      </w:r>
      <w:r w:rsidR="008558C8" w:rsidRPr="005D131A">
        <w:rPr>
          <w:sz w:val="28"/>
          <w:szCs w:val="28"/>
          <w:lang w:val="es-CO"/>
        </w:rPr>
        <w:t>, cuyo objetivo</w:t>
      </w:r>
      <w:r w:rsidR="006D4053" w:rsidRPr="005D131A">
        <w:rPr>
          <w:sz w:val="28"/>
          <w:szCs w:val="28"/>
          <w:lang w:val="es-CO"/>
        </w:rPr>
        <w:t xml:space="preserve"> principal fue recordarles a las EPS e IPS</w:t>
      </w:r>
      <w:r w:rsidR="00671983" w:rsidRPr="005D131A">
        <w:rPr>
          <w:sz w:val="28"/>
          <w:szCs w:val="28"/>
          <w:lang w:val="es-CO"/>
        </w:rPr>
        <w:t xml:space="preserve"> del país</w:t>
      </w:r>
      <w:r w:rsidR="006D4053" w:rsidRPr="005D131A">
        <w:rPr>
          <w:sz w:val="28"/>
          <w:szCs w:val="28"/>
          <w:lang w:val="es-CO"/>
        </w:rPr>
        <w:t xml:space="preserve"> la obligación de brindar al paciente que presente urgencia manifiesta, un servicio de salud inmediato sin </w:t>
      </w:r>
      <w:r w:rsidR="00F302CA" w:rsidRPr="005D131A">
        <w:rPr>
          <w:sz w:val="28"/>
          <w:szCs w:val="28"/>
          <w:lang w:val="es-CO"/>
        </w:rPr>
        <w:t xml:space="preserve">que medie trámite previo de autorización. </w:t>
      </w:r>
    </w:p>
    <w:p w:rsidR="00F302CA" w:rsidRPr="005D131A" w:rsidRDefault="00F302CA" w:rsidP="005D131A">
      <w:pPr>
        <w:tabs>
          <w:tab w:val="left" w:pos="426"/>
        </w:tabs>
        <w:rPr>
          <w:sz w:val="28"/>
          <w:szCs w:val="28"/>
          <w:lang w:val="es-CO"/>
        </w:rPr>
      </w:pPr>
    </w:p>
    <w:p w:rsidR="00812C57" w:rsidRPr="005D131A" w:rsidRDefault="001846B2" w:rsidP="005D131A">
      <w:pPr>
        <w:tabs>
          <w:tab w:val="left" w:pos="426"/>
        </w:tabs>
        <w:rPr>
          <w:sz w:val="28"/>
          <w:szCs w:val="28"/>
          <w:lang w:val="es-CO"/>
        </w:rPr>
      </w:pPr>
      <w:r w:rsidRPr="005D131A">
        <w:rPr>
          <w:sz w:val="28"/>
          <w:szCs w:val="28"/>
          <w:lang w:val="es-CO"/>
        </w:rPr>
        <w:t xml:space="preserve">Así mismo, presentó las medidas diseñadas para mejorar el trámite de los recobros ante el FOSYGA, en donde señaló que </w:t>
      </w:r>
      <w:r w:rsidRPr="005D131A">
        <w:rPr>
          <w:i/>
          <w:sz w:val="28"/>
          <w:szCs w:val="28"/>
          <w:lang w:val="es-CO"/>
        </w:rPr>
        <w:t>“ha habido una disminución del número de recobros, de los valores recobrados y de los valores aprobados que se hacen mediante tutelas, cifras que entre 2009 y 2013 se han reducido a la mitad, lo que contrasta con el aumento en el uso del Comité Técnico Científico para acceder a las tecnologías y servicios de salud no incluidos en el Plan Obligatorio de Salud”</w:t>
      </w:r>
      <w:r w:rsidRPr="005D131A">
        <w:rPr>
          <w:sz w:val="28"/>
          <w:szCs w:val="28"/>
          <w:lang w:val="es-CO"/>
        </w:rPr>
        <w:t xml:space="preserve">. </w:t>
      </w:r>
      <w:r w:rsidR="00EB25C1" w:rsidRPr="005D131A">
        <w:rPr>
          <w:sz w:val="28"/>
          <w:szCs w:val="28"/>
          <w:lang w:val="es-CO"/>
        </w:rPr>
        <w:t>Para el ente ministerial tal situación evidencia el impacto positivo de los</w:t>
      </w:r>
      <w:r w:rsidR="00F302CA" w:rsidRPr="005D131A">
        <w:rPr>
          <w:sz w:val="28"/>
          <w:szCs w:val="28"/>
          <w:lang w:val="es-CO"/>
        </w:rPr>
        <w:t xml:space="preserve"> CTC</w:t>
      </w:r>
      <w:r w:rsidR="00EB25C1" w:rsidRPr="005D131A">
        <w:rPr>
          <w:sz w:val="28"/>
          <w:szCs w:val="28"/>
          <w:lang w:val="es-CO"/>
        </w:rPr>
        <w:t xml:space="preserve">, organismos que precisamente fueron </w:t>
      </w:r>
      <w:r w:rsidR="00812C57" w:rsidRPr="005D131A">
        <w:rPr>
          <w:sz w:val="28"/>
          <w:szCs w:val="28"/>
          <w:lang w:val="es-CO"/>
        </w:rPr>
        <w:t>creado</w:t>
      </w:r>
      <w:r w:rsidR="00EB25C1" w:rsidRPr="005D131A">
        <w:rPr>
          <w:sz w:val="28"/>
          <w:szCs w:val="28"/>
          <w:lang w:val="es-CO"/>
        </w:rPr>
        <w:t>s</w:t>
      </w:r>
      <w:r w:rsidR="00812C57" w:rsidRPr="005D131A">
        <w:rPr>
          <w:i/>
          <w:sz w:val="28"/>
          <w:szCs w:val="28"/>
          <w:lang w:val="es-CO"/>
        </w:rPr>
        <w:t xml:space="preserve"> </w:t>
      </w:r>
      <w:r w:rsidR="00EB25C1" w:rsidRPr="005D131A">
        <w:rPr>
          <w:i/>
          <w:sz w:val="28"/>
          <w:szCs w:val="28"/>
          <w:lang w:val="es-CO"/>
        </w:rPr>
        <w:t>“</w:t>
      </w:r>
      <w:r w:rsidR="00812C57" w:rsidRPr="005D131A">
        <w:rPr>
          <w:i/>
          <w:sz w:val="28"/>
          <w:szCs w:val="28"/>
          <w:lang w:val="es-CO"/>
        </w:rPr>
        <w:t>para que los ciudadanos contaran con un medio más directo y expedito para acceder al derecho a la salud en estos casos”</w:t>
      </w:r>
      <w:r w:rsidR="00812C57" w:rsidRPr="005D131A">
        <w:rPr>
          <w:sz w:val="28"/>
          <w:szCs w:val="28"/>
          <w:lang w:val="es-CO"/>
        </w:rPr>
        <w:t xml:space="preserve">. </w:t>
      </w:r>
    </w:p>
    <w:p w:rsidR="00F302CA" w:rsidRPr="005D131A" w:rsidRDefault="00F302CA" w:rsidP="005D131A">
      <w:pPr>
        <w:tabs>
          <w:tab w:val="left" w:pos="426"/>
        </w:tabs>
        <w:rPr>
          <w:sz w:val="28"/>
          <w:szCs w:val="28"/>
          <w:lang w:val="es-CO"/>
        </w:rPr>
      </w:pPr>
    </w:p>
    <w:p w:rsidR="00812C57" w:rsidRPr="005D131A" w:rsidRDefault="00F302CA" w:rsidP="005D131A">
      <w:pPr>
        <w:tabs>
          <w:tab w:val="left" w:pos="426"/>
        </w:tabs>
        <w:rPr>
          <w:sz w:val="28"/>
          <w:szCs w:val="28"/>
          <w:lang w:val="es-CO"/>
        </w:rPr>
      </w:pPr>
      <w:r w:rsidRPr="005D131A">
        <w:rPr>
          <w:sz w:val="28"/>
          <w:szCs w:val="28"/>
          <w:lang w:val="es-CO"/>
        </w:rPr>
        <w:t xml:space="preserve">En virtud de lo anterior, sostuvo que la </w:t>
      </w:r>
      <w:r w:rsidR="001376FA" w:rsidRPr="005D131A">
        <w:rPr>
          <w:sz w:val="28"/>
          <w:szCs w:val="28"/>
          <w:lang w:val="es-CO"/>
        </w:rPr>
        <w:t>disminución</w:t>
      </w:r>
      <w:r w:rsidRPr="005D131A">
        <w:rPr>
          <w:sz w:val="28"/>
          <w:szCs w:val="28"/>
          <w:lang w:val="es-CO"/>
        </w:rPr>
        <w:t xml:space="preserve"> de las acciones de tutela y </w:t>
      </w:r>
      <w:r w:rsidR="008C06FE" w:rsidRPr="005D131A">
        <w:rPr>
          <w:sz w:val="28"/>
          <w:szCs w:val="28"/>
          <w:lang w:val="es-CO"/>
        </w:rPr>
        <w:t>el incremento en el uso del CTC</w:t>
      </w:r>
      <w:r w:rsidR="00942483" w:rsidRPr="005D131A">
        <w:rPr>
          <w:sz w:val="28"/>
          <w:szCs w:val="28"/>
          <w:lang w:val="es-CO"/>
        </w:rPr>
        <w:t xml:space="preserve">, </w:t>
      </w:r>
      <w:r w:rsidRPr="005D131A">
        <w:rPr>
          <w:sz w:val="28"/>
          <w:szCs w:val="28"/>
          <w:lang w:val="es-CO"/>
        </w:rPr>
        <w:t xml:space="preserve">implica que se está dando un uso más racional del mecanismo de aprobación y que no se están imponiendo barreras de acceso. Ese </w:t>
      </w:r>
      <w:r w:rsidR="00812C57" w:rsidRPr="005D131A">
        <w:rPr>
          <w:sz w:val="28"/>
          <w:szCs w:val="28"/>
          <w:lang w:val="es-CO"/>
        </w:rPr>
        <w:t>informe</w:t>
      </w:r>
      <w:r w:rsidR="00942483" w:rsidRPr="005D131A">
        <w:rPr>
          <w:sz w:val="28"/>
          <w:szCs w:val="28"/>
          <w:lang w:val="es-CO"/>
        </w:rPr>
        <w:t xml:space="preserve"> que</w:t>
      </w:r>
      <w:r w:rsidR="00812C57" w:rsidRPr="005D131A">
        <w:rPr>
          <w:sz w:val="28"/>
          <w:szCs w:val="28"/>
          <w:lang w:val="es-CO"/>
        </w:rPr>
        <w:t xml:space="preserve"> </w:t>
      </w:r>
      <w:r w:rsidR="008C06FE" w:rsidRPr="005D131A">
        <w:rPr>
          <w:sz w:val="28"/>
          <w:szCs w:val="28"/>
          <w:lang w:val="es-CO"/>
        </w:rPr>
        <w:t xml:space="preserve">también </w:t>
      </w:r>
      <w:r w:rsidR="00812C57" w:rsidRPr="005D131A">
        <w:rPr>
          <w:sz w:val="28"/>
          <w:szCs w:val="28"/>
          <w:lang w:val="es-CO"/>
        </w:rPr>
        <w:t>fue enviado a la Defensoría de</w:t>
      </w:r>
      <w:r w:rsidR="00942483" w:rsidRPr="005D131A">
        <w:rPr>
          <w:sz w:val="28"/>
          <w:szCs w:val="28"/>
          <w:lang w:val="es-CO"/>
        </w:rPr>
        <w:t>l Pueblo el 14 de junio de 2013</w:t>
      </w:r>
      <w:r w:rsidR="00EE515A" w:rsidRPr="005D131A">
        <w:rPr>
          <w:sz w:val="28"/>
          <w:szCs w:val="28"/>
          <w:vertAlign w:val="superscript"/>
          <w:lang w:val="es-CO"/>
        </w:rPr>
        <w:footnoteReference w:id="50"/>
      </w:r>
      <w:r w:rsidR="00812C57" w:rsidRPr="005D131A">
        <w:rPr>
          <w:sz w:val="28"/>
          <w:szCs w:val="28"/>
          <w:lang w:val="es-CO"/>
        </w:rPr>
        <w:t xml:space="preserve"> </w:t>
      </w:r>
      <w:r w:rsidR="00942483" w:rsidRPr="005D131A">
        <w:rPr>
          <w:sz w:val="28"/>
          <w:szCs w:val="28"/>
          <w:lang w:val="es-CO"/>
        </w:rPr>
        <w:t>.</w:t>
      </w:r>
    </w:p>
    <w:p w:rsidR="00812C57" w:rsidRPr="005D131A" w:rsidRDefault="00812C57" w:rsidP="005D131A">
      <w:pPr>
        <w:tabs>
          <w:tab w:val="left" w:pos="426"/>
        </w:tabs>
        <w:rPr>
          <w:sz w:val="28"/>
          <w:szCs w:val="28"/>
          <w:lang w:val="es-CO"/>
        </w:rPr>
      </w:pPr>
    </w:p>
    <w:p w:rsidR="00812C57" w:rsidRPr="005D131A" w:rsidRDefault="00FD75A6" w:rsidP="005D131A">
      <w:pPr>
        <w:rPr>
          <w:sz w:val="28"/>
          <w:szCs w:val="28"/>
          <w:lang w:val="es-CO"/>
        </w:rPr>
      </w:pPr>
      <w:r w:rsidRPr="005D131A">
        <w:rPr>
          <w:sz w:val="28"/>
          <w:szCs w:val="28"/>
          <w:lang w:val="es-CO"/>
        </w:rPr>
        <w:t>16</w:t>
      </w:r>
      <w:r w:rsidR="000D2A47" w:rsidRPr="005D131A">
        <w:rPr>
          <w:sz w:val="28"/>
          <w:szCs w:val="28"/>
          <w:lang w:val="es-CO"/>
        </w:rPr>
        <w:t>.2.</w:t>
      </w:r>
      <w:r w:rsidR="00454453" w:rsidRPr="005D131A">
        <w:rPr>
          <w:sz w:val="28"/>
          <w:szCs w:val="28"/>
          <w:lang w:val="es-CO"/>
        </w:rPr>
        <w:t xml:space="preserve"> </w:t>
      </w:r>
      <w:r w:rsidR="001376FA" w:rsidRPr="005D131A">
        <w:rPr>
          <w:sz w:val="28"/>
          <w:szCs w:val="28"/>
          <w:lang w:val="es-CO"/>
        </w:rPr>
        <w:t>La Superintendencia</w:t>
      </w:r>
      <w:r w:rsidR="00EE515A" w:rsidRPr="005D131A">
        <w:rPr>
          <w:sz w:val="28"/>
          <w:szCs w:val="28"/>
          <w:lang w:val="es-CO"/>
        </w:rPr>
        <w:t xml:space="preserve"> </w:t>
      </w:r>
      <w:r w:rsidR="00966A6F" w:rsidRPr="005D131A">
        <w:rPr>
          <w:sz w:val="28"/>
          <w:szCs w:val="28"/>
          <w:lang w:val="es-CO"/>
        </w:rPr>
        <w:t>de Salud, en escrito de 23 de julio de 2013</w:t>
      </w:r>
      <w:r w:rsidR="00966A6F" w:rsidRPr="005D131A">
        <w:rPr>
          <w:sz w:val="28"/>
          <w:szCs w:val="28"/>
          <w:vertAlign w:val="superscript"/>
          <w:lang w:val="es-CO"/>
        </w:rPr>
        <w:footnoteReference w:id="51"/>
      </w:r>
      <w:r w:rsidR="00966A6F" w:rsidRPr="005D131A">
        <w:rPr>
          <w:sz w:val="28"/>
          <w:szCs w:val="28"/>
          <w:lang w:val="es-CO"/>
        </w:rPr>
        <w:t>, sostuvo que d</w:t>
      </w:r>
      <w:r w:rsidR="002309E6" w:rsidRPr="005D131A">
        <w:rPr>
          <w:sz w:val="28"/>
          <w:szCs w:val="28"/>
          <w:lang w:val="es-CO"/>
        </w:rPr>
        <w:t>e acuerdo con el aplicativo de peticiones, quejas y r</w:t>
      </w:r>
      <w:r w:rsidR="00966A6F" w:rsidRPr="005D131A">
        <w:rPr>
          <w:sz w:val="28"/>
          <w:szCs w:val="28"/>
          <w:lang w:val="es-CO"/>
        </w:rPr>
        <w:t>eclam</w:t>
      </w:r>
      <w:r w:rsidRPr="005D131A">
        <w:rPr>
          <w:sz w:val="28"/>
          <w:szCs w:val="28"/>
          <w:lang w:val="es-CO"/>
        </w:rPr>
        <w:t xml:space="preserve">os de esa entidad se recibieron, por concepto de prestación de servicios no POS </w:t>
      </w:r>
      <w:r w:rsidRPr="005D131A">
        <w:rPr>
          <w:i/>
          <w:sz w:val="28"/>
          <w:szCs w:val="28"/>
          <w:lang w:val="es-CO"/>
        </w:rPr>
        <w:t>“</w:t>
      </w:r>
      <w:r w:rsidR="00966A6F" w:rsidRPr="005D131A">
        <w:rPr>
          <w:i/>
          <w:sz w:val="28"/>
          <w:szCs w:val="28"/>
          <w:lang w:val="es-CO"/>
        </w:rPr>
        <w:t xml:space="preserve">14.074 </w:t>
      </w:r>
      <w:r w:rsidRPr="005D131A">
        <w:rPr>
          <w:i/>
          <w:sz w:val="28"/>
          <w:szCs w:val="28"/>
          <w:lang w:val="es-CO"/>
        </w:rPr>
        <w:t>quejas en 2012 y 8.400 en el primer semestre de 2013”</w:t>
      </w:r>
      <w:r w:rsidRPr="005D131A">
        <w:rPr>
          <w:sz w:val="28"/>
          <w:szCs w:val="28"/>
          <w:lang w:val="es-CO"/>
        </w:rPr>
        <w:t xml:space="preserve">. </w:t>
      </w:r>
      <w:r w:rsidR="00603A74" w:rsidRPr="005D131A">
        <w:rPr>
          <w:sz w:val="28"/>
          <w:szCs w:val="28"/>
          <w:lang w:val="es-CO"/>
        </w:rPr>
        <w:t xml:space="preserve">Agregó que </w:t>
      </w:r>
      <w:r w:rsidRPr="005D131A">
        <w:rPr>
          <w:sz w:val="28"/>
          <w:szCs w:val="28"/>
          <w:lang w:val="es-CO"/>
        </w:rPr>
        <w:t>n</w:t>
      </w:r>
      <w:r w:rsidR="00603A74" w:rsidRPr="005D131A">
        <w:rPr>
          <w:sz w:val="28"/>
          <w:szCs w:val="28"/>
          <w:lang w:val="es-CO"/>
        </w:rPr>
        <w:t xml:space="preserve">o brindó </w:t>
      </w:r>
      <w:r w:rsidRPr="005D131A">
        <w:rPr>
          <w:sz w:val="28"/>
          <w:szCs w:val="28"/>
          <w:lang w:val="es-CO"/>
        </w:rPr>
        <w:t xml:space="preserve">la </w:t>
      </w:r>
      <w:r w:rsidR="00603A74" w:rsidRPr="005D131A">
        <w:rPr>
          <w:sz w:val="28"/>
          <w:szCs w:val="28"/>
          <w:lang w:val="es-CO"/>
        </w:rPr>
        <w:t>información solicitada r</w:t>
      </w:r>
      <w:r w:rsidR="008C06FE" w:rsidRPr="005D131A">
        <w:rPr>
          <w:sz w:val="28"/>
          <w:szCs w:val="28"/>
          <w:lang w:val="es-CO"/>
        </w:rPr>
        <w:t>especto de los años 2008 a 2011</w:t>
      </w:r>
      <w:r w:rsidR="00603A74" w:rsidRPr="005D131A">
        <w:rPr>
          <w:sz w:val="28"/>
          <w:szCs w:val="28"/>
          <w:lang w:val="es-CO"/>
        </w:rPr>
        <w:t xml:space="preserve"> por cuanto para esa época la entidad no contaba con la estructura necesaria para el manejo de variables que permitieran identificar los motivos de los reclamos relacionados con la prestación de servicios no POS. </w:t>
      </w:r>
    </w:p>
    <w:p w:rsidR="00812C57" w:rsidRPr="005D131A" w:rsidRDefault="00812C57" w:rsidP="005D131A">
      <w:pPr>
        <w:tabs>
          <w:tab w:val="left" w:pos="426"/>
        </w:tabs>
        <w:rPr>
          <w:sz w:val="28"/>
          <w:szCs w:val="28"/>
          <w:lang w:val="es-CO"/>
        </w:rPr>
      </w:pPr>
    </w:p>
    <w:p w:rsidR="00812C57" w:rsidRPr="005D131A" w:rsidRDefault="005A0120" w:rsidP="005D131A">
      <w:pPr>
        <w:tabs>
          <w:tab w:val="left" w:pos="426"/>
        </w:tabs>
        <w:rPr>
          <w:sz w:val="28"/>
          <w:szCs w:val="28"/>
          <w:lang w:val="es-CO"/>
        </w:rPr>
      </w:pPr>
      <w:r w:rsidRPr="005D131A">
        <w:rPr>
          <w:sz w:val="28"/>
          <w:szCs w:val="28"/>
          <w:lang w:val="es-CO"/>
        </w:rPr>
        <w:t xml:space="preserve">En </w:t>
      </w:r>
      <w:r w:rsidR="00B27051" w:rsidRPr="005D131A">
        <w:rPr>
          <w:sz w:val="28"/>
          <w:szCs w:val="28"/>
          <w:lang w:val="es-CO"/>
        </w:rPr>
        <w:t>relación</w:t>
      </w:r>
      <w:r w:rsidRPr="005D131A">
        <w:rPr>
          <w:sz w:val="28"/>
          <w:szCs w:val="28"/>
          <w:lang w:val="es-CO"/>
        </w:rPr>
        <w:t xml:space="preserve"> con el </w:t>
      </w:r>
      <w:r w:rsidR="00B27051" w:rsidRPr="005D131A">
        <w:rPr>
          <w:sz w:val="28"/>
          <w:szCs w:val="28"/>
          <w:lang w:val="es-CO"/>
        </w:rPr>
        <w:t>número d</w:t>
      </w:r>
      <w:r w:rsidR="008C06FE" w:rsidRPr="005D131A">
        <w:rPr>
          <w:sz w:val="28"/>
          <w:szCs w:val="28"/>
          <w:lang w:val="es-CO"/>
        </w:rPr>
        <w:t>e investigaciones administrativa</w:t>
      </w:r>
      <w:r w:rsidR="00B27051" w:rsidRPr="005D131A">
        <w:rPr>
          <w:sz w:val="28"/>
          <w:szCs w:val="28"/>
          <w:lang w:val="es-CO"/>
        </w:rPr>
        <w:t>s señaló que entre</w:t>
      </w:r>
      <w:r w:rsidR="008C06FE" w:rsidRPr="005D131A">
        <w:rPr>
          <w:sz w:val="28"/>
          <w:szCs w:val="28"/>
          <w:lang w:val="es-CO"/>
        </w:rPr>
        <w:t xml:space="preserve"> el</w:t>
      </w:r>
      <w:r w:rsidR="00B27051" w:rsidRPr="005D131A">
        <w:rPr>
          <w:sz w:val="28"/>
          <w:szCs w:val="28"/>
          <w:lang w:val="es-CO"/>
        </w:rPr>
        <w:t xml:space="preserve"> 2008 y </w:t>
      </w:r>
      <w:r w:rsidR="008C06FE" w:rsidRPr="005D131A">
        <w:rPr>
          <w:sz w:val="28"/>
          <w:szCs w:val="28"/>
          <w:lang w:val="es-CO"/>
        </w:rPr>
        <w:t>el 2013 había iniciado 69</w:t>
      </w:r>
      <w:r w:rsidR="00A42C47" w:rsidRPr="005D131A">
        <w:rPr>
          <w:sz w:val="28"/>
          <w:szCs w:val="28"/>
          <w:lang w:val="es-CO"/>
        </w:rPr>
        <w:t xml:space="preserve"> relacionadas con la</w:t>
      </w:r>
      <w:r w:rsidR="00B27051" w:rsidRPr="005D131A">
        <w:rPr>
          <w:sz w:val="28"/>
          <w:szCs w:val="28"/>
          <w:lang w:val="es-CO"/>
        </w:rPr>
        <w:t xml:space="preserve"> negación de medicamentos o prestación de servicios no POS en contra de las Entidades Administradoras de Planes de Beneficios e impuesto 21 sanciones por la misma causa. </w:t>
      </w:r>
    </w:p>
    <w:p w:rsidR="008C06FE" w:rsidRPr="005D131A" w:rsidRDefault="008C06FE" w:rsidP="005D131A">
      <w:pPr>
        <w:tabs>
          <w:tab w:val="left" w:pos="426"/>
        </w:tabs>
        <w:rPr>
          <w:sz w:val="28"/>
          <w:szCs w:val="28"/>
          <w:lang w:val="es-CO"/>
        </w:rPr>
      </w:pPr>
    </w:p>
    <w:p w:rsidR="000407CF" w:rsidRPr="005D131A" w:rsidRDefault="005A0120" w:rsidP="005D131A">
      <w:pPr>
        <w:rPr>
          <w:sz w:val="28"/>
          <w:szCs w:val="28"/>
          <w:lang w:val="es-CO"/>
        </w:rPr>
      </w:pPr>
      <w:r w:rsidRPr="005D131A">
        <w:rPr>
          <w:sz w:val="28"/>
          <w:szCs w:val="28"/>
          <w:lang w:val="es-CO"/>
        </w:rPr>
        <w:t>Finalmente, m</w:t>
      </w:r>
      <w:r w:rsidR="00BD1C3D" w:rsidRPr="005D131A">
        <w:rPr>
          <w:sz w:val="28"/>
          <w:szCs w:val="28"/>
          <w:lang w:val="es-CO"/>
        </w:rPr>
        <w:t xml:space="preserve">anifestó que aunque la regulación de los CTC </w:t>
      </w:r>
      <w:r w:rsidR="00DA7DEF" w:rsidRPr="005D131A">
        <w:rPr>
          <w:sz w:val="28"/>
          <w:szCs w:val="28"/>
          <w:lang w:val="es-CO"/>
        </w:rPr>
        <w:t xml:space="preserve">genera </w:t>
      </w:r>
      <w:r w:rsidR="00BD1C3D" w:rsidRPr="005D131A">
        <w:rPr>
          <w:sz w:val="28"/>
          <w:szCs w:val="28"/>
          <w:lang w:val="es-CO"/>
        </w:rPr>
        <w:t xml:space="preserve">un mecanismo expedito para acceder a las prestaciones excluidas de los planes de beneficios, persisten falencias que ocasionan barreras de acceso, a saber: </w:t>
      </w:r>
      <w:r w:rsidR="00BD1C3D" w:rsidRPr="005D131A">
        <w:rPr>
          <w:i/>
          <w:sz w:val="28"/>
          <w:szCs w:val="28"/>
          <w:lang w:val="es-CO"/>
        </w:rPr>
        <w:t xml:space="preserve">i) </w:t>
      </w:r>
      <w:r w:rsidR="00BD1C3D" w:rsidRPr="005D131A">
        <w:rPr>
          <w:sz w:val="28"/>
          <w:szCs w:val="28"/>
          <w:lang w:val="es-CO"/>
        </w:rPr>
        <w:t>existe un vacío</w:t>
      </w:r>
      <w:r w:rsidR="00B15CB4" w:rsidRPr="005D131A">
        <w:rPr>
          <w:sz w:val="28"/>
          <w:szCs w:val="28"/>
          <w:lang w:val="es-CO"/>
        </w:rPr>
        <w:t xml:space="preserve"> normativo</w:t>
      </w:r>
      <w:r w:rsidR="00BD1C3D" w:rsidRPr="005D131A">
        <w:rPr>
          <w:sz w:val="28"/>
          <w:szCs w:val="28"/>
          <w:lang w:val="es-CO"/>
        </w:rPr>
        <w:t xml:space="preserve"> en cuanto a la aprobación de servicios expresamente excluidos del plan</w:t>
      </w:r>
      <w:r w:rsidR="00CD61BB" w:rsidRPr="005D131A">
        <w:rPr>
          <w:sz w:val="28"/>
          <w:szCs w:val="28"/>
          <w:lang w:val="es-CO"/>
        </w:rPr>
        <w:t xml:space="preserve"> y ordenados por jueces de tutela</w:t>
      </w:r>
      <w:r w:rsidR="00BD1C3D" w:rsidRPr="005D131A">
        <w:rPr>
          <w:sz w:val="28"/>
          <w:szCs w:val="28"/>
          <w:vertAlign w:val="superscript"/>
          <w:lang w:val="es-CO"/>
        </w:rPr>
        <w:footnoteReference w:id="52"/>
      </w:r>
      <w:r w:rsidR="00CD61BB" w:rsidRPr="005D131A">
        <w:rPr>
          <w:sz w:val="28"/>
          <w:szCs w:val="28"/>
          <w:lang w:val="es-CO"/>
        </w:rPr>
        <w:t xml:space="preserve">; </w:t>
      </w:r>
      <w:r w:rsidR="00CD61BB" w:rsidRPr="005D131A">
        <w:rPr>
          <w:i/>
          <w:sz w:val="28"/>
          <w:szCs w:val="28"/>
          <w:lang w:val="es-CO"/>
        </w:rPr>
        <w:t xml:space="preserve">ii) </w:t>
      </w:r>
      <w:r w:rsidR="00465326" w:rsidRPr="005D131A">
        <w:rPr>
          <w:sz w:val="28"/>
          <w:szCs w:val="28"/>
          <w:lang w:val="es-CO"/>
        </w:rPr>
        <w:t xml:space="preserve">las entidades territoriales no cuentan con la capacidad administrativa y/o financiera para prestar tales servicios, por lo que demoran su suministro o delegan su función en las EPS; </w:t>
      </w:r>
      <w:r w:rsidR="0018448B" w:rsidRPr="005D131A">
        <w:rPr>
          <w:i/>
          <w:sz w:val="28"/>
          <w:szCs w:val="28"/>
          <w:lang w:val="es-CO"/>
        </w:rPr>
        <w:t xml:space="preserve">iii) </w:t>
      </w:r>
      <w:r w:rsidR="000D52D5" w:rsidRPr="005D131A">
        <w:rPr>
          <w:sz w:val="28"/>
          <w:szCs w:val="28"/>
          <w:lang w:val="es-CO"/>
        </w:rPr>
        <w:t>no se estableció un mecanismo para garantizar la independencia de los CTC, circunstancia que se refleja en la participación pasiva del representante de los usuario</w:t>
      </w:r>
      <w:r w:rsidR="007E7DA1" w:rsidRPr="005D131A">
        <w:rPr>
          <w:sz w:val="28"/>
          <w:szCs w:val="28"/>
          <w:lang w:val="es-CO"/>
        </w:rPr>
        <w:t>s, el nombramiento de profesionales de la salud allegados a las EPS, la ubicación de los comités en las capitales departamentales o fuera de</w:t>
      </w:r>
      <w:r w:rsidR="00B15CB4" w:rsidRPr="005D131A">
        <w:rPr>
          <w:sz w:val="28"/>
          <w:szCs w:val="28"/>
          <w:lang w:val="es-CO"/>
        </w:rPr>
        <w:t xml:space="preserve"> ellas</w:t>
      </w:r>
      <w:r w:rsidR="007E7DA1" w:rsidRPr="005D131A">
        <w:rPr>
          <w:sz w:val="28"/>
          <w:szCs w:val="28"/>
          <w:lang w:val="es-CO"/>
        </w:rPr>
        <w:t xml:space="preserve">, lo que afecta la oportunidad de la atención; </w:t>
      </w:r>
      <w:r w:rsidR="00942483" w:rsidRPr="005D131A">
        <w:rPr>
          <w:sz w:val="28"/>
          <w:szCs w:val="28"/>
          <w:lang w:val="es-CO"/>
        </w:rPr>
        <w:t xml:space="preserve">y </w:t>
      </w:r>
      <w:r w:rsidR="007E7DA1" w:rsidRPr="005D131A">
        <w:rPr>
          <w:i/>
          <w:sz w:val="28"/>
          <w:szCs w:val="28"/>
          <w:lang w:val="es-CO"/>
        </w:rPr>
        <w:t xml:space="preserve">iv) </w:t>
      </w:r>
      <w:r w:rsidR="007E7DA1" w:rsidRPr="005D131A">
        <w:rPr>
          <w:sz w:val="28"/>
          <w:szCs w:val="28"/>
          <w:lang w:val="es-CO"/>
        </w:rPr>
        <w:t xml:space="preserve">el castigo económico cuando se recobre una prestación ordenada mediante acción de tutela no ha disminuido la presentación de </w:t>
      </w:r>
      <w:r w:rsidR="00FD75A6" w:rsidRPr="005D131A">
        <w:rPr>
          <w:sz w:val="28"/>
          <w:szCs w:val="28"/>
          <w:lang w:val="es-CO"/>
        </w:rPr>
        <w:t>recursos de amparo.</w:t>
      </w:r>
      <w:r w:rsidRPr="005D131A">
        <w:rPr>
          <w:sz w:val="28"/>
          <w:szCs w:val="28"/>
          <w:lang w:val="es-CO"/>
        </w:rPr>
        <w:t xml:space="preserve"> </w:t>
      </w:r>
    </w:p>
    <w:p w:rsidR="00EE515A" w:rsidRPr="005D131A" w:rsidRDefault="00EE515A" w:rsidP="005D131A">
      <w:pPr>
        <w:tabs>
          <w:tab w:val="left" w:pos="426"/>
        </w:tabs>
        <w:rPr>
          <w:sz w:val="28"/>
          <w:szCs w:val="28"/>
          <w:lang w:val="es-CO"/>
        </w:rPr>
      </w:pPr>
    </w:p>
    <w:p w:rsidR="00D635B6" w:rsidRPr="005D131A" w:rsidRDefault="000D2A47" w:rsidP="005D131A">
      <w:pPr>
        <w:tabs>
          <w:tab w:val="left" w:pos="426"/>
        </w:tabs>
        <w:rPr>
          <w:sz w:val="28"/>
          <w:szCs w:val="28"/>
          <w:lang w:val="es-CO"/>
        </w:rPr>
      </w:pPr>
      <w:r w:rsidRPr="005D131A">
        <w:rPr>
          <w:sz w:val="28"/>
          <w:szCs w:val="28"/>
          <w:lang w:val="es-CO"/>
        </w:rPr>
        <w:t>1</w:t>
      </w:r>
      <w:r w:rsidR="00FD75A6" w:rsidRPr="005D131A">
        <w:rPr>
          <w:sz w:val="28"/>
          <w:szCs w:val="28"/>
          <w:lang w:val="es-CO"/>
        </w:rPr>
        <w:t>7</w:t>
      </w:r>
      <w:r w:rsidRPr="005D131A">
        <w:rPr>
          <w:sz w:val="28"/>
          <w:szCs w:val="28"/>
          <w:lang w:val="es-CO"/>
        </w:rPr>
        <w:t xml:space="preserve">. </w:t>
      </w:r>
      <w:r w:rsidR="00644014" w:rsidRPr="005D131A">
        <w:rPr>
          <w:sz w:val="28"/>
          <w:szCs w:val="28"/>
          <w:lang w:val="es-CO"/>
        </w:rPr>
        <w:t>Por otra parte, e</w:t>
      </w:r>
      <w:r w:rsidR="00707601" w:rsidRPr="005D131A">
        <w:rPr>
          <w:sz w:val="28"/>
          <w:szCs w:val="28"/>
          <w:lang w:val="es-CO"/>
        </w:rPr>
        <w:t xml:space="preserve">l </w:t>
      </w:r>
      <w:r w:rsidR="00644014" w:rsidRPr="005D131A">
        <w:rPr>
          <w:sz w:val="28"/>
          <w:szCs w:val="28"/>
          <w:lang w:val="es-CO"/>
        </w:rPr>
        <w:t>24 de julio de 2013</w:t>
      </w:r>
      <w:r w:rsidR="00FD75A6" w:rsidRPr="005D131A">
        <w:rPr>
          <w:sz w:val="28"/>
          <w:szCs w:val="28"/>
          <w:vertAlign w:val="superscript"/>
          <w:lang w:val="es-CO"/>
        </w:rPr>
        <w:footnoteReference w:id="53"/>
      </w:r>
      <w:r w:rsidR="00644014" w:rsidRPr="005D131A">
        <w:rPr>
          <w:sz w:val="28"/>
          <w:szCs w:val="28"/>
          <w:lang w:val="es-CO"/>
        </w:rPr>
        <w:t xml:space="preserve"> la Defensoría del Pueblo </w:t>
      </w:r>
      <w:r w:rsidR="00F614A3" w:rsidRPr="005D131A">
        <w:rPr>
          <w:sz w:val="28"/>
          <w:szCs w:val="28"/>
          <w:lang w:val="es-CO"/>
        </w:rPr>
        <w:t>remitió el quinto informe de seguimiento</w:t>
      </w:r>
      <w:r w:rsidR="00ED6BA6" w:rsidRPr="005D131A">
        <w:rPr>
          <w:sz w:val="28"/>
          <w:szCs w:val="28"/>
          <w:lang w:val="es-CO"/>
        </w:rPr>
        <w:t xml:space="preserve"> general a la sentencia</w:t>
      </w:r>
      <w:r w:rsidR="00644014" w:rsidRPr="005D131A">
        <w:rPr>
          <w:sz w:val="28"/>
          <w:szCs w:val="28"/>
          <w:lang w:val="es-CO"/>
        </w:rPr>
        <w:t xml:space="preserve"> cuyo cumplimiento se supervisa</w:t>
      </w:r>
      <w:r w:rsidR="00695315" w:rsidRPr="005D131A">
        <w:rPr>
          <w:sz w:val="28"/>
          <w:szCs w:val="28"/>
          <w:lang w:val="es-CO"/>
        </w:rPr>
        <w:t xml:space="preserve">, identificando como </w:t>
      </w:r>
      <w:r w:rsidR="00707601" w:rsidRPr="005D131A">
        <w:rPr>
          <w:sz w:val="28"/>
          <w:szCs w:val="28"/>
          <w:lang w:val="es-CO"/>
        </w:rPr>
        <w:t>principal</w:t>
      </w:r>
      <w:r w:rsidR="00695315" w:rsidRPr="005D131A">
        <w:rPr>
          <w:sz w:val="28"/>
          <w:szCs w:val="28"/>
          <w:lang w:val="es-CO"/>
        </w:rPr>
        <w:t xml:space="preserve">  problema </w:t>
      </w:r>
      <w:r w:rsidR="00F614A3" w:rsidRPr="005D131A">
        <w:rPr>
          <w:sz w:val="28"/>
          <w:szCs w:val="28"/>
          <w:lang w:val="es-CO"/>
        </w:rPr>
        <w:t xml:space="preserve">que para el año 2012 el pago de servicios </w:t>
      </w:r>
      <w:r w:rsidR="000D57E6" w:rsidRPr="005D131A">
        <w:rPr>
          <w:sz w:val="28"/>
          <w:szCs w:val="28"/>
          <w:lang w:val="es-CO"/>
        </w:rPr>
        <w:t>no POS</w:t>
      </w:r>
      <w:r w:rsidR="00EF68B8" w:rsidRPr="005D131A">
        <w:rPr>
          <w:sz w:val="28"/>
          <w:szCs w:val="28"/>
          <w:lang w:val="es-CO"/>
        </w:rPr>
        <w:t xml:space="preserve"> superó</w:t>
      </w:r>
      <w:r w:rsidR="00F614A3" w:rsidRPr="005D131A">
        <w:rPr>
          <w:sz w:val="28"/>
          <w:szCs w:val="28"/>
          <w:lang w:val="es-CO"/>
        </w:rPr>
        <w:t xml:space="preserve"> 1.8 billones de pesos</w:t>
      </w:r>
      <w:r w:rsidR="00EF68B8" w:rsidRPr="005D131A">
        <w:rPr>
          <w:sz w:val="28"/>
          <w:szCs w:val="28"/>
          <w:lang w:val="es-CO"/>
        </w:rPr>
        <w:t xml:space="preserve"> para el régimen contributivo y </w:t>
      </w:r>
      <w:r w:rsidR="00F614A3" w:rsidRPr="005D131A">
        <w:rPr>
          <w:sz w:val="28"/>
          <w:szCs w:val="28"/>
          <w:lang w:val="es-CO"/>
        </w:rPr>
        <w:t>medio billón para el subsidiado</w:t>
      </w:r>
      <w:r w:rsidR="00D635B6" w:rsidRPr="005D131A">
        <w:rPr>
          <w:sz w:val="28"/>
          <w:szCs w:val="28"/>
          <w:lang w:val="es-CO"/>
        </w:rPr>
        <w:t>. A</w:t>
      </w:r>
      <w:r w:rsidR="00FD75A6" w:rsidRPr="005D131A">
        <w:rPr>
          <w:sz w:val="28"/>
          <w:szCs w:val="28"/>
          <w:lang w:val="es-CO"/>
        </w:rPr>
        <w:t xml:space="preserve">dvirtió, </w:t>
      </w:r>
      <w:r w:rsidR="00D635B6" w:rsidRPr="005D131A">
        <w:rPr>
          <w:sz w:val="28"/>
          <w:szCs w:val="28"/>
          <w:lang w:val="es-CO"/>
        </w:rPr>
        <w:t>que persisten trámites engorroso</w:t>
      </w:r>
      <w:r w:rsidR="00307C20" w:rsidRPr="005D131A">
        <w:rPr>
          <w:sz w:val="28"/>
          <w:szCs w:val="28"/>
          <w:lang w:val="es-CO"/>
        </w:rPr>
        <w:t xml:space="preserve">s para </w:t>
      </w:r>
      <w:r w:rsidR="00D635B6" w:rsidRPr="005D131A">
        <w:rPr>
          <w:sz w:val="28"/>
          <w:szCs w:val="28"/>
          <w:lang w:val="es-CO"/>
        </w:rPr>
        <w:t xml:space="preserve">que </w:t>
      </w:r>
      <w:r w:rsidR="00307C20" w:rsidRPr="005D131A">
        <w:rPr>
          <w:sz w:val="28"/>
          <w:szCs w:val="28"/>
          <w:lang w:val="es-CO"/>
        </w:rPr>
        <w:t xml:space="preserve">los </w:t>
      </w:r>
      <w:r w:rsidR="00D635B6" w:rsidRPr="005D131A">
        <w:rPr>
          <w:sz w:val="28"/>
          <w:szCs w:val="28"/>
          <w:lang w:val="es-CO"/>
        </w:rPr>
        <w:t xml:space="preserve">usuarios accedan a los servicios de salud, además de las </w:t>
      </w:r>
      <w:r w:rsidR="008A2DAB" w:rsidRPr="005D131A">
        <w:rPr>
          <w:sz w:val="28"/>
          <w:szCs w:val="28"/>
          <w:lang w:val="es-CO"/>
        </w:rPr>
        <w:t>diferencias</w:t>
      </w:r>
      <w:r w:rsidR="00D635B6" w:rsidRPr="005D131A">
        <w:rPr>
          <w:sz w:val="28"/>
          <w:szCs w:val="28"/>
          <w:lang w:val="es-CO"/>
        </w:rPr>
        <w:t xml:space="preserve"> existentes</w:t>
      </w:r>
      <w:r w:rsidR="008A2DAB" w:rsidRPr="005D131A">
        <w:rPr>
          <w:sz w:val="28"/>
          <w:szCs w:val="28"/>
          <w:lang w:val="es-CO"/>
        </w:rPr>
        <w:t xml:space="preserve"> entre el funcionamiento de los CTC en los dos regí</w:t>
      </w:r>
      <w:r w:rsidR="00D635B6" w:rsidRPr="005D131A">
        <w:rPr>
          <w:sz w:val="28"/>
          <w:szCs w:val="28"/>
          <w:lang w:val="es-CO"/>
        </w:rPr>
        <w:t xml:space="preserve">menes, puesto que en el </w:t>
      </w:r>
      <w:r w:rsidR="008A2DAB" w:rsidRPr="005D131A">
        <w:rPr>
          <w:sz w:val="28"/>
          <w:szCs w:val="28"/>
          <w:lang w:val="es-CO"/>
        </w:rPr>
        <w:t>subsidiado el afiliado debe pedir la prestación al ente territo</w:t>
      </w:r>
      <w:r w:rsidR="00D635B6" w:rsidRPr="005D131A">
        <w:rPr>
          <w:sz w:val="28"/>
          <w:szCs w:val="28"/>
          <w:lang w:val="es-CO"/>
        </w:rPr>
        <w:t xml:space="preserve">rial antes de acudir al comité mientras que en el contributivo no. </w:t>
      </w:r>
    </w:p>
    <w:p w:rsidR="001E32F5" w:rsidRPr="005D131A" w:rsidRDefault="001E32F5" w:rsidP="005D131A">
      <w:pPr>
        <w:tabs>
          <w:tab w:val="left" w:pos="426"/>
        </w:tabs>
        <w:rPr>
          <w:sz w:val="28"/>
          <w:szCs w:val="28"/>
          <w:lang w:val="es-CO"/>
        </w:rPr>
      </w:pPr>
    </w:p>
    <w:p w:rsidR="00F614A3" w:rsidRPr="005D131A" w:rsidRDefault="002309E6" w:rsidP="005D131A">
      <w:pPr>
        <w:tabs>
          <w:tab w:val="left" w:pos="426"/>
        </w:tabs>
        <w:rPr>
          <w:sz w:val="28"/>
          <w:szCs w:val="28"/>
          <w:lang w:val="es-CO"/>
        </w:rPr>
      </w:pPr>
      <w:r w:rsidRPr="005D131A">
        <w:rPr>
          <w:sz w:val="28"/>
          <w:szCs w:val="28"/>
          <w:lang w:val="es-CO"/>
        </w:rPr>
        <w:t>Manifest</w:t>
      </w:r>
      <w:r w:rsidR="00D635B6" w:rsidRPr="005D131A">
        <w:rPr>
          <w:sz w:val="28"/>
          <w:szCs w:val="28"/>
          <w:lang w:val="es-CO"/>
        </w:rPr>
        <w:t xml:space="preserve">ó que </w:t>
      </w:r>
      <w:r w:rsidR="008D4CF5" w:rsidRPr="005D131A">
        <w:rPr>
          <w:sz w:val="28"/>
          <w:szCs w:val="28"/>
          <w:lang w:val="es-CO"/>
        </w:rPr>
        <w:t xml:space="preserve">el Ministerio no ha </w:t>
      </w:r>
      <w:r w:rsidR="00470068" w:rsidRPr="005D131A">
        <w:rPr>
          <w:sz w:val="28"/>
          <w:szCs w:val="28"/>
          <w:lang w:val="es-CO"/>
        </w:rPr>
        <w:t>cumplido la orden 23 por cuanto la propuesta de avance</w:t>
      </w:r>
      <w:r w:rsidR="003C7EB7" w:rsidRPr="005D131A">
        <w:rPr>
          <w:sz w:val="28"/>
          <w:szCs w:val="28"/>
          <w:lang w:val="es-CO"/>
        </w:rPr>
        <w:t xml:space="preserve"> no es concreta por</w:t>
      </w:r>
      <w:r w:rsidR="00470068" w:rsidRPr="005D131A">
        <w:rPr>
          <w:sz w:val="28"/>
          <w:szCs w:val="28"/>
          <w:lang w:val="es-CO"/>
        </w:rPr>
        <w:t>que depende de que el Congreso apruebe una Ley que cree la conformación</w:t>
      </w:r>
      <w:r w:rsidR="00FD75A6" w:rsidRPr="005D131A">
        <w:rPr>
          <w:sz w:val="28"/>
          <w:szCs w:val="28"/>
          <w:lang w:val="es-CO"/>
        </w:rPr>
        <w:t xml:space="preserve"> de un nuevo plan de beneficios</w:t>
      </w:r>
      <w:r w:rsidR="00470068" w:rsidRPr="005D131A">
        <w:rPr>
          <w:sz w:val="28"/>
          <w:szCs w:val="28"/>
          <w:lang w:val="es-CO"/>
        </w:rPr>
        <w:t xml:space="preserve">, lo que </w:t>
      </w:r>
      <w:r w:rsidR="00520DB3" w:rsidRPr="005D131A">
        <w:rPr>
          <w:sz w:val="28"/>
          <w:szCs w:val="28"/>
          <w:lang w:val="es-CO"/>
        </w:rPr>
        <w:t xml:space="preserve">en criterio de la cartera ministerial </w:t>
      </w:r>
      <w:r w:rsidR="00470068" w:rsidRPr="005D131A">
        <w:rPr>
          <w:sz w:val="28"/>
          <w:szCs w:val="28"/>
          <w:lang w:val="es-CO"/>
        </w:rPr>
        <w:t>terminaría con los problemas suscitado</w:t>
      </w:r>
      <w:r w:rsidR="00520DB3" w:rsidRPr="005D131A">
        <w:rPr>
          <w:sz w:val="28"/>
          <w:szCs w:val="28"/>
          <w:lang w:val="es-CO"/>
        </w:rPr>
        <w:t>s en la materia</w:t>
      </w:r>
      <w:r w:rsidR="00470068" w:rsidRPr="005D131A">
        <w:rPr>
          <w:sz w:val="28"/>
          <w:szCs w:val="28"/>
          <w:lang w:val="es-CO"/>
        </w:rPr>
        <w:t xml:space="preserve"> </w:t>
      </w:r>
      <w:r w:rsidR="00520DB3" w:rsidRPr="005D131A">
        <w:rPr>
          <w:sz w:val="28"/>
          <w:szCs w:val="28"/>
          <w:lang w:val="es-CO"/>
        </w:rPr>
        <w:t xml:space="preserve">ya que todo quedaría incluido en el POS, a excepción de algunas actividades taxativamente señaladas. </w:t>
      </w:r>
      <w:r w:rsidR="003C7EB7" w:rsidRPr="005D131A">
        <w:rPr>
          <w:sz w:val="28"/>
          <w:szCs w:val="28"/>
          <w:lang w:val="es-CO"/>
        </w:rPr>
        <w:t xml:space="preserve">En ese sentido. Solicitó </w:t>
      </w:r>
      <w:r w:rsidR="00EF68B8" w:rsidRPr="005D131A">
        <w:rPr>
          <w:sz w:val="28"/>
          <w:szCs w:val="28"/>
          <w:lang w:val="es-CO"/>
        </w:rPr>
        <w:t>a la c</w:t>
      </w:r>
      <w:r w:rsidR="003E268F" w:rsidRPr="005D131A">
        <w:rPr>
          <w:sz w:val="28"/>
          <w:szCs w:val="28"/>
          <w:lang w:val="es-CO"/>
        </w:rPr>
        <w:t xml:space="preserve">artera </w:t>
      </w:r>
      <w:r w:rsidR="00FD75A6" w:rsidRPr="005D131A">
        <w:rPr>
          <w:sz w:val="28"/>
          <w:szCs w:val="28"/>
          <w:lang w:val="es-CO"/>
        </w:rPr>
        <w:t xml:space="preserve">de salud </w:t>
      </w:r>
      <w:r w:rsidR="00F614A3" w:rsidRPr="005D131A">
        <w:rPr>
          <w:sz w:val="28"/>
          <w:szCs w:val="28"/>
          <w:lang w:val="es-CO"/>
        </w:rPr>
        <w:t>“</w:t>
      </w:r>
      <w:r w:rsidR="00F614A3" w:rsidRPr="005D131A">
        <w:rPr>
          <w:i/>
          <w:sz w:val="28"/>
          <w:szCs w:val="28"/>
          <w:lang w:val="es-CO"/>
        </w:rPr>
        <w:t>establecer los mecanismo</w:t>
      </w:r>
      <w:r w:rsidR="00C7678F" w:rsidRPr="005D131A">
        <w:rPr>
          <w:i/>
          <w:sz w:val="28"/>
          <w:szCs w:val="28"/>
          <w:lang w:val="es-CO"/>
        </w:rPr>
        <w:t>s</w:t>
      </w:r>
      <w:r w:rsidR="00F614A3" w:rsidRPr="005D131A">
        <w:rPr>
          <w:i/>
          <w:sz w:val="28"/>
          <w:szCs w:val="28"/>
          <w:lang w:val="es-CO"/>
        </w:rPr>
        <w:t xml:space="preserve"> necesarios para que se disminuyan las barreras de acceso a tratamientos NO POS; identifi</w:t>
      </w:r>
      <w:r w:rsidR="00C7678F" w:rsidRPr="005D131A">
        <w:rPr>
          <w:i/>
          <w:sz w:val="28"/>
          <w:szCs w:val="28"/>
          <w:lang w:val="es-CO"/>
        </w:rPr>
        <w:t>car</w:t>
      </w:r>
      <w:r w:rsidR="00F614A3" w:rsidRPr="005D131A">
        <w:rPr>
          <w:i/>
          <w:sz w:val="28"/>
          <w:szCs w:val="28"/>
          <w:lang w:val="es-CO"/>
        </w:rPr>
        <w:t xml:space="preserve"> subgrupos de pacientes críticos o crónicos que se beneficien de la agilización de dichos trámites; y, consider</w:t>
      </w:r>
      <w:r w:rsidR="00C7678F" w:rsidRPr="005D131A">
        <w:rPr>
          <w:i/>
          <w:sz w:val="28"/>
          <w:szCs w:val="28"/>
          <w:lang w:val="es-CO"/>
        </w:rPr>
        <w:t>ar</w:t>
      </w:r>
      <w:r w:rsidR="00F614A3" w:rsidRPr="005D131A">
        <w:rPr>
          <w:i/>
          <w:sz w:val="28"/>
          <w:szCs w:val="28"/>
          <w:lang w:val="es-CO"/>
        </w:rPr>
        <w:t xml:space="preserve"> los riesgos que presentan los pacientes en tránsito de EPS por liquidación, para acceder a este tipo de beneficios”.</w:t>
      </w:r>
    </w:p>
    <w:p w:rsidR="005C63C1" w:rsidRPr="005D131A" w:rsidRDefault="005C63C1" w:rsidP="005D131A">
      <w:pPr>
        <w:tabs>
          <w:tab w:val="left" w:pos="426"/>
        </w:tabs>
        <w:rPr>
          <w:sz w:val="28"/>
          <w:szCs w:val="28"/>
          <w:lang w:val="es-CO"/>
        </w:rPr>
      </w:pPr>
    </w:p>
    <w:p w:rsidR="000D2A47" w:rsidRPr="005D131A" w:rsidRDefault="000D2A47" w:rsidP="005D131A">
      <w:pPr>
        <w:tabs>
          <w:tab w:val="left" w:pos="426"/>
        </w:tabs>
        <w:rPr>
          <w:sz w:val="28"/>
          <w:szCs w:val="28"/>
          <w:lang w:val="es-CO"/>
        </w:rPr>
      </w:pPr>
      <w:r w:rsidRPr="005D131A">
        <w:rPr>
          <w:sz w:val="28"/>
          <w:szCs w:val="28"/>
          <w:lang w:val="es-CO"/>
        </w:rPr>
        <w:t>1</w:t>
      </w:r>
      <w:r w:rsidR="00FD75A6" w:rsidRPr="005D131A">
        <w:rPr>
          <w:sz w:val="28"/>
          <w:szCs w:val="28"/>
          <w:lang w:val="es-CO"/>
        </w:rPr>
        <w:t>8</w:t>
      </w:r>
      <w:r w:rsidRPr="005D131A">
        <w:rPr>
          <w:sz w:val="28"/>
          <w:szCs w:val="28"/>
          <w:lang w:val="es-CO"/>
        </w:rPr>
        <w:t xml:space="preserve">. </w:t>
      </w:r>
      <w:r w:rsidR="00EF68B8" w:rsidRPr="005D131A">
        <w:rPr>
          <w:sz w:val="28"/>
          <w:szCs w:val="28"/>
          <w:lang w:val="es-CO"/>
        </w:rPr>
        <w:t xml:space="preserve">Si bien, </w:t>
      </w:r>
      <w:r w:rsidR="005C63C1" w:rsidRPr="005D131A">
        <w:rPr>
          <w:sz w:val="28"/>
          <w:szCs w:val="28"/>
          <w:lang w:val="es-CO"/>
        </w:rPr>
        <w:t>tanto el Ministerio de Salud c</w:t>
      </w:r>
      <w:r w:rsidR="001376FA" w:rsidRPr="005D131A">
        <w:rPr>
          <w:sz w:val="28"/>
          <w:szCs w:val="28"/>
          <w:lang w:val="es-CO"/>
        </w:rPr>
        <w:t>omo la Superintendencia</w:t>
      </w:r>
      <w:r w:rsidR="005C63C1" w:rsidRPr="005D131A">
        <w:rPr>
          <w:sz w:val="28"/>
          <w:szCs w:val="28"/>
          <w:lang w:val="es-CO"/>
        </w:rPr>
        <w:t xml:space="preserve"> de Salud presentaron los informes solicitados en el proveído de 5 de junio de 2013, la Corte Constitucional consideró necesario que la</w:t>
      </w:r>
      <w:r w:rsidR="0022397E" w:rsidRPr="005D131A">
        <w:rPr>
          <w:sz w:val="28"/>
          <w:szCs w:val="28"/>
          <w:lang w:val="es-CO"/>
        </w:rPr>
        <w:t>s entidades mencionadas precisaran</w:t>
      </w:r>
      <w:r w:rsidR="00FD75A6" w:rsidRPr="005D131A">
        <w:rPr>
          <w:sz w:val="28"/>
          <w:szCs w:val="28"/>
          <w:lang w:val="es-CO"/>
        </w:rPr>
        <w:t xml:space="preserve"> las respuestas allegadas. Lo anterior, </w:t>
      </w:r>
      <w:r w:rsidR="005C63C1" w:rsidRPr="005D131A">
        <w:rPr>
          <w:sz w:val="28"/>
          <w:szCs w:val="28"/>
          <w:lang w:val="es-CO"/>
        </w:rPr>
        <w:t>por</w:t>
      </w:r>
      <w:r w:rsidRPr="005D131A">
        <w:rPr>
          <w:sz w:val="28"/>
          <w:szCs w:val="28"/>
          <w:lang w:val="es-CO"/>
        </w:rPr>
        <w:t>que</w:t>
      </w:r>
      <w:r w:rsidR="005C63C1" w:rsidRPr="005D131A">
        <w:rPr>
          <w:sz w:val="28"/>
          <w:szCs w:val="28"/>
          <w:lang w:val="es-CO"/>
        </w:rPr>
        <w:t xml:space="preserve"> el ente ministerial </w:t>
      </w:r>
      <w:r w:rsidR="00E57035" w:rsidRPr="005D131A">
        <w:rPr>
          <w:sz w:val="28"/>
          <w:szCs w:val="28"/>
          <w:lang w:val="es-CO"/>
        </w:rPr>
        <w:t>no resp</w:t>
      </w:r>
      <w:r w:rsidR="0022397E" w:rsidRPr="005D131A">
        <w:rPr>
          <w:sz w:val="28"/>
          <w:szCs w:val="28"/>
          <w:lang w:val="es-CO"/>
        </w:rPr>
        <w:t xml:space="preserve">ondió todos los interrogantes </w:t>
      </w:r>
      <w:r w:rsidR="00EF68B8" w:rsidRPr="005D131A">
        <w:rPr>
          <w:sz w:val="28"/>
          <w:szCs w:val="28"/>
          <w:lang w:val="es-CO"/>
        </w:rPr>
        <w:t>planteados y</w:t>
      </w:r>
      <w:r w:rsidR="00FD75A6" w:rsidRPr="005D131A">
        <w:rPr>
          <w:sz w:val="28"/>
          <w:szCs w:val="28"/>
          <w:lang w:val="es-CO"/>
        </w:rPr>
        <w:t xml:space="preserve"> s</w:t>
      </w:r>
      <w:r w:rsidR="0022397E" w:rsidRPr="005D131A">
        <w:rPr>
          <w:sz w:val="28"/>
          <w:szCs w:val="28"/>
          <w:lang w:val="es-CO"/>
        </w:rPr>
        <w:t xml:space="preserve">olo </w:t>
      </w:r>
      <w:r w:rsidR="005C63C1" w:rsidRPr="005D131A">
        <w:rPr>
          <w:sz w:val="28"/>
          <w:szCs w:val="28"/>
          <w:lang w:val="es-CO"/>
        </w:rPr>
        <w:t>hizo énfasis en mostrar los avances obtenidos con la implementación del trámite de rec</w:t>
      </w:r>
      <w:r w:rsidR="005E25E1" w:rsidRPr="005D131A">
        <w:rPr>
          <w:sz w:val="28"/>
          <w:szCs w:val="28"/>
          <w:lang w:val="es-CO"/>
        </w:rPr>
        <w:t>obros.</w:t>
      </w:r>
    </w:p>
    <w:p w:rsidR="00EF68B8" w:rsidRPr="005D131A" w:rsidRDefault="00EF68B8" w:rsidP="005D131A">
      <w:pPr>
        <w:tabs>
          <w:tab w:val="left" w:pos="426"/>
        </w:tabs>
        <w:rPr>
          <w:sz w:val="28"/>
          <w:szCs w:val="28"/>
          <w:lang w:val="es-CO"/>
        </w:rPr>
      </w:pPr>
    </w:p>
    <w:p w:rsidR="00F614A3" w:rsidRPr="005D131A" w:rsidRDefault="000D2A47" w:rsidP="005D131A">
      <w:pPr>
        <w:tabs>
          <w:tab w:val="left" w:pos="426"/>
        </w:tabs>
        <w:rPr>
          <w:sz w:val="28"/>
          <w:szCs w:val="28"/>
          <w:lang w:val="es-CO"/>
        </w:rPr>
      </w:pPr>
      <w:r w:rsidRPr="005D131A">
        <w:rPr>
          <w:sz w:val="28"/>
          <w:szCs w:val="28"/>
          <w:lang w:val="es-CO"/>
        </w:rPr>
        <w:t>1</w:t>
      </w:r>
      <w:r w:rsidR="00FD75A6" w:rsidRPr="005D131A">
        <w:rPr>
          <w:sz w:val="28"/>
          <w:szCs w:val="28"/>
          <w:lang w:val="es-CO"/>
        </w:rPr>
        <w:t>8</w:t>
      </w:r>
      <w:r w:rsidRPr="005D131A">
        <w:rPr>
          <w:sz w:val="28"/>
          <w:szCs w:val="28"/>
          <w:lang w:val="es-CO"/>
        </w:rPr>
        <w:t xml:space="preserve">.1. </w:t>
      </w:r>
      <w:r w:rsidR="003C7EB7" w:rsidRPr="005D131A">
        <w:rPr>
          <w:sz w:val="28"/>
          <w:szCs w:val="28"/>
          <w:lang w:val="es-CO"/>
        </w:rPr>
        <w:t>Así las cosas,</w:t>
      </w:r>
      <w:r w:rsidR="00E57035" w:rsidRPr="005D131A">
        <w:rPr>
          <w:sz w:val="28"/>
          <w:szCs w:val="28"/>
          <w:lang w:val="es-CO"/>
        </w:rPr>
        <w:t xml:space="preserve"> esta Corporación, </w:t>
      </w:r>
      <w:r w:rsidR="005C63C1" w:rsidRPr="005D131A">
        <w:rPr>
          <w:sz w:val="28"/>
          <w:szCs w:val="28"/>
          <w:lang w:val="es-CO"/>
        </w:rPr>
        <w:t xml:space="preserve">mediante </w:t>
      </w:r>
      <w:r w:rsidR="005C63C1" w:rsidRPr="005D131A">
        <w:rPr>
          <w:b/>
          <w:sz w:val="28"/>
          <w:szCs w:val="28"/>
          <w:lang w:val="es-CO"/>
        </w:rPr>
        <w:t>Auto 015 de 2014</w:t>
      </w:r>
      <w:r w:rsidR="003C7EB7" w:rsidRPr="005D131A">
        <w:rPr>
          <w:b/>
          <w:sz w:val="28"/>
          <w:szCs w:val="28"/>
          <w:lang w:val="es-CO"/>
        </w:rPr>
        <w:t xml:space="preserve"> </w:t>
      </w:r>
      <w:r w:rsidR="00E57035" w:rsidRPr="005D131A">
        <w:rPr>
          <w:sz w:val="28"/>
          <w:szCs w:val="28"/>
          <w:lang w:val="es-CO"/>
        </w:rPr>
        <w:t>pidió</w:t>
      </w:r>
      <w:r w:rsidR="005C63C1" w:rsidRPr="005D131A">
        <w:rPr>
          <w:sz w:val="28"/>
          <w:szCs w:val="28"/>
          <w:lang w:val="es-CO"/>
        </w:rPr>
        <w:t xml:space="preserve"> información adicional a </w:t>
      </w:r>
      <w:r w:rsidR="005909E5" w:rsidRPr="005D131A">
        <w:rPr>
          <w:sz w:val="28"/>
          <w:szCs w:val="28"/>
          <w:lang w:val="es-CO"/>
        </w:rPr>
        <w:t xml:space="preserve">las entidades referenciadas y </w:t>
      </w:r>
      <w:r w:rsidR="00C7678F" w:rsidRPr="005D131A">
        <w:rPr>
          <w:sz w:val="28"/>
          <w:szCs w:val="28"/>
          <w:lang w:val="es-CO"/>
        </w:rPr>
        <w:t>ordenó</w:t>
      </w:r>
      <w:r w:rsidR="00F614A3" w:rsidRPr="005D131A">
        <w:rPr>
          <w:sz w:val="28"/>
          <w:szCs w:val="28"/>
          <w:lang w:val="es-CO"/>
        </w:rPr>
        <w:t xml:space="preserve"> al Ministerio </w:t>
      </w:r>
      <w:r w:rsidR="005909E5" w:rsidRPr="005D131A">
        <w:rPr>
          <w:sz w:val="28"/>
          <w:szCs w:val="28"/>
          <w:lang w:val="es-CO"/>
        </w:rPr>
        <w:t>presentar un informe</w:t>
      </w:r>
      <w:r w:rsidR="00C7678F" w:rsidRPr="005D131A">
        <w:rPr>
          <w:sz w:val="28"/>
          <w:szCs w:val="28"/>
          <w:lang w:val="es-CO"/>
        </w:rPr>
        <w:t xml:space="preserve"> sobre los resul</w:t>
      </w:r>
      <w:r w:rsidR="005A21C1" w:rsidRPr="005D131A">
        <w:rPr>
          <w:sz w:val="28"/>
          <w:szCs w:val="28"/>
          <w:lang w:val="es-CO"/>
        </w:rPr>
        <w:t>tados de la Circular 019 de 2012</w:t>
      </w:r>
      <w:r w:rsidR="005909E5" w:rsidRPr="005D131A">
        <w:rPr>
          <w:sz w:val="28"/>
          <w:szCs w:val="28"/>
          <w:lang w:val="es-CO"/>
        </w:rPr>
        <w:t xml:space="preserve">, así como </w:t>
      </w:r>
      <w:r w:rsidR="006576A1" w:rsidRPr="005D131A">
        <w:rPr>
          <w:sz w:val="28"/>
          <w:szCs w:val="28"/>
          <w:lang w:val="es-CO"/>
        </w:rPr>
        <w:t>de</w:t>
      </w:r>
      <w:r w:rsidR="00C7678F" w:rsidRPr="005D131A">
        <w:rPr>
          <w:sz w:val="28"/>
          <w:szCs w:val="28"/>
          <w:lang w:val="es-CO"/>
        </w:rPr>
        <w:t xml:space="preserve"> la regulación del </w:t>
      </w:r>
      <w:r w:rsidR="00F614A3" w:rsidRPr="005D131A">
        <w:rPr>
          <w:sz w:val="28"/>
          <w:szCs w:val="28"/>
          <w:lang w:val="es-CO"/>
        </w:rPr>
        <w:t>trámite para solicitar tecnologías en salud explícitamente excluidas del POS ante el CTC</w:t>
      </w:r>
      <w:r w:rsidR="006576A1" w:rsidRPr="005D131A">
        <w:rPr>
          <w:sz w:val="28"/>
          <w:szCs w:val="28"/>
          <w:lang w:val="es-CO"/>
        </w:rPr>
        <w:t>. A</w:t>
      </w:r>
      <w:r w:rsidR="00C7678F" w:rsidRPr="005D131A">
        <w:rPr>
          <w:sz w:val="28"/>
          <w:szCs w:val="28"/>
          <w:lang w:val="es-CO"/>
        </w:rPr>
        <w:t xml:space="preserve"> la Superintendencia</w:t>
      </w:r>
      <w:r w:rsidR="006576A1" w:rsidRPr="005D131A">
        <w:rPr>
          <w:sz w:val="28"/>
          <w:szCs w:val="28"/>
          <w:lang w:val="es-CO"/>
        </w:rPr>
        <w:t xml:space="preserve">, </w:t>
      </w:r>
      <w:r w:rsidR="00C7678F" w:rsidRPr="005D131A">
        <w:rPr>
          <w:sz w:val="28"/>
          <w:szCs w:val="28"/>
          <w:lang w:val="es-CO"/>
        </w:rPr>
        <w:t>para que detallara las causas de los reclamos que ha recibido en relación con la orden objeto de análisis.</w:t>
      </w:r>
    </w:p>
    <w:p w:rsidR="00B45766" w:rsidRPr="005D131A" w:rsidRDefault="00B45766" w:rsidP="00997F04">
      <w:pPr>
        <w:pStyle w:val="Prrafodelista"/>
        <w:ind w:left="525"/>
        <w:rPr>
          <w:vanish/>
          <w:sz w:val="28"/>
          <w:szCs w:val="28"/>
          <w:lang w:val="es-CO"/>
        </w:rPr>
      </w:pPr>
    </w:p>
    <w:p w:rsidR="00E835AF" w:rsidRPr="005D131A" w:rsidRDefault="00FD75A6" w:rsidP="005D131A">
      <w:pPr>
        <w:pStyle w:val="Prrafodelista"/>
        <w:ind w:left="0"/>
        <w:rPr>
          <w:sz w:val="28"/>
          <w:szCs w:val="28"/>
          <w:lang w:val="es-CO"/>
        </w:rPr>
      </w:pPr>
      <w:r w:rsidRPr="005D131A">
        <w:rPr>
          <w:sz w:val="28"/>
          <w:szCs w:val="28"/>
          <w:lang w:val="es-CO"/>
        </w:rPr>
        <w:t>18</w:t>
      </w:r>
      <w:r w:rsidR="000D2A47" w:rsidRPr="005D131A">
        <w:rPr>
          <w:sz w:val="28"/>
          <w:szCs w:val="28"/>
          <w:lang w:val="es-CO"/>
        </w:rPr>
        <w:t xml:space="preserve">.2. </w:t>
      </w:r>
      <w:r w:rsidR="006576A1" w:rsidRPr="005D131A">
        <w:rPr>
          <w:sz w:val="28"/>
          <w:szCs w:val="28"/>
          <w:lang w:val="es-CO"/>
        </w:rPr>
        <w:t xml:space="preserve">En respuesta al referido proveído, el 14 de febrero de 2014, el </w:t>
      </w:r>
      <w:r w:rsidR="00450E59" w:rsidRPr="005D131A">
        <w:rPr>
          <w:sz w:val="28"/>
          <w:szCs w:val="28"/>
          <w:lang w:val="es-CO"/>
        </w:rPr>
        <w:t>Ministerio de Salud y Protección Social</w:t>
      </w:r>
      <w:r w:rsidR="00387182" w:rsidRPr="005D131A">
        <w:rPr>
          <w:sz w:val="28"/>
          <w:szCs w:val="28"/>
          <w:vertAlign w:val="superscript"/>
          <w:lang w:val="es-CO"/>
        </w:rPr>
        <w:footnoteReference w:id="54"/>
      </w:r>
      <w:r w:rsidR="00450E59" w:rsidRPr="005D131A">
        <w:rPr>
          <w:sz w:val="28"/>
          <w:szCs w:val="28"/>
          <w:lang w:val="es-CO"/>
        </w:rPr>
        <w:t xml:space="preserve"> </w:t>
      </w:r>
      <w:r w:rsidR="00E835AF" w:rsidRPr="005D131A">
        <w:rPr>
          <w:sz w:val="28"/>
          <w:szCs w:val="28"/>
          <w:lang w:val="es-CO"/>
        </w:rPr>
        <w:t>reiteró que la Circular 019 fue expedida en estricta observancia del requerimiento formulado por la Corte Constitucional a través del Auto 006 de 201</w:t>
      </w:r>
      <w:r w:rsidR="00D2085A" w:rsidRPr="005D131A">
        <w:rPr>
          <w:sz w:val="28"/>
          <w:szCs w:val="28"/>
          <w:lang w:val="es-CO"/>
        </w:rPr>
        <w:t xml:space="preserve">2 y </w:t>
      </w:r>
      <w:r w:rsidR="00E835AF" w:rsidRPr="005D131A">
        <w:rPr>
          <w:sz w:val="28"/>
          <w:szCs w:val="28"/>
          <w:lang w:val="es-CO"/>
        </w:rPr>
        <w:t xml:space="preserve">en atención a lo </w:t>
      </w:r>
      <w:r w:rsidR="006576A1" w:rsidRPr="005D131A">
        <w:rPr>
          <w:sz w:val="28"/>
          <w:szCs w:val="28"/>
          <w:lang w:val="es-CO"/>
        </w:rPr>
        <w:t>establecido</w:t>
      </w:r>
      <w:r w:rsidR="00E835AF" w:rsidRPr="005D131A">
        <w:rPr>
          <w:sz w:val="28"/>
          <w:szCs w:val="28"/>
          <w:lang w:val="es-CO"/>
        </w:rPr>
        <w:t xml:space="preserve"> en la Resolución 3099 de 2008, disposición que</w:t>
      </w:r>
      <w:r w:rsidR="00D2085A" w:rsidRPr="005D131A">
        <w:rPr>
          <w:sz w:val="28"/>
          <w:szCs w:val="28"/>
          <w:lang w:val="es-CO"/>
        </w:rPr>
        <w:t xml:space="preserve"> si bien</w:t>
      </w:r>
      <w:r w:rsidR="00E835AF" w:rsidRPr="005D131A">
        <w:rPr>
          <w:sz w:val="28"/>
          <w:szCs w:val="28"/>
          <w:lang w:val="es-CO"/>
        </w:rPr>
        <w:t xml:space="preserve"> fue derogada por la Resolución 5395 de 2013</w:t>
      </w:r>
      <w:r w:rsidR="00E835AF" w:rsidRPr="005D131A">
        <w:rPr>
          <w:sz w:val="28"/>
          <w:szCs w:val="28"/>
          <w:vertAlign w:val="superscript"/>
          <w:lang w:val="es-CO"/>
        </w:rPr>
        <w:footnoteReference w:id="55"/>
      </w:r>
      <w:r w:rsidR="00D2085A" w:rsidRPr="005D131A">
        <w:rPr>
          <w:sz w:val="28"/>
          <w:szCs w:val="28"/>
          <w:lang w:val="es-CO"/>
        </w:rPr>
        <w:t>, en el parágrafo del artículo 13 mantuvo la posibilidad</w:t>
      </w:r>
      <w:r w:rsidR="0022397E" w:rsidRPr="005D131A">
        <w:rPr>
          <w:sz w:val="28"/>
          <w:szCs w:val="28"/>
          <w:lang w:val="es-CO"/>
        </w:rPr>
        <w:t xml:space="preserve"> de</w:t>
      </w:r>
      <w:r w:rsidR="00D2085A" w:rsidRPr="005D131A">
        <w:rPr>
          <w:sz w:val="28"/>
          <w:szCs w:val="28"/>
          <w:lang w:val="es-CO"/>
        </w:rPr>
        <w:t xml:space="preserve"> no realizar el trámite ante el CTC para acceder a un servicio no POS cuando exista urgencia manifiesta</w:t>
      </w:r>
      <w:r w:rsidR="0022397E" w:rsidRPr="005D131A">
        <w:rPr>
          <w:sz w:val="28"/>
          <w:szCs w:val="28"/>
          <w:lang w:val="es-CO"/>
        </w:rPr>
        <w:t xml:space="preserve">. </w:t>
      </w:r>
    </w:p>
    <w:p w:rsidR="00E835AF" w:rsidRPr="005D131A" w:rsidRDefault="00E835AF" w:rsidP="005D131A">
      <w:pPr>
        <w:pStyle w:val="Prrafodelista"/>
        <w:ind w:left="0"/>
        <w:rPr>
          <w:sz w:val="28"/>
          <w:szCs w:val="28"/>
          <w:lang w:val="es-CO"/>
        </w:rPr>
      </w:pPr>
    </w:p>
    <w:p w:rsidR="00277BAA" w:rsidRPr="005D131A" w:rsidRDefault="00E835AF" w:rsidP="005D131A">
      <w:pPr>
        <w:pStyle w:val="Prrafodelista"/>
        <w:ind w:left="0"/>
        <w:rPr>
          <w:sz w:val="28"/>
          <w:szCs w:val="28"/>
          <w:lang w:val="es-CO"/>
        </w:rPr>
      </w:pPr>
      <w:r w:rsidRPr="005D131A">
        <w:rPr>
          <w:sz w:val="28"/>
          <w:szCs w:val="28"/>
          <w:lang w:val="es-CO"/>
        </w:rPr>
        <w:t>R</w:t>
      </w:r>
      <w:r w:rsidR="00387182" w:rsidRPr="005D131A">
        <w:rPr>
          <w:sz w:val="28"/>
          <w:szCs w:val="28"/>
          <w:lang w:val="es-CO"/>
        </w:rPr>
        <w:t xml:space="preserve">especto a las actuaciones desarrolladas para garantizar que una EPS someta a consideración del CTC la aprobación de servicios de salud expresamente excluidos del POS, adujo que </w:t>
      </w:r>
      <w:r w:rsidR="008E7D8A" w:rsidRPr="005D131A">
        <w:rPr>
          <w:sz w:val="28"/>
          <w:szCs w:val="28"/>
          <w:lang w:val="es-CO"/>
        </w:rPr>
        <w:t xml:space="preserve">la Resolución 5395 de 2013, </w:t>
      </w:r>
      <w:r w:rsidR="000216DC" w:rsidRPr="005D131A">
        <w:rPr>
          <w:sz w:val="28"/>
          <w:szCs w:val="28"/>
          <w:lang w:val="es-CO"/>
        </w:rPr>
        <w:t xml:space="preserve">no contempla </w:t>
      </w:r>
      <w:r w:rsidR="005909E5" w:rsidRPr="005D131A">
        <w:rPr>
          <w:sz w:val="28"/>
          <w:szCs w:val="28"/>
          <w:lang w:val="es-CO"/>
        </w:rPr>
        <w:t xml:space="preserve">las exclusiones del POS </w:t>
      </w:r>
      <w:r w:rsidR="000216DC" w:rsidRPr="005D131A">
        <w:rPr>
          <w:sz w:val="28"/>
          <w:szCs w:val="28"/>
          <w:lang w:val="es-CO"/>
        </w:rPr>
        <w:t>como causal de no aprobac</w:t>
      </w:r>
      <w:r w:rsidR="005909E5" w:rsidRPr="005D131A">
        <w:rPr>
          <w:sz w:val="28"/>
          <w:szCs w:val="28"/>
          <w:lang w:val="es-CO"/>
        </w:rPr>
        <w:t>ión de una tecnología en salud,</w:t>
      </w:r>
      <w:r w:rsidR="000216DC" w:rsidRPr="005D131A">
        <w:rPr>
          <w:sz w:val="28"/>
          <w:szCs w:val="28"/>
          <w:lang w:val="es-CO"/>
        </w:rPr>
        <w:t xml:space="preserve"> razón por la cual </w:t>
      </w:r>
      <w:r w:rsidR="00596684" w:rsidRPr="005D131A">
        <w:rPr>
          <w:sz w:val="28"/>
          <w:szCs w:val="28"/>
          <w:lang w:val="es-CO"/>
        </w:rPr>
        <w:t xml:space="preserve">los comités </w:t>
      </w:r>
      <w:r w:rsidR="005909E5" w:rsidRPr="005D131A">
        <w:rPr>
          <w:sz w:val="28"/>
          <w:szCs w:val="28"/>
          <w:lang w:val="es-CO"/>
        </w:rPr>
        <w:t>debían analizar cada caso</w:t>
      </w:r>
      <w:r w:rsidR="000216DC" w:rsidRPr="005D131A">
        <w:rPr>
          <w:sz w:val="28"/>
          <w:szCs w:val="28"/>
          <w:lang w:val="es-CO"/>
        </w:rPr>
        <w:t xml:space="preserve">. En ese sentido, especificó que </w:t>
      </w:r>
      <w:r w:rsidR="000216DC" w:rsidRPr="005D131A">
        <w:rPr>
          <w:i/>
          <w:sz w:val="28"/>
          <w:szCs w:val="28"/>
          <w:lang w:val="es-CO"/>
        </w:rPr>
        <w:t>“</w:t>
      </w:r>
      <w:r w:rsidR="005D00C8" w:rsidRPr="005D131A">
        <w:rPr>
          <w:i/>
          <w:sz w:val="28"/>
          <w:szCs w:val="28"/>
          <w:lang w:val="es-CO"/>
        </w:rPr>
        <w:t>al</w:t>
      </w:r>
      <w:r w:rsidR="000216DC" w:rsidRPr="005D131A">
        <w:rPr>
          <w:i/>
          <w:sz w:val="28"/>
          <w:szCs w:val="28"/>
          <w:lang w:val="es-CO"/>
        </w:rPr>
        <w:t xml:space="preserve"> comprender que si bien las tecnologías contenidas en el listado se encuentran excluidas del POS, esto no significa que no sean requeridas por un paciente para la recuperación de su salud o para impedir que esta se siga deteriorando”</w:t>
      </w:r>
      <w:r w:rsidR="00277BAA" w:rsidRPr="005D131A">
        <w:rPr>
          <w:sz w:val="28"/>
          <w:szCs w:val="28"/>
          <w:lang w:val="es-CO"/>
        </w:rPr>
        <w:t>.</w:t>
      </w:r>
    </w:p>
    <w:p w:rsidR="001E32F5" w:rsidRPr="005D131A" w:rsidRDefault="001E32F5" w:rsidP="005D131A">
      <w:pPr>
        <w:pStyle w:val="Prrafodelista"/>
        <w:ind w:left="0"/>
        <w:rPr>
          <w:sz w:val="28"/>
          <w:szCs w:val="28"/>
          <w:lang w:val="es-CO"/>
        </w:rPr>
      </w:pPr>
    </w:p>
    <w:p w:rsidR="005C63C1" w:rsidRPr="005D131A" w:rsidRDefault="00277BAA" w:rsidP="005D131A">
      <w:pPr>
        <w:pStyle w:val="Prrafodelista"/>
        <w:ind w:left="0"/>
        <w:rPr>
          <w:sz w:val="28"/>
          <w:szCs w:val="28"/>
          <w:lang w:val="es-CO"/>
        </w:rPr>
      </w:pPr>
      <w:r w:rsidRPr="005D131A">
        <w:rPr>
          <w:sz w:val="28"/>
          <w:szCs w:val="28"/>
          <w:lang w:val="es-CO"/>
        </w:rPr>
        <w:t xml:space="preserve">Añadió que, en atención a la normativa vigente el proceso para acceder a tecnologías en salud no incluidas </w:t>
      </w:r>
      <w:r w:rsidR="00596684" w:rsidRPr="005D131A">
        <w:rPr>
          <w:sz w:val="28"/>
          <w:szCs w:val="28"/>
          <w:lang w:val="es-CO"/>
        </w:rPr>
        <w:t xml:space="preserve">o excluidas del POS </w:t>
      </w:r>
      <w:r w:rsidRPr="005D131A">
        <w:rPr>
          <w:sz w:val="28"/>
          <w:szCs w:val="28"/>
          <w:lang w:val="es-CO"/>
        </w:rPr>
        <w:t>se re</w:t>
      </w:r>
      <w:r w:rsidR="00596684" w:rsidRPr="005D131A">
        <w:rPr>
          <w:sz w:val="28"/>
          <w:szCs w:val="28"/>
          <w:lang w:val="es-CO"/>
        </w:rPr>
        <w:t>aliza</w:t>
      </w:r>
      <w:r w:rsidR="001376FA" w:rsidRPr="005D131A">
        <w:rPr>
          <w:sz w:val="28"/>
          <w:szCs w:val="28"/>
          <w:lang w:val="es-CO"/>
        </w:rPr>
        <w:t xml:space="preserve"> a través del CTC </w:t>
      </w:r>
      <w:r w:rsidR="00596684" w:rsidRPr="005D131A">
        <w:rPr>
          <w:sz w:val="28"/>
          <w:szCs w:val="28"/>
          <w:lang w:val="es-CO"/>
        </w:rPr>
        <w:t>y</w:t>
      </w:r>
      <w:r w:rsidR="001376FA" w:rsidRPr="005D131A">
        <w:rPr>
          <w:sz w:val="28"/>
          <w:szCs w:val="28"/>
          <w:lang w:val="es-CO"/>
        </w:rPr>
        <w:t>,</w:t>
      </w:r>
      <w:r w:rsidR="00596684" w:rsidRPr="005D131A">
        <w:rPr>
          <w:sz w:val="28"/>
          <w:szCs w:val="28"/>
          <w:lang w:val="es-CO"/>
        </w:rPr>
        <w:t xml:space="preserve"> en tal sentido, no ha sido necesario implementar </w:t>
      </w:r>
      <w:r w:rsidRPr="005D131A">
        <w:rPr>
          <w:sz w:val="28"/>
          <w:szCs w:val="28"/>
          <w:lang w:val="es-CO"/>
        </w:rPr>
        <w:t xml:space="preserve">un procedimiento adicional. </w:t>
      </w:r>
    </w:p>
    <w:p w:rsidR="00277BAA" w:rsidRPr="005D131A" w:rsidRDefault="00277BAA" w:rsidP="005D131A">
      <w:pPr>
        <w:pStyle w:val="Prrafodelista"/>
        <w:ind w:left="0"/>
        <w:rPr>
          <w:sz w:val="28"/>
          <w:szCs w:val="28"/>
          <w:lang w:val="es-CO"/>
        </w:rPr>
      </w:pPr>
    </w:p>
    <w:p w:rsidR="00277BAA" w:rsidRPr="005D131A" w:rsidRDefault="00277BAA" w:rsidP="005D131A">
      <w:pPr>
        <w:pStyle w:val="Prrafodelista"/>
        <w:ind w:left="0"/>
        <w:rPr>
          <w:sz w:val="28"/>
          <w:szCs w:val="28"/>
          <w:lang w:val="es-CO"/>
        </w:rPr>
      </w:pPr>
      <w:r w:rsidRPr="005D131A">
        <w:rPr>
          <w:sz w:val="28"/>
          <w:szCs w:val="28"/>
          <w:lang w:val="es-CO"/>
        </w:rPr>
        <w:t>Concluyó que los procedimientos establecidos mediante las Resolucio</w:t>
      </w:r>
      <w:r w:rsidR="005909E5" w:rsidRPr="005D131A">
        <w:rPr>
          <w:sz w:val="28"/>
          <w:szCs w:val="28"/>
          <w:lang w:val="es-CO"/>
        </w:rPr>
        <w:t>nes 3099 de 2008 y 5395 de 2013</w:t>
      </w:r>
      <w:r w:rsidRPr="005D131A">
        <w:rPr>
          <w:sz w:val="28"/>
          <w:szCs w:val="28"/>
          <w:lang w:val="es-CO"/>
        </w:rPr>
        <w:t xml:space="preserve"> han garantizado el acceso a las prestacio</w:t>
      </w:r>
      <w:r w:rsidR="00596684" w:rsidRPr="005D131A">
        <w:rPr>
          <w:sz w:val="28"/>
          <w:szCs w:val="28"/>
          <w:lang w:val="es-CO"/>
        </w:rPr>
        <w:t>nes en salud: i) de manera directa en los casos de urgencia y ii) a trav</w:t>
      </w:r>
      <w:r w:rsidR="005909E5" w:rsidRPr="005D131A">
        <w:rPr>
          <w:sz w:val="28"/>
          <w:szCs w:val="28"/>
          <w:lang w:val="es-CO"/>
        </w:rPr>
        <w:t>és de los CTC, órgano encargado</w:t>
      </w:r>
      <w:r w:rsidR="00596684" w:rsidRPr="005D131A">
        <w:rPr>
          <w:sz w:val="28"/>
          <w:szCs w:val="28"/>
          <w:lang w:val="es-CO"/>
        </w:rPr>
        <w:t xml:space="preserve"> de autorizarlos previa </w:t>
      </w:r>
      <w:r w:rsidRPr="005D131A">
        <w:rPr>
          <w:sz w:val="28"/>
          <w:szCs w:val="28"/>
          <w:lang w:val="es-CO"/>
        </w:rPr>
        <w:t xml:space="preserve">verificación de los criterios señalados en </w:t>
      </w:r>
      <w:r w:rsidR="00B13734" w:rsidRPr="005D131A">
        <w:rPr>
          <w:sz w:val="28"/>
          <w:szCs w:val="28"/>
          <w:lang w:val="es-CO"/>
        </w:rPr>
        <w:t>la</w:t>
      </w:r>
      <w:r w:rsidR="005909E5" w:rsidRPr="005D131A">
        <w:rPr>
          <w:sz w:val="28"/>
          <w:szCs w:val="28"/>
          <w:lang w:val="es-CO"/>
        </w:rPr>
        <w:t>s</w:t>
      </w:r>
      <w:r w:rsidR="00B13734" w:rsidRPr="005D131A">
        <w:rPr>
          <w:sz w:val="28"/>
          <w:szCs w:val="28"/>
          <w:lang w:val="es-CO"/>
        </w:rPr>
        <w:t xml:space="preserve"> norma</w:t>
      </w:r>
      <w:r w:rsidR="005909E5" w:rsidRPr="005D131A">
        <w:rPr>
          <w:sz w:val="28"/>
          <w:szCs w:val="28"/>
          <w:lang w:val="es-CO"/>
        </w:rPr>
        <w:t>s</w:t>
      </w:r>
      <w:r w:rsidR="00B13734" w:rsidRPr="005D131A">
        <w:rPr>
          <w:sz w:val="28"/>
          <w:szCs w:val="28"/>
          <w:lang w:val="es-CO"/>
        </w:rPr>
        <w:t xml:space="preserve"> vigente</w:t>
      </w:r>
      <w:r w:rsidR="005909E5" w:rsidRPr="005D131A">
        <w:rPr>
          <w:sz w:val="28"/>
          <w:szCs w:val="28"/>
          <w:lang w:val="es-CO"/>
        </w:rPr>
        <w:t>s</w:t>
      </w:r>
      <w:r w:rsidR="00B13734" w:rsidRPr="005D131A">
        <w:rPr>
          <w:sz w:val="28"/>
          <w:szCs w:val="28"/>
          <w:lang w:val="es-CO"/>
        </w:rPr>
        <w:t xml:space="preserve">. </w:t>
      </w:r>
    </w:p>
    <w:p w:rsidR="005C63C1" w:rsidRPr="005D131A" w:rsidRDefault="005C63C1" w:rsidP="005D131A">
      <w:pPr>
        <w:pStyle w:val="Prrafodelista"/>
        <w:tabs>
          <w:tab w:val="left" w:pos="567"/>
        </w:tabs>
        <w:ind w:left="0"/>
        <w:rPr>
          <w:sz w:val="28"/>
          <w:szCs w:val="28"/>
          <w:lang w:val="es-CO"/>
        </w:rPr>
      </w:pPr>
    </w:p>
    <w:p w:rsidR="00AE384D" w:rsidRPr="005D131A" w:rsidRDefault="00FD75A6" w:rsidP="005D131A">
      <w:pPr>
        <w:pStyle w:val="Prrafodelista"/>
        <w:tabs>
          <w:tab w:val="left" w:pos="567"/>
        </w:tabs>
        <w:ind w:left="0"/>
        <w:rPr>
          <w:sz w:val="28"/>
          <w:szCs w:val="28"/>
          <w:lang w:val="es-CO"/>
        </w:rPr>
      </w:pPr>
      <w:r w:rsidRPr="005D131A">
        <w:rPr>
          <w:sz w:val="28"/>
          <w:szCs w:val="28"/>
          <w:lang w:val="es-CO"/>
        </w:rPr>
        <w:t>18</w:t>
      </w:r>
      <w:r w:rsidR="000D2A47" w:rsidRPr="005D131A">
        <w:rPr>
          <w:sz w:val="28"/>
          <w:szCs w:val="28"/>
          <w:lang w:val="es-CO"/>
        </w:rPr>
        <w:t xml:space="preserve">.3. </w:t>
      </w:r>
      <w:r w:rsidR="00705F49" w:rsidRPr="005D131A">
        <w:rPr>
          <w:sz w:val="28"/>
          <w:szCs w:val="28"/>
          <w:lang w:val="es-CO"/>
        </w:rPr>
        <w:t>La Superintendencia Nacional de Salud, en documento de 20 de febrero de 2014</w:t>
      </w:r>
      <w:r w:rsidR="008534A7" w:rsidRPr="005D131A">
        <w:rPr>
          <w:sz w:val="28"/>
          <w:szCs w:val="28"/>
          <w:vertAlign w:val="superscript"/>
          <w:lang w:val="es-CO"/>
        </w:rPr>
        <w:footnoteReference w:id="56"/>
      </w:r>
      <w:r w:rsidR="00AE384D" w:rsidRPr="005D131A">
        <w:rPr>
          <w:sz w:val="28"/>
          <w:szCs w:val="28"/>
          <w:lang w:val="es-CO"/>
        </w:rPr>
        <w:t>,</w:t>
      </w:r>
      <w:r w:rsidR="00705F49" w:rsidRPr="005D131A">
        <w:rPr>
          <w:sz w:val="28"/>
          <w:szCs w:val="28"/>
          <w:lang w:val="es-CO"/>
        </w:rPr>
        <w:t xml:space="preserve"> indicó que </w:t>
      </w:r>
      <w:r w:rsidR="002B2983" w:rsidRPr="005D131A">
        <w:rPr>
          <w:sz w:val="28"/>
          <w:szCs w:val="28"/>
          <w:lang w:val="es-CO"/>
        </w:rPr>
        <w:t>si bien contaba con información sob</w:t>
      </w:r>
      <w:r w:rsidR="00E57035" w:rsidRPr="005D131A">
        <w:rPr>
          <w:sz w:val="28"/>
          <w:szCs w:val="28"/>
          <w:lang w:val="es-CO"/>
        </w:rPr>
        <w:t>r</w:t>
      </w:r>
      <w:r w:rsidR="002B2983" w:rsidRPr="005D131A">
        <w:rPr>
          <w:sz w:val="28"/>
          <w:szCs w:val="28"/>
          <w:lang w:val="es-CO"/>
        </w:rPr>
        <w:t xml:space="preserve">e peticiones, quejas y reclamos correspondientes a </w:t>
      </w:r>
      <w:r w:rsidR="00BE42E3" w:rsidRPr="005D131A">
        <w:rPr>
          <w:sz w:val="28"/>
          <w:szCs w:val="28"/>
          <w:lang w:val="es-CO"/>
        </w:rPr>
        <w:t xml:space="preserve">los años 2012 y 2013, la clasificación de los mismos atendía una tipología adoptada por esa </w:t>
      </w:r>
      <w:r w:rsidR="005909E5" w:rsidRPr="005D131A">
        <w:rPr>
          <w:sz w:val="28"/>
          <w:szCs w:val="28"/>
          <w:lang w:val="es-CO"/>
        </w:rPr>
        <w:t>entidad en los cuales no figuraban</w:t>
      </w:r>
      <w:r w:rsidR="00BE42E3" w:rsidRPr="005D131A">
        <w:rPr>
          <w:sz w:val="28"/>
          <w:szCs w:val="28"/>
          <w:lang w:val="es-CO"/>
        </w:rPr>
        <w:t xml:space="preserve"> los motivos específicos requeridos por</w:t>
      </w:r>
      <w:r w:rsidR="00FB0F3A" w:rsidRPr="005D131A">
        <w:rPr>
          <w:sz w:val="28"/>
          <w:szCs w:val="28"/>
          <w:lang w:val="es-CO"/>
        </w:rPr>
        <w:t xml:space="preserve"> la Corte;</w:t>
      </w:r>
      <w:r w:rsidR="00BE42E3" w:rsidRPr="005D131A">
        <w:rPr>
          <w:sz w:val="28"/>
          <w:szCs w:val="28"/>
          <w:lang w:val="es-CO"/>
        </w:rPr>
        <w:t xml:space="preserve"> </w:t>
      </w:r>
      <w:r w:rsidR="00FB0F3A" w:rsidRPr="005D131A">
        <w:rPr>
          <w:sz w:val="28"/>
          <w:szCs w:val="28"/>
          <w:lang w:val="es-CO"/>
        </w:rPr>
        <w:t>s</w:t>
      </w:r>
      <w:r w:rsidR="00AE384D" w:rsidRPr="005D131A">
        <w:rPr>
          <w:sz w:val="28"/>
          <w:szCs w:val="28"/>
          <w:lang w:val="es-CO"/>
        </w:rPr>
        <w:t>in embargo, adujo que se habían rec</w:t>
      </w:r>
      <w:r w:rsidR="005909E5" w:rsidRPr="005D131A">
        <w:rPr>
          <w:sz w:val="28"/>
          <w:szCs w:val="28"/>
          <w:lang w:val="es-CO"/>
        </w:rPr>
        <w:t xml:space="preserve">ibido 18.673 quejas por causas </w:t>
      </w:r>
      <w:r w:rsidR="00AE384D" w:rsidRPr="005D131A">
        <w:rPr>
          <w:sz w:val="28"/>
          <w:szCs w:val="28"/>
          <w:lang w:val="es-CO"/>
        </w:rPr>
        <w:t>que guardan relación con la orden.</w:t>
      </w:r>
      <w:r w:rsidR="00931053" w:rsidRPr="005D131A">
        <w:rPr>
          <w:sz w:val="28"/>
          <w:szCs w:val="28"/>
          <w:lang w:val="es-CO"/>
        </w:rPr>
        <w:t xml:space="preserve"> </w:t>
      </w:r>
    </w:p>
    <w:p w:rsidR="005909E5" w:rsidRPr="005D131A" w:rsidRDefault="005909E5" w:rsidP="005D131A">
      <w:pPr>
        <w:pStyle w:val="Prrafodelista"/>
        <w:tabs>
          <w:tab w:val="left" w:pos="567"/>
        </w:tabs>
        <w:ind w:left="0"/>
        <w:rPr>
          <w:sz w:val="28"/>
          <w:szCs w:val="28"/>
          <w:lang w:val="es-CO"/>
        </w:rPr>
      </w:pPr>
    </w:p>
    <w:p w:rsidR="005D00C8" w:rsidRPr="005D131A" w:rsidRDefault="00207AE9" w:rsidP="005D131A">
      <w:pPr>
        <w:tabs>
          <w:tab w:val="left" w:pos="426"/>
        </w:tabs>
        <w:rPr>
          <w:sz w:val="28"/>
          <w:szCs w:val="28"/>
        </w:rPr>
      </w:pPr>
      <w:r w:rsidRPr="005D131A">
        <w:rPr>
          <w:sz w:val="28"/>
          <w:szCs w:val="28"/>
        </w:rPr>
        <w:t xml:space="preserve">Aclaró que como se encontraba en </w:t>
      </w:r>
      <w:r w:rsidR="00BA764A" w:rsidRPr="005D131A">
        <w:rPr>
          <w:sz w:val="28"/>
          <w:szCs w:val="28"/>
        </w:rPr>
        <w:t xml:space="preserve">proceso de </w:t>
      </w:r>
      <w:r w:rsidR="00080464" w:rsidRPr="005D131A">
        <w:rPr>
          <w:sz w:val="28"/>
          <w:szCs w:val="28"/>
        </w:rPr>
        <w:t xml:space="preserve">reestructuración </w:t>
      </w:r>
      <w:r w:rsidRPr="005D131A">
        <w:rPr>
          <w:sz w:val="28"/>
          <w:szCs w:val="28"/>
        </w:rPr>
        <w:t>no contaba con la información solicitada por la Corte</w:t>
      </w:r>
      <w:r w:rsidR="005909E5" w:rsidRPr="005D131A">
        <w:rPr>
          <w:sz w:val="28"/>
          <w:szCs w:val="28"/>
        </w:rPr>
        <w:t>, s</w:t>
      </w:r>
      <w:r w:rsidRPr="005D131A">
        <w:rPr>
          <w:sz w:val="28"/>
          <w:szCs w:val="28"/>
        </w:rPr>
        <w:t xml:space="preserve">in embargo, </w:t>
      </w:r>
      <w:r w:rsidR="0034163B" w:rsidRPr="005D131A">
        <w:rPr>
          <w:sz w:val="28"/>
          <w:szCs w:val="28"/>
        </w:rPr>
        <w:t xml:space="preserve">en </w:t>
      </w:r>
      <w:r w:rsidR="00761470" w:rsidRPr="005D131A">
        <w:rPr>
          <w:sz w:val="28"/>
          <w:szCs w:val="28"/>
        </w:rPr>
        <w:t>ese</w:t>
      </w:r>
      <w:r w:rsidR="0034163B" w:rsidRPr="005D131A">
        <w:rPr>
          <w:sz w:val="28"/>
          <w:szCs w:val="28"/>
        </w:rPr>
        <w:t xml:space="preserve"> marco se creó una Superintendencia Delegada de Procesos Administrativos encargada de adelantar y prom</w:t>
      </w:r>
      <w:r w:rsidR="005909E5" w:rsidRPr="005D131A">
        <w:rPr>
          <w:sz w:val="28"/>
          <w:szCs w:val="28"/>
        </w:rPr>
        <w:t xml:space="preserve">over, en primera instancia, </w:t>
      </w:r>
      <w:r w:rsidR="0034163B" w:rsidRPr="005D131A">
        <w:rPr>
          <w:sz w:val="28"/>
          <w:szCs w:val="28"/>
        </w:rPr>
        <w:t xml:space="preserve">los procesos administrativos sancionatorios. Aunado a ello, esa dependencia </w:t>
      </w:r>
      <w:r w:rsidR="005909E5" w:rsidRPr="005D131A">
        <w:rPr>
          <w:sz w:val="28"/>
          <w:szCs w:val="28"/>
        </w:rPr>
        <w:t>tendría</w:t>
      </w:r>
      <w:r w:rsidRPr="005D131A">
        <w:rPr>
          <w:sz w:val="28"/>
          <w:szCs w:val="28"/>
        </w:rPr>
        <w:t xml:space="preserve"> </w:t>
      </w:r>
      <w:r w:rsidR="0034163B" w:rsidRPr="005D131A">
        <w:rPr>
          <w:sz w:val="28"/>
          <w:szCs w:val="28"/>
        </w:rPr>
        <w:t xml:space="preserve">un inventario de los procesos </w:t>
      </w:r>
      <w:r w:rsidRPr="005D131A">
        <w:rPr>
          <w:sz w:val="28"/>
          <w:szCs w:val="28"/>
        </w:rPr>
        <w:t>y el estado</w:t>
      </w:r>
      <w:r w:rsidR="0034163B" w:rsidRPr="005D131A">
        <w:rPr>
          <w:sz w:val="28"/>
          <w:szCs w:val="28"/>
        </w:rPr>
        <w:t xml:space="preserve"> de</w:t>
      </w:r>
      <w:r w:rsidR="005909E5" w:rsidRPr="005D131A">
        <w:rPr>
          <w:sz w:val="28"/>
          <w:szCs w:val="28"/>
        </w:rPr>
        <w:t xml:space="preserve"> los mismos</w:t>
      </w:r>
      <w:r w:rsidR="0034163B" w:rsidRPr="005D131A">
        <w:rPr>
          <w:sz w:val="28"/>
          <w:szCs w:val="28"/>
        </w:rPr>
        <w:t xml:space="preserve">. </w:t>
      </w:r>
    </w:p>
    <w:p w:rsidR="00207AE9" w:rsidRPr="005D131A" w:rsidRDefault="00207AE9" w:rsidP="005D131A">
      <w:pPr>
        <w:tabs>
          <w:tab w:val="left" w:pos="426"/>
        </w:tabs>
        <w:rPr>
          <w:sz w:val="28"/>
          <w:szCs w:val="28"/>
        </w:rPr>
      </w:pPr>
    </w:p>
    <w:p w:rsidR="002D5375" w:rsidRPr="005D131A" w:rsidRDefault="00207AE9" w:rsidP="005D131A">
      <w:pPr>
        <w:tabs>
          <w:tab w:val="left" w:pos="426"/>
        </w:tabs>
        <w:rPr>
          <w:sz w:val="28"/>
          <w:szCs w:val="28"/>
          <w:vertAlign w:val="superscript"/>
          <w:lang w:val="es-CO"/>
        </w:rPr>
      </w:pPr>
      <w:r w:rsidRPr="005D131A">
        <w:rPr>
          <w:sz w:val="28"/>
          <w:szCs w:val="28"/>
        </w:rPr>
        <w:t>19</w:t>
      </w:r>
      <w:r w:rsidR="000D2A47" w:rsidRPr="005D131A">
        <w:rPr>
          <w:sz w:val="28"/>
          <w:szCs w:val="28"/>
        </w:rPr>
        <w:t xml:space="preserve">. </w:t>
      </w:r>
      <w:r w:rsidR="00E47B21" w:rsidRPr="005D131A">
        <w:rPr>
          <w:sz w:val="28"/>
          <w:szCs w:val="28"/>
        </w:rPr>
        <w:t>Posteriormente, esta Sala E</w:t>
      </w:r>
      <w:r w:rsidR="00191422" w:rsidRPr="005D131A">
        <w:rPr>
          <w:sz w:val="28"/>
          <w:szCs w:val="28"/>
        </w:rPr>
        <w:t>special de Seguimiento mediante</w:t>
      </w:r>
      <w:r w:rsidR="00E47B21" w:rsidRPr="005D131A">
        <w:rPr>
          <w:sz w:val="28"/>
          <w:szCs w:val="28"/>
        </w:rPr>
        <w:t xml:space="preserve"> </w:t>
      </w:r>
      <w:r w:rsidR="00454453" w:rsidRPr="005D131A">
        <w:rPr>
          <w:b/>
          <w:sz w:val="28"/>
          <w:szCs w:val="28"/>
        </w:rPr>
        <w:t>A</w:t>
      </w:r>
      <w:r w:rsidR="00E47B21" w:rsidRPr="005D131A">
        <w:rPr>
          <w:b/>
          <w:sz w:val="28"/>
          <w:szCs w:val="28"/>
        </w:rPr>
        <w:t>uto 077 de 1</w:t>
      </w:r>
      <w:r w:rsidR="005909E5" w:rsidRPr="005D131A">
        <w:rPr>
          <w:b/>
          <w:sz w:val="28"/>
          <w:szCs w:val="28"/>
        </w:rPr>
        <w:t>º</w:t>
      </w:r>
      <w:r w:rsidR="00E47B21" w:rsidRPr="005D131A">
        <w:rPr>
          <w:b/>
          <w:sz w:val="28"/>
          <w:szCs w:val="28"/>
        </w:rPr>
        <w:t xml:space="preserve"> de abril de 2014</w:t>
      </w:r>
      <w:r w:rsidR="0094462E" w:rsidRPr="005D131A">
        <w:rPr>
          <w:b/>
          <w:sz w:val="28"/>
          <w:szCs w:val="28"/>
        </w:rPr>
        <w:t xml:space="preserve"> </w:t>
      </w:r>
      <w:r w:rsidR="00191422" w:rsidRPr="005D131A">
        <w:rPr>
          <w:sz w:val="28"/>
          <w:szCs w:val="28"/>
        </w:rPr>
        <w:t>solicit</w:t>
      </w:r>
      <w:r w:rsidR="00F378C0" w:rsidRPr="005D131A">
        <w:rPr>
          <w:sz w:val="28"/>
          <w:szCs w:val="28"/>
        </w:rPr>
        <w:t xml:space="preserve">ó a diez (10) </w:t>
      </w:r>
      <w:r w:rsidR="00F614A3" w:rsidRPr="005D131A">
        <w:rPr>
          <w:sz w:val="28"/>
          <w:szCs w:val="28"/>
          <w:lang w:val="es-CO"/>
        </w:rPr>
        <w:t>EPS</w:t>
      </w:r>
      <w:r w:rsidR="00F614A3" w:rsidRPr="005D131A">
        <w:rPr>
          <w:sz w:val="28"/>
          <w:szCs w:val="28"/>
          <w:vertAlign w:val="superscript"/>
        </w:rPr>
        <w:footnoteReference w:id="57"/>
      </w:r>
      <w:r w:rsidR="00F614A3" w:rsidRPr="005D131A">
        <w:rPr>
          <w:sz w:val="28"/>
          <w:szCs w:val="28"/>
          <w:vertAlign w:val="superscript"/>
          <w:lang w:val="es-CO"/>
        </w:rPr>
        <w:t xml:space="preserve"> </w:t>
      </w:r>
      <w:r w:rsidR="00F378C0" w:rsidRPr="005D131A">
        <w:rPr>
          <w:sz w:val="28"/>
          <w:szCs w:val="28"/>
          <w:vertAlign w:val="superscript"/>
          <w:lang w:val="es-CO"/>
        </w:rPr>
        <w:t xml:space="preserve"> </w:t>
      </w:r>
      <w:r w:rsidR="00F378C0" w:rsidRPr="005D131A">
        <w:rPr>
          <w:sz w:val="28"/>
          <w:szCs w:val="28"/>
          <w:lang w:val="es-CO"/>
        </w:rPr>
        <w:t xml:space="preserve">información </w:t>
      </w:r>
      <w:r w:rsidR="00F614A3" w:rsidRPr="005D131A">
        <w:rPr>
          <w:sz w:val="28"/>
          <w:szCs w:val="28"/>
          <w:lang w:val="es-CO"/>
        </w:rPr>
        <w:t xml:space="preserve">sobre el </w:t>
      </w:r>
      <w:r w:rsidR="00074E0D" w:rsidRPr="005D131A">
        <w:rPr>
          <w:sz w:val="28"/>
          <w:szCs w:val="28"/>
          <w:lang w:val="es-CO"/>
        </w:rPr>
        <w:t xml:space="preserve">suministro de prestaciones no POS en casos de urgencia y </w:t>
      </w:r>
      <w:r w:rsidR="00F614A3" w:rsidRPr="005D131A">
        <w:rPr>
          <w:sz w:val="28"/>
          <w:szCs w:val="28"/>
          <w:lang w:val="es-CO"/>
        </w:rPr>
        <w:t>funcionamient</w:t>
      </w:r>
      <w:r w:rsidR="00074E0D" w:rsidRPr="005D131A">
        <w:rPr>
          <w:sz w:val="28"/>
          <w:szCs w:val="28"/>
          <w:lang w:val="es-CO"/>
        </w:rPr>
        <w:t>o del CTC</w:t>
      </w:r>
      <w:r w:rsidR="008C0FD9" w:rsidRPr="005D131A">
        <w:rPr>
          <w:sz w:val="28"/>
          <w:szCs w:val="28"/>
          <w:vertAlign w:val="superscript"/>
          <w:lang w:val="es-CO"/>
        </w:rPr>
        <w:footnoteReference w:id="58"/>
      </w:r>
      <w:r w:rsidR="00074E0D" w:rsidRPr="005D131A">
        <w:rPr>
          <w:sz w:val="28"/>
          <w:szCs w:val="28"/>
          <w:lang w:val="es-CO"/>
        </w:rPr>
        <w:t>.</w:t>
      </w:r>
      <w:r w:rsidRPr="005D131A">
        <w:rPr>
          <w:sz w:val="28"/>
          <w:szCs w:val="28"/>
          <w:lang w:val="es-CO"/>
        </w:rPr>
        <w:t xml:space="preserve"> En sus respuestas las EPS seleccionadas reiteraron lo manifestado </w:t>
      </w:r>
      <w:r w:rsidR="001376FA" w:rsidRPr="005D131A">
        <w:rPr>
          <w:sz w:val="28"/>
          <w:szCs w:val="28"/>
          <w:lang w:val="es-CO"/>
        </w:rPr>
        <w:t xml:space="preserve">en informes anteriores </w:t>
      </w:r>
      <w:r w:rsidRPr="005D131A">
        <w:rPr>
          <w:sz w:val="28"/>
          <w:szCs w:val="28"/>
          <w:lang w:val="es-CO"/>
        </w:rPr>
        <w:t xml:space="preserve">sobre el asunto. </w:t>
      </w:r>
    </w:p>
    <w:p w:rsidR="002D5375" w:rsidRPr="005D131A" w:rsidRDefault="002D5375" w:rsidP="005D131A">
      <w:pPr>
        <w:tabs>
          <w:tab w:val="left" w:pos="426"/>
        </w:tabs>
        <w:rPr>
          <w:sz w:val="28"/>
          <w:szCs w:val="28"/>
          <w:lang w:val="es-CO"/>
        </w:rPr>
      </w:pPr>
    </w:p>
    <w:p w:rsidR="00272524" w:rsidRPr="005D131A" w:rsidRDefault="00DD2216" w:rsidP="005D131A">
      <w:pPr>
        <w:tabs>
          <w:tab w:val="left" w:pos="426"/>
        </w:tabs>
        <w:rPr>
          <w:sz w:val="28"/>
          <w:szCs w:val="28"/>
          <w:lang w:val="es-CO"/>
        </w:rPr>
      </w:pPr>
      <w:r w:rsidRPr="005D131A">
        <w:rPr>
          <w:sz w:val="28"/>
          <w:szCs w:val="28"/>
          <w:lang w:val="es-CO"/>
        </w:rPr>
        <w:t>20</w:t>
      </w:r>
      <w:r w:rsidR="000D2A47" w:rsidRPr="005D131A">
        <w:rPr>
          <w:sz w:val="28"/>
          <w:szCs w:val="28"/>
          <w:lang w:val="es-CO"/>
        </w:rPr>
        <w:t xml:space="preserve">. </w:t>
      </w:r>
      <w:r w:rsidR="000F42D4" w:rsidRPr="005D131A">
        <w:rPr>
          <w:sz w:val="28"/>
          <w:szCs w:val="28"/>
          <w:lang w:val="es-CO"/>
        </w:rPr>
        <w:t xml:space="preserve">Asimismo, mediante </w:t>
      </w:r>
      <w:r w:rsidR="000F42D4" w:rsidRPr="005D131A">
        <w:rPr>
          <w:b/>
          <w:sz w:val="28"/>
          <w:szCs w:val="28"/>
          <w:lang w:val="es-CO"/>
        </w:rPr>
        <w:t xml:space="preserve">Auto 078 de </w:t>
      </w:r>
      <w:r w:rsidR="00272524" w:rsidRPr="005D131A">
        <w:rPr>
          <w:b/>
          <w:sz w:val="28"/>
          <w:szCs w:val="28"/>
          <w:lang w:val="es-CO"/>
        </w:rPr>
        <w:t>2014</w:t>
      </w:r>
      <w:r w:rsidR="0094462E" w:rsidRPr="005D131A">
        <w:rPr>
          <w:b/>
          <w:sz w:val="28"/>
          <w:szCs w:val="28"/>
          <w:lang w:val="es-CO"/>
        </w:rPr>
        <w:t xml:space="preserve"> </w:t>
      </w:r>
      <w:r w:rsidR="00272524" w:rsidRPr="005D131A">
        <w:rPr>
          <w:sz w:val="28"/>
          <w:szCs w:val="28"/>
          <w:lang w:val="es-CO"/>
        </w:rPr>
        <w:t>la Sala invitó a los Grupos de Seguimiento</w:t>
      </w:r>
      <w:r w:rsidR="00A12B88" w:rsidRPr="005D131A">
        <w:rPr>
          <w:sz w:val="28"/>
          <w:szCs w:val="28"/>
          <w:vertAlign w:val="superscript"/>
          <w:lang w:val="es-CO"/>
        </w:rPr>
        <w:footnoteReference w:id="59"/>
      </w:r>
      <w:r w:rsidR="00272524" w:rsidRPr="005D131A">
        <w:rPr>
          <w:sz w:val="28"/>
          <w:szCs w:val="28"/>
          <w:lang w:val="es-CO"/>
        </w:rPr>
        <w:t xml:space="preserve"> para que se pronunciaran sobre los informes presentados por el Ministerio </w:t>
      </w:r>
      <w:r w:rsidR="00207AE9" w:rsidRPr="005D131A">
        <w:rPr>
          <w:sz w:val="28"/>
          <w:szCs w:val="28"/>
          <w:lang w:val="es-CO"/>
        </w:rPr>
        <w:t xml:space="preserve">y la Superintendencia de Salud </w:t>
      </w:r>
      <w:r w:rsidR="00272524" w:rsidRPr="005D131A">
        <w:rPr>
          <w:sz w:val="28"/>
          <w:szCs w:val="28"/>
          <w:lang w:val="es-CO"/>
        </w:rPr>
        <w:t>en respuesta a los autos de 5 de junio de 2013</w:t>
      </w:r>
      <w:r w:rsidR="00E75196" w:rsidRPr="005D131A">
        <w:rPr>
          <w:sz w:val="28"/>
          <w:szCs w:val="28"/>
          <w:lang w:val="es-CO"/>
        </w:rPr>
        <w:t xml:space="preserve"> </w:t>
      </w:r>
      <w:r w:rsidR="00272524" w:rsidRPr="005D131A">
        <w:rPr>
          <w:sz w:val="28"/>
          <w:szCs w:val="28"/>
          <w:lang w:val="es-CO"/>
        </w:rPr>
        <w:t>y 015 de 2014</w:t>
      </w:r>
      <w:r w:rsidR="001376FA" w:rsidRPr="005D131A">
        <w:rPr>
          <w:sz w:val="28"/>
          <w:szCs w:val="28"/>
          <w:lang w:val="es-CO"/>
        </w:rPr>
        <w:t xml:space="preserve">, y </w:t>
      </w:r>
      <w:r w:rsidR="00272524" w:rsidRPr="005D131A">
        <w:rPr>
          <w:sz w:val="28"/>
          <w:szCs w:val="28"/>
          <w:lang w:val="es-CO"/>
        </w:rPr>
        <w:t xml:space="preserve">absolvieran </w:t>
      </w:r>
      <w:r w:rsidR="00207AE9" w:rsidRPr="005D131A">
        <w:rPr>
          <w:sz w:val="28"/>
          <w:szCs w:val="28"/>
          <w:lang w:val="es-CO"/>
        </w:rPr>
        <w:t>algunos</w:t>
      </w:r>
      <w:r w:rsidR="00272524" w:rsidRPr="005D131A">
        <w:rPr>
          <w:sz w:val="28"/>
          <w:szCs w:val="28"/>
          <w:lang w:val="es-CO"/>
        </w:rPr>
        <w:t xml:space="preserve"> interrogantes </w:t>
      </w:r>
      <w:r w:rsidR="001376FA" w:rsidRPr="005D131A">
        <w:rPr>
          <w:sz w:val="28"/>
          <w:szCs w:val="28"/>
          <w:lang w:val="es-CO"/>
        </w:rPr>
        <w:t>acerca</w:t>
      </w:r>
      <w:r w:rsidR="00272524" w:rsidRPr="005D131A">
        <w:rPr>
          <w:sz w:val="28"/>
          <w:szCs w:val="28"/>
          <w:lang w:val="es-CO"/>
        </w:rPr>
        <w:t xml:space="preserve"> los efectos de la regul</w:t>
      </w:r>
      <w:r w:rsidR="00E75196" w:rsidRPr="005D131A">
        <w:rPr>
          <w:sz w:val="28"/>
          <w:szCs w:val="28"/>
          <w:lang w:val="es-CO"/>
        </w:rPr>
        <w:t xml:space="preserve">ación </w:t>
      </w:r>
      <w:r w:rsidR="001376FA" w:rsidRPr="005D131A">
        <w:rPr>
          <w:sz w:val="28"/>
          <w:szCs w:val="28"/>
          <w:lang w:val="es-CO"/>
        </w:rPr>
        <w:t xml:space="preserve">vigente de </w:t>
      </w:r>
      <w:r w:rsidR="00E75196" w:rsidRPr="005D131A">
        <w:rPr>
          <w:sz w:val="28"/>
          <w:szCs w:val="28"/>
          <w:lang w:val="es-CO"/>
        </w:rPr>
        <w:t>los</w:t>
      </w:r>
      <w:r w:rsidR="00207AE9" w:rsidRPr="005D131A">
        <w:rPr>
          <w:sz w:val="28"/>
          <w:szCs w:val="28"/>
          <w:lang w:val="es-CO"/>
        </w:rPr>
        <w:t xml:space="preserve"> CTC</w:t>
      </w:r>
      <w:r w:rsidR="00E75196" w:rsidRPr="005D131A">
        <w:rPr>
          <w:sz w:val="28"/>
          <w:szCs w:val="28"/>
          <w:lang w:val="es-CO"/>
        </w:rPr>
        <w:t>.</w:t>
      </w:r>
    </w:p>
    <w:p w:rsidR="00913C98" w:rsidRPr="005D131A" w:rsidRDefault="00913C98" w:rsidP="00FA5446">
      <w:pPr>
        <w:pStyle w:val="Prrafodelista"/>
        <w:tabs>
          <w:tab w:val="left" w:pos="426"/>
        </w:tabs>
        <w:ind w:left="525"/>
        <w:rPr>
          <w:vanish/>
          <w:sz w:val="28"/>
          <w:szCs w:val="28"/>
          <w:lang w:val="es-CO"/>
        </w:rPr>
      </w:pPr>
    </w:p>
    <w:p w:rsidR="00BB7296" w:rsidRDefault="00DD2216" w:rsidP="005D131A">
      <w:pPr>
        <w:pStyle w:val="Prrafodelista"/>
        <w:tabs>
          <w:tab w:val="left" w:pos="426"/>
        </w:tabs>
        <w:ind w:left="0"/>
        <w:rPr>
          <w:sz w:val="28"/>
          <w:szCs w:val="28"/>
          <w:lang w:val="es-CO"/>
        </w:rPr>
      </w:pPr>
      <w:r w:rsidRPr="005D131A">
        <w:rPr>
          <w:sz w:val="28"/>
          <w:szCs w:val="28"/>
          <w:lang w:val="es-CO"/>
        </w:rPr>
        <w:t>20</w:t>
      </w:r>
      <w:r w:rsidR="000D2A47" w:rsidRPr="005D131A">
        <w:rPr>
          <w:sz w:val="28"/>
          <w:szCs w:val="28"/>
          <w:lang w:val="es-CO"/>
        </w:rPr>
        <w:t xml:space="preserve">.1. </w:t>
      </w:r>
      <w:r w:rsidR="0037731D" w:rsidRPr="005D131A">
        <w:rPr>
          <w:sz w:val="28"/>
          <w:szCs w:val="28"/>
          <w:lang w:val="es-CO"/>
        </w:rPr>
        <w:t>E</w:t>
      </w:r>
      <w:r w:rsidR="00F614A3" w:rsidRPr="005D131A">
        <w:rPr>
          <w:sz w:val="28"/>
          <w:szCs w:val="28"/>
          <w:lang w:val="es-CO"/>
        </w:rPr>
        <w:t xml:space="preserve">n cumplimiento de la referida providencia, </w:t>
      </w:r>
      <w:r w:rsidR="00F614A3" w:rsidRPr="005D131A">
        <w:rPr>
          <w:i/>
          <w:sz w:val="28"/>
          <w:szCs w:val="28"/>
          <w:lang w:val="es-CO"/>
        </w:rPr>
        <w:t>Así Vamos en Salud</w:t>
      </w:r>
      <w:r w:rsidR="00F614A3" w:rsidRPr="005D131A">
        <w:rPr>
          <w:sz w:val="28"/>
          <w:szCs w:val="28"/>
          <w:vertAlign w:val="superscript"/>
          <w:lang w:val="es-CO"/>
        </w:rPr>
        <w:footnoteReference w:id="60"/>
      </w:r>
      <w:r w:rsidR="00F614A3" w:rsidRPr="005D131A">
        <w:rPr>
          <w:sz w:val="28"/>
          <w:szCs w:val="28"/>
          <w:lang w:val="es-CO"/>
        </w:rPr>
        <w:t xml:space="preserve"> mencionó que la Resolución 5395 de 2013 y la Circular 019 de 2012</w:t>
      </w:r>
      <w:r w:rsidR="00977074" w:rsidRPr="005D131A">
        <w:rPr>
          <w:sz w:val="28"/>
          <w:szCs w:val="28"/>
          <w:lang w:val="es-CO"/>
        </w:rPr>
        <w:t xml:space="preserve"> no son</w:t>
      </w:r>
      <w:r w:rsidR="00F14322" w:rsidRPr="005D131A">
        <w:rPr>
          <w:sz w:val="28"/>
          <w:szCs w:val="28"/>
          <w:lang w:val="es-CO"/>
        </w:rPr>
        <w:t xml:space="preserve"> suficiente</w:t>
      </w:r>
      <w:r w:rsidR="00977074" w:rsidRPr="005D131A">
        <w:rPr>
          <w:sz w:val="28"/>
          <w:szCs w:val="28"/>
          <w:lang w:val="es-CO"/>
        </w:rPr>
        <w:t>s</w:t>
      </w:r>
      <w:r w:rsidR="00F14322" w:rsidRPr="005D131A">
        <w:rPr>
          <w:sz w:val="28"/>
          <w:szCs w:val="28"/>
          <w:lang w:val="es-CO"/>
        </w:rPr>
        <w:t xml:space="preserve"> </w:t>
      </w:r>
      <w:r w:rsidR="00977074" w:rsidRPr="005D131A">
        <w:rPr>
          <w:sz w:val="28"/>
          <w:szCs w:val="28"/>
          <w:lang w:val="es-CO"/>
        </w:rPr>
        <w:t xml:space="preserve">para garantizar </w:t>
      </w:r>
      <w:r w:rsidR="005909E5" w:rsidRPr="005D131A">
        <w:rPr>
          <w:sz w:val="28"/>
          <w:szCs w:val="28"/>
          <w:lang w:val="es-CO"/>
        </w:rPr>
        <w:t>que el</w:t>
      </w:r>
      <w:r w:rsidR="00977074" w:rsidRPr="005D131A">
        <w:rPr>
          <w:sz w:val="28"/>
          <w:szCs w:val="28"/>
          <w:lang w:val="es-CO"/>
        </w:rPr>
        <w:t xml:space="preserve"> </w:t>
      </w:r>
      <w:r w:rsidR="00F614A3" w:rsidRPr="005D131A">
        <w:rPr>
          <w:sz w:val="28"/>
          <w:szCs w:val="28"/>
          <w:lang w:val="es-CO"/>
        </w:rPr>
        <w:t xml:space="preserve">paciente </w:t>
      </w:r>
      <w:r w:rsidR="005909E5" w:rsidRPr="005D131A">
        <w:rPr>
          <w:sz w:val="28"/>
          <w:szCs w:val="28"/>
          <w:lang w:val="es-CO"/>
        </w:rPr>
        <w:t xml:space="preserve">adquiera el servicio </w:t>
      </w:r>
      <w:r w:rsidR="00F614A3" w:rsidRPr="005D131A">
        <w:rPr>
          <w:sz w:val="28"/>
          <w:szCs w:val="28"/>
          <w:lang w:val="es-CO"/>
        </w:rPr>
        <w:t>sin tener que adelantar trámites</w:t>
      </w:r>
      <w:r w:rsidR="00DD4CB7" w:rsidRPr="005D131A">
        <w:rPr>
          <w:sz w:val="28"/>
          <w:szCs w:val="28"/>
          <w:lang w:val="es-CO"/>
        </w:rPr>
        <w:t xml:space="preserve"> administrativos </w:t>
      </w:r>
      <w:r w:rsidR="00F614A3" w:rsidRPr="005D131A">
        <w:rPr>
          <w:sz w:val="28"/>
          <w:szCs w:val="28"/>
          <w:lang w:val="es-CO"/>
        </w:rPr>
        <w:t>ante las EPS</w:t>
      </w:r>
      <w:r w:rsidR="004A2DF2" w:rsidRPr="005D131A">
        <w:rPr>
          <w:sz w:val="28"/>
          <w:szCs w:val="28"/>
          <w:lang w:val="es-CO"/>
        </w:rPr>
        <w:t>.</w:t>
      </w:r>
      <w:r w:rsidR="00BB7296" w:rsidRPr="005D131A">
        <w:rPr>
          <w:sz w:val="28"/>
          <w:szCs w:val="28"/>
          <w:lang w:val="es-CO"/>
        </w:rPr>
        <w:t xml:space="preserve"> Situaciones como negligencia del médico tratante, desconocimiento de sus obligaciones y responsabilidades, incumplimiento de los requisitos en el diligenciamiento de los documentos, alteración de las condiciones necesarias para el adecuado funcionamiento del CTC, son factores que ponen en riesgo el cumplimiento del objetivo de dicha normativa. </w:t>
      </w:r>
    </w:p>
    <w:p w:rsidR="00FA5446" w:rsidRPr="005D131A" w:rsidRDefault="00FA5446" w:rsidP="005D131A">
      <w:pPr>
        <w:pStyle w:val="Prrafodelista"/>
        <w:tabs>
          <w:tab w:val="left" w:pos="426"/>
        </w:tabs>
        <w:ind w:left="0"/>
        <w:rPr>
          <w:sz w:val="28"/>
          <w:szCs w:val="28"/>
          <w:lang w:val="es-CO"/>
        </w:rPr>
      </w:pPr>
    </w:p>
    <w:p w:rsidR="00F82BFD" w:rsidRPr="005D131A" w:rsidRDefault="00977074" w:rsidP="005D131A">
      <w:pPr>
        <w:pStyle w:val="Prrafodelista"/>
        <w:tabs>
          <w:tab w:val="left" w:pos="426"/>
        </w:tabs>
        <w:ind w:left="0"/>
        <w:rPr>
          <w:sz w:val="28"/>
          <w:szCs w:val="28"/>
          <w:lang w:val="es-CO"/>
        </w:rPr>
      </w:pPr>
      <w:r w:rsidRPr="005D131A">
        <w:rPr>
          <w:sz w:val="28"/>
          <w:szCs w:val="28"/>
          <w:lang w:val="es-CO"/>
        </w:rPr>
        <w:t>Señaló además, que</w:t>
      </w:r>
      <w:r w:rsidR="00AF7FFB" w:rsidRPr="005D131A">
        <w:rPr>
          <w:sz w:val="28"/>
          <w:szCs w:val="28"/>
          <w:lang w:val="es-CO"/>
        </w:rPr>
        <w:t xml:space="preserve"> </w:t>
      </w:r>
      <w:r w:rsidR="00675137" w:rsidRPr="005D131A">
        <w:rPr>
          <w:sz w:val="28"/>
          <w:szCs w:val="28"/>
          <w:lang w:val="es-CO"/>
        </w:rPr>
        <w:t xml:space="preserve">es el médico </w:t>
      </w:r>
      <w:r w:rsidR="00536060" w:rsidRPr="005D131A">
        <w:rPr>
          <w:sz w:val="28"/>
          <w:szCs w:val="28"/>
          <w:lang w:val="es-CO"/>
        </w:rPr>
        <w:t>quien</w:t>
      </w:r>
      <w:r w:rsidR="00675137" w:rsidRPr="005D131A">
        <w:rPr>
          <w:sz w:val="28"/>
          <w:szCs w:val="28"/>
          <w:lang w:val="es-CO"/>
        </w:rPr>
        <w:t xml:space="preserve"> </w:t>
      </w:r>
      <w:r w:rsidR="00536060" w:rsidRPr="005D131A">
        <w:rPr>
          <w:sz w:val="28"/>
          <w:szCs w:val="28"/>
          <w:lang w:val="es-CO"/>
        </w:rPr>
        <w:t xml:space="preserve">tiene </w:t>
      </w:r>
      <w:r w:rsidR="00675137" w:rsidRPr="005D131A">
        <w:rPr>
          <w:sz w:val="28"/>
          <w:szCs w:val="28"/>
          <w:lang w:val="es-CO"/>
        </w:rPr>
        <w:t xml:space="preserve">toda la responsabilidad de activar la solicitud </w:t>
      </w:r>
      <w:r w:rsidR="00536060" w:rsidRPr="005D131A">
        <w:rPr>
          <w:sz w:val="28"/>
          <w:szCs w:val="28"/>
          <w:lang w:val="es-CO"/>
        </w:rPr>
        <w:t>ante el CTC cuando el pacien</w:t>
      </w:r>
      <w:r w:rsidR="0094462E" w:rsidRPr="005D131A">
        <w:rPr>
          <w:sz w:val="28"/>
          <w:szCs w:val="28"/>
          <w:lang w:val="es-CO"/>
        </w:rPr>
        <w:t>te solicita un servicio</w:t>
      </w:r>
      <w:r w:rsidR="00207AE9" w:rsidRPr="005D131A">
        <w:rPr>
          <w:sz w:val="28"/>
          <w:szCs w:val="28"/>
          <w:lang w:val="es-CO"/>
        </w:rPr>
        <w:t xml:space="preserve"> no</w:t>
      </w:r>
      <w:r w:rsidR="00536060" w:rsidRPr="005D131A">
        <w:rPr>
          <w:sz w:val="28"/>
          <w:szCs w:val="28"/>
          <w:lang w:val="es-CO"/>
        </w:rPr>
        <w:t xml:space="preserve"> P</w:t>
      </w:r>
      <w:r w:rsidR="00207AE9" w:rsidRPr="005D131A">
        <w:rPr>
          <w:sz w:val="28"/>
          <w:szCs w:val="28"/>
          <w:lang w:val="es-CO"/>
        </w:rPr>
        <w:t>OS o en los casos de urgencia</w:t>
      </w:r>
      <w:r w:rsidR="00536060" w:rsidRPr="005D131A">
        <w:rPr>
          <w:sz w:val="28"/>
          <w:szCs w:val="28"/>
          <w:lang w:val="es-CO"/>
        </w:rPr>
        <w:t xml:space="preserve"> suministrarlo de forma inmediata,</w:t>
      </w:r>
      <w:r w:rsidR="00207AE9" w:rsidRPr="005D131A">
        <w:rPr>
          <w:sz w:val="28"/>
          <w:szCs w:val="28"/>
          <w:lang w:val="es-CO"/>
        </w:rPr>
        <w:t xml:space="preserve"> sin que medie trámite alguno</w:t>
      </w:r>
      <w:r w:rsidR="001376FA" w:rsidRPr="005D131A">
        <w:rPr>
          <w:sz w:val="28"/>
          <w:szCs w:val="28"/>
          <w:lang w:val="es-CO"/>
        </w:rPr>
        <w:t xml:space="preserve">. Para que ello funcione adecuadamente, agregó que es </w:t>
      </w:r>
      <w:r w:rsidR="005909E5" w:rsidRPr="005D131A">
        <w:rPr>
          <w:sz w:val="28"/>
          <w:szCs w:val="28"/>
          <w:lang w:val="es-CO"/>
        </w:rPr>
        <w:t>necesario capacitar al galeno</w:t>
      </w:r>
      <w:r w:rsidR="00536060" w:rsidRPr="005D131A">
        <w:rPr>
          <w:sz w:val="28"/>
          <w:szCs w:val="28"/>
          <w:lang w:val="es-CO"/>
        </w:rPr>
        <w:t xml:space="preserve"> en los procesos relacionados en las normas, en el contenido del plan de beneficios, en los criterios de autorización</w:t>
      </w:r>
      <w:r w:rsidR="0094462E" w:rsidRPr="005D131A">
        <w:rPr>
          <w:sz w:val="28"/>
          <w:szCs w:val="28"/>
          <w:lang w:val="es-CO"/>
        </w:rPr>
        <w:t xml:space="preserve"> de las tecnologías de salud no POS, así como en los</w:t>
      </w:r>
      <w:r w:rsidR="00536060" w:rsidRPr="005D131A">
        <w:rPr>
          <w:sz w:val="28"/>
          <w:szCs w:val="28"/>
          <w:lang w:val="es-CO"/>
        </w:rPr>
        <w:t xml:space="preserve"> previstos en el artículo 9 de la Resolución</w:t>
      </w:r>
      <w:r w:rsidR="00577D4F" w:rsidRPr="005D131A">
        <w:rPr>
          <w:sz w:val="28"/>
          <w:szCs w:val="28"/>
          <w:lang w:val="es-CO"/>
        </w:rPr>
        <w:t xml:space="preserve"> 5395 de 2013,</w:t>
      </w:r>
      <w:r w:rsidR="00536060" w:rsidRPr="005D131A">
        <w:rPr>
          <w:sz w:val="28"/>
          <w:szCs w:val="28"/>
          <w:lang w:val="es-CO"/>
        </w:rPr>
        <w:t xml:space="preserve"> en la denominación común de medicamentos</w:t>
      </w:r>
      <w:r w:rsidR="00577D4F" w:rsidRPr="005D131A">
        <w:rPr>
          <w:sz w:val="28"/>
          <w:szCs w:val="28"/>
          <w:lang w:val="es-CO"/>
        </w:rPr>
        <w:t xml:space="preserve">, en </w:t>
      </w:r>
      <w:r w:rsidR="004A2DF2" w:rsidRPr="005D131A">
        <w:rPr>
          <w:sz w:val="28"/>
          <w:szCs w:val="28"/>
          <w:lang w:val="es-CO"/>
        </w:rPr>
        <w:t xml:space="preserve">la elaboración de las historias clínicas y </w:t>
      </w:r>
      <w:r w:rsidR="005909E5" w:rsidRPr="005D131A">
        <w:rPr>
          <w:sz w:val="28"/>
          <w:szCs w:val="28"/>
          <w:lang w:val="es-CO"/>
        </w:rPr>
        <w:t xml:space="preserve">en </w:t>
      </w:r>
      <w:r w:rsidR="004A2DF2" w:rsidRPr="005D131A">
        <w:rPr>
          <w:sz w:val="28"/>
          <w:szCs w:val="28"/>
          <w:lang w:val="es-CO"/>
        </w:rPr>
        <w:t>l</w:t>
      </w:r>
      <w:r w:rsidR="00DD4CB7" w:rsidRPr="005D131A">
        <w:rPr>
          <w:sz w:val="28"/>
          <w:szCs w:val="28"/>
          <w:lang w:val="es-CO"/>
        </w:rPr>
        <w:t>a</w:t>
      </w:r>
      <w:r w:rsidR="004A2DF2" w:rsidRPr="005D131A">
        <w:rPr>
          <w:sz w:val="28"/>
          <w:szCs w:val="28"/>
          <w:lang w:val="es-CO"/>
        </w:rPr>
        <w:t xml:space="preserve">s </w:t>
      </w:r>
      <w:r w:rsidR="00DD4CB7" w:rsidRPr="005D131A">
        <w:rPr>
          <w:sz w:val="28"/>
          <w:szCs w:val="28"/>
          <w:lang w:val="es-CO"/>
        </w:rPr>
        <w:t xml:space="preserve">prerrogativas </w:t>
      </w:r>
      <w:r w:rsidR="004A2DF2" w:rsidRPr="005D131A">
        <w:rPr>
          <w:sz w:val="28"/>
          <w:szCs w:val="28"/>
          <w:lang w:val="es-CO"/>
        </w:rPr>
        <w:t xml:space="preserve">y deberes de los pacientes. </w:t>
      </w:r>
    </w:p>
    <w:p w:rsidR="005909E5" w:rsidRPr="005D131A" w:rsidRDefault="005909E5" w:rsidP="005D131A">
      <w:pPr>
        <w:pStyle w:val="Prrafodelista"/>
        <w:tabs>
          <w:tab w:val="left" w:pos="426"/>
        </w:tabs>
        <w:ind w:left="0"/>
        <w:rPr>
          <w:sz w:val="28"/>
          <w:szCs w:val="28"/>
          <w:lang w:val="es-CO"/>
        </w:rPr>
      </w:pPr>
    </w:p>
    <w:p w:rsidR="00F614A3" w:rsidRPr="005D131A" w:rsidRDefault="000041FA" w:rsidP="005D131A">
      <w:pPr>
        <w:rPr>
          <w:sz w:val="28"/>
          <w:szCs w:val="28"/>
          <w:lang w:val="es-CO"/>
        </w:rPr>
      </w:pPr>
      <w:r w:rsidRPr="005D131A">
        <w:rPr>
          <w:sz w:val="28"/>
          <w:szCs w:val="28"/>
          <w:lang w:val="es-CO"/>
        </w:rPr>
        <w:t>E</w:t>
      </w:r>
      <w:r w:rsidR="00F614A3" w:rsidRPr="005D131A">
        <w:rPr>
          <w:sz w:val="28"/>
          <w:szCs w:val="28"/>
          <w:lang w:val="es-CO"/>
        </w:rPr>
        <w:t xml:space="preserve">ntre las principales dificultades </w:t>
      </w:r>
      <w:r w:rsidRPr="005D131A">
        <w:rPr>
          <w:sz w:val="28"/>
          <w:szCs w:val="28"/>
          <w:lang w:val="es-CO"/>
        </w:rPr>
        <w:t>d</w:t>
      </w:r>
      <w:r w:rsidR="00977074" w:rsidRPr="005D131A">
        <w:rPr>
          <w:sz w:val="28"/>
          <w:szCs w:val="28"/>
          <w:lang w:val="es-CO"/>
        </w:rPr>
        <w:t>e los</w:t>
      </w:r>
      <w:r w:rsidR="00F614A3" w:rsidRPr="005D131A">
        <w:rPr>
          <w:sz w:val="28"/>
          <w:szCs w:val="28"/>
          <w:lang w:val="es-CO"/>
        </w:rPr>
        <w:t xml:space="preserve"> CTC</w:t>
      </w:r>
      <w:r w:rsidRPr="005D131A">
        <w:rPr>
          <w:sz w:val="28"/>
          <w:szCs w:val="28"/>
          <w:lang w:val="es-CO"/>
        </w:rPr>
        <w:t xml:space="preserve"> </w:t>
      </w:r>
      <w:r w:rsidR="003E7DE8" w:rsidRPr="005D131A">
        <w:rPr>
          <w:sz w:val="28"/>
          <w:szCs w:val="28"/>
          <w:lang w:val="es-CO"/>
        </w:rPr>
        <w:t>aludió</w:t>
      </w:r>
      <w:r w:rsidR="00BA5F58" w:rsidRPr="005D131A">
        <w:rPr>
          <w:sz w:val="28"/>
          <w:szCs w:val="28"/>
          <w:lang w:val="es-CO"/>
        </w:rPr>
        <w:t xml:space="preserve"> que</w:t>
      </w:r>
      <w:r w:rsidRPr="005D131A">
        <w:rPr>
          <w:sz w:val="28"/>
          <w:szCs w:val="28"/>
          <w:lang w:val="es-CO"/>
        </w:rPr>
        <w:t xml:space="preserve">: </w:t>
      </w:r>
      <w:r w:rsidR="00F614A3" w:rsidRPr="005D131A">
        <w:rPr>
          <w:i/>
          <w:sz w:val="28"/>
          <w:szCs w:val="28"/>
          <w:lang w:val="es-CO"/>
        </w:rPr>
        <w:t xml:space="preserve">i) </w:t>
      </w:r>
      <w:r w:rsidR="00F614A3" w:rsidRPr="005D131A">
        <w:rPr>
          <w:sz w:val="28"/>
          <w:szCs w:val="28"/>
          <w:lang w:val="es-CO"/>
        </w:rPr>
        <w:t>las EP</w:t>
      </w:r>
      <w:r w:rsidR="005909E5" w:rsidRPr="005D131A">
        <w:rPr>
          <w:sz w:val="28"/>
          <w:szCs w:val="28"/>
          <w:lang w:val="es-CO"/>
        </w:rPr>
        <w:t xml:space="preserve">S no garantizan el </w:t>
      </w:r>
      <w:r w:rsidR="006A00D1" w:rsidRPr="005D131A">
        <w:rPr>
          <w:sz w:val="28"/>
          <w:szCs w:val="28"/>
          <w:lang w:val="es-CO"/>
        </w:rPr>
        <w:t xml:space="preserve">adecuado </w:t>
      </w:r>
      <w:r w:rsidR="005909E5" w:rsidRPr="005D131A">
        <w:rPr>
          <w:sz w:val="28"/>
          <w:szCs w:val="28"/>
          <w:lang w:val="es-CO"/>
        </w:rPr>
        <w:t xml:space="preserve">funcionamiento </w:t>
      </w:r>
      <w:r w:rsidR="00F614A3" w:rsidRPr="005D131A">
        <w:rPr>
          <w:sz w:val="28"/>
          <w:szCs w:val="28"/>
          <w:lang w:val="es-CO"/>
        </w:rPr>
        <w:t>de dicho organismo</w:t>
      </w:r>
      <w:r w:rsidR="00BA5F58" w:rsidRPr="005D131A">
        <w:rPr>
          <w:sz w:val="28"/>
          <w:szCs w:val="28"/>
          <w:lang w:val="es-CO"/>
        </w:rPr>
        <w:t xml:space="preserve"> debido a la falta</w:t>
      </w:r>
      <w:r w:rsidR="005909E5" w:rsidRPr="005D131A">
        <w:rPr>
          <w:sz w:val="28"/>
          <w:szCs w:val="28"/>
          <w:lang w:val="es-CO"/>
        </w:rPr>
        <w:t xml:space="preserve"> de transparencia en su conformación</w:t>
      </w:r>
      <w:r w:rsidR="00F614A3" w:rsidRPr="005D131A">
        <w:rPr>
          <w:sz w:val="28"/>
          <w:szCs w:val="28"/>
          <w:lang w:val="es-CO"/>
        </w:rPr>
        <w:t>, lo que genera clientelismo</w:t>
      </w:r>
      <w:r w:rsidR="00BA5F58" w:rsidRPr="005D131A">
        <w:rPr>
          <w:sz w:val="28"/>
          <w:szCs w:val="28"/>
          <w:lang w:val="es-CO"/>
        </w:rPr>
        <w:t>;</w:t>
      </w:r>
      <w:r w:rsidR="00F614A3" w:rsidRPr="005D131A">
        <w:rPr>
          <w:sz w:val="28"/>
          <w:szCs w:val="28"/>
          <w:lang w:val="es-CO"/>
        </w:rPr>
        <w:t xml:space="preserve"> </w:t>
      </w:r>
      <w:r w:rsidR="00F614A3" w:rsidRPr="005D131A">
        <w:rPr>
          <w:i/>
          <w:sz w:val="28"/>
          <w:szCs w:val="28"/>
          <w:lang w:val="es-CO"/>
        </w:rPr>
        <w:t>ii)</w:t>
      </w:r>
      <w:r w:rsidR="005909E5" w:rsidRPr="005D131A">
        <w:rPr>
          <w:sz w:val="28"/>
          <w:szCs w:val="28"/>
          <w:lang w:val="es-CO"/>
        </w:rPr>
        <w:t xml:space="preserve"> el comité</w:t>
      </w:r>
      <w:r w:rsidR="00F614A3" w:rsidRPr="005D131A">
        <w:rPr>
          <w:sz w:val="28"/>
          <w:szCs w:val="28"/>
          <w:lang w:val="es-CO"/>
        </w:rPr>
        <w:t xml:space="preserve"> no cumple con la periodicidad de las reuniones, </w:t>
      </w:r>
      <w:r w:rsidR="00BA5F58" w:rsidRPr="005D131A">
        <w:rPr>
          <w:sz w:val="28"/>
          <w:szCs w:val="28"/>
          <w:lang w:val="es-CO"/>
        </w:rPr>
        <w:t xml:space="preserve">retrasando decisiones que afectan la salud de los afiliados; </w:t>
      </w:r>
      <w:r w:rsidR="00F614A3" w:rsidRPr="005D131A">
        <w:rPr>
          <w:i/>
          <w:sz w:val="28"/>
          <w:szCs w:val="28"/>
          <w:lang w:val="es-CO"/>
        </w:rPr>
        <w:t xml:space="preserve">iii) </w:t>
      </w:r>
      <w:r w:rsidR="003111ED" w:rsidRPr="005D131A">
        <w:rPr>
          <w:sz w:val="28"/>
          <w:szCs w:val="28"/>
          <w:lang w:val="es-CO"/>
        </w:rPr>
        <w:t>la existencia de</w:t>
      </w:r>
      <w:r w:rsidR="003111ED" w:rsidRPr="005D131A">
        <w:rPr>
          <w:i/>
          <w:sz w:val="28"/>
          <w:szCs w:val="28"/>
          <w:lang w:val="es-CO"/>
        </w:rPr>
        <w:t xml:space="preserve"> </w:t>
      </w:r>
      <w:r w:rsidR="00F614A3" w:rsidRPr="005D131A">
        <w:rPr>
          <w:sz w:val="28"/>
          <w:szCs w:val="28"/>
          <w:lang w:val="es-CO"/>
        </w:rPr>
        <w:t xml:space="preserve">fallas administrativas </w:t>
      </w:r>
      <w:r w:rsidR="00BA5F58" w:rsidRPr="005D131A">
        <w:rPr>
          <w:sz w:val="28"/>
          <w:szCs w:val="28"/>
          <w:lang w:val="es-CO"/>
        </w:rPr>
        <w:t xml:space="preserve">al interior de </w:t>
      </w:r>
      <w:r w:rsidR="00F614A3" w:rsidRPr="005D131A">
        <w:rPr>
          <w:sz w:val="28"/>
          <w:szCs w:val="28"/>
          <w:lang w:val="es-CO"/>
        </w:rPr>
        <w:t xml:space="preserve">las EPS y las </w:t>
      </w:r>
      <w:r w:rsidR="00BA5F58" w:rsidRPr="005D131A">
        <w:rPr>
          <w:sz w:val="28"/>
          <w:szCs w:val="28"/>
          <w:lang w:val="es-CO"/>
        </w:rPr>
        <w:t>entidades territoriales</w:t>
      </w:r>
      <w:r w:rsidR="005909E5" w:rsidRPr="005D131A">
        <w:rPr>
          <w:sz w:val="28"/>
          <w:szCs w:val="28"/>
          <w:lang w:val="es-CO"/>
        </w:rPr>
        <w:t>;</w:t>
      </w:r>
      <w:r w:rsidR="00F614A3" w:rsidRPr="005D131A">
        <w:rPr>
          <w:sz w:val="28"/>
          <w:szCs w:val="28"/>
          <w:lang w:val="es-CO"/>
        </w:rPr>
        <w:t xml:space="preserve"> </w:t>
      </w:r>
      <w:r w:rsidR="003111ED" w:rsidRPr="005D131A">
        <w:rPr>
          <w:sz w:val="28"/>
          <w:szCs w:val="28"/>
          <w:lang w:val="es-CO"/>
        </w:rPr>
        <w:t xml:space="preserve">y </w:t>
      </w:r>
      <w:r w:rsidR="00F614A3" w:rsidRPr="005D131A">
        <w:rPr>
          <w:i/>
          <w:sz w:val="28"/>
          <w:szCs w:val="28"/>
          <w:lang w:val="es-CO"/>
        </w:rPr>
        <w:t>iv)</w:t>
      </w:r>
      <w:r w:rsidR="00F614A3" w:rsidRPr="005D131A">
        <w:rPr>
          <w:sz w:val="28"/>
          <w:szCs w:val="28"/>
          <w:lang w:val="es-CO"/>
        </w:rPr>
        <w:t xml:space="preserve"> </w:t>
      </w:r>
      <w:r w:rsidR="0071373E" w:rsidRPr="005D131A">
        <w:rPr>
          <w:sz w:val="28"/>
          <w:szCs w:val="28"/>
          <w:lang w:val="es-CO"/>
        </w:rPr>
        <w:t xml:space="preserve">el compromiso y </w:t>
      </w:r>
      <w:r w:rsidR="00BA5F58" w:rsidRPr="005D131A">
        <w:rPr>
          <w:sz w:val="28"/>
          <w:szCs w:val="28"/>
          <w:lang w:val="es-CO"/>
        </w:rPr>
        <w:t>participación ciudadana</w:t>
      </w:r>
      <w:r w:rsidR="0071373E" w:rsidRPr="005D131A">
        <w:rPr>
          <w:sz w:val="28"/>
          <w:szCs w:val="28"/>
          <w:lang w:val="es-CO"/>
        </w:rPr>
        <w:t>,</w:t>
      </w:r>
      <w:r w:rsidR="003E7DE8" w:rsidRPr="005D131A">
        <w:rPr>
          <w:sz w:val="28"/>
          <w:szCs w:val="28"/>
          <w:lang w:val="es-CO"/>
        </w:rPr>
        <w:t xml:space="preserve"> así como la intervención del r</w:t>
      </w:r>
      <w:r w:rsidR="003111ED" w:rsidRPr="005D131A">
        <w:rPr>
          <w:sz w:val="28"/>
          <w:szCs w:val="28"/>
          <w:lang w:val="es-CO"/>
        </w:rPr>
        <w:t>epresentante de los usuarios</w:t>
      </w:r>
      <w:r w:rsidR="003E7DE8" w:rsidRPr="005D131A">
        <w:rPr>
          <w:sz w:val="28"/>
          <w:szCs w:val="28"/>
          <w:lang w:val="es-CO"/>
        </w:rPr>
        <w:t xml:space="preserve"> es débil.</w:t>
      </w:r>
    </w:p>
    <w:p w:rsidR="00F614A3" w:rsidRPr="005D131A" w:rsidRDefault="00F614A3" w:rsidP="005D131A">
      <w:pPr>
        <w:rPr>
          <w:sz w:val="28"/>
          <w:szCs w:val="28"/>
          <w:lang w:val="es-CO"/>
        </w:rPr>
      </w:pPr>
    </w:p>
    <w:p w:rsidR="00582895" w:rsidRPr="005D131A" w:rsidRDefault="00AF45AA" w:rsidP="005D131A">
      <w:pPr>
        <w:rPr>
          <w:sz w:val="28"/>
          <w:szCs w:val="28"/>
          <w:lang w:val="es-CO"/>
        </w:rPr>
      </w:pPr>
      <w:r w:rsidRPr="005D131A">
        <w:rPr>
          <w:sz w:val="28"/>
          <w:szCs w:val="28"/>
          <w:lang w:val="es-CO"/>
        </w:rPr>
        <w:t>Por último, r</w:t>
      </w:r>
      <w:r w:rsidR="00F614A3" w:rsidRPr="005D131A">
        <w:rPr>
          <w:sz w:val="28"/>
          <w:szCs w:val="28"/>
          <w:lang w:val="es-CO"/>
        </w:rPr>
        <w:t>ecomendó algunas medidas que podr</w:t>
      </w:r>
      <w:r w:rsidR="001376FA" w:rsidRPr="005D131A">
        <w:rPr>
          <w:sz w:val="28"/>
          <w:szCs w:val="28"/>
          <w:lang w:val="es-CO"/>
        </w:rPr>
        <w:t>ían contribuir a</w:t>
      </w:r>
      <w:r w:rsidR="00DD4CB7" w:rsidRPr="005D131A">
        <w:rPr>
          <w:sz w:val="28"/>
          <w:szCs w:val="28"/>
          <w:lang w:val="es-CO"/>
        </w:rPr>
        <w:t xml:space="preserve"> garantizar </w:t>
      </w:r>
      <w:r w:rsidR="0071173F" w:rsidRPr="005D131A">
        <w:rPr>
          <w:sz w:val="28"/>
          <w:szCs w:val="28"/>
          <w:lang w:val="es-CO"/>
        </w:rPr>
        <w:t xml:space="preserve">el </w:t>
      </w:r>
      <w:r w:rsidR="00F614A3" w:rsidRPr="005D131A">
        <w:rPr>
          <w:sz w:val="28"/>
          <w:szCs w:val="28"/>
          <w:lang w:val="es-CO"/>
        </w:rPr>
        <w:t>goce efectivo</w:t>
      </w:r>
      <w:r w:rsidR="0062056D" w:rsidRPr="005D131A">
        <w:rPr>
          <w:sz w:val="28"/>
          <w:szCs w:val="28"/>
          <w:lang w:val="es-CO"/>
        </w:rPr>
        <w:t xml:space="preserve"> y </w:t>
      </w:r>
      <w:r w:rsidR="00F614A3" w:rsidRPr="005D131A">
        <w:rPr>
          <w:sz w:val="28"/>
          <w:szCs w:val="28"/>
          <w:lang w:val="es-CO"/>
        </w:rPr>
        <w:t xml:space="preserve">libre de trámites </w:t>
      </w:r>
      <w:r w:rsidR="00C13F1E" w:rsidRPr="005D131A">
        <w:rPr>
          <w:sz w:val="28"/>
          <w:szCs w:val="28"/>
          <w:lang w:val="es-CO"/>
        </w:rPr>
        <w:t>burocráticos</w:t>
      </w:r>
      <w:r w:rsidR="0062056D" w:rsidRPr="005D131A">
        <w:rPr>
          <w:sz w:val="28"/>
          <w:szCs w:val="28"/>
          <w:lang w:val="es-CO"/>
        </w:rPr>
        <w:t>,</w:t>
      </w:r>
      <w:r w:rsidR="003E7DE8" w:rsidRPr="005D131A">
        <w:rPr>
          <w:sz w:val="28"/>
          <w:szCs w:val="28"/>
          <w:lang w:val="es-CO"/>
        </w:rPr>
        <w:t xml:space="preserve"> como</w:t>
      </w:r>
      <w:r w:rsidR="0062056D" w:rsidRPr="005D131A">
        <w:rPr>
          <w:sz w:val="28"/>
          <w:szCs w:val="28"/>
          <w:lang w:val="es-CO"/>
        </w:rPr>
        <w:t xml:space="preserve"> por ejemplo</w:t>
      </w:r>
      <w:r w:rsidR="00F614A3" w:rsidRPr="005D131A">
        <w:rPr>
          <w:sz w:val="28"/>
          <w:szCs w:val="28"/>
          <w:lang w:val="es-CO"/>
        </w:rPr>
        <w:t xml:space="preserve">: </w:t>
      </w:r>
      <w:r w:rsidR="00F614A3" w:rsidRPr="005D131A">
        <w:rPr>
          <w:i/>
          <w:sz w:val="28"/>
          <w:szCs w:val="28"/>
          <w:lang w:val="es-CO"/>
        </w:rPr>
        <w:t xml:space="preserve">i) </w:t>
      </w:r>
      <w:r w:rsidR="0062056D" w:rsidRPr="005D131A">
        <w:rPr>
          <w:sz w:val="28"/>
          <w:szCs w:val="28"/>
          <w:lang w:val="es-CO"/>
        </w:rPr>
        <w:t>que</w:t>
      </w:r>
      <w:r w:rsidR="0062056D" w:rsidRPr="005D131A">
        <w:rPr>
          <w:i/>
          <w:sz w:val="28"/>
          <w:szCs w:val="28"/>
          <w:lang w:val="es-CO"/>
        </w:rPr>
        <w:t xml:space="preserve"> </w:t>
      </w:r>
      <w:r w:rsidR="00322EA1" w:rsidRPr="005D131A">
        <w:rPr>
          <w:sz w:val="28"/>
          <w:szCs w:val="28"/>
          <w:lang w:val="es-CO"/>
        </w:rPr>
        <w:t>la salud prevalezca como un</w:t>
      </w:r>
      <w:r w:rsidR="00C13F1E" w:rsidRPr="005D131A">
        <w:rPr>
          <w:sz w:val="28"/>
          <w:szCs w:val="28"/>
          <w:lang w:val="es-CO"/>
        </w:rPr>
        <w:t>a</w:t>
      </w:r>
      <w:r w:rsidR="00322EA1" w:rsidRPr="005D131A">
        <w:rPr>
          <w:sz w:val="28"/>
          <w:szCs w:val="28"/>
          <w:lang w:val="es-CO"/>
        </w:rPr>
        <w:t xml:space="preserve"> </w:t>
      </w:r>
      <w:r w:rsidR="00C13F1E" w:rsidRPr="005D131A">
        <w:rPr>
          <w:sz w:val="28"/>
          <w:szCs w:val="28"/>
          <w:lang w:val="es-CO"/>
        </w:rPr>
        <w:t>garantía</w:t>
      </w:r>
      <w:r w:rsidR="00322EA1" w:rsidRPr="005D131A">
        <w:rPr>
          <w:sz w:val="28"/>
          <w:szCs w:val="28"/>
          <w:lang w:val="es-CO"/>
        </w:rPr>
        <w:t xml:space="preserve"> fundamental </w:t>
      </w:r>
      <w:r w:rsidR="00F614A3" w:rsidRPr="005D131A">
        <w:rPr>
          <w:sz w:val="28"/>
          <w:szCs w:val="28"/>
          <w:lang w:val="es-CO"/>
        </w:rPr>
        <w:t xml:space="preserve">en las políticas públicas, </w:t>
      </w:r>
      <w:r w:rsidR="00F614A3" w:rsidRPr="005D131A">
        <w:rPr>
          <w:i/>
          <w:sz w:val="28"/>
          <w:szCs w:val="28"/>
          <w:lang w:val="es-CO"/>
        </w:rPr>
        <w:t xml:space="preserve">ii) </w:t>
      </w:r>
      <w:r w:rsidR="00F614A3" w:rsidRPr="005D131A">
        <w:rPr>
          <w:sz w:val="28"/>
          <w:szCs w:val="28"/>
          <w:lang w:val="es-CO"/>
        </w:rPr>
        <w:t xml:space="preserve">se </w:t>
      </w:r>
      <w:r w:rsidR="00322EA1" w:rsidRPr="005D131A">
        <w:rPr>
          <w:sz w:val="28"/>
          <w:szCs w:val="28"/>
          <w:lang w:val="es-CO"/>
        </w:rPr>
        <w:t xml:space="preserve">adopten </w:t>
      </w:r>
      <w:r w:rsidR="00F614A3" w:rsidRPr="005D131A">
        <w:rPr>
          <w:sz w:val="28"/>
          <w:szCs w:val="28"/>
          <w:lang w:val="es-CO"/>
        </w:rPr>
        <w:t>sistema</w:t>
      </w:r>
      <w:r w:rsidR="00322EA1" w:rsidRPr="005D131A">
        <w:rPr>
          <w:sz w:val="28"/>
          <w:szCs w:val="28"/>
          <w:lang w:val="es-CO"/>
        </w:rPr>
        <w:t>s</w:t>
      </w:r>
      <w:r w:rsidR="00F614A3" w:rsidRPr="005D131A">
        <w:rPr>
          <w:sz w:val="28"/>
          <w:szCs w:val="28"/>
          <w:lang w:val="es-CO"/>
        </w:rPr>
        <w:t xml:space="preserve"> de información</w:t>
      </w:r>
      <w:r w:rsidR="00322EA1" w:rsidRPr="005D131A">
        <w:rPr>
          <w:sz w:val="28"/>
          <w:szCs w:val="28"/>
          <w:lang w:val="es-CO"/>
        </w:rPr>
        <w:t xml:space="preserve"> en línea</w:t>
      </w:r>
      <w:r w:rsidR="00F614A3" w:rsidRPr="005D131A">
        <w:rPr>
          <w:sz w:val="28"/>
          <w:szCs w:val="28"/>
          <w:lang w:val="es-CO"/>
        </w:rPr>
        <w:t xml:space="preserve">, </w:t>
      </w:r>
      <w:r w:rsidR="00F614A3" w:rsidRPr="005D131A">
        <w:rPr>
          <w:i/>
          <w:sz w:val="28"/>
          <w:szCs w:val="28"/>
          <w:lang w:val="es-CO"/>
        </w:rPr>
        <w:t xml:space="preserve">iii) </w:t>
      </w:r>
      <w:r w:rsidR="00322EA1" w:rsidRPr="005D131A">
        <w:rPr>
          <w:sz w:val="28"/>
          <w:szCs w:val="28"/>
          <w:lang w:val="es-CO"/>
        </w:rPr>
        <w:t xml:space="preserve">se </w:t>
      </w:r>
      <w:r w:rsidR="003111ED" w:rsidRPr="005D131A">
        <w:rPr>
          <w:sz w:val="28"/>
          <w:szCs w:val="28"/>
          <w:lang w:val="es-CO"/>
        </w:rPr>
        <w:t>realicen medidas de</w:t>
      </w:r>
      <w:r w:rsidR="00F614A3" w:rsidRPr="005D131A">
        <w:rPr>
          <w:sz w:val="28"/>
          <w:szCs w:val="28"/>
          <w:lang w:val="es-CO"/>
        </w:rPr>
        <w:t xml:space="preserve"> vigilancia</w:t>
      </w:r>
      <w:r w:rsidR="003111ED" w:rsidRPr="005D131A">
        <w:rPr>
          <w:sz w:val="28"/>
          <w:szCs w:val="28"/>
          <w:lang w:val="es-CO"/>
        </w:rPr>
        <w:t xml:space="preserve"> y</w:t>
      </w:r>
      <w:r w:rsidR="00322EA1" w:rsidRPr="005D131A">
        <w:rPr>
          <w:sz w:val="28"/>
          <w:szCs w:val="28"/>
          <w:lang w:val="es-CO"/>
        </w:rPr>
        <w:t xml:space="preserve"> control </w:t>
      </w:r>
      <w:r w:rsidR="003111ED" w:rsidRPr="005D131A">
        <w:rPr>
          <w:sz w:val="28"/>
          <w:szCs w:val="28"/>
          <w:lang w:val="es-CO"/>
        </w:rPr>
        <w:t>por parte</w:t>
      </w:r>
      <w:r w:rsidR="00207AE9" w:rsidRPr="005D131A">
        <w:rPr>
          <w:sz w:val="28"/>
          <w:szCs w:val="28"/>
          <w:lang w:val="es-CO"/>
        </w:rPr>
        <w:t xml:space="preserve"> de las autoridades competentes, </w:t>
      </w:r>
      <w:r w:rsidR="003111ED" w:rsidRPr="005D131A">
        <w:rPr>
          <w:sz w:val="28"/>
          <w:szCs w:val="28"/>
          <w:lang w:val="es-CO"/>
        </w:rPr>
        <w:t>así como medidas sancionatorias a instituciones y profesionales por el no acatamiento de las n</w:t>
      </w:r>
      <w:r w:rsidR="00207AE9" w:rsidRPr="005D131A">
        <w:rPr>
          <w:sz w:val="28"/>
          <w:szCs w:val="28"/>
          <w:lang w:val="es-CO"/>
        </w:rPr>
        <w:t>ormas</w:t>
      </w:r>
      <w:r w:rsidR="003111ED" w:rsidRPr="005D131A">
        <w:rPr>
          <w:sz w:val="28"/>
          <w:szCs w:val="28"/>
          <w:lang w:val="es-CO"/>
        </w:rPr>
        <w:t>;</w:t>
      </w:r>
      <w:r w:rsidR="003111ED" w:rsidRPr="005D131A">
        <w:rPr>
          <w:i/>
          <w:sz w:val="28"/>
          <w:szCs w:val="28"/>
          <w:lang w:val="es-CO"/>
        </w:rPr>
        <w:t xml:space="preserve"> i</w:t>
      </w:r>
      <w:r w:rsidR="00F614A3" w:rsidRPr="005D131A">
        <w:rPr>
          <w:i/>
          <w:sz w:val="28"/>
          <w:szCs w:val="28"/>
          <w:lang w:val="es-CO"/>
        </w:rPr>
        <w:t>v)</w:t>
      </w:r>
      <w:r w:rsidR="00322EA1" w:rsidRPr="005D131A">
        <w:rPr>
          <w:i/>
          <w:sz w:val="28"/>
          <w:szCs w:val="28"/>
          <w:lang w:val="es-CO"/>
        </w:rPr>
        <w:t xml:space="preserve"> </w:t>
      </w:r>
      <w:r w:rsidR="003111ED" w:rsidRPr="005D131A">
        <w:rPr>
          <w:sz w:val="28"/>
          <w:szCs w:val="28"/>
          <w:lang w:val="es-CO"/>
        </w:rPr>
        <w:t>educación</w:t>
      </w:r>
      <w:r w:rsidR="00F614A3" w:rsidRPr="005D131A">
        <w:rPr>
          <w:sz w:val="28"/>
          <w:szCs w:val="28"/>
          <w:lang w:val="es-CO"/>
        </w:rPr>
        <w:t xml:space="preserve"> al usuario sobre sus derechos y deberes, </w:t>
      </w:r>
      <w:r w:rsidR="00F614A3" w:rsidRPr="005D131A">
        <w:rPr>
          <w:i/>
          <w:sz w:val="28"/>
          <w:szCs w:val="28"/>
          <w:lang w:val="es-CO"/>
        </w:rPr>
        <w:t>v)</w:t>
      </w:r>
      <w:r w:rsidR="00F614A3" w:rsidRPr="005D131A">
        <w:rPr>
          <w:sz w:val="28"/>
          <w:szCs w:val="28"/>
          <w:lang w:val="es-CO"/>
        </w:rPr>
        <w:t xml:space="preserve"> capacitación</w:t>
      </w:r>
      <w:r w:rsidR="00322EA1" w:rsidRPr="005D131A">
        <w:rPr>
          <w:sz w:val="28"/>
          <w:szCs w:val="28"/>
          <w:lang w:val="es-CO"/>
        </w:rPr>
        <w:t xml:space="preserve"> constante</w:t>
      </w:r>
      <w:r w:rsidR="00F614A3" w:rsidRPr="005D131A">
        <w:rPr>
          <w:sz w:val="28"/>
          <w:szCs w:val="28"/>
          <w:lang w:val="es-CO"/>
        </w:rPr>
        <w:t xml:space="preserve"> y </w:t>
      </w:r>
      <w:r w:rsidR="003111ED" w:rsidRPr="005D131A">
        <w:rPr>
          <w:sz w:val="28"/>
          <w:szCs w:val="28"/>
          <w:lang w:val="es-CO"/>
        </w:rPr>
        <w:t xml:space="preserve">evaluación </w:t>
      </w:r>
      <w:r w:rsidR="0071373E" w:rsidRPr="005D131A">
        <w:rPr>
          <w:sz w:val="28"/>
          <w:szCs w:val="28"/>
          <w:lang w:val="es-CO"/>
        </w:rPr>
        <w:t>d</w:t>
      </w:r>
      <w:r w:rsidR="00322EA1" w:rsidRPr="005D131A">
        <w:rPr>
          <w:sz w:val="28"/>
          <w:szCs w:val="28"/>
          <w:lang w:val="es-CO"/>
        </w:rPr>
        <w:t>e</w:t>
      </w:r>
      <w:r w:rsidR="00F614A3" w:rsidRPr="005D131A">
        <w:rPr>
          <w:sz w:val="28"/>
          <w:szCs w:val="28"/>
          <w:lang w:val="es-CO"/>
        </w:rPr>
        <w:t xml:space="preserve">l personal </w:t>
      </w:r>
      <w:r w:rsidR="00235F89" w:rsidRPr="005D131A">
        <w:rPr>
          <w:sz w:val="28"/>
          <w:szCs w:val="28"/>
          <w:lang w:val="es-CO"/>
        </w:rPr>
        <w:t xml:space="preserve">médico y </w:t>
      </w:r>
      <w:r w:rsidR="00C13F1E" w:rsidRPr="005D131A">
        <w:rPr>
          <w:sz w:val="28"/>
          <w:szCs w:val="28"/>
          <w:lang w:val="es-CO"/>
        </w:rPr>
        <w:t>asistencial</w:t>
      </w:r>
      <w:r w:rsidR="00F614A3" w:rsidRPr="005D131A">
        <w:rPr>
          <w:sz w:val="28"/>
          <w:szCs w:val="28"/>
          <w:lang w:val="es-CO"/>
        </w:rPr>
        <w:t xml:space="preserve">, </w:t>
      </w:r>
      <w:r w:rsidR="00C13F1E" w:rsidRPr="005D131A">
        <w:rPr>
          <w:sz w:val="28"/>
          <w:szCs w:val="28"/>
          <w:lang w:val="es-CO"/>
        </w:rPr>
        <w:t xml:space="preserve">y </w:t>
      </w:r>
      <w:r w:rsidR="00F614A3" w:rsidRPr="005D131A">
        <w:rPr>
          <w:i/>
          <w:sz w:val="28"/>
          <w:szCs w:val="28"/>
          <w:lang w:val="es-CO"/>
        </w:rPr>
        <w:t>vi)</w:t>
      </w:r>
      <w:r w:rsidR="00F614A3" w:rsidRPr="005D131A">
        <w:rPr>
          <w:sz w:val="28"/>
          <w:szCs w:val="28"/>
          <w:lang w:val="es-CO"/>
        </w:rPr>
        <w:t xml:space="preserve"> </w:t>
      </w:r>
      <w:r w:rsidR="00207AE9" w:rsidRPr="005D131A">
        <w:rPr>
          <w:sz w:val="28"/>
          <w:szCs w:val="28"/>
          <w:lang w:val="es-CO"/>
        </w:rPr>
        <w:t>sanciones</w:t>
      </w:r>
      <w:r w:rsidR="00F614A3" w:rsidRPr="005D131A">
        <w:rPr>
          <w:sz w:val="28"/>
          <w:szCs w:val="28"/>
          <w:lang w:val="es-CO"/>
        </w:rPr>
        <w:t xml:space="preserve"> a las EPS que trasladen</w:t>
      </w:r>
      <w:r w:rsidR="003111ED" w:rsidRPr="005D131A">
        <w:rPr>
          <w:sz w:val="28"/>
          <w:szCs w:val="28"/>
          <w:lang w:val="es-CO"/>
        </w:rPr>
        <w:t xml:space="preserve"> a sus afiliados</w:t>
      </w:r>
      <w:r w:rsidR="00F614A3" w:rsidRPr="005D131A">
        <w:rPr>
          <w:sz w:val="28"/>
          <w:szCs w:val="28"/>
          <w:lang w:val="es-CO"/>
        </w:rPr>
        <w:t xml:space="preserve"> </w:t>
      </w:r>
      <w:r w:rsidR="003111ED" w:rsidRPr="005D131A">
        <w:rPr>
          <w:sz w:val="28"/>
          <w:szCs w:val="28"/>
          <w:lang w:val="es-CO"/>
        </w:rPr>
        <w:t>los trámites administrativos</w:t>
      </w:r>
      <w:r w:rsidR="00C13F1E" w:rsidRPr="005D131A">
        <w:rPr>
          <w:sz w:val="28"/>
          <w:szCs w:val="28"/>
          <w:lang w:val="es-CO"/>
        </w:rPr>
        <w:t>.</w:t>
      </w:r>
    </w:p>
    <w:p w:rsidR="00C13F1E" w:rsidRPr="005D131A" w:rsidRDefault="00C13F1E" w:rsidP="005D131A">
      <w:pPr>
        <w:ind w:left="708" w:hanging="708"/>
        <w:rPr>
          <w:sz w:val="28"/>
          <w:szCs w:val="28"/>
          <w:lang w:val="es-CO"/>
        </w:rPr>
      </w:pPr>
    </w:p>
    <w:p w:rsidR="00582895" w:rsidRPr="005D131A" w:rsidRDefault="00DD2216" w:rsidP="005D131A">
      <w:pPr>
        <w:tabs>
          <w:tab w:val="left" w:pos="426"/>
        </w:tabs>
        <w:rPr>
          <w:sz w:val="28"/>
          <w:szCs w:val="28"/>
          <w:lang w:val="es-CO"/>
        </w:rPr>
      </w:pPr>
      <w:r w:rsidRPr="005D131A">
        <w:rPr>
          <w:sz w:val="28"/>
          <w:szCs w:val="28"/>
          <w:lang w:val="es-CO"/>
        </w:rPr>
        <w:t>21</w:t>
      </w:r>
      <w:r w:rsidR="000D2A47" w:rsidRPr="005D131A">
        <w:rPr>
          <w:sz w:val="28"/>
          <w:szCs w:val="28"/>
          <w:lang w:val="es-CO"/>
        </w:rPr>
        <w:t>. Ahora bien,</w:t>
      </w:r>
      <w:r w:rsidR="00582895" w:rsidRPr="005D131A">
        <w:rPr>
          <w:sz w:val="28"/>
          <w:szCs w:val="28"/>
          <w:lang w:val="es-CO"/>
        </w:rPr>
        <w:t xml:space="preserve"> a través de </w:t>
      </w:r>
      <w:r w:rsidR="00582895" w:rsidRPr="005D131A">
        <w:rPr>
          <w:b/>
          <w:sz w:val="28"/>
          <w:szCs w:val="28"/>
          <w:lang w:val="es-CO"/>
        </w:rPr>
        <w:t>Auto 280 de 2014</w:t>
      </w:r>
      <w:r w:rsidR="0094462E" w:rsidRPr="005D131A">
        <w:rPr>
          <w:b/>
          <w:sz w:val="28"/>
          <w:szCs w:val="28"/>
          <w:lang w:val="es-CO"/>
        </w:rPr>
        <w:t xml:space="preserve"> </w:t>
      </w:r>
      <w:r w:rsidR="00582895" w:rsidRPr="005D131A">
        <w:rPr>
          <w:sz w:val="28"/>
          <w:szCs w:val="28"/>
          <w:lang w:val="es-CO"/>
        </w:rPr>
        <w:t xml:space="preserve">este Tribunal </w:t>
      </w:r>
      <w:r w:rsidR="00207AE9" w:rsidRPr="005D131A">
        <w:rPr>
          <w:sz w:val="28"/>
          <w:szCs w:val="28"/>
          <w:lang w:val="es-CO"/>
        </w:rPr>
        <w:t xml:space="preserve">invitó a los </w:t>
      </w:r>
      <w:r w:rsidR="00205048" w:rsidRPr="005D131A">
        <w:rPr>
          <w:sz w:val="28"/>
          <w:szCs w:val="28"/>
          <w:lang w:val="es-CO"/>
        </w:rPr>
        <w:t>peritos constitucionales v</w:t>
      </w:r>
      <w:r w:rsidR="00582895" w:rsidRPr="005D131A">
        <w:rPr>
          <w:sz w:val="28"/>
          <w:szCs w:val="28"/>
          <w:lang w:val="es-CO"/>
        </w:rPr>
        <w:t xml:space="preserve">oluntarios </w:t>
      </w:r>
      <w:r w:rsidR="00207AE9" w:rsidRPr="005D131A">
        <w:rPr>
          <w:sz w:val="28"/>
          <w:szCs w:val="28"/>
          <w:lang w:val="es-CO"/>
        </w:rPr>
        <w:t xml:space="preserve">para que respondieran unas preguntas respecto del </w:t>
      </w:r>
      <w:r w:rsidR="00582895" w:rsidRPr="005D131A">
        <w:rPr>
          <w:sz w:val="28"/>
          <w:szCs w:val="28"/>
          <w:lang w:val="es-CO"/>
        </w:rPr>
        <w:t>trámite interno</w:t>
      </w:r>
      <w:r w:rsidR="00A074E7" w:rsidRPr="005D131A">
        <w:rPr>
          <w:sz w:val="28"/>
          <w:szCs w:val="28"/>
          <w:lang w:val="es-CO"/>
        </w:rPr>
        <w:t xml:space="preserve"> que debe seguirse cuando el médico tratante prescribe </w:t>
      </w:r>
      <w:r w:rsidR="00582895" w:rsidRPr="005D131A">
        <w:rPr>
          <w:sz w:val="28"/>
          <w:szCs w:val="28"/>
          <w:lang w:val="es-CO"/>
        </w:rPr>
        <w:t>una tecnología en salud no incluida o excluida del POS.</w:t>
      </w:r>
    </w:p>
    <w:p w:rsidR="00E7161B" w:rsidRPr="005D131A" w:rsidRDefault="00E7161B" w:rsidP="005D131A">
      <w:pPr>
        <w:rPr>
          <w:sz w:val="28"/>
          <w:szCs w:val="28"/>
          <w:lang w:val="es-CO"/>
        </w:rPr>
      </w:pPr>
    </w:p>
    <w:p w:rsidR="00582895" w:rsidRPr="005D131A" w:rsidRDefault="00582895" w:rsidP="005D131A">
      <w:pPr>
        <w:tabs>
          <w:tab w:val="left" w:pos="426"/>
        </w:tabs>
        <w:rPr>
          <w:sz w:val="28"/>
          <w:szCs w:val="28"/>
          <w:lang w:val="es-CO"/>
        </w:rPr>
      </w:pPr>
      <w:r w:rsidRPr="005D131A">
        <w:rPr>
          <w:sz w:val="28"/>
          <w:szCs w:val="28"/>
          <w:lang w:val="es-CO"/>
        </w:rPr>
        <w:t>Con ocasión de lo anterior, fueron radicadas las siguientes intervenciones</w:t>
      </w:r>
      <w:r w:rsidR="000D2A47" w:rsidRPr="005D131A">
        <w:rPr>
          <w:sz w:val="28"/>
          <w:szCs w:val="28"/>
          <w:lang w:val="es-CO"/>
        </w:rPr>
        <w:t>:</w:t>
      </w:r>
    </w:p>
    <w:p w:rsidR="00E7161B" w:rsidRPr="005D131A" w:rsidRDefault="00E7161B" w:rsidP="005D131A">
      <w:pPr>
        <w:rPr>
          <w:sz w:val="28"/>
          <w:szCs w:val="28"/>
          <w:lang w:val="es-CO"/>
        </w:rPr>
      </w:pPr>
    </w:p>
    <w:p w:rsidR="007E180B" w:rsidRPr="005D131A" w:rsidRDefault="007E180B" w:rsidP="005D131A">
      <w:pPr>
        <w:pStyle w:val="Descripcin"/>
        <w:keepNext/>
        <w:spacing w:line="240" w:lineRule="auto"/>
        <w:rPr>
          <w:b w:val="0"/>
          <w:szCs w:val="28"/>
        </w:rPr>
      </w:pPr>
      <w:r w:rsidRPr="005D131A">
        <w:rPr>
          <w:b w:val="0"/>
          <w:szCs w:val="28"/>
        </w:rPr>
        <w:t xml:space="preserve">Figura núm. </w:t>
      </w:r>
      <w:r w:rsidR="00E64AE9" w:rsidRPr="005D131A">
        <w:rPr>
          <w:b w:val="0"/>
          <w:szCs w:val="28"/>
        </w:rPr>
        <w:t>1</w:t>
      </w:r>
    </w:p>
    <w:p w:rsidR="00903AA0" w:rsidRPr="005D131A" w:rsidRDefault="00A074E7" w:rsidP="005D131A">
      <w:pPr>
        <w:jc w:val="center"/>
        <w:rPr>
          <w:sz w:val="28"/>
          <w:szCs w:val="28"/>
          <w:lang w:val="es-ES_tradnl"/>
        </w:rPr>
      </w:pPr>
      <w:r w:rsidRPr="005D131A">
        <w:rPr>
          <w:sz w:val="28"/>
          <w:szCs w:val="28"/>
          <w:lang w:val="es-ES_tradnl"/>
        </w:rPr>
        <w:t>Respuestas</w:t>
      </w:r>
      <w:r w:rsidR="00903AA0" w:rsidRPr="005D131A">
        <w:rPr>
          <w:sz w:val="28"/>
          <w:szCs w:val="28"/>
          <w:lang w:val="es-ES_tradnl"/>
        </w:rPr>
        <w:t xml:space="preserve"> Auto 280 de 2014</w:t>
      </w:r>
    </w:p>
    <w:p w:rsidR="00FF2395" w:rsidRPr="005D131A" w:rsidRDefault="00FF2395" w:rsidP="005D131A">
      <w:pPr>
        <w:rPr>
          <w:sz w:val="28"/>
          <w:szCs w:val="28"/>
          <w:lang w:val="es-ES_tradnl"/>
        </w:rPr>
      </w:pPr>
    </w:p>
    <w:tbl>
      <w:tblPr>
        <w:tblStyle w:val="Tablaconcuadrcula"/>
        <w:tblW w:w="5216" w:type="pct"/>
        <w:tblLayout w:type="fixed"/>
        <w:tblLook w:val="04A0" w:firstRow="1" w:lastRow="0" w:firstColumn="1" w:lastColumn="0" w:noHBand="0" w:noVBand="1"/>
      </w:tblPr>
      <w:tblGrid>
        <w:gridCol w:w="2373"/>
        <w:gridCol w:w="1591"/>
        <w:gridCol w:w="5543"/>
      </w:tblGrid>
      <w:tr w:rsidR="0010093F" w:rsidRPr="005D131A" w:rsidTr="00B577ED">
        <w:trPr>
          <w:trHeight w:val="441"/>
        </w:trPr>
        <w:tc>
          <w:tcPr>
            <w:tcW w:w="1248" w:type="pct"/>
            <w:hideMark/>
          </w:tcPr>
          <w:p w:rsidR="00FF2395" w:rsidRPr="005D131A" w:rsidRDefault="00FF2395" w:rsidP="005D131A">
            <w:pPr>
              <w:jc w:val="center"/>
              <w:rPr>
                <w:b/>
                <w:bCs/>
                <w:sz w:val="28"/>
                <w:szCs w:val="28"/>
              </w:rPr>
            </w:pPr>
            <w:r w:rsidRPr="005D131A">
              <w:rPr>
                <w:b/>
                <w:bCs/>
                <w:sz w:val="28"/>
                <w:szCs w:val="28"/>
              </w:rPr>
              <w:t xml:space="preserve">Interrogantes Auto 280 de 2014 </w:t>
            </w:r>
          </w:p>
        </w:tc>
        <w:tc>
          <w:tcPr>
            <w:tcW w:w="837" w:type="pct"/>
            <w:hideMark/>
          </w:tcPr>
          <w:p w:rsidR="00FF2395" w:rsidRPr="005D131A" w:rsidRDefault="00FF2395" w:rsidP="005D131A">
            <w:pPr>
              <w:jc w:val="center"/>
              <w:rPr>
                <w:b/>
                <w:bCs/>
                <w:sz w:val="28"/>
                <w:szCs w:val="28"/>
              </w:rPr>
            </w:pPr>
            <w:r w:rsidRPr="005D131A">
              <w:rPr>
                <w:b/>
                <w:bCs/>
                <w:sz w:val="28"/>
                <w:szCs w:val="28"/>
              </w:rPr>
              <w:t>Entidad remitente</w:t>
            </w:r>
          </w:p>
        </w:tc>
        <w:tc>
          <w:tcPr>
            <w:tcW w:w="2915" w:type="pct"/>
            <w:hideMark/>
          </w:tcPr>
          <w:p w:rsidR="00FF2395" w:rsidRPr="005D131A" w:rsidRDefault="00FF2395" w:rsidP="005D131A">
            <w:pPr>
              <w:jc w:val="center"/>
              <w:rPr>
                <w:b/>
                <w:bCs/>
                <w:sz w:val="28"/>
                <w:szCs w:val="28"/>
              </w:rPr>
            </w:pPr>
            <w:r w:rsidRPr="005D131A">
              <w:rPr>
                <w:b/>
                <w:bCs/>
                <w:sz w:val="28"/>
                <w:szCs w:val="28"/>
              </w:rPr>
              <w:t>Respuestas</w:t>
            </w:r>
          </w:p>
        </w:tc>
      </w:tr>
      <w:tr w:rsidR="0010093F" w:rsidRPr="005D131A" w:rsidTr="00B577ED">
        <w:trPr>
          <w:trHeight w:val="1554"/>
        </w:trPr>
        <w:tc>
          <w:tcPr>
            <w:tcW w:w="1248" w:type="pct"/>
            <w:vMerge w:val="restart"/>
            <w:hideMark/>
          </w:tcPr>
          <w:p w:rsidR="00FF2395" w:rsidRPr="005D131A" w:rsidRDefault="00FF2395" w:rsidP="005D131A">
            <w:pPr>
              <w:rPr>
                <w:sz w:val="28"/>
                <w:szCs w:val="28"/>
              </w:rPr>
            </w:pPr>
          </w:p>
          <w:p w:rsidR="00FF2395" w:rsidRPr="005D131A" w:rsidRDefault="00FF2395" w:rsidP="005D131A">
            <w:pPr>
              <w:rPr>
                <w:sz w:val="28"/>
                <w:szCs w:val="28"/>
              </w:rPr>
            </w:pPr>
            <w:r w:rsidRPr="005D131A">
              <w:rPr>
                <w:sz w:val="28"/>
                <w:szCs w:val="28"/>
              </w:rPr>
              <w:t>1. ¿Cuál sería el procedimiento más eficaz que podría implementarse por parte del Ministerio de Salud para lograr la realización de lo señalado en la orden vigésima tercera?</w:t>
            </w:r>
          </w:p>
        </w:tc>
        <w:tc>
          <w:tcPr>
            <w:tcW w:w="837" w:type="pct"/>
            <w:hideMark/>
          </w:tcPr>
          <w:p w:rsidR="00FF2395" w:rsidRPr="005D131A" w:rsidRDefault="00FF2395" w:rsidP="005D131A">
            <w:pPr>
              <w:jc w:val="center"/>
              <w:rPr>
                <w:sz w:val="28"/>
                <w:szCs w:val="28"/>
              </w:rPr>
            </w:pPr>
          </w:p>
          <w:p w:rsidR="00FF2395" w:rsidRPr="005D131A" w:rsidRDefault="00FF2395" w:rsidP="005D131A">
            <w:pPr>
              <w:jc w:val="center"/>
              <w:rPr>
                <w:sz w:val="28"/>
                <w:szCs w:val="28"/>
              </w:rPr>
            </w:pPr>
            <w:r w:rsidRPr="005D131A">
              <w:rPr>
                <w:sz w:val="28"/>
                <w:szCs w:val="28"/>
              </w:rPr>
              <w:t xml:space="preserve">Acemi </w:t>
            </w:r>
          </w:p>
        </w:tc>
        <w:tc>
          <w:tcPr>
            <w:tcW w:w="2915" w:type="pct"/>
            <w:hideMark/>
          </w:tcPr>
          <w:p w:rsidR="00FF2395" w:rsidRPr="005D131A" w:rsidRDefault="00FF2395" w:rsidP="005D131A">
            <w:pPr>
              <w:rPr>
                <w:sz w:val="28"/>
                <w:szCs w:val="28"/>
              </w:rPr>
            </w:pPr>
            <w:r w:rsidRPr="005D131A">
              <w:rPr>
                <w:sz w:val="28"/>
                <w:szCs w:val="28"/>
              </w:rPr>
              <w:t>Debe diseñarse un proceso directo, ágil, simple, seguro y eficiente, en el que:</w:t>
            </w:r>
          </w:p>
          <w:p w:rsidR="00FF2395" w:rsidRPr="005D131A" w:rsidRDefault="00FF2395" w:rsidP="005D131A">
            <w:pPr>
              <w:rPr>
                <w:sz w:val="28"/>
                <w:szCs w:val="28"/>
              </w:rPr>
            </w:pPr>
          </w:p>
          <w:p w:rsidR="00FF2395" w:rsidRPr="005D131A" w:rsidRDefault="00FF2395" w:rsidP="005D131A">
            <w:pPr>
              <w:rPr>
                <w:sz w:val="28"/>
                <w:szCs w:val="28"/>
              </w:rPr>
            </w:pPr>
            <w:r w:rsidRPr="005D131A">
              <w:rPr>
                <w:sz w:val="28"/>
                <w:szCs w:val="28"/>
              </w:rPr>
              <w:t xml:space="preserve">A. El médico tratante deba remitir la solicitud de ampliación de cobertura, acompañado de una copia de la historia </w:t>
            </w:r>
            <w:r w:rsidR="00C67202" w:rsidRPr="005D131A">
              <w:rPr>
                <w:sz w:val="28"/>
                <w:szCs w:val="28"/>
              </w:rPr>
              <w:t>del paciente</w:t>
            </w:r>
            <w:r w:rsidRPr="005D131A">
              <w:rPr>
                <w:sz w:val="28"/>
                <w:szCs w:val="28"/>
              </w:rPr>
              <w:t xml:space="preserve"> y un documento que justifique la necesidad clínica de los servicios adicionales, a través de una herramienta tecnológica que garantice la recepción, el manejo y la autorización de dichos servicios que permita generar un traslado automático al Ministerio avalando el manejo de documentos anexos en archivo electrónicos, así como la posibilidad de generar estadísticas y reportes.</w:t>
            </w:r>
          </w:p>
          <w:p w:rsidR="00FF2395" w:rsidRPr="005D131A" w:rsidRDefault="00FF2395" w:rsidP="005D131A">
            <w:pPr>
              <w:rPr>
                <w:sz w:val="28"/>
                <w:szCs w:val="28"/>
              </w:rPr>
            </w:pPr>
          </w:p>
          <w:p w:rsidR="00FF2395" w:rsidRPr="005D131A" w:rsidRDefault="00FF2395" w:rsidP="005D131A">
            <w:pPr>
              <w:tabs>
                <w:tab w:val="left" w:pos="368"/>
              </w:tabs>
              <w:rPr>
                <w:sz w:val="28"/>
                <w:szCs w:val="28"/>
              </w:rPr>
            </w:pPr>
            <w:r w:rsidRPr="005D131A">
              <w:rPr>
                <w:sz w:val="28"/>
                <w:szCs w:val="28"/>
              </w:rPr>
              <w:t xml:space="preserve">B. El Ministerio deberá evaluar: </w:t>
            </w:r>
            <w:r w:rsidRPr="005D131A">
              <w:rPr>
                <w:b/>
                <w:i/>
                <w:sz w:val="28"/>
                <w:szCs w:val="28"/>
              </w:rPr>
              <w:t>i)</w:t>
            </w:r>
            <w:r w:rsidRPr="005D131A">
              <w:rPr>
                <w:sz w:val="28"/>
                <w:szCs w:val="28"/>
              </w:rPr>
              <w:t xml:space="preserve"> la pertinencia médica de la solicitud </w:t>
            </w:r>
            <w:r w:rsidRPr="005D131A">
              <w:rPr>
                <w:b/>
                <w:i/>
                <w:sz w:val="28"/>
                <w:szCs w:val="28"/>
              </w:rPr>
              <w:t>ii)</w:t>
            </w:r>
            <w:r w:rsidRPr="005D131A">
              <w:rPr>
                <w:i/>
                <w:sz w:val="28"/>
                <w:szCs w:val="28"/>
              </w:rPr>
              <w:t xml:space="preserve"> si </w:t>
            </w:r>
            <w:r w:rsidRPr="005D131A">
              <w:rPr>
                <w:sz w:val="28"/>
                <w:szCs w:val="28"/>
              </w:rPr>
              <w:t xml:space="preserve">hay o no respuestas satisfactorias en el POS y </w:t>
            </w:r>
            <w:r w:rsidRPr="005D131A">
              <w:rPr>
                <w:b/>
                <w:i/>
                <w:sz w:val="28"/>
                <w:szCs w:val="28"/>
              </w:rPr>
              <w:t xml:space="preserve">iii) </w:t>
            </w:r>
            <w:r w:rsidRPr="005D131A">
              <w:rPr>
                <w:i/>
                <w:sz w:val="28"/>
                <w:szCs w:val="28"/>
              </w:rPr>
              <w:t xml:space="preserve">si </w:t>
            </w:r>
            <w:r w:rsidRPr="005D131A">
              <w:rPr>
                <w:sz w:val="28"/>
                <w:szCs w:val="28"/>
              </w:rPr>
              <w:t xml:space="preserve">el servicio cumple con las condiciones de seguridad requeridas. </w:t>
            </w:r>
          </w:p>
          <w:p w:rsidR="00FF2395" w:rsidRPr="005D131A" w:rsidRDefault="00FF2395" w:rsidP="005D131A">
            <w:pPr>
              <w:pStyle w:val="Prrafodelista"/>
              <w:tabs>
                <w:tab w:val="left" w:pos="368"/>
              </w:tabs>
              <w:ind w:left="183"/>
              <w:rPr>
                <w:sz w:val="28"/>
                <w:szCs w:val="28"/>
              </w:rPr>
            </w:pPr>
          </w:p>
          <w:p w:rsidR="00C67202" w:rsidRPr="005D131A" w:rsidRDefault="00FF2395" w:rsidP="005D131A">
            <w:pPr>
              <w:tabs>
                <w:tab w:val="left" w:pos="368"/>
              </w:tabs>
              <w:rPr>
                <w:sz w:val="28"/>
                <w:szCs w:val="28"/>
              </w:rPr>
            </w:pPr>
            <w:r w:rsidRPr="005D131A">
              <w:rPr>
                <w:sz w:val="28"/>
                <w:szCs w:val="28"/>
              </w:rPr>
              <w:t>C. U</w:t>
            </w:r>
            <w:r w:rsidR="00C67202" w:rsidRPr="005D131A">
              <w:rPr>
                <w:sz w:val="28"/>
                <w:szCs w:val="28"/>
              </w:rPr>
              <w:t>na vez autorizado el servicio</w:t>
            </w:r>
            <w:r w:rsidRPr="005D131A">
              <w:rPr>
                <w:sz w:val="28"/>
                <w:szCs w:val="28"/>
              </w:rPr>
              <w:t xml:space="preserve"> corresponderá al M</w:t>
            </w:r>
            <w:r w:rsidR="00C67202" w:rsidRPr="005D131A">
              <w:rPr>
                <w:sz w:val="28"/>
                <w:szCs w:val="28"/>
              </w:rPr>
              <w:t>inisterio</w:t>
            </w:r>
            <w:r w:rsidRPr="005D131A">
              <w:rPr>
                <w:sz w:val="28"/>
                <w:szCs w:val="28"/>
              </w:rPr>
              <w:t xml:space="preserve"> remitir directamente al p</w:t>
            </w:r>
            <w:r w:rsidR="00C67202" w:rsidRPr="005D131A">
              <w:rPr>
                <w:sz w:val="28"/>
                <w:szCs w:val="28"/>
              </w:rPr>
              <w:t xml:space="preserve">aciente a la red de proveedores o a la </w:t>
            </w:r>
            <w:r w:rsidRPr="005D131A">
              <w:rPr>
                <w:sz w:val="28"/>
                <w:szCs w:val="28"/>
              </w:rPr>
              <w:t xml:space="preserve">EPS, cuando éste requiera </w:t>
            </w:r>
            <w:r w:rsidR="00C67202" w:rsidRPr="005D131A">
              <w:rPr>
                <w:sz w:val="28"/>
                <w:szCs w:val="28"/>
              </w:rPr>
              <w:t xml:space="preserve">servicios POS y NO POS. El prestador del servicio debe presentar dos facturas: una </w:t>
            </w:r>
            <w:r w:rsidRPr="005D131A">
              <w:rPr>
                <w:sz w:val="28"/>
                <w:szCs w:val="28"/>
              </w:rPr>
              <w:t>al Fosyga y otra a la EPS por los servicios inc</w:t>
            </w:r>
            <w:r w:rsidR="00C67202" w:rsidRPr="005D131A">
              <w:rPr>
                <w:sz w:val="28"/>
                <w:szCs w:val="28"/>
              </w:rPr>
              <w:t xml:space="preserve">luidos en el plan de beneficios. </w:t>
            </w:r>
          </w:p>
          <w:p w:rsidR="00C67202" w:rsidRPr="005D131A" w:rsidRDefault="00C67202" w:rsidP="005D131A">
            <w:pPr>
              <w:tabs>
                <w:tab w:val="left" w:pos="368"/>
              </w:tabs>
              <w:rPr>
                <w:sz w:val="28"/>
                <w:szCs w:val="28"/>
              </w:rPr>
            </w:pPr>
          </w:p>
          <w:p w:rsidR="00FF2395" w:rsidRPr="005D131A" w:rsidRDefault="00C67202" w:rsidP="005D131A">
            <w:pPr>
              <w:tabs>
                <w:tab w:val="left" w:pos="368"/>
              </w:tabs>
              <w:rPr>
                <w:sz w:val="28"/>
                <w:szCs w:val="28"/>
              </w:rPr>
            </w:pPr>
            <w:r w:rsidRPr="005D131A">
              <w:rPr>
                <w:sz w:val="28"/>
                <w:szCs w:val="28"/>
              </w:rPr>
              <w:t>E</w:t>
            </w:r>
            <w:r w:rsidR="00FF2395" w:rsidRPr="005D131A">
              <w:rPr>
                <w:sz w:val="28"/>
                <w:szCs w:val="28"/>
              </w:rPr>
              <w:t xml:space="preserve">n los servicios </w:t>
            </w:r>
            <w:r w:rsidRPr="005D131A">
              <w:rPr>
                <w:sz w:val="28"/>
                <w:szCs w:val="28"/>
              </w:rPr>
              <w:t>de urgencia, será la IPS quien deba</w:t>
            </w:r>
            <w:r w:rsidR="00FF2395" w:rsidRPr="005D131A">
              <w:rPr>
                <w:sz w:val="28"/>
                <w:szCs w:val="28"/>
              </w:rPr>
              <w:t xml:space="preserve"> remitir la solicitud de manera inmediata, solicitando autorización para la continuidad del tratamiento si así se requiere. </w:t>
            </w:r>
          </w:p>
          <w:p w:rsidR="00FF2395" w:rsidRPr="005D131A" w:rsidRDefault="00FF2395" w:rsidP="005D131A">
            <w:pPr>
              <w:tabs>
                <w:tab w:val="left" w:pos="368"/>
              </w:tabs>
              <w:rPr>
                <w:sz w:val="28"/>
                <w:szCs w:val="28"/>
              </w:rPr>
            </w:pPr>
          </w:p>
          <w:p w:rsidR="00FF2395" w:rsidRPr="005D131A" w:rsidRDefault="00FF2395" w:rsidP="005D131A">
            <w:pPr>
              <w:tabs>
                <w:tab w:val="left" w:pos="368"/>
              </w:tabs>
              <w:rPr>
                <w:sz w:val="28"/>
                <w:szCs w:val="28"/>
              </w:rPr>
            </w:pPr>
            <w:r w:rsidRPr="005D131A">
              <w:rPr>
                <w:sz w:val="28"/>
                <w:szCs w:val="28"/>
              </w:rPr>
              <w:t>D. Por otra parte, la Cartera de Salud debe definir guías y tarifas</w:t>
            </w:r>
            <w:r w:rsidRPr="005D131A">
              <w:rPr>
                <w:i/>
                <w:sz w:val="28"/>
                <w:szCs w:val="28"/>
              </w:rPr>
              <w:t xml:space="preserve"> </w:t>
            </w:r>
            <w:r w:rsidRPr="005D131A">
              <w:rPr>
                <w:sz w:val="28"/>
                <w:szCs w:val="28"/>
              </w:rPr>
              <w:t>que permitan evaluar la pertinencia de las tecnologías y su precio.</w:t>
            </w:r>
          </w:p>
        </w:tc>
      </w:tr>
      <w:tr w:rsidR="0010093F" w:rsidRPr="005D131A" w:rsidTr="00B577ED">
        <w:trPr>
          <w:trHeight w:val="561"/>
        </w:trPr>
        <w:tc>
          <w:tcPr>
            <w:tcW w:w="1248" w:type="pct"/>
            <w:vMerge/>
            <w:hideMark/>
          </w:tcPr>
          <w:p w:rsidR="00FF2395" w:rsidRPr="005D131A" w:rsidRDefault="00FF2395" w:rsidP="005D131A">
            <w:pPr>
              <w:rPr>
                <w:b/>
                <w:sz w:val="28"/>
                <w:szCs w:val="28"/>
              </w:rPr>
            </w:pPr>
          </w:p>
        </w:tc>
        <w:tc>
          <w:tcPr>
            <w:tcW w:w="837" w:type="pct"/>
            <w:noWrap/>
            <w:hideMark/>
          </w:tcPr>
          <w:p w:rsidR="00FF2395" w:rsidRPr="005D131A" w:rsidRDefault="00FF2395" w:rsidP="005D131A">
            <w:pPr>
              <w:jc w:val="center"/>
              <w:rPr>
                <w:sz w:val="28"/>
                <w:szCs w:val="28"/>
              </w:rPr>
            </w:pPr>
            <w:r w:rsidRPr="005D131A">
              <w:rPr>
                <w:sz w:val="28"/>
                <w:szCs w:val="28"/>
              </w:rPr>
              <w:t>Gestarsalud</w:t>
            </w:r>
          </w:p>
        </w:tc>
        <w:tc>
          <w:tcPr>
            <w:tcW w:w="2915" w:type="pct"/>
            <w:hideMark/>
          </w:tcPr>
          <w:p w:rsidR="00FF2395" w:rsidRPr="005D131A" w:rsidRDefault="00FF2395" w:rsidP="005D131A">
            <w:pPr>
              <w:rPr>
                <w:sz w:val="28"/>
                <w:szCs w:val="28"/>
              </w:rPr>
            </w:pPr>
            <w:r w:rsidRPr="005D131A">
              <w:rPr>
                <w:sz w:val="28"/>
                <w:szCs w:val="28"/>
              </w:rPr>
              <w:t>Reiteró la necesidad de una evaluación de la pertinencia médica por parte del Comité Técnico Científico.</w:t>
            </w:r>
          </w:p>
          <w:p w:rsidR="00FF2395" w:rsidRPr="005D131A" w:rsidRDefault="00FF2395" w:rsidP="005D131A">
            <w:pPr>
              <w:rPr>
                <w:sz w:val="28"/>
                <w:szCs w:val="28"/>
              </w:rPr>
            </w:pPr>
          </w:p>
          <w:p w:rsidR="00FF2395" w:rsidRPr="005D131A" w:rsidRDefault="00FF2395" w:rsidP="005D131A">
            <w:pPr>
              <w:rPr>
                <w:sz w:val="28"/>
                <w:szCs w:val="28"/>
              </w:rPr>
            </w:pPr>
            <w:r w:rsidRPr="005D131A">
              <w:rPr>
                <w:sz w:val="28"/>
                <w:szCs w:val="28"/>
              </w:rPr>
              <w:t xml:space="preserve">A. En caso de que la respuesta sea afirmativa, el acta se convierte en el soporte para realizar el recobro ante la entidad territorial respectiva. </w:t>
            </w:r>
          </w:p>
          <w:p w:rsidR="00FF2395" w:rsidRPr="005D131A" w:rsidRDefault="00FF2395" w:rsidP="005D131A">
            <w:pPr>
              <w:rPr>
                <w:sz w:val="28"/>
                <w:szCs w:val="28"/>
              </w:rPr>
            </w:pPr>
          </w:p>
          <w:p w:rsidR="00FF2395" w:rsidRPr="005D131A" w:rsidRDefault="00FF2395" w:rsidP="005D131A">
            <w:pPr>
              <w:rPr>
                <w:i/>
                <w:sz w:val="28"/>
                <w:szCs w:val="28"/>
              </w:rPr>
            </w:pPr>
            <w:r w:rsidRPr="005D131A">
              <w:rPr>
                <w:sz w:val="28"/>
                <w:szCs w:val="28"/>
              </w:rPr>
              <w:t>B. Si es negativa, el CTC deberá:</w:t>
            </w:r>
            <w:r w:rsidRPr="005D131A">
              <w:rPr>
                <w:i/>
                <w:sz w:val="28"/>
                <w:szCs w:val="28"/>
              </w:rPr>
              <w:t xml:space="preserve"> “a) aportar las alternativas POS disponibles, que deberían ser consideradas por el médico tratante; b) solicitar más evidencias en caso de que no hubieran sido aportadas o no fueran suficientes; c) sustentar la no pertinencia de la solicitud”. </w:t>
            </w:r>
          </w:p>
          <w:p w:rsidR="00FF2395" w:rsidRPr="005D131A" w:rsidRDefault="00FF2395" w:rsidP="005D131A">
            <w:pPr>
              <w:rPr>
                <w:i/>
                <w:sz w:val="28"/>
                <w:szCs w:val="28"/>
              </w:rPr>
            </w:pPr>
          </w:p>
          <w:p w:rsidR="00FF2395" w:rsidRPr="005D131A" w:rsidRDefault="00395A48" w:rsidP="005D131A">
            <w:pPr>
              <w:rPr>
                <w:sz w:val="28"/>
                <w:szCs w:val="28"/>
              </w:rPr>
            </w:pPr>
            <w:r w:rsidRPr="005D131A">
              <w:rPr>
                <w:sz w:val="28"/>
                <w:szCs w:val="28"/>
              </w:rPr>
              <w:t>C</w:t>
            </w:r>
            <w:r w:rsidR="00FF2395" w:rsidRPr="005D131A">
              <w:rPr>
                <w:sz w:val="28"/>
                <w:szCs w:val="28"/>
              </w:rPr>
              <w:t>omo modificación al CTC, sugirió una evaluación por parte de los Tribunales de Ética Médica Departamentales en los casos que específic</w:t>
            </w:r>
            <w:r w:rsidRPr="005D131A">
              <w:rPr>
                <w:sz w:val="28"/>
                <w:szCs w:val="28"/>
              </w:rPr>
              <w:t xml:space="preserve">amente este organismo no autorice los servicios, lo anterior, con el fin de contrarrestar las </w:t>
            </w:r>
            <w:r w:rsidR="00FF2395" w:rsidRPr="005D131A">
              <w:rPr>
                <w:sz w:val="28"/>
                <w:szCs w:val="28"/>
              </w:rPr>
              <w:t xml:space="preserve">solicitudes </w:t>
            </w:r>
            <w:r w:rsidRPr="005D131A">
              <w:rPr>
                <w:sz w:val="28"/>
                <w:szCs w:val="28"/>
              </w:rPr>
              <w:t>de servicios NO POS o excluidos</w:t>
            </w:r>
            <w:r w:rsidR="00FF2395" w:rsidRPr="005D131A">
              <w:rPr>
                <w:sz w:val="28"/>
                <w:szCs w:val="28"/>
              </w:rPr>
              <w:t>,</w:t>
            </w:r>
            <w:r w:rsidRPr="005D131A">
              <w:rPr>
                <w:sz w:val="28"/>
                <w:szCs w:val="28"/>
              </w:rPr>
              <w:t xml:space="preserve"> para que se verifique si existen inducciones</w:t>
            </w:r>
            <w:r w:rsidR="00FF2395" w:rsidRPr="005D131A">
              <w:rPr>
                <w:sz w:val="28"/>
                <w:szCs w:val="28"/>
              </w:rPr>
              <w:t xml:space="preserve"> indebida</w:t>
            </w:r>
            <w:r w:rsidRPr="005D131A">
              <w:rPr>
                <w:sz w:val="28"/>
                <w:szCs w:val="28"/>
              </w:rPr>
              <w:t>s</w:t>
            </w:r>
            <w:r w:rsidR="00FF2395" w:rsidRPr="005D131A">
              <w:rPr>
                <w:sz w:val="28"/>
                <w:szCs w:val="28"/>
              </w:rPr>
              <w:t xml:space="preserve"> por parte de terceros con intereses particulares. </w:t>
            </w:r>
          </w:p>
        </w:tc>
      </w:tr>
      <w:tr w:rsidR="0010093F" w:rsidRPr="005D131A" w:rsidTr="00B577ED">
        <w:trPr>
          <w:trHeight w:val="1665"/>
        </w:trPr>
        <w:tc>
          <w:tcPr>
            <w:tcW w:w="1248" w:type="pct"/>
            <w:vMerge/>
          </w:tcPr>
          <w:p w:rsidR="00FF2395" w:rsidRPr="005D131A" w:rsidRDefault="00FF2395" w:rsidP="005D131A">
            <w:pPr>
              <w:jc w:val="center"/>
              <w:rPr>
                <w:b/>
                <w:sz w:val="28"/>
                <w:szCs w:val="28"/>
              </w:rPr>
            </w:pPr>
          </w:p>
        </w:tc>
        <w:tc>
          <w:tcPr>
            <w:tcW w:w="837" w:type="pct"/>
            <w:noWrap/>
          </w:tcPr>
          <w:p w:rsidR="00FF2395" w:rsidRPr="005D131A" w:rsidRDefault="00FF2395" w:rsidP="005D131A">
            <w:pPr>
              <w:jc w:val="center"/>
              <w:rPr>
                <w:sz w:val="28"/>
                <w:szCs w:val="28"/>
              </w:rPr>
            </w:pPr>
            <w:r w:rsidRPr="005D131A">
              <w:rPr>
                <w:sz w:val="28"/>
                <w:szCs w:val="28"/>
              </w:rPr>
              <w:t>Corporación Viva la Ciudadanía y CSR</w:t>
            </w:r>
          </w:p>
        </w:tc>
        <w:tc>
          <w:tcPr>
            <w:tcW w:w="2915" w:type="pct"/>
          </w:tcPr>
          <w:p w:rsidR="00FF2395" w:rsidRPr="005D131A" w:rsidRDefault="00FF2395" w:rsidP="005D131A">
            <w:pPr>
              <w:rPr>
                <w:sz w:val="28"/>
                <w:szCs w:val="28"/>
              </w:rPr>
            </w:pPr>
            <w:r w:rsidRPr="005D131A">
              <w:rPr>
                <w:sz w:val="28"/>
                <w:szCs w:val="28"/>
              </w:rPr>
              <w:t>El procedimiento de autorización de servicios no POS debe estar orientado a:</w:t>
            </w:r>
          </w:p>
          <w:p w:rsidR="00FF2395" w:rsidRPr="005D131A" w:rsidRDefault="00FF2395" w:rsidP="005D131A">
            <w:pPr>
              <w:rPr>
                <w:sz w:val="28"/>
                <w:szCs w:val="28"/>
              </w:rPr>
            </w:pPr>
            <w:r w:rsidRPr="005D131A">
              <w:rPr>
                <w:sz w:val="28"/>
                <w:szCs w:val="28"/>
              </w:rPr>
              <w:t xml:space="preserve">A. Resolver </w:t>
            </w:r>
            <w:r w:rsidR="00B83589" w:rsidRPr="005D131A">
              <w:rPr>
                <w:sz w:val="28"/>
                <w:szCs w:val="28"/>
              </w:rPr>
              <w:t xml:space="preserve">la solicitud </w:t>
            </w:r>
            <w:r w:rsidRPr="005D131A">
              <w:rPr>
                <w:sz w:val="28"/>
                <w:szCs w:val="28"/>
              </w:rPr>
              <w:t>del servicio no POS y brindarle al ciudadano salidas a sus necesidades en salud y no a facilitar la labor de recobro a favor de la promotora.</w:t>
            </w:r>
          </w:p>
          <w:p w:rsidR="00FF2395" w:rsidRPr="005D131A" w:rsidRDefault="00FF2395" w:rsidP="005D131A">
            <w:pPr>
              <w:rPr>
                <w:sz w:val="28"/>
                <w:szCs w:val="28"/>
              </w:rPr>
            </w:pPr>
          </w:p>
          <w:p w:rsidR="00FF2395" w:rsidRPr="005D131A" w:rsidRDefault="00FF2395" w:rsidP="005D131A">
            <w:pPr>
              <w:rPr>
                <w:sz w:val="28"/>
                <w:szCs w:val="28"/>
              </w:rPr>
            </w:pPr>
            <w:r w:rsidRPr="005D131A">
              <w:rPr>
                <w:sz w:val="28"/>
                <w:szCs w:val="28"/>
              </w:rPr>
              <w:t>B. Dar claridad de las responsabilidades de los actores del sistema y de las sanciones en que se podría incurrir por no cumplirlas.</w:t>
            </w:r>
          </w:p>
          <w:p w:rsidR="00FF2395" w:rsidRPr="005D131A" w:rsidRDefault="00FF2395" w:rsidP="005D131A">
            <w:pPr>
              <w:rPr>
                <w:sz w:val="28"/>
                <w:szCs w:val="28"/>
              </w:rPr>
            </w:pPr>
          </w:p>
          <w:p w:rsidR="00FF2395" w:rsidRPr="005D131A" w:rsidRDefault="00FF2395" w:rsidP="005D131A">
            <w:pPr>
              <w:rPr>
                <w:sz w:val="28"/>
                <w:szCs w:val="28"/>
              </w:rPr>
            </w:pPr>
            <w:r w:rsidRPr="005D131A">
              <w:rPr>
                <w:sz w:val="28"/>
                <w:szCs w:val="28"/>
              </w:rPr>
              <w:t>C. Contemplar enfoques diferenciales en e</w:t>
            </w:r>
            <w:r w:rsidR="00395A48" w:rsidRPr="005D131A">
              <w:rPr>
                <w:sz w:val="28"/>
                <w:szCs w:val="28"/>
              </w:rPr>
              <w:t>l mecanismo para que grupos</w:t>
            </w:r>
            <w:r w:rsidRPr="005D131A">
              <w:rPr>
                <w:sz w:val="28"/>
                <w:szCs w:val="28"/>
              </w:rPr>
              <w:t xml:space="preserve"> vulnerables como niños, adultos mayores, víctimas de</w:t>
            </w:r>
            <w:r w:rsidR="00395A48" w:rsidRPr="005D131A">
              <w:rPr>
                <w:sz w:val="28"/>
                <w:szCs w:val="28"/>
              </w:rPr>
              <w:t xml:space="preserve"> la</w:t>
            </w:r>
            <w:r w:rsidRPr="005D131A">
              <w:rPr>
                <w:sz w:val="28"/>
                <w:szCs w:val="28"/>
              </w:rPr>
              <w:t xml:space="preserve"> violencia, entre otros, puedan acceder rápidamente a los servicios no POS.</w:t>
            </w:r>
          </w:p>
        </w:tc>
      </w:tr>
      <w:tr w:rsidR="0010093F" w:rsidRPr="005D131A" w:rsidTr="00B577ED">
        <w:trPr>
          <w:trHeight w:val="1665"/>
        </w:trPr>
        <w:tc>
          <w:tcPr>
            <w:tcW w:w="1248" w:type="pct"/>
            <w:vMerge/>
          </w:tcPr>
          <w:p w:rsidR="00FF2395" w:rsidRPr="005D131A" w:rsidRDefault="00FF2395" w:rsidP="005D131A">
            <w:pPr>
              <w:jc w:val="center"/>
              <w:rPr>
                <w:b/>
                <w:sz w:val="28"/>
                <w:szCs w:val="28"/>
              </w:rPr>
            </w:pPr>
          </w:p>
        </w:tc>
        <w:tc>
          <w:tcPr>
            <w:tcW w:w="837" w:type="pct"/>
            <w:noWrap/>
          </w:tcPr>
          <w:p w:rsidR="00FF2395" w:rsidRPr="005D131A" w:rsidRDefault="00FF2395" w:rsidP="005D131A">
            <w:pPr>
              <w:jc w:val="center"/>
              <w:rPr>
                <w:sz w:val="28"/>
                <w:szCs w:val="28"/>
              </w:rPr>
            </w:pPr>
            <w:r w:rsidRPr="005D131A">
              <w:rPr>
                <w:sz w:val="28"/>
                <w:szCs w:val="28"/>
              </w:rPr>
              <w:t>Así Vamos en Salud</w:t>
            </w:r>
          </w:p>
        </w:tc>
        <w:tc>
          <w:tcPr>
            <w:tcW w:w="2915" w:type="pct"/>
          </w:tcPr>
          <w:p w:rsidR="00FF2395" w:rsidRPr="005D131A" w:rsidRDefault="00FF2395" w:rsidP="005D131A">
            <w:pPr>
              <w:rPr>
                <w:sz w:val="28"/>
                <w:szCs w:val="28"/>
              </w:rPr>
            </w:pPr>
            <w:r w:rsidRPr="005D131A">
              <w:rPr>
                <w:sz w:val="28"/>
                <w:szCs w:val="28"/>
              </w:rPr>
              <w:t>Expuso que el mecanismo de autorización ya es</w:t>
            </w:r>
            <w:r w:rsidR="00395A48" w:rsidRPr="005D131A">
              <w:rPr>
                <w:sz w:val="28"/>
                <w:szCs w:val="28"/>
              </w:rPr>
              <w:t xml:space="preserve">taba plasmado en la  </w:t>
            </w:r>
            <w:r w:rsidRPr="005D131A">
              <w:rPr>
                <w:sz w:val="28"/>
                <w:szCs w:val="28"/>
              </w:rPr>
              <w:t>Resolución 5395</w:t>
            </w:r>
            <w:r w:rsidR="00395A48" w:rsidRPr="005D131A">
              <w:rPr>
                <w:sz w:val="28"/>
                <w:szCs w:val="28"/>
              </w:rPr>
              <w:t xml:space="preserve"> de 2013 y Circular 019 de 2012. E</w:t>
            </w:r>
            <w:r w:rsidRPr="005D131A">
              <w:rPr>
                <w:sz w:val="28"/>
                <w:szCs w:val="28"/>
              </w:rPr>
              <w:t>l problema de acceso a los servicios radica en la dificultad para que los aseguradores y p</w:t>
            </w:r>
            <w:r w:rsidR="00395A48" w:rsidRPr="005D131A">
              <w:rPr>
                <w:sz w:val="28"/>
                <w:szCs w:val="28"/>
              </w:rPr>
              <w:t xml:space="preserve">restadores le den cumplimiento., por lo que </w:t>
            </w:r>
            <w:r w:rsidRPr="005D131A">
              <w:rPr>
                <w:sz w:val="28"/>
                <w:szCs w:val="28"/>
              </w:rPr>
              <w:t>requirió que se avanzara en mecanismos de inspección, vigilancia y control que observen dicho cumplimento.</w:t>
            </w:r>
          </w:p>
        </w:tc>
      </w:tr>
      <w:tr w:rsidR="0010093F" w:rsidRPr="005D131A" w:rsidTr="00015B69">
        <w:trPr>
          <w:trHeight w:val="699"/>
        </w:trPr>
        <w:tc>
          <w:tcPr>
            <w:tcW w:w="1248" w:type="pct"/>
            <w:vMerge w:val="restart"/>
            <w:hideMark/>
          </w:tcPr>
          <w:p w:rsidR="00FF2395" w:rsidRPr="005D131A" w:rsidRDefault="00FF2395" w:rsidP="005D131A">
            <w:pPr>
              <w:rPr>
                <w:sz w:val="28"/>
                <w:szCs w:val="28"/>
              </w:rPr>
            </w:pPr>
            <w:r w:rsidRPr="005D131A">
              <w:rPr>
                <w:sz w:val="28"/>
                <w:szCs w:val="28"/>
              </w:rPr>
              <w:t>2. ¿Cuáles serían las características básicas del instrumento que se propone en respuesta al numeral anterior?</w:t>
            </w:r>
          </w:p>
        </w:tc>
        <w:tc>
          <w:tcPr>
            <w:tcW w:w="837" w:type="pct"/>
            <w:noWrap/>
            <w:hideMark/>
          </w:tcPr>
          <w:p w:rsidR="00FF2395" w:rsidRPr="005D131A" w:rsidRDefault="00FF2395" w:rsidP="005D131A">
            <w:pPr>
              <w:jc w:val="center"/>
              <w:rPr>
                <w:sz w:val="28"/>
                <w:szCs w:val="28"/>
              </w:rPr>
            </w:pPr>
            <w:r w:rsidRPr="005D131A">
              <w:rPr>
                <w:sz w:val="28"/>
                <w:szCs w:val="28"/>
              </w:rPr>
              <w:t>Acemi</w:t>
            </w:r>
          </w:p>
        </w:tc>
        <w:tc>
          <w:tcPr>
            <w:tcW w:w="2915" w:type="pct"/>
            <w:hideMark/>
          </w:tcPr>
          <w:p w:rsidR="00015B69" w:rsidRPr="005D131A" w:rsidRDefault="00FF2395" w:rsidP="005D131A">
            <w:pPr>
              <w:rPr>
                <w:sz w:val="28"/>
                <w:szCs w:val="28"/>
              </w:rPr>
            </w:pPr>
            <w:r w:rsidRPr="005D131A">
              <w:rPr>
                <w:sz w:val="28"/>
                <w:szCs w:val="28"/>
              </w:rPr>
              <w:t>Preci</w:t>
            </w:r>
            <w:r w:rsidR="001376FA" w:rsidRPr="005D131A">
              <w:rPr>
                <w:sz w:val="28"/>
                <w:szCs w:val="28"/>
              </w:rPr>
              <w:t xml:space="preserve">só </w:t>
            </w:r>
            <w:r w:rsidRPr="005D131A">
              <w:rPr>
                <w:sz w:val="28"/>
                <w:szCs w:val="28"/>
              </w:rPr>
              <w:t>que el trámite debería contar con un ente a</w:t>
            </w:r>
            <w:r w:rsidR="00015B69" w:rsidRPr="005D131A">
              <w:rPr>
                <w:sz w:val="28"/>
                <w:szCs w:val="28"/>
              </w:rPr>
              <w:t xml:space="preserve">utorizador con </w:t>
            </w:r>
            <w:r w:rsidRPr="005D131A">
              <w:rPr>
                <w:sz w:val="28"/>
                <w:szCs w:val="28"/>
              </w:rPr>
              <w:t xml:space="preserve">legitimidad para comprometer los recursos de la salud. Adicionalmente, pidió que existiera unidad de criterio al momento de otorgar servicios, para lograr un trato igual a todos los ciudadanos. Para ello propuso verificar que: </w:t>
            </w:r>
            <w:r w:rsidRPr="005D131A">
              <w:rPr>
                <w:i/>
                <w:sz w:val="28"/>
                <w:szCs w:val="28"/>
              </w:rPr>
              <w:t xml:space="preserve">i) </w:t>
            </w:r>
            <w:r w:rsidRPr="005D131A">
              <w:rPr>
                <w:sz w:val="28"/>
                <w:szCs w:val="28"/>
              </w:rPr>
              <w:t xml:space="preserve">el servicio sea indispensable para garantizar la vida, </w:t>
            </w:r>
            <w:r w:rsidRPr="005D131A">
              <w:rPr>
                <w:i/>
                <w:sz w:val="28"/>
                <w:szCs w:val="28"/>
              </w:rPr>
              <w:t>ii)</w:t>
            </w:r>
            <w:r w:rsidRPr="005D131A">
              <w:rPr>
                <w:sz w:val="28"/>
                <w:szCs w:val="28"/>
              </w:rPr>
              <w:t xml:space="preserve"> no exista alternativa de manejo incluida en el plan, </w:t>
            </w:r>
            <w:r w:rsidRPr="005D131A">
              <w:rPr>
                <w:i/>
                <w:sz w:val="28"/>
                <w:szCs w:val="28"/>
              </w:rPr>
              <w:t xml:space="preserve">iii) </w:t>
            </w:r>
            <w:r w:rsidRPr="005D131A">
              <w:rPr>
                <w:sz w:val="28"/>
                <w:szCs w:val="28"/>
              </w:rPr>
              <w:t xml:space="preserve">el usuario no cuente con capacidad de pago o coberturas adicionales y </w:t>
            </w:r>
            <w:r w:rsidRPr="005D131A">
              <w:rPr>
                <w:i/>
                <w:sz w:val="28"/>
                <w:szCs w:val="28"/>
              </w:rPr>
              <w:t xml:space="preserve">iii) </w:t>
            </w:r>
            <w:r w:rsidRPr="005D131A">
              <w:rPr>
                <w:sz w:val="28"/>
                <w:szCs w:val="28"/>
              </w:rPr>
              <w:t xml:space="preserve">que exista disponibilidad de oferta en el país. </w:t>
            </w:r>
          </w:p>
          <w:p w:rsidR="00FF2395" w:rsidRPr="005D131A" w:rsidRDefault="00FF2395" w:rsidP="005D131A">
            <w:pPr>
              <w:tabs>
                <w:tab w:val="left" w:pos="1170"/>
              </w:tabs>
              <w:rPr>
                <w:sz w:val="28"/>
                <w:szCs w:val="28"/>
              </w:rPr>
            </w:pPr>
          </w:p>
        </w:tc>
      </w:tr>
      <w:tr w:rsidR="0010093F" w:rsidRPr="005D131A" w:rsidTr="00B577ED">
        <w:trPr>
          <w:trHeight w:val="1515"/>
        </w:trPr>
        <w:tc>
          <w:tcPr>
            <w:tcW w:w="1248" w:type="pct"/>
            <w:vMerge/>
            <w:hideMark/>
          </w:tcPr>
          <w:p w:rsidR="00FF2395" w:rsidRPr="005D131A" w:rsidRDefault="00FF2395" w:rsidP="005D131A">
            <w:pPr>
              <w:rPr>
                <w:b/>
                <w:sz w:val="28"/>
                <w:szCs w:val="28"/>
              </w:rPr>
            </w:pPr>
          </w:p>
        </w:tc>
        <w:tc>
          <w:tcPr>
            <w:tcW w:w="837" w:type="pct"/>
            <w:noWrap/>
            <w:hideMark/>
          </w:tcPr>
          <w:p w:rsidR="00FF2395" w:rsidRPr="005D131A" w:rsidRDefault="00FF2395" w:rsidP="005D131A">
            <w:pPr>
              <w:jc w:val="center"/>
              <w:rPr>
                <w:sz w:val="28"/>
                <w:szCs w:val="28"/>
              </w:rPr>
            </w:pPr>
            <w:r w:rsidRPr="005D131A">
              <w:rPr>
                <w:sz w:val="28"/>
                <w:szCs w:val="28"/>
              </w:rPr>
              <w:t>Gestarsalud</w:t>
            </w:r>
          </w:p>
        </w:tc>
        <w:tc>
          <w:tcPr>
            <w:tcW w:w="2915" w:type="pct"/>
            <w:hideMark/>
          </w:tcPr>
          <w:p w:rsidR="00FF2395" w:rsidRPr="005D131A" w:rsidRDefault="00FF2395" w:rsidP="005D131A">
            <w:pPr>
              <w:rPr>
                <w:sz w:val="28"/>
                <w:szCs w:val="28"/>
              </w:rPr>
            </w:pPr>
            <w:r w:rsidRPr="005D131A">
              <w:rPr>
                <w:sz w:val="28"/>
                <w:szCs w:val="28"/>
              </w:rPr>
              <w:t xml:space="preserve">El formato debe contener al menos: </w:t>
            </w:r>
            <w:r w:rsidRPr="005D131A">
              <w:rPr>
                <w:i/>
                <w:sz w:val="28"/>
                <w:szCs w:val="28"/>
              </w:rPr>
              <w:t xml:space="preserve">i) </w:t>
            </w:r>
            <w:r w:rsidRPr="005D131A">
              <w:rPr>
                <w:sz w:val="28"/>
                <w:szCs w:val="28"/>
              </w:rPr>
              <w:t xml:space="preserve">datos de identificación del afiliado, </w:t>
            </w:r>
            <w:r w:rsidRPr="005D131A">
              <w:rPr>
                <w:i/>
                <w:sz w:val="28"/>
                <w:szCs w:val="28"/>
              </w:rPr>
              <w:t xml:space="preserve">ii) </w:t>
            </w:r>
            <w:r w:rsidRPr="005D131A">
              <w:rPr>
                <w:sz w:val="28"/>
                <w:szCs w:val="28"/>
              </w:rPr>
              <w:t xml:space="preserve">resumen de los antecedentes clínicos, </w:t>
            </w:r>
            <w:r w:rsidRPr="005D131A">
              <w:rPr>
                <w:i/>
                <w:sz w:val="28"/>
                <w:szCs w:val="28"/>
              </w:rPr>
              <w:t xml:space="preserve">iii) </w:t>
            </w:r>
            <w:r w:rsidRPr="005D131A">
              <w:rPr>
                <w:sz w:val="28"/>
                <w:szCs w:val="28"/>
              </w:rPr>
              <w:t xml:space="preserve">resultados de los paraclínicos relevantes, </w:t>
            </w:r>
            <w:r w:rsidRPr="005D131A">
              <w:rPr>
                <w:i/>
                <w:sz w:val="28"/>
                <w:szCs w:val="28"/>
              </w:rPr>
              <w:t>iv)</w:t>
            </w:r>
            <w:r w:rsidRPr="005D131A">
              <w:rPr>
                <w:sz w:val="28"/>
                <w:szCs w:val="28"/>
              </w:rPr>
              <w:t xml:space="preserve"> relación de tratamientos anteriores con especificación de tiempo de duración del tratamiento y la respuesta del paciente a los mismos,</w:t>
            </w:r>
            <w:r w:rsidRPr="005D131A">
              <w:rPr>
                <w:i/>
                <w:sz w:val="28"/>
                <w:szCs w:val="28"/>
              </w:rPr>
              <w:t xml:space="preserve"> v) </w:t>
            </w:r>
            <w:r w:rsidRPr="005D131A">
              <w:rPr>
                <w:sz w:val="28"/>
                <w:szCs w:val="28"/>
              </w:rPr>
              <w:t>análisis del ca</w:t>
            </w:r>
            <w:r w:rsidR="00015B69" w:rsidRPr="005D131A">
              <w:rPr>
                <w:sz w:val="28"/>
                <w:szCs w:val="28"/>
              </w:rPr>
              <w:t>so en el cual el médico concluya</w:t>
            </w:r>
            <w:r w:rsidRPr="005D131A">
              <w:rPr>
                <w:sz w:val="28"/>
                <w:szCs w:val="28"/>
              </w:rPr>
              <w:t xml:space="preserve"> que la alternativa no POS o excluida del</w:t>
            </w:r>
            <w:r w:rsidR="00015B69" w:rsidRPr="005D131A">
              <w:rPr>
                <w:sz w:val="28"/>
                <w:szCs w:val="28"/>
              </w:rPr>
              <w:t xml:space="preserve"> mismo, </w:t>
            </w:r>
            <w:r w:rsidRPr="005D131A">
              <w:rPr>
                <w:sz w:val="28"/>
                <w:szCs w:val="28"/>
              </w:rPr>
              <w:t xml:space="preserve">es la que el paciente requiere con necesidad, </w:t>
            </w:r>
            <w:r w:rsidRPr="005D131A">
              <w:rPr>
                <w:i/>
                <w:sz w:val="28"/>
                <w:szCs w:val="28"/>
              </w:rPr>
              <w:t>vi)</w:t>
            </w:r>
            <w:r w:rsidRPr="005D131A">
              <w:rPr>
                <w:sz w:val="28"/>
                <w:szCs w:val="28"/>
              </w:rPr>
              <w:t xml:space="preserve"> e</w:t>
            </w:r>
            <w:r w:rsidR="00015B69" w:rsidRPr="005D131A">
              <w:rPr>
                <w:sz w:val="28"/>
                <w:szCs w:val="28"/>
              </w:rPr>
              <w:t xml:space="preserve">videncia científica que soporte </w:t>
            </w:r>
            <w:r w:rsidRPr="005D131A">
              <w:rPr>
                <w:sz w:val="28"/>
                <w:szCs w:val="28"/>
              </w:rPr>
              <w:t xml:space="preserve">la anterior valoración, </w:t>
            </w:r>
            <w:r w:rsidRPr="005D131A">
              <w:rPr>
                <w:i/>
                <w:sz w:val="28"/>
                <w:szCs w:val="28"/>
              </w:rPr>
              <w:t>vii)</w:t>
            </w:r>
            <w:r w:rsidRPr="005D131A">
              <w:rPr>
                <w:sz w:val="28"/>
                <w:szCs w:val="28"/>
              </w:rPr>
              <w:t xml:space="preserve"> solicitud explícita y</w:t>
            </w:r>
            <w:r w:rsidRPr="005D131A">
              <w:rPr>
                <w:i/>
                <w:sz w:val="28"/>
                <w:szCs w:val="28"/>
              </w:rPr>
              <w:t xml:space="preserve"> viii) </w:t>
            </w:r>
            <w:r w:rsidRPr="005D131A">
              <w:rPr>
                <w:sz w:val="28"/>
                <w:szCs w:val="28"/>
              </w:rPr>
              <w:t xml:space="preserve">los campos que </w:t>
            </w:r>
            <w:r w:rsidR="00015B69" w:rsidRPr="005D131A">
              <w:rPr>
                <w:sz w:val="28"/>
                <w:szCs w:val="28"/>
              </w:rPr>
              <w:t xml:space="preserve">de manera exclusiva deban ser </w:t>
            </w:r>
            <w:r w:rsidRPr="005D131A">
              <w:rPr>
                <w:sz w:val="28"/>
                <w:szCs w:val="28"/>
              </w:rPr>
              <w:t xml:space="preserve">diligenciados por el CTC. </w:t>
            </w:r>
          </w:p>
        </w:tc>
      </w:tr>
      <w:tr w:rsidR="0010093F" w:rsidRPr="005D131A" w:rsidTr="00B577ED">
        <w:trPr>
          <w:trHeight w:val="1140"/>
        </w:trPr>
        <w:tc>
          <w:tcPr>
            <w:tcW w:w="1248" w:type="pct"/>
            <w:vMerge/>
          </w:tcPr>
          <w:p w:rsidR="00FF2395" w:rsidRPr="005D131A" w:rsidRDefault="00FF2395" w:rsidP="005D131A">
            <w:pPr>
              <w:rPr>
                <w:b/>
                <w:sz w:val="28"/>
                <w:szCs w:val="28"/>
              </w:rPr>
            </w:pPr>
          </w:p>
        </w:tc>
        <w:tc>
          <w:tcPr>
            <w:tcW w:w="837" w:type="pct"/>
            <w:noWrap/>
          </w:tcPr>
          <w:p w:rsidR="00FF2395" w:rsidRPr="005D131A" w:rsidRDefault="00FF2395" w:rsidP="005D131A">
            <w:pPr>
              <w:jc w:val="center"/>
              <w:rPr>
                <w:sz w:val="28"/>
                <w:szCs w:val="28"/>
              </w:rPr>
            </w:pPr>
          </w:p>
          <w:p w:rsidR="00FF2395" w:rsidRPr="005D131A" w:rsidRDefault="00FF2395" w:rsidP="005D131A">
            <w:pPr>
              <w:jc w:val="center"/>
              <w:rPr>
                <w:sz w:val="28"/>
                <w:szCs w:val="28"/>
              </w:rPr>
            </w:pPr>
            <w:r w:rsidRPr="005D131A">
              <w:rPr>
                <w:sz w:val="28"/>
                <w:szCs w:val="28"/>
              </w:rPr>
              <w:t>Corporación Viva la Ciudadanía y CSR</w:t>
            </w:r>
          </w:p>
        </w:tc>
        <w:tc>
          <w:tcPr>
            <w:tcW w:w="2915" w:type="pct"/>
          </w:tcPr>
          <w:p w:rsidR="00FF2395" w:rsidRPr="005D131A" w:rsidRDefault="00FF2395" w:rsidP="005D131A">
            <w:pPr>
              <w:rPr>
                <w:sz w:val="28"/>
                <w:szCs w:val="28"/>
              </w:rPr>
            </w:pPr>
            <w:r w:rsidRPr="005D131A">
              <w:rPr>
                <w:sz w:val="28"/>
                <w:szCs w:val="28"/>
              </w:rPr>
              <w:t>Precisó que como característica básica debe haber una clara diferenciación del trámi</w:t>
            </w:r>
            <w:r w:rsidR="00522A83" w:rsidRPr="005D131A">
              <w:rPr>
                <w:sz w:val="28"/>
                <w:szCs w:val="28"/>
              </w:rPr>
              <w:t>te administrativo de recobro</w:t>
            </w:r>
            <w:r w:rsidRPr="005D131A">
              <w:rPr>
                <w:sz w:val="28"/>
                <w:szCs w:val="28"/>
              </w:rPr>
              <w:t xml:space="preserve"> que debe realizar el usuario para acceder a servicios NO POS. Así mismo,</w:t>
            </w:r>
            <w:r w:rsidR="00522A83" w:rsidRPr="005D131A">
              <w:rPr>
                <w:sz w:val="28"/>
                <w:szCs w:val="28"/>
              </w:rPr>
              <w:t xml:space="preserve"> consideró que</w:t>
            </w:r>
            <w:r w:rsidRPr="005D131A">
              <w:rPr>
                <w:sz w:val="28"/>
                <w:szCs w:val="28"/>
              </w:rPr>
              <w:t xml:space="preserve"> se debe definir el procedimiento para la autorización de servicios NO POS que contenga la clarificación </w:t>
            </w:r>
            <w:r w:rsidR="005714B1" w:rsidRPr="005D131A">
              <w:rPr>
                <w:sz w:val="28"/>
                <w:szCs w:val="28"/>
              </w:rPr>
              <w:t>específica</w:t>
            </w:r>
            <w:r w:rsidRPr="005D131A">
              <w:rPr>
                <w:sz w:val="28"/>
                <w:szCs w:val="28"/>
              </w:rPr>
              <w:t xml:space="preserve"> de los contenidos del POS, además de establecer los contenidos y mecanismos de control y sanción a las EPS que incumplan con sus responsabilidades. </w:t>
            </w:r>
          </w:p>
        </w:tc>
      </w:tr>
      <w:tr w:rsidR="0010093F" w:rsidRPr="005D131A" w:rsidTr="00B577ED">
        <w:trPr>
          <w:trHeight w:val="708"/>
        </w:trPr>
        <w:tc>
          <w:tcPr>
            <w:tcW w:w="1248" w:type="pct"/>
            <w:vMerge/>
          </w:tcPr>
          <w:p w:rsidR="00FF2395" w:rsidRPr="005D131A" w:rsidRDefault="00FF2395" w:rsidP="005D131A">
            <w:pPr>
              <w:rPr>
                <w:b/>
                <w:sz w:val="28"/>
                <w:szCs w:val="28"/>
              </w:rPr>
            </w:pPr>
          </w:p>
        </w:tc>
        <w:tc>
          <w:tcPr>
            <w:tcW w:w="837" w:type="pct"/>
            <w:noWrap/>
          </w:tcPr>
          <w:p w:rsidR="00FF2395" w:rsidRPr="005D131A" w:rsidRDefault="00FF2395" w:rsidP="005D131A">
            <w:pPr>
              <w:jc w:val="center"/>
              <w:rPr>
                <w:sz w:val="28"/>
                <w:szCs w:val="28"/>
              </w:rPr>
            </w:pPr>
            <w:r w:rsidRPr="005D131A">
              <w:rPr>
                <w:sz w:val="28"/>
                <w:szCs w:val="28"/>
              </w:rPr>
              <w:t>Así Vamos en Salud</w:t>
            </w:r>
          </w:p>
        </w:tc>
        <w:tc>
          <w:tcPr>
            <w:tcW w:w="2915" w:type="pct"/>
          </w:tcPr>
          <w:p w:rsidR="00FF2395" w:rsidRPr="005D131A" w:rsidRDefault="00FF2395" w:rsidP="005D131A">
            <w:pPr>
              <w:rPr>
                <w:sz w:val="28"/>
                <w:szCs w:val="28"/>
              </w:rPr>
            </w:pPr>
          </w:p>
          <w:p w:rsidR="00FF2395" w:rsidRPr="005D131A" w:rsidRDefault="00522A83" w:rsidP="005D131A">
            <w:pPr>
              <w:rPr>
                <w:sz w:val="28"/>
                <w:szCs w:val="28"/>
              </w:rPr>
            </w:pPr>
            <w:r w:rsidRPr="005D131A">
              <w:rPr>
                <w:sz w:val="28"/>
                <w:szCs w:val="28"/>
              </w:rPr>
              <w:t xml:space="preserve">No se dio </w:t>
            </w:r>
            <w:r w:rsidR="00FF2395" w:rsidRPr="005D131A">
              <w:rPr>
                <w:sz w:val="28"/>
                <w:szCs w:val="28"/>
              </w:rPr>
              <w:t xml:space="preserve">respuesta al interrogante No. 2 </w:t>
            </w:r>
          </w:p>
        </w:tc>
      </w:tr>
      <w:tr w:rsidR="0010093F" w:rsidRPr="005D131A" w:rsidTr="00B577ED">
        <w:trPr>
          <w:trHeight w:val="870"/>
        </w:trPr>
        <w:tc>
          <w:tcPr>
            <w:tcW w:w="1248" w:type="pct"/>
            <w:vMerge w:val="restart"/>
            <w:hideMark/>
          </w:tcPr>
          <w:p w:rsidR="00FF2395" w:rsidRPr="005D131A" w:rsidRDefault="00FF2395" w:rsidP="005D131A">
            <w:pPr>
              <w:rPr>
                <w:sz w:val="28"/>
                <w:szCs w:val="28"/>
              </w:rPr>
            </w:pPr>
            <w:r w:rsidRPr="005D131A">
              <w:rPr>
                <w:sz w:val="28"/>
                <w:szCs w:val="28"/>
              </w:rPr>
              <w:t>3. De acuerdo con el mecanismo propuesto, ¿cuál sería el tiempo aproximado para que, una vez presentada la solicitud de autorización de un servicio no incluido o excluido del POS, por parte del médico tratante ante la EPS, esta dé respuesta a la misma?</w:t>
            </w:r>
          </w:p>
        </w:tc>
        <w:tc>
          <w:tcPr>
            <w:tcW w:w="837" w:type="pct"/>
            <w:noWrap/>
            <w:hideMark/>
          </w:tcPr>
          <w:p w:rsidR="00FF2395" w:rsidRPr="005D131A" w:rsidRDefault="00FF2395" w:rsidP="005D131A">
            <w:pPr>
              <w:jc w:val="center"/>
              <w:rPr>
                <w:sz w:val="28"/>
                <w:szCs w:val="28"/>
              </w:rPr>
            </w:pPr>
            <w:r w:rsidRPr="005D131A">
              <w:rPr>
                <w:sz w:val="28"/>
                <w:szCs w:val="28"/>
              </w:rPr>
              <w:t>Acemi</w:t>
            </w:r>
          </w:p>
        </w:tc>
        <w:tc>
          <w:tcPr>
            <w:tcW w:w="2915" w:type="pct"/>
            <w:hideMark/>
          </w:tcPr>
          <w:p w:rsidR="00FF2395" w:rsidRPr="005D131A" w:rsidRDefault="00FF2395" w:rsidP="005D131A">
            <w:pPr>
              <w:rPr>
                <w:sz w:val="28"/>
                <w:szCs w:val="28"/>
              </w:rPr>
            </w:pPr>
            <w:r w:rsidRPr="005D131A">
              <w:rPr>
                <w:sz w:val="28"/>
                <w:szCs w:val="28"/>
              </w:rPr>
              <w:t>Manifestó, que el tiempo promedio sería de una semana o dos para aquellos casos cuyo análisis sea de mayor complejidad. Sin embargo, en casos de urgencias el médico tratante debe autorizar el servicio requerido</w:t>
            </w:r>
            <w:r w:rsidR="00015B69" w:rsidRPr="005D131A">
              <w:rPr>
                <w:sz w:val="28"/>
                <w:szCs w:val="28"/>
              </w:rPr>
              <w:t xml:space="preserve"> sin necesidad de autorización y luego de prestado el mismo, </w:t>
            </w:r>
            <w:r w:rsidRPr="005D131A">
              <w:rPr>
                <w:sz w:val="28"/>
                <w:szCs w:val="28"/>
              </w:rPr>
              <w:t>lo remitirá al proveedor que haga parte de la red del Ministerio.</w:t>
            </w:r>
          </w:p>
        </w:tc>
      </w:tr>
      <w:tr w:rsidR="0010093F" w:rsidRPr="005D131A" w:rsidTr="00B577ED">
        <w:trPr>
          <w:trHeight w:val="1380"/>
        </w:trPr>
        <w:tc>
          <w:tcPr>
            <w:tcW w:w="1248" w:type="pct"/>
            <w:vMerge/>
            <w:hideMark/>
          </w:tcPr>
          <w:p w:rsidR="00FF2395" w:rsidRPr="005D131A" w:rsidRDefault="00FF2395" w:rsidP="005D131A">
            <w:pPr>
              <w:rPr>
                <w:b/>
                <w:sz w:val="28"/>
                <w:szCs w:val="28"/>
              </w:rPr>
            </w:pPr>
          </w:p>
        </w:tc>
        <w:tc>
          <w:tcPr>
            <w:tcW w:w="837" w:type="pct"/>
            <w:noWrap/>
            <w:hideMark/>
          </w:tcPr>
          <w:p w:rsidR="00FF2395" w:rsidRPr="005D131A" w:rsidRDefault="00FF2395" w:rsidP="005D131A">
            <w:pPr>
              <w:jc w:val="center"/>
              <w:rPr>
                <w:sz w:val="28"/>
                <w:szCs w:val="28"/>
              </w:rPr>
            </w:pPr>
            <w:r w:rsidRPr="005D131A">
              <w:rPr>
                <w:sz w:val="28"/>
                <w:szCs w:val="28"/>
              </w:rPr>
              <w:t>Gestarsalud</w:t>
            </w:r>
          </w:p>
        </w:tc>
        <w:tc>
          <w:tcPr>
            <w:tcW w:w="2915" w:type="pct"/>
            <w:hideMark/>
          </w:tcPr>
          <w:p w:rsidR="00FF2395" w:rsidRPr="005D131A" w:rsidRDefault="00FF2395" w:rsidP="005D131A">
            <w:pPr>
              <w:rPr>
                <w:sz w:val="28"/>
                <w:szCs w:val="28"/>
              </w:rPr>
            </w:pPr>
            <w:r w:rsidRPr="005D131A">
              <w:rPr>
                <w:sz w:val="28"/>
                <w:szCs w:val="28"/>
              </w:rPr>
              <w:t>Explicó que tratándose de tecnologías en salud requeridas en atención de urgencia o durante un acto quirúrgico, no estará sujeto a trá</w:t>
            </w:r>
            <w:r w:rsidR="00015B69" w:rsidRPr="005D131A">
              <w:rPr>
                <w:sz w:val="28"/>
                <w:szCs w:val="28"/>
              </w:rPr>
              <w:t>mites ante el CTC. Señaló,</w:t>
            </w:r>
            <w:r w:rsidRPr="005D131A">
              <w:rPr>
                <w:sz w:val="28"/>
                <w:szCs w:val="28"/>
              </w:rPr>
              <w:t xml:space="preserve"> que en las salas de observación u hospitalización la autorización no debe superar las 48 horas y que los demás servicios deben atender los tiempos de la Circular 056 de 2009</w:t>
            </w:r>
            <w:r w:rsidRPr="005D131A">
              <w:rPr>
                <w:sz w:val="28"/>
                <w:szCs w:val="28"/>
                <w:vertAlign w:val="superscript"/>
              </w:rPr>
              <w:footnoteReference w:id="61"/>
            </w:r>
            <w:r w:rsidRPr="005D131A">
              <w:rPr>
                <w:sz w:val="28"/>
                <w:szCs w:val="28"/>
              </w:rPr>
              <w:t xml:space="preserve"> de la Superintendencia de Salud. Para medicamentos que no están disponibles en el país, se deberá tener en cuenta el tiempo de compra y de importación.</w:t>
            </w:r>
          </w:p>
        </w:tc>
      </w:tr>
      <w:tr w:rsidR="0010093F" w:rsidRPr="005D131A" w:rsidTr="00B577ED">
        <w:trPr>
          <w:trHeight w:val="983"/>
        </w:trPr>
        <w:tc>
          <w:tcPr>
            <w:tcW w:w="1248" w:type="pct"/>
            <w:vMerge/>
          </w:tcPr>
          <w:p w:rsidR="00FF2395" w:rsidRPr="005D131A" w:rsidRDefault="00FF2395" w:rsidP="005D131A">
            <w:pPr>
              <w:rPr>
                <w:b/>
                <w:sz w:val="28"/>
                <w:szCs w:val="28"/>
              </w:rPr>
            </w:pPr>
          </w:p>
        </w:tc>
        <w:tc>
          <w:tcPr>
            <w:tcW w:w="837" w:type="pct"/>
            <w:noWrap/>
          </w:tcPr>
          <w:p w:rsidR="00FF2395" w:rsidRPr="005D131A" w:rsidRDefault="00FF2395" w:rsidP="005D131A">
            <w:pPr>
              <w:jc w:val="center"/>
              <w:rPr>
                <w:sz w:val="28"/>
                <w:szCs w:val="28"/>
              </w:rPr>
            </w:pPr>
            <w:r w:rsidRPr="005D131A">
              <w:rPr>
                <w:sz w:val="28"/>
                <w:szCs w:val="28"/>
              </w:rPr>
              <w:t>Corporación Viva la Ciudadanía y CSR</w:t>
            </w:r>
          </w:p>
        </w:tc>
        <w:tc>
          <w:tcPr>
            <w:tcW w:w="2915" w:type="pct"/>
          </w:tcPr>
          <w:p w:rsidR="00FF2395" w:rsidRPr="005D131A" w:rsidRDefault="00FF2395" w:rsidP="005D131A">
            <w:pPr>
              <w:rPr>
                <w:sz w:val="28"/>
                <w:szCs w:val="28"/>
              </w:rPr>
            </w:pPr>
            <w:r w:rsidRPr="005D131A">
              <w:rPr>
                <w:sz w:val="28"/>
                <w:szCs w:val="28"/>
              </w:rPr>
              <w:t>Adujo que si los actores del sistema tienen claridad sobre sus responsabilidades así como los contenidos del POS y no POS, “</w:t>
            </w:r>
            <w:r w:rsidRPr="005D131A">
              <w:rPr>
                <w:i/>
                <w:sz w:val="28"/>
                <w:szCs w:val="28"/>
              </w:rPr>
              <w:t>la autorización debe</w:t>
            </w:r>
            <w:r w:rsidR="00AD0A8C" w:rsidRPr="005D131A">
              <w:rPr>
                <w:i/>
                <w:sz w:val="28"/>
                <w:szCs w:val="28"/>
              </w:rPr>
              <w:t>ría ser prácticamente inmediata</w:t>
            </w:r>
            <w:r w:rsidRPr="005D131A">
              <w:rPr>
                <w:i/>
                <w:sz w:val="28"/>
                <w:szCs w:val="28"/>
              </w:rPr>
              <w:t>”</w:t>
            </w:r>
            <w:r w:rsidR="00AD0A8C" w:rsidRPr="005D131A">
              <w:rPr>
                <w:i/>
                <w:sz w:val="28"/>
                <w:szCs w:val="28"/>
              </w:rPr>
              <w:t>.</w:t>
            </w:r>
          </w:p>
        </w:tc>
      </w:tr>
      <w:tr w:rsidR="0010093F" w:rsidRPr="005D131A" w:rsidTr="00B577ED">
        <w:trPr>
          <w:trHeight w:val="546"/>
        </w:trPr>
        <w:tc>
          <w:tcPr>
            <w:tcW w:w="1248" w:type="pct"/>
            <w:vMerge/>
          </w:tcPr>
          <w:p w:rsidR="00FF2395" w:rsidRPr="005D131A" w:rsidRDefault="00FF2395" w:rsidP="005D131A">
            <w:pPr>
              <w:rPr>
                <w:b/>
                <w:sz w:val="28"/>
                <w:szCs w:val="28"/>
              </w:rPr>
            </w:pPr>
          </w:p>
        </w:tc>
        <w:tc>
          <w:tcPr>
            <w:tcW w:w="837" w:type="pct"/>
            <w:noWrap/>
          </w:tcPr>
          <w:p w:rsidR="00FF2395" w:rsidRPr="005D131A" w:rsidRDefault="00FF2395" w:rsidP="005D131A">
            <w:pPr>
              <w:jc w:val="center"/>
              <w:rPr>
                <w:sz w:val="28"/>
                <w:szCs w:val="28"/>
              </w:rPr>
            </w:pPr>
            <w:r w:rsidRPr="005D131A">
              <w:rPr>
                <w:sz w:val="28"/>
                <w:szCs w:val="28"/>
              </w:rPr>
              <w:t>Así Vamos en Salud</w:t>
            </w:r>
          </w:p>
        </w:tc>
        <w:tc>
          <w:tcPr>
            <w:tcW w:w="2915" w:type="pct"/>
          </w:tcPr>
          <w:p w:rsidR="00FF2395" w:rsidRPr="005D131A" w:rsidRDefault="00FF2395" w:rsidP="005D131A">
            <w:pPr>
              <w:rPr>
                <w:sz w:val="28"/>
                <w:szCs w:val="28"/>
              </w:rPr>
            </w:pPr>
            <w:r w:rsidRPr="005D131A">
              <w:rPr>
                <w:sz w:val="28"/>
                <w:szCs w:val="28"/>
              </w:rPr>
              <w:t xml:space="preserve">Manifestó que </w:t>
            </w:r>
            <w:r w:rsidRPr="005D131A">
              <w:rPr>
                <w:i/>
                <w:sz w:val="28"/>
                <w:szCs w:val="28"/>
              </w:rPr>
              <w:t xml:space="preserve">“el tiempo que establece la norma es el adecuado” </w:t>
            </w:r>
            <w:r w:rsidRPr="005D131A">
              <w:rPr>
                <w:sz w:val="28"/>
                <w:szCs w:val="28"/>
              </w:rPr>
              <w:t>y reiteró que el problema es el incumplimiento.</w:t>
            </w:r>
            <w:r w:rsidRPr="005D131A">
              <w:rPr>
                <w:i/>
                <w:sz w:val="28"/>
                <w:szCs w:val="28"/>
              </w:rPr>
              <w:t xml:space="preserve"> </w:t>
            </w:r>
          </w:p>
        </w:tc>
      </w:tr>
      <w:tr w:rsidR="0010093F" w:rsidRPr="005D131A" w:rsidTr="00B577ED">
        <w:trPr>
          <w:trHeight w:val="1215"/>
        </w:trPr>
        <w:tc>
          <w:tcPr>
            <w:tcW w:w="1248" w:type="pct"/>
            <w:vMerge w:val="restart"/>
            <w:hideMark/>
          </w:tcPr>
          <w:p w:rsidR="00FF2395" w:rsidRPr="005D131A" w:rsidRDefault="00FF2395" w:rsidP="005D131A">
            <w:pPr>
              <w:rPr>
                <w:sz w:val="28"/>
                <w:szCs w:val="28"/>
              </w:rPr>
            </w:pPr>
            <w:r w:rsidRPr="005D131A">
              <w:rPr>
                <w:sz w:val="28"/>
                <w:szCs w:val="28"/>
              </w:rPr>
              <w:t>4. En caso de implementarse el procedimiento propuesto, ¿cuáles serían las consecuencias para la EPS que no dé respuesta a la solicitud de autorización en el término establecido?</w:t>
            </w:r>
          </w:p>
        </w:tc>
        <w:tc>
          <w:tcPr>
            <w:tcW w:w="837" w:type="pct"/>
            <w:noWrap/>
            <w:hideMark/>
          </w:tcPr>
          <w:p w:rsidR="00FF2395" w:rsidRPr="005D131A" w:rsidRDefault="00FF2395" w:rsidP="005D131A">
            <w:pPr>
              <w:jc w:val="center"/>
              <w:rPr>
                <w:sz w:val="28"/>
                <w:szCs w:val="28"/>
              </w:rPr>
            </w:pPr>
            <w:r w:rsidRPr="005D131A">
              <w:rPr>
                <w:sz w:val="28"/>
                <w:szCs w:val="28"/>
              </w:rPr>
              <w:t>Acemi</w:t>
            </w:r>
          </w:p>
        </w:tc>
        <w:tc>
          <w:tcPr>
            <w:tcW w:w="2915" w:type="pct"/>
            <w:hideMark/>
          </w:tcPr>
          <w:p w:rsidR="00FF2395" w:rsidRPr="005D131A" w:rsidRDefault="00FF2395" w:rsidP="005D131A">
            <w:pPr>
              <w:rPr>
                <w:sz w:val="28"/>
                <w:szCs w:val="28"/>
              </w:rPr>
            </w:pPr>
            <w:r w:rsidRPr="005D131A">
              <w:rPr>
                <w:sz w:val="28"/>
                <w:szCs w:val="28"/>
              </w:rPr>
              <w:t>Indicó que</w:t>
            </w:r>
            <w:r w:rsidR="00AD0A8C" w:rsidRPr="005D131A">
              <w:rPr>
                <w:sz w:val="28"/>
                <w:szCs w:val="28"/>
              </w:rPr>
              <w:t xml:space="preserve"> la obligación de entregar las</w:t>
            </w:r>
            <w:r w:rsidRPr="005D131A">
              <w:rPr>
                <w:sz w:val="28"/>
                <w:szCs w:val="28"/>
              </w:rPr>
              <w:t xml:space="preserve"> tecnologías</w:t>
            </w:r>
            <w:r w:rsidR="00AD0A8C" w:rsidRPr="005D131A">
              <w:rPr>
                <w:sz w:val="28"/>
                <w:szCs w:val="28"/>
              </w:rPr>
              <w:t xml:space="preserve"> en salud </w:t>
            </w:r>
            <w:r w:rsidRPr="005D131A">
              <w:rPr>
                <w:sz w:val="28"/>
                <w:szCs w:val="28"/>
              </w:rPr>
              <w:t xml:space="preserve"> le corresponde al Estado y no a las EPS, </w:t>
            </w:r>
            <w:r w:rsidRPr="005D131A">
              <w:rPr>
                <w:i/>
                <w:sz w:val="28"/>
                <w:szCs w:val="28"/>
              </w:rPr>
              <w:t xml:space="preserve">“deberá señalarse cuál es la consecuencia del incumplimiento por parte del médico tratante y del Ministerio de Salud y Protección Social”. </w:t>
            </w:r>
            <w:r w:rsidRPr="005D131A">
              <w:rPr>
                <w:sz w:val="28"/>
                <w:szCs w:val="28"/>
              </w:rPr>
              <w:t>Adicionalmente, se tienen que establecer mecanismos de seguimiento de las prescripciones no pertinentes, para adoptar políticas de educación y fortalecimiento del recurso humano.</w:t>
            </w:r>
          </w:p>
          <w:p w:rsidR="00FF2395" w:rsidRPr="005D131A" w:rsidRDefault="00FF2395" w:rsidP="005D131A">
            <w:pPr>
              <w:rPr>
                <w:sz w:val="28"/>
                <w:szCs w:val="28"/>
              </w:rPr>
            </w:pPr>
          </w:p>
          <w:p w:rsidR="00FF2395" w:rsidRPr="005D131A" w:rsidRDefault="00FF2395" w:rsidP="005D131A">
            <w:pPr>
              <w:rPr>
                <w:sz w:val="28"/>
                <w:szCs w:val="28"/>
              </w:rPr>
            </w:pPr>
            <w:r w:rsidRPr="005D131A">
              <w:rPr>
                <w:sz w:val="28"/>
                <w:szCs w:val="28"/>
              </w:rPr>
              <w:t xml:space="preserve">Sin embargo, no advierte las </w:t>
            </w:r>
            <w:r w:rsidR="00AD0A8C" w:rsidRPr="005D131A">
              <w:rPr>
                <w:sz w:val="28"/>
                <w:szCs w:val="28"/>
              </w:rPr>
              <w:t xml:space="preserve">posibles consecuencias para aquellas EPS que incumplan responder dentro del término establecido </w:t>
            </w:r>
            <w:r w:rsidRPr="005D131A">
              <w:rPr>
                <w:sz w:val="28"/>
                <w:szCs w:val="28"/>
              </w:rPr>
              <w:t>la solicitud de autoriza</w:t>
            </w:r>
            <w:r w:rsidR="00AD0A8C" w:rsidRPr="005D131A">
              <w:rPr>
                <w:sz w:val="28"/>
                <w:szCs w:val="28"/>
              </w:rPr>
              <w:t xml:space="preserve">ción. </w:t>
            </w:r>
          </w:p>
        </w:tc>
      </w:tr>
      <w:tr w:rsidR="0010093F" w:rsidRPr="005D131A" w:rsidTr="00B577ED">
        <w:trPr>
          <w:trHeight w:val="1365"/>
        </w:trPr>
        <w:tc>
          <w:tcPr>
            <w:tcW w:w="1248" w:type="pct"/>
            <w:vMerge/>
            <w:hideMark/>
          </w:tcPr>
          <w:p w:rsidR="00FF2395" w:rsidRPr="005D131A" w:rsidRDefault="00FF2395" w:rsidP="005D131A">
            <w:pPr>
              <w:rPr>
                <w:b/>
                <w:sz w:val="28"/>
                <w:szCs w:val="28"/>
              </w:rPr>
            </w:pPr>
          </w:p>
        </w:tc>
        <w:tc>
          <w:tcPr>
            <w:tcW w:w="837" w:type="pct"/>
            <w:noWrap/>
            <w:hideMark/>
          </w:tcPr>
          <w:p w:rsidR="00FF2395" w:rsidRPr="005D131A" w:rsidRDefault="00FF2395" w:rsidP="005D131A">
            <w:pPr>
              <w:jc w:val="center"/>
              <w:rPr>
                <w:sz w:val="28"/>
                <w:szCs w:val="28"/>
              </w:rPr>
            </w:pPr>
            <w:r w:rsidRPr="005D131A">
              <w:rPr>
                <w:sz w:val="28"/>
                <w:szCs w:val="28"/>
              </w:rPr>
              <w:t>Gestarsalud</w:t>
            </w:r>
          </w:p>
        </w:tc>
        <w:tc>
          <w:tcPr>
            <w:tcW w:w="2915" w:type="pct"/>
            <w:hideMark/>
          </w:tcPr>
          <w:p w:rsidR="00FF2395" w:rsidRPr="005D131A" w:rsidRDefault="00FF2395" w:rsidP="005D131A">
            <w:pPr>
              <w:rPr>
                <w:sz w:val="28"/>
                <w:szCs w:val="28"/>
              </w:rPr>
            </w:pPr>
            <w:r w:rsidRPr="005D131A">
              <w:rPr>
                <w:sz w:val="28"/>
                <w:szCs w:val="28"/>
              </w:rPr>
              <w:t>En caso de que el CTC considere que el servicio n</w:t>
            </w:r>
            <w:r w:rsidR="00AD0A8C" w:rsidRPr="005D131A">
              <w:rPr>
                <w:sz w:val="28"/>
                <w:szCs w:val="28"/>
              </w:rPr>
              <w:t>o es pertinente o que no cuenta</w:t>
            </w:r>
            <w:r w:rsidRPr="005D131A">
              <w:rPr>
                <w:sz w:val="28"/>
                <w:szCs w:val="28"/>
              </w:rPr>
              <w:t xml:space="preserve"> con los elementos suficientes para decidir, se deberá respetar el concepto científico emitido por el citado organismo y el galeno deberá aportar más elementos de justificación científica, agotar las alternativas POS o recurrir a las opciones que plantea el procedimiento de CTC.</w:t>
            </w:r>
          </w:p>
          <w:p w:rsidR="00FF2395" w:rsidRPr="005D131A" w:rsidRDefault="00FF2395" w:rsidP="005D131A">
            <w:pPr>
              <w:rPr>
                <w:sz w:val="28"/>
                <w:szCs w:val="28"/>
              </w:rPr>
            </w:pPr>
            <w:r w:rsidRPr="005D131A">
              <w:rPr>
                <w:sz w:val="28"/>
                <w:szCs w:val="28"/>
              </w:rPr>
              <w:t>Si el concepto es favorable y la aseguradora no cumple con los tiemp</w:t>
            </w:r>
            <w:r w:rsidR="00AD0A8C" w:rsidRPr="005D131A">
              <w:rPr>
                <w:sz w:val="28"/>
                <w:szCs w:val="28"/>
              </w:rPr>
              <w:t>os señalados para la prestación del servicio,</w:t>
            </w:r>
            <w:r w:rsidRPr="005D131A">
              <w:rPr>
                <w:sz w:val="28"/>
                <w:szCs w:val="28"/>
              </w:rPr>
              <w:t xml:space="preserve"> deberá ser evaluada por el Sistema de Inspección, Vigilancia y Control, </w:t>
            </w:r>
            <w:r w:rsidR="00AD0A8C" w:rsidRPr="005D131A">
              <w:rPr>
                <w:sz w:val="28"/>
                <w:szCs w:val="28"/>
              </w:rPr>
              <w:t xml:space="preserve">que deberá determinar la falta y </w:t>
            </w:r>
            <w:r w:rsidRPr="005D131A">
              <w:rPr>
                <w:sz w:val="28"/>
                <w:szCs w:val="28"/>
              </w:rPr>
              <w:t>la sanción aplicable según el caso.</w:t>
            </w:r>
          </w:p>
        </w:tc>
      </w:tr>
      <w:tr w:rsidR="0010093F" w:rsidRPr="005D131A" w:rsidTr="00B577ED">
        <w:trPr>
          <w:trHeight w:val="982"/>
        </w:trPr>
        <w:tc>
          <w:tcPr>
            <w:tcW w:w="1248" w:type="pct"/>
            <w:vMerge/>
          </w:tcPr>
          <w:p w:rsidR="00FF2395" w:rsidRPr="005D131A" w:rsidRDefault="00FF2395" w:rsidP="005D131A">
            <w:pPr>
              <w:rPr>
                <w:b/>
                <w:sz w:val="28"/>
                <w:szCs w:val="28"/>
              </w:rPr>
            </w:pPr>
          </w:p>
        </w:tc>
        <w:tc>
          <w:tcPr>
            <w:tcW w:w="837" w:type="pct"/>
            <w:noWrap/>
          </w:tcPr>
          <w:p w:rsidR="00FF2395" w:rsidRPr="005D131A" w:rsidRDefault="00FF2395" w:rsidP="005D131A">
            <w:pPr>
              <w:jc w:val="center"/>
              <w:rPr>
                <w:sz w:val="28"/>
                <w:szCs w:val="28"/>
              </w:rPr>
            </w:pPr>
            <w:r w:rsidRPr="005D131A">
              <w:rPr>
                <w:sz w:val="28"/>
                <w:szCs w:val="28"/>
              </w:rPr>
              <w:t>Corporación Viva la Ciudadanía y CSR</w:t>
            </w:r>
          </w:p>
        </w:tc>
        <w:tc>
          <w:tcPr>
            <w:tcW w:w="2915" w:type="pct"/>
          </w:tcPr>
          <w:p w:rsidR="00FF2395" w:rsidRPr="005D131A" w:rsidRDefault="00FF2395" w:rsidP="005D131A">
            <w:pPr>
              <w:rPr>
                <w:sz w:val="28"/>
                <w:szCs w:val="28"/>
              </w:rPr>
            </w:pPr>
            <w:r w:rsidRPr="005D131A">
              <w:rPr>
                <w:sz w:val="28"/>
                <w:szCs w:val="28"/>
              </w:rPr>
              <w:t>Precisó que es necesario que los órganos pertinentes fortalezcan sus funciones de control y vigilancia, así como la im</w:t>
            </w:r>
            <w:r w:rsidR="00AD0A8C" w:rsidRPr="005D131A">
              <w:rPr>
                <w:sz w:val="28"/>
                <w:szCs w:val="28"/>
              </w:rPr>
              <w:t>posición de sanciones, las cuales pueden</w:t>
            </w:r>
            <w:r w:rsidRPr="005D131A">
              <w:rPr>
                <w:sz w:val="28"/>
                <w:szCs w:val="28"/>
              </w:rPr>
              <w:t xml:space="preserve"> consistir en multas o hasta la pérdida de la licencia de la EPS.</w:t>
            </w:r>
          </w:p>
        </w:tc>
      </w:tr>
      <w:tr w:rsidR="0010093F" w:rsidRPr="005D131A" w:rsidTr="00B577ED">
        <w:trPr>
          <w:trHeight w:val="420"/>
        </w:trPr>
        <w:tc>
          <w:tcPr>
            <w:tcW w:w="1248" w:type="pct"/>
            <w:vMerge/>
          </w:tcPr>
          <w:p w:rsidR="00FF2395" w:rsidRPr="005D131A" w:rsidRDefault="00FF2395" w:rsidP="005D131A">
            <w:pPr>
              <w:rPr>
                <w:b/>
                <w:sz w:val="28"/>
                <w:szCs w:val="28"/>
              </w:rPr>
            </w:pPr>
          </w:p>
        </w:tc>
        <w:tc>
          <w:tcPr>
            <w:tcW w:w="837" w:type="pct"/>
            <w:noWrap/>
          </w:tcPr>
          <w:p w:rsidR="00FF2395" w:rsidRPr="005D131A" w:rsidRDefault="00FF2395" w:rsidP="005D131A">
            <w:pPr>
              <w:jc w:val="center"/>
              <w:rPr>
                <w:sz w:val="28"/>
                <w:szCs w:val="28"/>
              </w:rPr>
            </w:pPr>
            <w:r w:rsidRPr="005D131A">
              <w:rPr>
                <w:sz w:val="28"/>
                <w:szCs w:val="28"/>
              </w:rPr>
              <w:t>Así Vamos en Salud</w:t>
            </w:r>
          </w:p>
        </w:tc>
        <w:tc>
          <w:tcPr>
            <w:tcW w:w="2915" w:type="pct"/>
          </w:tcPr>
          <w:p w:rsidR="00FF2395" w:rsidRPr="005D131A" w:rsidRDefault="00FF2395" w:rsidP="005D131A">
            <w:pPr>
              <w:rPr>
                <w:sz w:val="28"/>
                <w:szCs w:val="28"/>
              </w:rPr>
            </w:pPr>
            <w:r w:rsidRPr="005D131A">
              <w:rPr>
                <w:sz w:val="28"/>
                <w:szCs w:val="28"/>
              </w:rPr>
              <w:t>Pidió reforzar los mecanismos sancionatorios, específicamente las funciones de la Superintendencia de Salud, referentes al cumplimiento de los derechos de los usuarios y a la prestación de servicios de salud en condiciones de disponibilidad, accesibilidad, aceptabilidad y calidad, consagradas en el Decreto 2462 de 2013</w:t>
            </w:r>
            <w:r w:rsidRPr="005D131A">
              <w:rPr>
                <w:sz w:val="28"/>
                <w:szCs w:val="28"/>
                <w:vertAlign w:val="superscript"/>
              </w:rPr>
              <w:footnoteReference w:id="62"/>
            </w:r>
            <w:r w:rsidRPr="005D131A">
              <w:rPr>
                <w:sz w:val="28"/>
                <w:szCs w:val="28"/>
              </w:rPr>
              <w:t xml:space="preserve">. </w:t>
            </w:r>
          </w:p>
        </w:tc>
      </w:tr>
      <w:tr w:rsidR="0010093F" w:rsidRPr="005D131A" w:rsidTr="00B577ED">
        <w:trPr>
          <w:trHeight w:val="780"/>
        </w:trPr>
        <w:tc>
          <w:tcPr>
            <w:tcW w:w="1248" w:type="pct"/>
            <w:vMerge w:val="restart"/>
            <w:hideMark/>
          </w:tcPr>
          <w:p w:rsidR="003732AB" w:rsidRPr="005D131A" w:rsidRDefault="003732AB" w:rsidP="005D131A">
            <w:pPr>
              <w:rPr>
                <w:sz w:val="28"/>
                <w:szCs w:val="28"/>
              </w:rPr>
            </w:pPr>
          </w:p>
          <w:p w:rsidR="00FF2395" w:rsidRPr="005D131A" w:rsidRDefault="00FF2395" w:rsidP="005D131A">
            <w:pPr>
              <w:rPr>
                <w:sz w:val="28"/>
                <w:szCs w:val="28"/>
              </w:rPr>
            </w:pPr>
            <w:r w:rsidRPr="005D131A">
              <w:rPr>
                <w:sz w:val="28"/>
                <w:szCs w:val="28"/>
              </w:rPr>
              <w:t>5. ¿Qué mecanismos podrían ser implementados por el usuario en caso de que la EPS no dé respuesta a la respectiva autorización en el término indicado?</w:t>
            </w:r>
          </w:p>
        </w:tc>
        <w:tc>
          <w:tcPr>
            <w:tcW w:w="837" w:type="pct"/>
            <w:noWrap/>
            <w:hideMark/>
          </w:tcPr>
          <w:p w:rsidR="00FF2395" w:rsidRPr="005D131A" w:rsidRDefault="00FF2395" w:rsidP="005D131A">
            <w:pPr>
              <w:jc w:val="center"/>
              <w:rPr>
                <w:sz w:val="28"/>
                <w:szCs w:val="28"/>
              </w:rPr>
            </w:pPr>
            <w:r w:rsidRPr="005D131A">
              <w:rPr>
                <w:sz w:val="28"/>
                <w:szCs w:val="28"/>
              </w:rPr>
              <w:t>Acemi</w:t>
            </w:r>
          </w:p>
        </w:tc>
        <w:tc>
          <w:tcPr>
            <w:tcW w:w="2915" w:type="pct"/>
            <w:hideMark/>
          </w:tcPr>
          <w:p w:rsidR="00FF2395" w:rsidRPr="005D131A" w:rsidRDefault="00FF2395" w:rsidP="005D131A">
            <w:pPr>
              <w:rPr>
                <w:sz w:val="28"/>
                <w:szCs w:val="28"/>
              </w:rPr>
            </w:pPr>
            <w:r w:rsidRPr="005D131A">
              <w:rPr>
                <w:sz w:val="28"/>
                <w:szCs w:val="28"/>
              </w:rPr>
              <w:t>Afirmó que el procedimiento debe permitirle al usuario consultar en cualquier momento el estado del trámite, así como acudir a la Superintendencia Nacional de Salud a través de su función jurisdiccional.</w:t>
            </w:r>
          </w:p>
        </w:tc>
      </w:tr>
      <w:tr w:rsidR="0010093F" w:rsidRPr="005D131A" w:rsidTr="00B577ED">
        <w:trPr>
          <w:trHeight w:val="534"/>
        </w:trPr>
        <w:tc>
          <w:tcPr>
            <w:tcW w:w="1248" w:type="pct"/>
            <w:vMerge/>
            <w:hideMark/>
          </w:tcPr>
          <w:p w:rsidR="00FF2395" w:rsidRPr="005D131A" w:rsidRDefault="00FF2395" w:rsidP="005D131A">
            <w:pPr>
              <w:rPr>
                <w:b/>
                <w:sz w:val="28"/>
                <w:szCs w:val="28"/>
              </w:rPr>
            </w:pPr>
          </w:p>
        </w:tc>
        <w:tc>
          <w:tcPr>
            <w:tcW w:w="837" w:type="pct"/>
            <w:noWrap/>
            <w:hideMark/>
          </w:tcPr>
          <w:p w:rsidR="00FF2395" w:rsidRPr="005D131A" w:rsidRDefault="00FF2395" w:rsidP="005D131A">
            <w:pPr>
              <w:jc w:val="center"/>
              <w:rPr>
                <w:sz w:val="28"/>
                <w:szCs w:val="28"/>
              </w:rPr>
            </w:pPr>
            <w:r w:rsidRPr="005D131A">
              <w:rPr>
                <w:sz w:val="28"/>
                <w:szCs w:val="28"/>
              </w:rPr>
              <w:t>Gestarsalud</w:t>
            </w:r>
          </w:p>
        </w:tc>
        <w:tc>
          <w:tcPr>
            <w:tcW w:w="2915" w:type="pct"/>
            <w:hideMark/>
          </w:tcPr>
          <w:p w:rsidR="00FF2395" w:rsidRPr="005D131A" w:rsidRDefault="00AD0A8C" w:rsidP="005D131A">
            <w:pPr>
              <w:rPr>
                <w:sz w:val="28"/>
                <w:szCs w:val="28"/>
              </w:rPr>
            </w:pPr>
            <w:r w:rsidRPr="005D131A">
              <w:rPr>
                <w:sz w:val="28"/>
                <w:szCs w:val="28"/>
              </w:rPr>
              <w:t>El paciente</w:t>
            </w:r>
            <w:r w:rsidR="00FF2395" w:rsidRPr="005D131A">
              <w:rPr>
                <w:sz w:val="28"/>
                <w:szCs w:val="28"/>
              </w:rPr>
              <w:t xml:space="preserve"> puede presentar peticiones o acciones de tutela, así como acudir al defensor del usuario.</w:t>
            </w:r>
          </w:p>
        </w:tc>
      </w:tr>
      <w:tr w:rsidR="0010093F" w:rsidRPr="005D131A" w:rsidTr="00B577ED">
        <w:trPr>
          <w:trHeight w:val="660"/>
        </w:trPr>
        <w:tc>
          <w:tcPr>
            <w:tcW w:w="1248" w:type="pct"/>
            <w:vMerge/>
          </w:tcPr>
          <w:p w:rsidR="00FF2395" w:rsidRPr="005D131A" w:rsidRDefault="00FF2395" w:rsidP="005D131A">
            <w:pPr>
              <w:rPr>
                <w:b/>
                <w:sz w:val="28"/>
                <w:szCs w:val="28"/>
              </w:rPr>
            </w:pPr>
          </w:p>
        </w:tc>
        <w:tc>
          <w:tcPr>
            <w:tcW w:w="837" w:type="pct"/>
            <w:noWrap/>
          </w:tcPr>
          <w:p w:rsidR="00FF2395" w:rsidRPr="005D131A" w:rsidRDefault="00FF2395" w:rsidP="005D131A">
            <w:pPr>
              <w:jc w:val="center"/>
              <w:rPr>
                <w:sz w:val="28"/>
                <w:szCs w:val="28"/>
              </w:rPr>
            </w:pPr>
            <w:r w:rsidRPr="005D131A">
              <w:rPr>
                <w:sz w:val="28"/>
                <w:szCs w:val="28"/>
              </w:rPr>
              <w:t>Corporación Viva la Ciudadanía y CSR</w:t>
            </w:r>
          </w:p>
        </w:tc>
        <w:tc>
          <w:tcPr>
            <w:tcW w:w="2915" w:type="pct"/>
          </w:tcPr>
          <w:p w:rsidR="00FF2395" w:rsidRPr="005D131A" w:rsidRDefault="00FF2395" w:rsidP="005D131A">
            <w:pPr>
              <w:rPr>
                <w:sz w:val="28"/>
                <w:szCs w:val="28"/>
              </w:rPr>
            </w:pPr>
            <w:r w:rsidRPr="005D131A">
              <w:rPr>
                <w:sz w:val="28"/>
                <w:szCs w:val="28"/>
              </w:rPr>
              <w:t>Explicó que la acción de tutela es el único mecanismo adecuado para poder acceder al derecho</w:t>
            </w:r>
            <w:r w:rsidR="00BA39B7" w:rsidRPr="005D131A">
              <w:rPr>
                <w:sz w:val="28"/>
                <w:szCs w:val="28"/>
              </w:rPr>
              <w:t xml:space="preserve"> o servicio solicitado</w:t>
            </w:r>
            <w:r w:rsidRPr="005D131A">
              <w:rPr>
                <w:sz w:val="28"/>
                <w:szCs w:val="28"/>
              </w:rPr>
              <w:t xml:space="preserve">, puesto que el agotamiento de mecanismos previos </w:t>
            </w:r>
            <w:r w:rsidR="00BA39B7" w:rsidRPr="005D131A">
              <w:rPr>
                <w:sz w:val="28"/>
                <w:szCs w:val="28"/>
              </w:rPr>
              <w:t>administrativos constituye una barrera adicional de acceso a</w:t>
            </w:r>
            <w:r w:rsidRPr="005D131A">
              <w:rPr>
                <w:sz w:val="28"/>
                <w:szCs w:val="28"/>
              </w:rPr>
              <w:t xml:space="preserve"> los servicios de salud requeridos. </w:t>
            </w:r>
          </w:p>
        </w:tc>
      </w:tr>
      <w:tr w:rsidR="00FF2395" w:rsidRPr="005D131A" w:rsidTr="00B577ED">
        <w:trPr>
          <w:trHeight w:val="660"/>
        </w:trPr>
        <w:tc>
          <w:tcPr>
            <w:tcW w:w="1248" w:type="pct"/>
            <w:vMerge/>
          </w:tcPr>
          <w:p w:rsidR="00FF2395" w:rsidRPr="005D131A" w:rsidRDefault="00FF2395" w:rsidP="005D131A">
            <w:pPr>
              <w:rPr>
                <w:b/>
                <w:sz w:val="28"/>
                <w:szCs w:val="28"/>
              </w:rPr>
            </w:pPr>
          </w:p>
        </w:tc>
        <w:tc>
          <w:tcPr>
            <w:tcW w:w="837" w:type="pct"/>
            <w:noWrap/>
          </w:tcPr>
          <w:p w:rsidR="00FF2395" w:rsidRPr="005D131A" w:rsidRDefault="00FF2395" w:rsidP="005D131A">
            <w:pPr>
              <w:jc w:val="center"/>
              <w:rPr>
                <w:sz w:val="28"/>
                <w:szCs w:val="28"/>
              </w:rPr>
            </w:pPr>
            <w:r w:rsidRPr="005D131A">
              <w:rPr>
                <w:sz w:val="28"/>
                <w:szCs w:val="28"/>
              </w:rPr>
              <w:t>Así Vamos en Salud</w:t>
            </w:r>
          </w:p>
        </w:tc>
        <w:tc>
          <w:tcPr>
            <w:tcW w:w="2915" w:type="pct"/>
          </w:tcPr>
          <w:p w:rsidR="00FF2395" w:rsidRPr="005D131A" w:rsidRDefault="00FF2395" w:rsidP="005D131A">
            <w:pPr>
              <w:keepNext/>
              <w:rPr>
                <w:sz w:val="28"/>
                <w:szCs w:val="28"/>
              </w:rPr>
            </w:pPr>
            <w:r w:rsidRPr="005D131A">
              <w:rPr>
                <w:sz w:val="28"/>
                <w:szCs w:val="28"/>
              </w:rPr>
              <w:t xml:space="preserve">El afiliado podría: </w:t>
            </w:r>
            <w:r w:rsidRPr="005D131A">
              <w:rPr>
                <w:i/>
                <w:sz w:val="28"/>
                <w:szCs w:val="28"/>
              </w:rPr>
              <w:t xml:space="preserve">i) </w:t>
            </w:r>
            <w:r w:rsidRPr="005D131A">
              <w:rPr>
                <w:sz w:val="28"/>
                <w:szCs w:val="28"/>
              </w:rPr>
              <w:t xml:space="preserve">agotar las instancias respectivas al interior de las EPS; </w:t>
            </w:r>
            <w:r w:rsidRPr="005D131A">
              <w:rPr>
                <w:i/>
                <w:sz w:val="28"/>
                <w:szCs w:val="28"/>
              </w:rPr>
              <w:t xml:space="preserve">ii) </w:t>
            </w:r>
            <w:r w:rsidRPr="005D131A">
              <w:rPr>
                <w:sz w:val="28"/>
                <w:szCs w:val="28"/>
              </w:rPr>
              <w:t xml:space="preserve">acudir a la Superintendencia de Salud, </w:t>
            </w:r>
            <w:r w:rsidRPr="005D131A">
              <w:rPr>
                <w:i/>
                <w:sz w:val="28"/>
                <w:szCs w:val="28"/>
              </w:rPr>
              <w:t>iii)</w:t>
            </w:r>
            <w:r w:rsidRPr="005D131A">
              <w:rPr>
                <w:sz w:val="28"/>
                <w:szCs w:val="28"/>
              </w:rPr>
              <w:t xml:space="preserve"> utilizar mecanismos constitucionales como “</w:t>
            </w:r>
            <w:r w:rsidRPr="005D131A">
              <w:rPr>
                <w:i/>
                <w:sz w:val="28"/>
                <w:szCs w:val="28"/>
              </w:rPr>
              <w:t>el derecho de petición, la acción de tutela y la acción de cumplimiento”</w:t>
            </w:r>
            <w:r w:rsidRPr="005D131A">
              <w:rPr>
                <w:sz w:val="28"/>
                <w:szCs w:val="28"/>
              </w:rPr>
              <w:t>.</w:t>
            </w:r>
          </w:p>
        </w:tc>
      </w:tr>
    </w:tbl>
    <w:p w:rsidR="003F5DAF" w:rsidRPr="005D131A" w:rsidRDefault="003F5DAF" w:rsidP="005D131A">
      <w:pPr>
        <w:rPr>
          <w:sz w:val="28"/>
          <w:szCs w:val="28"/>
        </w:rPr>
      </w:pPr>
    </w:p>
    <w:p w:rsidR="0014540E" w:rsidRPr="005D131A" w:rsidRDefault="00DD2216" w:rsidP="005D131A">
      <w:pPr>
        <w:rPr>
          <w:sz w:val="28"/>
          <w:szCs w:val="28"/>
        </w:rPr>
      </w:pPr>
      <w:r w:rsidRPr="005D131A">
        <w:rPr>
          <w:sz w:val="28"/>
          <w:szCs w:val="28"/>
        </w:rPr>
        <w:t>21</w:t>
      </w:r>
      <w:r w:rsidR="000D2A47" w:rsidRPr="005D131A">
        <w:rPr>
          <w:sz w:val="28"/>
          <w:szCs w:val="28"/>
        </w:rPr>
        <w:t xml:space="preserve">.1. </w:t>
      </w:r>
      <w:r w:rsidR="00FF2395" w:rsidRPr="005D131A">
        <w:rPr>
          <w:sz w:val="28"/>
          <w:szCs w:val="28"/>
        </w:rPr>
        <w:t>El 17 de septiembre de 2014</w:t>
      </w:r>
      <w:r w:rsidR="006B08CB" w:rsidRPr="005D131A">
        <w:rPr>
          <w:sz w:val="28"/>
          <w:szCs w:val="28"/>
          <w:vertAlign w:val="superscript"/>
        </w:rPr>
        <w:footnoteReference w:id="63"/>
      </w:r>
      <w:r w:rsidR="00FF2395" w:rsidRPr="005D131A">
        <w:rPr>
          <w:sz w:val="28"/>
          <w:szCs w:val="28"/>
        </w:rPr>
        <w:t xml:space="preserve"> la Universidad de los Andes, </w:t>
      </w:r>
      <w:r w:rsidR="00C31A45" w:rsidRPr="005D131A">
        <w:rPr>
          <w:sz w:val="28"/>
          <w:szCs w:val="28"/>
        </w:rPr>
        <w:t xml:space="preserve">en respuesta al </w:t>
      </w:r>
      <w:r w:rsidR="00FF2395" w:rsidRPr="005D131A">
        <w:rPr>
          <w:sz w:val="28"/>
          <w:szCs w:val="28"/>
        </w:rPr>
        <w:t>Aut</w:t>
      </w:r>
      <w:r w:rsidR="00C31A45" w:rsidRPr="005D131A">
        <w:rPr>
          <w:sz w:val="28"/>
          <w:szCs w:val="28"/>
        </w:rPr>
        <w:t xml:space="preserve">o 280 de 2014, manifestó </w:t>
      </w:r>
      <w:r w:rsidR="00A91552" w:rsidRPr="005D131A">
        <w:rPr>
          <w:sz w:val="28"/>
          <w:szCs w:val="28"/>
        </w:rPr>
        <w:t xml:space="preserve">que al ser una institución privada sin ánimo de lucro, que tiene como fin la prestación del servicio público de la educación superior, no </w:t>
      </w:r>
      <w:r w:rsidR="00686051" w:rsidRPr="005D131A">
        <w:rPr>
          <w:sz w:val="28"/>
          <w:szCs w:val="28"/>
        </w:rPr>
        <w:t>adscrita</w:t>
      </w:r>
      <w:r w:rsidR="00A91552" w:rsidRPr="005D131A">
        <w:rPr>
          <w:sz w:val="28"/>
          <w:szCs w:val="28"/>
        </w:rPr>
        <w:t xml:space="preserve"> a ninguna entidad pública </w:t>
      </w:r>
      <w:r w:rsidR="00686051" w:rsidRPr="005D131A">
        <w:rPr>
          <w:sz w:val="28"/>
          <w:szCs w:val="28"/>
        </w:rPr>
        <w:t xml:space="preserve">ni </w:t>
      </w:r>
      <w:r w:rsidR="00A91552" w:rsidRPr="005D131A">
        <w:rPr>
          <w:sz w:val="28"/>
          <w:szCs w:val="28"/>
        </w:rPr>
        <w:t>inscrita en la lista de auxiliares de la justicia,</w:t>
      </w:r>
      <w:r w:rsidRPr="005D131A">
        <w:rPr>
          <w:sz w:val="28"/>
          <w:szCs w:val="28"/>
        </w:rPr>
        <w:t xml:space="preserve"> le era</w:t>
      </w:r>
      <w:r w:rsidR="0014540E" w:rsidRPr="005D131A">
        <w:rPr>
          <w:sz w:val="28"/>
          <w:szCs w:val="28"/>
        </w:rPr>
        <w:t xml:space="preserve"> imposible elaborar el informe </w:t>
      </w:r>
      <w:r w:rsidRPr="005D131A">
        <w:rPr>
          <w:sz w:val="28"/>
          <w:szCs w:val="28"/>
        </w:rPr>
        <w:t>solicitado</w:t>
      </w:r>
      <w:r w:rsidR="0071373E" w:rsidRPr="005D131A">
        <w:rPr>
          <w:sz w:val="28"/>
          <w:szCs w:val="28"/>
        </w:rPr>
        <w:t xml:space="preserve"> por la Corte</w:t>
      </w:r>
      <w:r w:rsidRPr="005D131A">
        <w:rPr>
          <w:sz w:val="28"/>
          <w:szCs w:val="28"/>
        </w:rPr>
        <w:t>, más</w:t>
      </w:r>
      <w:r w:rsidR="0014540E" w:rsidRPr="005D131A">
        <w:rPr>
          <w:sz w:val="28"/>
          <w:szCs w:val="28"/>
        </w:rPr>
        <w:t xml:space="preserve"> aún si la institución educativa tampoco se encuentra </w:t>
      </w:r>
      <w:r w:rsidR="00A91552" w:rsidRPr="005D131A">
        <w:rPr>
          <w:sz w:val="28"/>
          <w:szCs w:val="28"/>
        </w:rPr>
        <w:t>cobijada dentro de los presupuestos establecidos en el artículo 243 del C</w:t>
      </w:r>
      <w:r w:rsidR="0014540E" w:rsidRPr="005D131A">
        <w:rPr>
          <w:sz w:val="28"/>
          <w:szCs w:val="28"/>
        </w:rPr>
        <w:t xml:space="preserve">ódigo de Procedimiento Civil, </w:t>
      </w:r>
      <w:r w:rsidR="007A11FB" w:rsidRPr="005D131A">
        <w:rPr>
          <w:sz w:val="28"/>
          <w:szCs w:val="28"/>
        </w:rPr>
        <w:t>que se refiere</w:t>
      </w:r>
      <w:r w:rsidR="006B08CB" w:rsidRPr="005D131A">
        <w:rPr>
          <w:sz w:val="28"/>
          <w:szCs w:val="28"/>
        </w:rPr>
        <w:t>n</w:t>
      </w:r>
      <w:r w:rsidR="007A11FB" w:rsidRPr="005D131A">
        <w:rPr>
          <w:sz w:val="28"/>
          <w:szCs w:val="28"/>
        </w:rPr>
        <w:t xml:space="preserve"> a los informes técnicos y peritaciones de entidades y dependencias oficiales</w:t>
      </w:r>
      <w:r w:rsidR="0014540E" w:rsidRPr="005D131A">
        <w:rPr>
          <w:sz w:val="28"/>
          <w:szCs w:val="28"/>
        </w:rPr>
        <w:t xml:space="preserve">. </w:t>
      </w:r>
    </w:p>
    <w:p w:rsidR="00061E22" w:rsidRPr="005D131A" w:rsidRDefault="00061E22" w:rsidP="005D131A">
      <w:pPr>
        <w:rPr>
          <w:sz w:val="28"/>
          <w:szCs w:val="28"/>
          <w:lang w:val="es-CO"/>
        </w:rPr>
      </w:pPr>
    </w:p>
    <w:p w:rsidR="009B5EF8" w:rsidRPr="005D131A" w:rsidRDefault="000D2A47" w:rsidP="005D131A">
      <w:pPr>
        <w:tabs>
          <w:tab w:val="left" w:pos="426"/>
        </w:tabs>
        <w:rPr>
          <w:sz w:val="28"/>
          <w:szCs w:val="28"/>
          <w:lang w:val="es-CO"/>
        </w:rPr>
      </w:pPr>
      <w:r w:rsidRPr="005D131A">
        <w:rPr>
          <w:sz w:val="28"/>
          <w:szCs w:val="28"/>
          <w:lang w:val="es-CO"/>
        </w:rPr>
        <w:t>2</w:t>
      </w:r>
      <w:r w:rsidR="00DD2216" w:rsidRPr="005D131A">
        <w:rPr>
          <w:sz w:val="28"/>
          <w:szCs w:val="28"/>
          <w:lang w:val="es-CO"/>
        </w:rPr>
        <w:t>2</w:t>
      </w:r>
      <w:r w:rsidRPr="005D131A">
        <w:rPr>
          <w:sz w:val="28"/>
          <w:szCs w:val="28"/>
          <w:lang w:val="es-CO"/>
        </w:rPr>
        <w:t xml:space="preserve">. </w:t>
      </w:r>
      <w:r w:rsidR="004C1264" w:rsidRPr="005D131A">
        <w:rPr>
          <w:sz w:val="28"/>
          <w:szCs w:val="28"/>
          <w:lang w:val="es-CO"/>
        </w:rPr>
        <w:t>El 11 de junio de 2014</w:t>
      </w:r>
      <w:r w:rsidR="00DD2216" w:rsidRPr="005D131A">
        <w:rPr>
          <w:sz w:val="28"/>
          <w:szCs w:val="28"/>
          <w:vertAlign w:val="superscript"/>
          <w:lang w:val="es-CO"/>
        </w:rPr>
        <w:footnoteReference w:id="64"/>
      </w:r>
      <w:r w:rsidR="004C1264" w:rsidRPr="005D131A">
        <w:rPr>
          <w:sz w:val="28"/>
          <w:szCs w:val="28"/>
          <w:lang w:val="es-CO"/>
        </w:rPr>
        <w:t xml:space="preserve"> la Defensoría del Pueblo presentó el sexto informe de cumplimiento de la sentencia. Respecto de la </w:t>
      </w:r>
      <w:r w:rsidR="0071373E" w:rsidRPr="005D131A">
        <w:rPr>
          <w:sz w:val="28"/>
          <w:szCs w:val="28"/>
          <w:lang w:val="es-CO"/>
        </w:rPr>
        <w:t xml:space="preserve">orden vigésima tercera expuso que no se </w:t>
      </w:r>
      <w:r w:rsidR="008E6267" w:rsidRPr="005D131A">
        <w:rPr>
          <w:sz w:val="28"/>
          <w:szCs w:val="28"/>
          <w:lang w:val="es-CO"/>
        </w:rPr>
        <w:t xml:space="preserve">cumple debido a que persisten deficiencias de información originadas en las EPS y </w:t>
      </w:r>
      <w:r w:rsidR="009E30BE" w:rsidRPr="005D131A">
        <w:rPr>
          <w:sz w:val="28"/>
          <w:szCs w:val="28"/>
          <w:lang w:val="es-CO"/>
        </w:rPr>
        <w:t xml:space="preserve">no se imponen </w:t>
      </w:r>
      <w:r w:rsidR="008E6267" w:rsidRPr="005D131A">
        <w:rPr>
          <w:sz w:val="28"/>
          <w:szCs w:val="28"/>
          <w:lang w:val="es-CO"/>
        </w:rPr>
        <w:t>sanciones oportunas ante la violación del derecho fundamental</w:t>
      </w:r>
      <w:r w:rsidR="00DA5733" w:rsidRPr="005D131A">
        <w:rPr>
          <w:sz w:val="28"/>
          <w:szCs w:val="28"/>
          <w:lang w:val="es-CO"/>
        </w:rPr>
        <w:t xml:space="preserve"> a la salud</w:t>
      </w:r>
      <w:r w:rsidR="008E6267" w:rsidRPr="005D131A">
        <w:rPr>
          <w:sz w:val="28"/>
          <w:szCs w:val="28"/>
          <w:lang w:val="es-CO"/>
        </w:rPr>
        <w:t>.</w:t>
      </w:r>
      <w:r w:rsidR="00E54E12" w:rsidRPr="005D131A">
        <w:rPr>
          <w:sz w:val="28"/>
          <w:szCs w:val="28"/>
          <w:lang w:val="es-CO"/>
        </w:rPr>
        <w:t xml:space="preserve"> Aunque la jurisprudencia constitucional y las normas contemplan la agilización de los trámites de aprobación para beneficios POS y no POS, la realidad muestra que los tiempos y la inte</w:t>
      </w:r>
      <w:r w:rsidR="00000A15" w:rsidRPr="005D131A">
        <w:rPr>
          <w:sz w:val="28"/>
          <w:szCs w:val="28"/>
          <w:lang w:val="es-CO"/>
        </w:rPr>
        <w:t>rposición de acciones de tutela</w:t>
      </w:r>
      <w:r w:rsidR="00E54E12" w:rsidRPr="005D131A">
        <w:rPr>
          <w:sz w:val="28"/>
          <w:szCs w:val="28"/>
          <w:lang w:val="es-CO"/>
        </w:rPr>
        <w:t xml:space="preserve"> no ha</w:t>
      </w:r>
      <w:r w:rsidR="00BE0915" w:rsidRPr="005D131A">
        <w:rPr>
          <w:sz w:val="28"/>
          <w:szCs w:val="28"/>
          <w:lang w:val="es-CO"/>
        </w:rPr>
        <w:t>n disminuido</w:t>
      </w:r>
      <w:r w:rsidR="0071373E" w:rsidRPr="005D131A">
        <w:rPr>
          <w:sz w:val="28"/>
          <w:szCs w:val="28"/>
          <w:lang w:val="es-CO"/>
        </w:rPr>
        <w:t xml:space="preserve"> por lo que </w:t>
      </w:r>
      <w:r w:rsidR="004D2BBD" w:rsidRPr="005D131A">
        <w:rPr>
          <w:sz w:val="28"/>
          <w:szCs w:val="28"/>
          <w:lang w:val="es-CO"/>
        </w:rPr>
        <w:t xml:space="preserve">los usuarios </w:t>
      </w:r>
      <w:r w:rsidR="003405B2" w:rsidRPr="005D131A">
        <w:rPr>
          <w:sz w:val="28"/>
          <w:szCs w:val="28"/>
          <w:lang w:val="es-CO"/>
        </w:rPr>
        <w:t>tiene</w:t>
      </w:r>
      <w:r w:rsidR="004700EE" w:rsidRPr="005D131A">
        <w:rPr>
          <w:sz w:val="28"/>
          <w:szCs w:val="28"/>
          <w:lang w:val="es-CO"/>
        </w:rPr>
        <w:t>n</w:t>
      </w:r>
      <w:r w:rsidR="003405B2" w:rsidRPr="005D131A">
        <w:rPr>
          <w:sz w:val="28"/>
          <w:szCs w:val="28"/>
          <w:lang w:val="es-CO"/>
        </w:rPr>
        <w:t xml:space="preserve"> que seguir realizando </w:t>
      </w:r>
      <w:r w:rsidR="004700EE" w:rsidRPr="005D131A">
        <w:rPr>
          <w:sz w:val="28"/>
          <w:szCs w:val="28"/>
          <w:lang w:val="es-CO"/>
        </w:rPr>
        <w:t xml:space="preserve">trámites </w:t>
      </w:r>
      <w:r w:rsidR="004D2BBD" w:rsidRPr="005D131A">
        <w:rPr>
          <w:sz w:val="28"/>
          <w:szCs w:val="28"/>
          <w:lang w:val="es-CO"/>
        </w:rPr>
        <w:t xml:space="preserve">para lograr la autorización. </w:t>
      </w:r>
      <w:r w:rsidR="0071373E" w:rsidRPr="005D131A">
        <w:rPr>
          <w:sz w:val="28"/>
          <w:szCs w:val="28"/>
          <w:lang w:val="es-CO"/>
        </w:rPr>
        <w:t xml:space="preserve">En virtud de lo anterior, </w:t>
      </w:r>
      <w:r w:rsidR="00BE0915" w:rsidRPr="005D131A">
        <w:rPr>
          <w:sz w:val="28"/>
          <w:szCs w:val="28"/>
          <w:lang w:val="es-CO"/>
        </w:rPr>
        <w:t xml:space="preserve">solicitó </w:t>
      </w:r>
      <w:r w:rsidR="0038456B" w:rsidRPr="005D131A">
        <w:rPr>
          <w:sz w:val="28"/>
          <w:szCs w:val="28"/>
          <w:lang w:val="es-CO"/>
        </w:rPr>
        <w:t>la aplicación de la sanción en el recobro de prestaciones no POS or</w:t>
      </w:r>
      <w:r w:rsidR="00BE0915" w:rsidRPr="005D131A">
        <w:rPr>
          <w:sz w:val="28"/>
          <w:szCs w:val="28"/>
          <w:lang w:val="es-CO"/>
        </w:rPr>
        <w:t xml:space="preserve">denadas </w:t>
      </w:r>
      <w:r w:rsidR="0077287F" w:rsidRPr="005D131A">
        <w:rPr>
          <w:sz w:val="28"/>
          <w:szCs w:val="28"/>
          <w:lang w:val="es-CO"/>
        </w:rPr>
        <w:t xml:space="preserve">por jueces de tutela. </w:t>
      </w:r>
    </w:p>
    <w:p w:rsidR="00D22E48" w:rsidRPr="005D131A" w:rsidRDefault="00D22E48" w:rsidP="005D131A">
      <w:pPr>
        <w:tabs>
          <w:tab w:val="left" w:pos="426"/>
        </w:tabs>
        <w:rPr>
          <w:sz w:val="28"/>
          <w:szCs w:val="28"/>
          <w:lang w:val="es-CO"/>
        </w:rPr>
      </w:pPr>
    </w:p>
    <w:p w:rsidR="00BB250A" w:rsidRPr="005D131A" w:rsidRDefault="0077287F" w:rsidP="005D131A">
      <w:pPr>
        <w:tabs>
          <w:tab w:val="left" w:pos="426"/>
        </w:tabs>
        <w:rPr>
          <w:sz w:val="28"/>
          <w:szCs w:val="28"/>
          <w:lang w:val="es-CO"/>
        </w:rPr>
      </w:pPr>
      <w:r w:rsidRPr="005D131A">
        <w:rPr>
          <w:sz w:val="28"/>
          <w:szCs w:val="28"/>
          <w:lang w:val="es-CO"/>
        </w:rPr>
        <w:t>23</w:t>
      </w:r>
      <w:r w:rsidR="000D2A47" w:rsidRPr="005D131A">
        <w:rPr>
          <w:sz w:val="28"/>
          <w:szCs w:val="28"/>
          <w:lang w:val="es-CO"/>
        </w:rPr>
        <w:t xml:space="preserve">. </w:t>
      </w:r>
      <w:r w:rsidR="00D22E48" w:rsidRPr="005D131A">
        <w:rPr>
          <w:sz w:val="28"/>
          <w:szCs w:val="28"/>
          <w:lang w:val="es-CO"/>
        </w:rPr>
        <w:t>El 24 de junio de 2015</w:t>
      </w:r>
      <w:r w:rsidRPr="005D131A">
        <w:rPr>
          <w:sz w:val="28"/>
          <w:szCs w:val="28"/>
          <w:vertAlign w:val="superscript"/>
          <w:lang w:val="es-CO"/>
        </w:rPr>
        <w:footnoteReference w:id="65"/>
      </w:r>
      <w:r w:rsidR="00D22E48" w:rsidRPr="005D131A">
        <w:rPr>
          <w:sz w:val="28"/>
          <w:szCs w:val="28"/>
          <w:lang w:val="es-CO"/>
        </w:rPr>
        <w:t xml:space="preserve"> la </w:t>
      </w:r>
      <w:r w:rsidRPr="005D131A">
        <w:rPr>
          <w:sz w:val="28"/>
          <w:szCs w:val="28"/>
          <w:lang w:val="es-CO"/>
        </w:rPr>
        <w:t xml:space="preserve">Defensoría del Pueblo en el </w:t>
      </w:r>
      <w:r w:rsidR="00760162" w:rsidRPr="005D131A">
        <w:rPr>
          <w:sz w:val="28"/>
          <w:szCs w:val="28"/>
          <w:lang w:val="es-CO"/>
        </w:rPr>
        <w:t xml:space="preserve">séptimo </w:t>
      </w:r>
      <w:r w:rsidR="00D22E48" w:rsidRPr="005D131A">
        <w:rPr>
          <w:sz w:val="28"/>
          <w:szCs w:val="28"/>
          <w:lang w:val="es-CO"/>
        </w:rPr>
        <w:t xml:space="preserve">informe de </w:t>
      </w:r>
      <w:r w:rsidRPr="005D131A">
        <w:rPr>
          <w:sz w:val="28"/>
          <w:szCs w:val="28"/>
          <w:lang w:val="es-CO"/>
        </w:rPr>
        <w:t>seguimiento, adujo que no podía valorar el progreso del mandato en atención a</w:t>
      </w:r>
      <w:r w:rsidR="00A002C9" w:rsidRPr="005D131A">
        <w:rPr>
          <w:sz w:val="28"/>
          <w:szCs w:val="28"/>
          <w:lang w:val="es-CO"/>
        </w:rPr>
        <w:t xml:space="preserve"> la falta de respuestas </w:t>
      </w:r>
      <w:r w:rsidR="00760162" w:rsidRPr="005D131A">
        <w:rPr>
          <w:sz w:val="28"/>
          <w:szCs w:val="28"/>
          <w:lang w:val="es-CO"/>
        </w:rPr>
        <w:t>por parte de la Superintendencia y el Ministerio</w:t>
      </w:r>
      <w:r w:rsidR="00A97308" w:rsidRPr="005D131A">
        <w:rPr>
          <w:sz w:val="28"/>
          <w:szCs w:val="28"/>
          <w:vertAlign w:val="superscript"/>
          <w:lang w:val="es-CO"/>
        </w:rPr>
        <w:footnoteReference w:id="66"/>
      </w:r>
      <w:r w:rsidR="00B50969" w:rsidRPr="005D131A">
        <w:rPr>
          <w:sz w:val="28"/>
          <w:szCs w:val="28"/>
          <w:lang w:val="es-CO"/>
        </w:rPr>
        <w:t xml:space="preserve">. Sin embargo, concluyó que </w:t>
      </w:r>
      <w:r w:rsidR="00AF7FFB" w:rsidRPr="005D131A">
        <w:rPr>
          <w:sz w:val="28"/>
          <w:szCs w:val="28"/>
          <w:lang w:val="es-CO"/>
        </w:rPr>
        <w:t>la orden 23 no se cumple</w:t>
      </w:r>
      <w:r w:rsidRPr="005D131A">
        <w:rPr>
          <w:sz w:val="28"/>
          <w:szCs w:val="28"/>
          <w:lang w:val="es-CO"/>
        </w:rPr>
        <w:t xml:space="preserve"> e </w:t>
      </w:r>
      <w:r w:rsidR="003B33A3" w:rsidRPr="005D131A">
        <w:rPr>
          <w:sz w:val="28"/>
          <w:szCs w:val="28"/>
          <w:lang w:val="es-CO"/>
        </w:rPr>
        <w:t>insistió</w:t>
      </w:r>
      <w:r w:rsidR="00A002C9" w:rsidRPr="005D131A">
        <w:rPr>
          <w:sz w:val="28"/>
          <w:szCs w:val="28"/>
          <w:lang w:val="es-CO"/>
        </w:rPr>
        <w:t xml:space="preserve"> </w:t>
      </w:r>
      <w:r w:rsidR="003B33A3" w:rsidRPr="005D131A">
        <w:rPr>
          <w:sz w:val="28"/>
          <w:szCs w:val="28"/>
          <w:lang w:val="es-CO"/>
        </w:rPr>
        <w:t xml:space="preserve">en </w:t>
      </w:r>
      <w:r w:rsidR="00A002C9" w:rsidRPr="005D131A">
        <w:rPr>
          <w:sz w:val="28"/>
          <w:szCs w:val="28"/>
          <w:lang w:val="es-CO"/>
        </w:rPr>
        <w:t xml:space="preserve">la recomendación de aplicar la sanción en el 50% del recobro cuando los CTC niegan servicios que se requieren con necesidad y el afiliado debe acudir </w:t>
      </w:r>
      <w:r w:rsidR="0071373E" w:rsidRPr="005D131A">
        <w:rPr>
          <w:sz w:val="28"/>
          <w:szCs w:val="28"/>
          <w:lang w:val="es-CO"/>
        </w:rPr>
        <w:t xml:space="preserve">al recurso de amparo. </w:t>
      </w:r>
    </w:p>
    <w:p w:rsidR="00393880" w:rsidRPr="005D131A" w:rsidRDefault="00393880" w:rsidP="005D131A">
      <w:pPr>
        <w:tabs>
          <w:tab w:val="left" w:pos="426"/>
        </w:tabs>
        <w:rPr>
          <w:sz w:val="28"/>
          <w:szCs w:val="28"/>
          <w:lang w:val="es-CO"/>
        </w:rPr>
      </w:pPr>
    </w:p>
    <w:p w:rsidR="00393880" w:rsidRPr="005D131A" w:rsidRDefault="002A6DB3" w:rsidP="005D131A">
      <w:pPr>
        <w:tabs>
          <w:tab w:val="left" w:pos="426"/>
        </w:tabs>
        <w:rPr>
          <w:sz w:val="28"/>
          <w:szCs w:val="28"/>
          <w:lang w:val="es-CO"/>
        </w:rPr>
      </w:pPr>
      <w:r w:rsidRPr="005D131A">
        <w:rPr>
          <w:sz w:val="28"/>
          <w:szCs w:val="28"/>
          <w:lang w:val="es-CO"/>
        </w:rPr>
        <w:t xml:space="preserve">25. </w:t>
      </w:r>
      <w:r w:rsidR="0077287F" w:rsidRPr="005D131A">
        <w:rPr>
          <w:sz w:val="28"/>
          <w:szCs w:val="28"/>
          <w:lang w:val="es-CO"/>
        </w:rPr>
        <w:t>M</w:t>
      </w:r>
      <w:r w:rsidR="006B08CB" w:rsidRPr="005D131A">
        <w:rPr>
          <w:sz w:val="28"/>
          <w:szCs w:val="28"/>
          <w:lang w:val="es-CO"/>
        </w:rPr>
        <w:t xml:space="preserve">ediante </w:t>
      </w:r>
      <w:r w:rsidR="006B08CB" w:rsidRPr="005D131A">
        <w:rPr>
          <w:b/>
          <w:sz w:val="28"/>
          <w:szCs w:val="28"/>
          <w:lang w:val="es-CO"/>
        </w:rPr>
        <w:t>A</w:t>
      </w:r>
      <w:r w:rsidR="00393880" w:rsidRPr="005D131A">
        <w:rPr>
          <w:b/>
          <w:sz w:val="28"/>
          <w:szCs w:val="28"/>
          <w:lang w:val="es-CO"/>
        </w:rPr>
        <w:t>uto 442 de 2015</w:t>
      </w:r>
      <w:r w:rsidR="0077287F" w:rsidRPr="005D131A">
        <w:rPr>
          <w:sz w:val="28"/>
          <w:szCs w:val="28"/>
          <w:lang w:val="es-CO"/>
        </w:rPr>
        <w:t>,</w:t>
      </w:r>
      <w:r w:rsidR="0077287F" w:rsidRPr="005D131A">
        <w:rPr>
          <w:b/>
          <w:sz w:val="28"/>
          <w:szCs w:val="28"/>
          <w:lang w:val="es-CO"/>
        </w:rPr>
        <w:t xml:space="preserve"> </w:t>
      </w:r>
      <w:r w:rsidR="0077287F" w:rsidRPr="005D131A">
        <w:rPr>
          <w:sz w:val="28"/>
          <w:szCs w:val="28"/>
          <w:lang w:val="es-CO"/>
        </w:rPr>
        <w:t>la Corte</w:t>
      </w:r>
      <w:r w:rsidR="0077287F" w:rsidRPr="005D131A">
        <w:rPr>
          <w:b/>
          <w:sz w:val="28"/>
          <w:szCs w:val="28"/>
          <w:lang w:val="es-CO"/>
        </w:rPr>
        <w:t xml:space="preserve"> </w:t>
      </w:r>
      <w:r w:rsidRPr="005D131A">
        <w:rPr>
          <w:sz w:val="28"/>
          <w:szCs w:val="28"/>
          <w:lang w:val="es-CO"/>
        </w:rPr>
        <w:t>citó</w:t>
      </w:r>
      <w:r w:rsidR="00393880" w:rsidRPr="005D131A">
        <w:rPr>
          <w:sz w:val="28"/>
          <w:szCs w:val="28"/>
          <w:lang w:val="es-CO"/>
        </w:rPr>
        <w:t xml:space="preserve"> </w:t>
      </w:r>
      <w:r w:rsidR="006B08CB" w:rsidRPr="005D131A">
        <w:rPr>
          <w:sz w:val="28"/>
          <w:szCs w:val="28"/>
          <w:lang w:val="es-CO"/>
        </w:rPr>
        <w:t xml:space="preserve">al ente ministerial </w:t>
      </w:r>
      <w:r w:rsidR="0024574C" w:rsidRPr="005D131A">
        <w:rPr>
          <w:sz w:val="28"/>
          <w:szCs w:val="28"/>
          <w:lang w:val="es-CO"/>
        </w:rPr>
        <w:t>a una sesión técnica</w:t>
      </w:r>
      <w:r w:rsidR="00393880" w:rsidRPr="005D131A">
        <w:rPr>
          <w:sz w:val="28"/>
          <w:szCs w:val="28"/>
          <w:lang w:val="es-CO"/>
        </w:rPr>
        <w:t xml:space="preserve"> co</w:t>
      </w:r>
      <w:r w:rsidR="0024574C" w:rsidRPr="005D131A">
        <w:rPr>
          <w:sz w:val="28"/>
          <w:szCs w:val="28"/>
          <w:lang w:val="es-CO"/>
        </w:rPr>
        <w:t>n el fin de que absolviera algunos</w:t>
      </w:r>
      <w:r w:rsidR="00393880" w:rsidRPr="005D131A">
        <w:rPr>
          <w:sz w:val="28"/>
          <w:szCs w:val="28"/>
          <w:lang w:val="es-CO"/>
        </w:rPr>
        <w:t xml:space="preserve"> interrogantes relacionados con la falta de respuesta a las solicitudes</w:t>
      </w:r>
      <w:r w:rsidR="0024574C" w:rsidRPr="005D131A">
        <w:rPr>
          <w:sz w:val="28"/>
          <w:szCs w:val="28"/>
          <w:lang w:val="es-CO"/>
        </w:rPr>
        <w:t xml:space="preserve"> realizadas por la </w:t>
      </w:r>
      <w:r w:rsidR="00393880" w:rsidRPr="005D131A">
        <w:rPr>
          <w:sz w:val="28"/>
          <w:szCs w:val="28"/>
          <w:lang w:val="es-CO"/>
        </w:rPr>
        <w:t xml:space="preserve">Defensoría del Pueblo respecto del cumplimento de la orden 23. </w:t>
      </w:r>
    </w:p>
    <w:p w:rsidR="0024574C" w:rsidRPr="005D131A" w:rsidRDefault="0024574C" w:rsidP="005D131A">
      <w:pPr>
        <w:tabs>
          <w:tab w:val="left" w:pos="426"/>
        </w:tabs>
        <w:rPr>
          <w:sz w:val="28"/>
          <w:szCs w:val="28"/>
          <w:lang w:val="es-CO"/>
        </w:rPr>
      </w:pPr>
    </w:p>
    <w:p w:rsidR="003D72E4" w:rsidRPr="005D131A" w:rsidRDefault="002A6DB3" w:rsidP="005D131A">
      <w:pPr>
        <w:tabs>
          <w:tab w:val="left" w:pos="426"/>
        </w:tabs>
        <w:rPr>
          <w:sz w:val="28"/>
          <w:szCs w:val="28"/>
          <w:lang w:val="es-CO"/>
        </w:rPr>
      </w:pPr>
      <w:r w:rsidRPr="005D131A">
        <w:rPr>
          <w:sz w:val="28"/>
          <w:szCs w:val="28"/>
          <w:lang w:val="es-CO"/>
        </w:rPr>
        <w:t xml:space="preserve">25.1. </w:t>
      </w:r>
      <w:r w:rsidR="00804AA0" w:rsidRPr="005D131A">
        <w:rPr>
          <w:sz w:val="28"/>
          <w:szCs w:val="28"/>
          <w:lang w:val="es-CO"/>
        </w:rPr>
        <w:t>El 5 de noviembre de 2015</w:t>
      </w:r>
      <w:r w:rsidR="008827FF" w:rsidRPr="005D131A">
        <w:rPr>
          <w:sz w:val="28"/>
          <w:szCs w:val="28"/>
          <w:vertAlign w:val="superscript"/>
          <w:lang w:val="es-CO"/>
        </w:rPr>
        <w:footnoteReference w:id="67"/>
      </w:r>
      <w:r w:rsidR="00804AA0" w:rsidRPr="005D131A">
        <w:rPr>
          <w:sz w:val="28"/>
          <w:szCs w:val="28"/>
          <w:lang w:val="es-CO"/>
        </w:rPr>
        <w:t xml:space="preserve">, </w:t>
      </w:r>
      <w:r w:rsidR="00171694" w:rsidRPr="005D131A">
        <w:rPr>
          <w:sz w:val="28"/>
          <w:szCs w:val="28"/>
          <w:lang w:val="es-CO"/>
        </w:rPr>
        <w:t>como consecuencia de</w:t>
      </w:r>
      <w:r w:rsidR="00B04BD9" w:rsidRPr="005D131A">
        <w:rPr>
          <w:sz w:val="28"/>
          <w:szCs w:val="28"/>
          <w:lang w:val="es-CO"/>
        </w:rPr>
        <w:t>l Auto</w:t>
      </w:r>
      <w:r w:rsidR="0024574C" w:rsidRPr="005D131A">
        <w:rPr>
          <w:sz w:val="28"/>
          <w:szCs w:val="28"/>
          <w:lang w:val="es-CO"/>
        </w:rPr>
        <w:t xml:space="preserve"> mencionado</w:t>
      </w:r>
      <w:r w:rsidR="00804AA0" w:rsidRPr="005D131A">
        <w:rPr>
          <w:sz w:val="28"/>
          <w:szCs w:val="28"/>
          <w:lang w:val="es-CO"/>
        </w:rPr>
        <w:t xml:space="preserve">, la </w:t>
      </w:r>
      <w:r w:rsidR="0071373E" w:rsidRPr="005D131A">
        <w:rPr>
          <w:sz w:val="28"/>
          <w:szCs w:val="28"/>
          <w:lang w:val="es-CO"/>
        </w:rPr>
        <w:t>c</w:t>
      </w:r>
      <w:r w:rsidR="00804AA0" w:rsidRPr="005D131A">
        <w:rPr>
          <w:sz w:val="28"/>
          <w:szCs w:val="28"/>
          <w:lang w:val="es-CO"/>
        </w:rPr>
        <w:t xml:space="preserve">artera de </w:t>
      </w:r>
      <w:r w:rsidR="0071373E" w:rsidRPr="005D131A">
        <w:rPr>
          <w:sz w:val="28"/>
          <w:szCs w:val="28"/>
          <w:lang w:val="es-CO"/>
        </w:rPr>
        <w:t>s</w:t>
      </w:r>
      <w:r w:rsidR="00804AA0" w:rsidRPr="005D131A">
        <w:rPr>
          <w:sz w:val="28"/>
          <w:szCs w:val="28"/>
          <w:lang w:val="es-CO"/>
        </w:rPr>
        <w:t xml:space="preserve">alud dio contestación a </w:t>
      </w:r>
      <w:r w:rsidR="00ED1A9D" w:rsidRPr="005D131A">
        <w:rPr>
          <w:sz w:val="28"/>
          <w:szCs w:val="28"/>
          <w:lang w:val="es-CO"/>
        </w:rPr>
        <w:t>algunos</w:t>
      </w:r>
      <w:r w:rsidR="0071373E" w:rsidRPr="005D131A">
        <w:rPr>
          <w:sz w:val="28"/>
          <w:szCs w:val="28"/>
          <w:lang w:val="es-CO"/>
        </w:rPr>
        <w:t xml:space="preserve"> interrogantes de la Defensoría, </w:t>
      </w:r>
      <w:r w:rsidR="00804AA0" w:rsidRPr="005D131A">
        <w:rPr>
          <w:sz w:val="28"/>
          <w:szCs w:val="28"/>
          <w:lang w:val="es-CO"/>
        </w:rPr>
        <w:t xml:space="preserve"> </w:t>
      </w:r>
      <w:r w:rsidR="0071373E" w:rsidRPr="005D131A">
        <w:rPr>
          <w:sz w:val="28"/>
          <w:szCs w:val="28"/>
          <w:lang w:val="es-CO"/>
        </w:rPr>
        <w:t xml:space="preserve">indicando </w:t>
      </w:r>
      <w:r w:rsidR="00804AA0" w:rsidRPr="005D131A">
        <w:rPr>
          <w:sz w:val="28"/>
          <w:szCs w:val="28"/>
          <w:lang w:val="es-CO"/>
        </w:rPr>
        <w:t xml:space="preserve">que ha dispuesto la normativa necesaria para garantizar la prestación de servicios no POS de urgencia, sin que </w:t>
      </w:r>
      <w:r w:rsidR="0071373E" w:rsidRPr="005D131A">
        <w:rPr>
          <w:sz w:val="28"/>
          <w:szCs w:val="28"/>
          <w:lang w:val="es-CO"/>
        </w:rPr>
        <w:t>se someta a decisión previa ante el</w:t>
      </w:r>
      <w:r w:rsidR="00804AA0" w:rsidRPr="005D131A">
        <w:rPr>
          <w:sz w:val="28"/>
          <w:szCs w:val="28"/>
          <w:lang w:val="es-CO"/>
        </w:rPr>
        <w:t xml:space="preserve"> comité. </w:t>
      </w:r>
      <w:r w:rsidR="0071373E" w:rsidRPr="005D131A">
        <w:rPr>
          <w:sz w:val="28"/>
          <w:szCs w:val="28"/>
          <w:lang w:val="es-CO"/>
        </w:rPr>
        <w:t xml:space="preserve">Agregó, </w:t>
      </w:r>
      <w:r w:rsidR="0024574C" w:rsidRPr="005D131A">
        <w:rPr>
          <w:sz w:val="28"/>
          <w:szCs w:val="28"/>
          <w:lang w:val="es-CO"/>
        </w:rPr>
        <w:t xml:space="preserve">que </w:t>
      </w:r>
      <w:r w:rsidR="00937C4A" w:rsidRPr="005D131A">
        <w:rPr>
          <w:sz w:val="28"/>
          <w:szCs w:val="28"/>
          <w:lang w:val="es-CO"/>
        </w:rPr>
        <w:t xml:space="preserve">de acuerdo con la información de recobros registrada en la Base de Datos del </w:t>
      </w:r>
      <w:r w:rsidR="0055673D" w:rsidRPr="005D131A">
        <w:rPr>
          <w:sz w:val="28"/>
          <w:szCs w:val="28"/>
          <w:lang w:val="es-CO"/>
        </w:rPr>
        <w:t>Fosyga</w:t>
      </w:r>
      <w:r w:rsidR="00937C4A" w:rsidRPr="005D131A">
        <w:rPr>
          <w:sz w:val="28"/>
          <w:szCs w:val="28"/>
          <w:lang w:val="es-CO"/>
        </w:rPr>
        <w:t>, durante la vigencia 2014</w:t>
      </w:r>
      <w:r w:rsidR="008827FF" w:rsidRPr="005D131A">
        <w:rPr>
          <w:sz w:val="28"/>
          <w:szCs w:val="28"/>
          <w:lang w:val="es-CO"/>
        </w:rPr>
        <w:t xml:space="preserve"> </w:t>
      </w:r>
      <w:r w:rsidR="00937C4A" w:rsidRPr="005D131A">
        <w:rPr>
          <w:sz w:val="28"/>
          <w:szCs w:val="28"/>
          <w:lang w:val="es-CO"/>
        </w:rPr>
        <w:t xml:space="preserve">se presentaron solicitudes por valor de $88.018 millones, los cuales corresponden a prestaciones realizadas en casos de urgencia </w:t>
      </w:r>
      <w:r w:rsidR="00E854B1" w:rsidRPr="005D131A">
        <w:rPr>
          <w:sz w:val="28"/>
          <w:szCs w:val="28"/>
          <w:lang w:val="es-CO"/>
        </w:rPr>
        <w:t xml:space="preserve">sin autorización del CTC. </w:t>
      </w:r>
    </w:p>
    <w:p w:rsidR="00323942" w:rsidRPr="005D131A" w:rsidRDefault="00323942" w:rsidP="005D131A">
      <w:pPr>
        <w:tabs>
          <w:tab w:val="left" w:pos="426"/>
        </w:tabs>
        <w:rPr>
          <w:sz w:val="28"/>
          <w:szCs w:val="28"/>
          <w:lang w:val="es-CO"/>
        </w:rPr>
      </w:pPr>
    </w:p>
    <w:p w:rsidR="0071373E" w:rsidRPr="005D131A" w:rsidRDefault="008827FF" w:rsidP="005D131A">
      <w:pPr>
        <w:tabs>
          <w:tab w:val="left" w:pos="426"/>
        </w:tabs>
        <w:rPr>
          <w:sz w:val="28"/>
          <w:szCs w:val="28"/>
          <w:lang w:val="es-CO"/>
        </w:rPr>
      </w:pPr>
      <w:r w:rsidRPr="005D131A">
        <w:rPr>
          <w:sz w:val="28"/>
          <w:szCs w:val="28"/>
          <w:lang w:val="es-CO"/>
        </w:rPr>
        <w:t>P</w:t>
      </w:r>
      <w:r w:rsidR="0077287F" w:rsidRPr="005D131A">
        <w:rPr>
          <w:sz w:val="28"/>
          <w:szCs w:val="28"/>
          <w:lang w:val="es-CO"/>
        </w:rPr>
        <w:t>or último, señaló que para los u</w:t>
      </w:r>
      <w:r w:rsidRPr="005D131A">
        <w:rPr>
          <w:sz w:val="28"/>
          <w:szCs w:val="28"/>
          <w:lang w:val="es-CO"/>
        </w:rPr>
        <w:t>suarios del Sistema Gener</w:t>
      </w:r>
      <w:r w:rsidR="000A0E80" w:rsidRPr="005D131A">
        <w:rPr>
          <w:sz w:val="28"/>
          <w:szCs w:val="28"/>
          <w:lang w:val="es-CO"/>
        </w:rPr>
        <w:t>al de Seguridad Social en Salud</w:t>
      </w:r>
      <w:r w:rsidR="00867D36" w:rsidRPr="005D131A">
        <w:rPr>
          <w:sz w:val="28"/>
          <w:szCs w:val="28"/>
          <w:lang w:val="es-CO"/>
        </w:rPr>
        <w:t xml:space="preserve">, </w:t>
      </w:r>
      <w:r w:rsidRPr="005D131A">
        <w:rPr>
          <w:sz w:val="28"/>
          <w:szCs w:val="28"/>
          <w:lang w:val="es-CO"/>
        </w:rPr>
        <w:t xml:space="preserve">la prestación </w:t>
      </w:r>
      <w:r w:rsidR="000E1A30" w:rsidRPr="005D131A">
        <w:rPr>
          <w:sz w:val="28"/>
          <w:szCs w:val="28"/>
          <w:lang w:val="es-CO"/>
        </w:rPr>
        <w:t xml:space="preserve">de servicios en </w:t>
      </w:r>
      <w:r w:rsidR="0077287F" w:rsidRPr="005D131A">
        <w:rPr>
          <w:sz w:val="28"/>
          <w:szCs w:val="28"/>
          <w:lang w:val="es-CO"/>
        </w:rPr>
        <w:t>casos de urgencia</w:t>
      </w:r>
      <w:r w:rsidR="000E1A30" w:rsidRPr="005D131A">
        <w:rPr>
          <w:sz w:val="28"/>
          <w:szCs w:val="28"/>
          <w:lang w:val="es-CO"/>
        </w:rPr>
        <w:t xml:space="preserve"> es transparente porque no deben realizar ningún trámite previo ante el </w:t>
      </w:r>
      <w:r w:rsidR="0077287F" w:rsidRPr="005D131A">
        <w:rPr>
          <w:sz w:val="28"/>
          <w:szCs w:val="28"/>
          <w:lang w:val="es-CO"/>
        </w:rPr>
        <w:t xml:space="preserve">CTC </w:t>
      </w:r>
      <w:r w:rsidR="000E1A30" w:rsidRPr="005D131A">
        <w:rPr>
          <w:sz w:val="28"/>
          <w:szCs w:val="28"/>
          <w:lang w:val="es-CO"/>
        </w:rPr>
        <w:t xml:space="preserve">de la respectiva EPS. </w:t>
      </w:r>
    </w:p>
    <w:p w:rsidR="00B04BD9" w:rsidRPr="005D131A" w:rsidRDefault="00B04BD9" w:rsidP="005D131A">
      <w:pPr>
        <w:tabs>
          <w:tab w:val="left" w:pos="426"/>
        </w:tabs>
        <w:rPr>
          <w:sz w:val="28"/>
          <w:szCs w:val="28"/>
          <w:lang w:val="es-CO"/>
        </w:rPr>
      </w:pPr>
    </w:p>
    <w:p w:rsidR="00550A57" w:rsidRPr="005D131A" w:rsidRDefault="002A6DB3" w:rsidP="005D131A">
      <w:pPr>
        <w:tabs>
          <w:tab w:val="left" w:pos="426"/>
        </w:tabs>
        <w:rPr>
          <w:sz w:val="28"/>
          <w:szCs w:val="28"/>
          <w:lang w:val="es-CO"/>
        </w:rPr>
      </w:pPr>
      <w:r w:rsidRPr="005D131A">
        <w:rPr>
          <w:sz w:val="28"/>
          <w:szCs w:val="28"/>
          <w:lang w:val="es-CO"/>
        </w:rPr>
        <w:t xml:space="preserve">25.2. </w:t>
      </w:r>
      <w:r w:rsidR="007C741A" w:rsidRPr="005D131A">
        <w:rPr>
          <w:sz w:val="28"/>
          <w:szCs w:val="28"/>
          <w:lang w:val="es-CO"/>
        </w:rPr>
        <w:t>Durante la sesión técnica realizada el 13 de noviembre de 2015</w:t>
      </w:r>
      <w:r w:rsidR="007E183F" w:rsidRPr="005D131A">
        <w:rPr>
          <w:sz w:val="28"/>
          <w:szCs w:val="28"/>
          <w:vertAlign w:val="superscript"/>
          <w:lang w:val="es-CO"/>
        </w:rPr>
        <w:footnoteReference w:id="68"/>
      </w:r>
      <w:r w:rsidR="003449B8" w:rsidRPr="005D131A">
        <w:rPr>
          <w:sz w:val="28"/>
          <w:szCs w:val="28"/>
          <w:lang w:val="es-CO"/>
        </w:rPr>
        <w:t>,</w:t>
      </w:r>
      <w:r w:rsidR="00341060" w:rsidRPr="005D131A">
        <w:rPr>
          <w:sz w:val="28"/>
          <w:szCs w:val="28"/>
          <w:lang w:val="es-CO"/>
        </w:rPr>
        <w:t xml:space="preserve"> el Ministerio de Salud</w:t>
      </w:r>
      <w:r w:rsidR="007C741A" w:rsidRPr="005D131A">
        <w:rPr>
          <w:sz w:val="28"/>
          <w:szCs w:val="28"/>
          <w:lang w:val="es-CO"/>
        </w:rPr>
        <w:t xml:space="preserve"> indicó </w:t>
      </w:r>
      <w:r w:rsidR="00550A57" w:rsidRPr="005D131A">
        <w:rPr>
          <w:sz w:val="28"/>
          <w:szCs w:val="28"/>
          <w:lang w:val="es-CO"/>
        </w:rPr>
        <w:t>que</w:t>
      </w:r>
      <w:r w:rsidR="00A41777" w:rsidRPr="005D131A">
        <w:rPr>
          <w:sz w:val="28"/>
          <w:szCs w:val="28"/>
          <w:lang w:val="es-CO"/>
        </w:rPr>
        <w:t xml:space="preserve"> </w:t>
      </w:r>
      <w:r w:rsidR="005D3233" w:rsidRPr="005D131A">
        <w:rPr>
          <w:sz w:val="28"/>
          <w:szCs w:val="28"/>
          <w:lang w:val="es-CO"/>
        </w:rPr>
        <w:t>se encontraba estudiando l</w:t>
      </w:r>
      <w:r w:rsidR="00A41777" w:rsidRPr="005D131A">
        <w:rPr>
          <w:sz w:val="28"/>
          <w:szCs w:val="28"/>
          <w:lang w:val="es-CO"/>
        </w:rPr>
        <w:t xml:space="preserve">a posibilidad de eliminar los CTC </w:t>
      </w:r>
      <w:r w:rsidR="00A73910" w:rsidRPr="005D131A">
        <w:rPr>
          <w:sz w:val="28"/>
          <w:szCs w:val="28"/>
          <w:lang w:val="es-CO"/>
        </w:rPr>
        <w:t xml:space="preserve">a partir de una interpretación de la </w:t>
      </w:r>
      <w:r w:rsidR="00550A57" w:rsidRPr="005D131A">
        <w:rPr>
          <w:sz w:val="28"/>
          <w:szCs w:val="28"/>
          <w:lang w:val="es-CO"/>
        </w:rPr>
        <w:t>Ley Estatutaria</w:t>
      </w:r>
      <w:r w:rsidR="005D3233" w:rsidRPr="005D131A">
        <w:rPr>
          <w:sz w:val="28"/>
          <w:szCs w:val="28"/>
          <w:lang w:val="es-CO"/>
        </w:rPr>
        <w:t xml:space="preserve"> de salud</w:t>
      </w:r>
      <w:r w:rsidR="00B83589" w:rsidRPr="005D131A">
        <w:rPr>
          <w:sz w:val="28"/>
          <w:szCs w:val="28"/>
          <w:lang w:val="es-CO"/>
        </w:rPr>
        <w:t xml:space="preserve"> porque </w:t>
      </w:r>
      <w:r w:rsidR="005D3233" w:rsidRPr="005D131A">
        <w:rPr>
          <w:sz w:val="28"/>
          <w:szCs w:val="28"/>
          <w:lang w:val="es-CO"/>
        </w:rPr>
        <w:t>los integrantes de los c</w:t>
      </w:r>
      <w:r w:rsidR="00A41777" w:rsidRPr="005D131A">
        <w:rPr>
          <w:sz w:val="28"/>
          <w:szCs w:val="28"/>
          <w:lang w:val="es-CO"/>
        </w:rPr>
        <w:t>omités</w:t>
      </w:r>
      <w:r w:rsidR="00341060" w:rsidRPr="005D131A">
        <w:rPr>
          <w:sz w:val="28"/>
          <w:szCs w:val="28"/>
          <w:lang w:val="es-CO"/>
        </w:rPr>
        <w:t xml:space="preserve"> no están</w:t>
      </w:r>
      <w:r w:rsidR="001D4C04" w:rsidRPr="005D131A">
        <w:rPr>
          <w:sz w:val="28"/>
          <w:szCs w:val="28"/>
          <w:lang w:val="es-CO"/>
        </w:rPr>
        <w:t xml:space="preserve"> efectuando el análisis y la entrega de medicamentos y servicios </w:t>
      </w:r>
      <w:r w:rsidR="00341060" w:rsidRPr="005D131A">
        <w:rPr>
          <w:sz w:val="28"/>
          <w:szCs w:val="28"/>
          <w:lang w:val="es-CO"/>
        </w:rPr>
        <w:t>a la luz de la historia clínica del paciente</w:t>
      </w:r>
      <w:r w:rsidR="00A73910" w:rsidRPr="005D131A">
        <w:rPr>
          <w:sz w:val="28"/>
          <w:szCs w:val="28"/>
          <w:lang w:val="es-CO"/>
        </w:rPr>
        <w:t xml:space="preserve">. </w:t>
      </w:r>
      <w:r w:rsidR="001C0C3F" w:rsidRPr="005D131A">
        <w:rPr>
          <w:sz w:val="28"/>
          <w:szCs w:val="28"/>
          <w:lang w:val="es-CO"/>
        </w:rPr>
        <w:t xml:space="preserve">En su reemplazo, afirmó </w:t>
      </w:r>
      <w:r w:rsidR="009B01B9" w:rsidRPr="005D131A">
        <w:rPr>
          <w:sz w:val="28"/>
          <w:szCs w:val="28"/>
          <w:lang w:val="es-CO"/>
        </w:rPr>
        <w:t>se</w:t>
      </w:r>
      <w:r w:rsidR="00266BBF" w:rsidRPr="005D131A">
        <w:rPr>
          <w:sz w:val="28"/>
          <w:szCs w:val="28"/>
          <w:lang w:val="es-CO"/>
        </w:rPr>
        <w:t xml:space="preserve"> crearía un</w:t>
      </w:r>
      <w:r w:rsidR="008553CE" w:rsidRPr="005D131A">
        <w:rPr>
          <w:sz w:val="28"/>
          <w:szCs w:val="28"/>
          <w:lang w:val="es-CO"/>
        </w:rPr>
        <w:t>a plataforma para el</w:t>
      </w:r>
      <w:r w:rsidR="00266BBF" w:rsidRPr="005D131A">
        <w:rPr>
          <w:sz w:val="28"/>
          <w:szCs w:val="28"/>
          <w:lang w:val="es-CO"/>
        </w:rPr>
        <w:t xml:space="preserve"> registro de prestaciones no incluidas en el POS</w:t>
      </w:r>
      <w:r w:rsidR="009B01B9" w:rsidRPr="005D131A">
        <w:rPr>
          <w:sz w:val="28"/>
          <w:szCs w:val="28"/>
          <w:lang w:val="es-CO"/>
        </w:rPr>
        <w:t>, dentro de</w:t>
      </w:r>
      <w:r w:rsidR="008553CE" w:rsidRPr="005D131A">
        <w:rPr>
          <w:sz w:val="28"/>
          <w:szCs w:val="28"/>
          <w:lang w:val="es-CO"/>
        </w:rPr>
        <w:t xml:space="preserve"> </w:t>
      </w:r>
      <w:r w:rsidR="009B01B9" w:rsidRPr="005D131A">
        <w:rPr>
          <w:sz w:val="28"/>
          <w:szCs w:val="28"/>
          <w:lang w:val="es-CO"/>
        </w:rPr>
        <w:t>l</w:t>
      </w:r>
      <w:r w:rsidR="008553CE" w:rsidRPr="005D131A">
        <w:rPr>
          <w:sz w:val="28"/>
          <w:szCs w:val="28"/>
          <w:lang w:val="es-CO"/>
        </w:rPr>
        <w:t>a</w:t>
      </w:r>
      <w:r w:rsidR="009B01B9" w:rsidRPr="005D131A">
        <w:rPr>
          <w:sz w:val="28"/>
          <w:szCs w:val="28"/>
          <w:lang w:val="es-CO"/>
        </w:rPr>
        <w:t xml:space="preserve"> cual el médico tratante sería el único responsable </w:t>
      </w:r>
      <w:r w:rsidR="00FF0503" w:rsidRPr="005D131A">
        <w:rPr>
          <w:sz w:val="28"/>
          <w:szCs w:val="28"/>
          <w:lang w:val="es-CO"/>
        </w:rPr>
        <w:t>de la autorización.</w:t>
      </w:r>
      <w:r w:rsidR="00266BBF" w:rsidRPr="005D131A">
        <w:rPr>
          <w:sz w:val="28"/>
          <w:szCs w:val="28"/>
          <w:lang w:val="es-CO"/>
        </w:rPr>
        <w:t xml:space="preserve"> </w:t>
      </w:r>
    </w:p>
    <w:p w:rsidR="001C10D9" w:rsidRPr="005D131A" w:rsidRDefault="001C10D9" w:rsidP="005D131A">
      <w:pPr>
        <w:tabs>
          <w:tab w:val="left" w:pos="426"/>
        </w:tabs>
        <w:rPr>
          <w:sz w:val="28"/>
          <w:szCs w:val="28"/>
          <w:lang w:val="es-CO"/>
        </w:rPr>
      </w:pPr>
    </w:p>
    <w:p w:rsidR="001C10D9" w:rsidRDefault="001C10D9" w:rsidP="005D131A">
      <w:pPr>
        <w:tabs>
          <w:tab w:val="left" w:pos="426"/>
        </w:tabs>
        <w:rPr>
          <w:sz w:val="28"/>
          <w:szCs w:val="28"/>
          <w:lang w:val="es-CO"/>
        </w:rPr>
      </w:pPr>
      <w:r w:rsidRPr="005D131A">
        <w:rPr>
          <w:sz w:val="28"/>
          <w:szCs w:val="28"/>
          <w:lang w:val="es-CO"/>
        </w:rPr>
        <w:t>Ahora bien, respecto del funcionamiento del mecanismo actual, esto es, los CTC, sostuvo que el 10 de noviembre de 2014 el Comité de Definición de Criterios y Lineamientos Técnicos para el Reconocimiento de Tecnologías en Salud no POS expidió dos notas externas con el fin de aclarar el procedimiento de autorización de las te</w:t>
      </w:r>
      <w:r w:rsidR="0077287F" w:rsidRPr="005D131A">
        <w:rPr>
          <w:sz w:val="28"/>
          <w:szCs w:val="28"/>
          <w:lang w:val="es-CO"/>
        </w:rPr>
        <w:t>cnologías expresamente excluidas</w:t>
      </w:r>
      <w:r w:rsidRPr="005D131A">
        <w:rPr>
          <w:sz w:val="28"/>
          <w:szCs w:val="28"/>
          <w:lang w:val="es-CO"/>
        </w:rPr>
        <w:t>. Explicó que los comités podían aprobar la prestación siempre que se cumplan los requisit</w:t>
      </w:r>
      <w:r w:rsidR="001C0C3F" w:rsidRPr="005D131A">
        <w:rPr>
          <w:sz w:val="28"/>
          <w:szCs w:val="28"/>
          <w:lang w:val="es-CO"/>
        </w:rPr>
        <w:t xml:space="preserve">os consagrados en el artículo 9º </w:t>
      </w:r>
      <w:r w:rsidRPr="005D131A">
        <w:rPr>
          <w:sz w:val="28"/>
          <w:szCs w:val="28"/>
          <w:lang w:val="es-CO"/>
        </w:rPr>
        <w:t>de la Resolución 5395 de 2013</w:t>
      </w:r>
      <w:r w:rsidRPr="005D131A">
        <w:rPr>
          <w:sz w:val="28"/>
          <w:szCs w:val="28"/>
          <w:vertAlign w:val="superscript"/>
          <w:lang w:val="es-CO"/>
        </w:rPr>
        <w:footnoteReference w:id="69"/>
      </w:r>
      <w:r w:rsidR="0077287F" w:rsidRPr="005D131A">
        <w:rPr>
          <w:sz w:val="28"/>
          <w:szCs w:val="28"/>
          <w:lang w:val="es-CO"/>
        </w:rPr>
        <w:t>.</w:t>
      </w:r>
    </w:p>
    <w:p w:rsidR="009539B3" w:rsidRPr="005D131A" w:rsidRDefault="009539B3" w:rsidP="005D131A">
      <w:pPr>
        <w:tabs>
          <w:tab w:val="left" w:pos="426"/>
        </w:tabs>
        <w:rPr>
          <w:sz w:val="28"/>
          <w:szCs w:val="28"/>
          <w:lang w:val="es-CO"/>
        </w:rPr>
      </w:pPr>
    </w:p>
    <w:p w:rsidR="001C10D9" w:rsidRPr="005D131A" w:rsidRDefault="001C10D9" w:rsidP="005D131A">
      <w:pPr>
        <w:tabs>
          <w:tab w:val="left" w:pos="426"/>
        </w:tabs>
        <w:rPr>
          <w:sz w:val="28"/>
          <w:szCs w:val="28"/>
        </w:rPr>
      </w:pPr>
      <w:r w:rsidRPr="005D131A">
        <w:rPr>
          <w:sz w:val="28"/>
          <w:szCs w:val="28"/>
          <w:lang w:val="es-CO"/>
        </w:rPr>
        <w:t>Adicionalme</w:t>
      </w:r>
      <w:r w:rsidR="001C0C3F" w:rsidRPr="005D131A">
        <w:rPr>
          <w:sz w:val="28"/>
          <w:szCs w:val="28"/>
          <w:lang w:val="es-CO"/>
        </w:rPr>
        <w:t xml:space="preserve">nte, adujo </w:t>
      </w:r>
      <w:r w:rsidRPr="005D131A">
        <w:rPr>
          <w:sz w:val="28"/>
          <w:szCs w:val="28"/>
          <w:lang w:val="es-CO"/>
        </w:rPr>
        <w:t>que de conformidad con el artículo 154 de la Ley 1450 de 2011</w:t>
      </w:r>
      <w:r w:rsidRPr="005D131A">
        <w:rPr>
          <w:sz w:val="28"/>
          <w:szCs w:val="28"/>
          <w:vertAlign w:val="superscript"/>
          <w:lang w:val="es-CO"/>
        </w:rPr>
        <w:footnoteReference w:id="70"/>
      </w:r>
      <w:r w:rsidRPr="005D131A">
        <w:rPr>
          <w:sz w:val="28"/>
          <w:szCs w:val="28"/>
          <w:lang w:val="es-CO"/>
        </w:rPr>
        <w:t>, la prestación no puede ser de aquellas no financiadas por el Sistema General de Seguridad Social en Salud</w:t>
      </w:r>
      <w:r w:rsidR="00B04BD9" w:rsidRPr="005D131A">
        <w:rPr>
          <w:sz w:val="28"/>
          <w:szCs w:val="28"/>
          <w:lang w:val="es-CO"/>
        </w:rPr>
        <w:t>,</w:t>
      </w:r>
      <w:r w:rsidRPr="005D131A">
        <w:rPr>
          <w:sz w:val="28"/>
          <w:szCs w:val="28"/>
          <w:lang w:val="es-CO"/>
        </w:rPr>
        <w:t xml:space="preserve"> </w:t>
      </w:r>
      <w:r w:rsidR="0024495A" w:rsidRPr="005D131A">
        <w:rPr>
          <w:sz w:val="28"/>
          <w:szCs w:val="28"/>
          <w:lang w:val="es-CO"/>
        </w:rPr>
        <w:t xml:space="preserve">como por ejemplo las prestaciones suntuarias o cosméticas, </w:t>
      </w:r>
      <w:r w:rsidR="001C0C3F" w:rsidRPr="005D131A">
        <w:rPr>
          <w:sz w:val="28"/>
          <w:szCs w:val="28"/>
          <w:lang w:val="es-CO"/>
        </w:rPr>
        <w:t xml:space="preserve">aunado a ello, </w:t>
      </w:r>
      <w:r w:rsidR="0024495A" w:rsidRPr="005D131A">
        <w:rPr>
          <w:sz w:val="28"/>
          <w:szCs w:val="28"/>
          <w:lang w:val="es-CO"/>
        </w:rPr>
        <w:t xml:space="preserve"> se deben verificar las reglas jurisprudenciales señaladas por la Corte para otorgar servicios no POS, es decir, que </w:t>
      </w:r>
      <w:r w:rsidR="0024495A" w:rsidRPr="005D131A">
        <w:rPr>
          <w:i/>
          <w:sz w:val="28"/>
          <w:szCs w:val="28"/>
          <w:lang w:val="es-CO"/>
        </w:rPr>
        <w:t>i)</w:t>
      </w:r>
      <w:r w:rsidR="0024495A" w:rsidRPr="005D131A">
        <w:rPr>
          <w:sz w:val="28"/>
          <w:szCs w:val="28"/>
          <w:lang w:val="es-CO"/>
        </w:rPr>
        <w:t xml:space="preserve"> </w:t>
      </w:r>
      <w:r w:rsidRPr="005D131A">
        <w:rPr>
          <w:sz w:val="28"/>
          <w:szCs w:val="28"/>
        </w:rPr>
        <w:t>la f</w:t>
      </w:r>
      <w:r w:rsidR="0024495A" w:rsidRPr="005D131A">
        <w:rPr>
          <w:sz w:val="28"/>
          <w:szCs w:val="28"/>
        </w:rPr>
        <w:t>alta del servicio médico vulnere o amenace</w:t>
      </w:r>
      <w:r w:rsidRPr="005D131A">
        <w:rPr>
          <w:sz w:val="28"/>
          <w:szCs w:val="28"/>
        </w:rPr>
        <w:t xml:space="preserve"> los derechos a la vida y a la integridad personal de quien lo requiere; </w:t>
      </w:r>
      <w:r w:rsidR="0024495A" w:rsidRPr="005D131A">
        <w:rPr>
          <w:i/>
          <w:sz w:val="28"/>
          <w:szCs w:val="28"/>
          <w:lang w:val="es-CO"/>
        </w:rPr>
        <w:t>ii)</w:t>
      </w:r>
      <w:r w:rsidR="0024495A" w:rsidRPr="005D131A">
        <w:rPr>
          <w:sz w:val="28"/>
          <w:szCs w:val="28"/>
          <w:lang w:val="es-CO"/>
        </w:rPr>
        <w:t xml:space="preserve"> </w:t>
      </w:r>
      <w:r w:rsidRPr="005D131A">
        <w:rPr>
          <w:sz w:val="28"/>
          <w:szCs w:val="28"/>
        </w:rPr>
        <w:t>el servicio no puede ser sustituido por otro que se encuentre incluido en el plan obligatorio;</w:t>
      </w:r>
      <w:r w:rsidR="0024495A" w:rsidRPr="005D131A">
        <w:rPr>
          <w:sz w:val="28"/>
          <w:szCs w:val="28"/>
          <w:lang w:val="es-CO"/>
        </w:rPr>
        <w:t xml:space="preserve"> </w:t>
      </w:r>
      <w:r w:rsidR="0024495A" w:rsidRPr="005D131A">
        <w:rPr>
          <w:i/>
          <w:sz w:val="28"/>
          <w:szCs w:val="28"/>
          <w:lang w:val="es-CO"/>
        </w:rPr>
        <w:t>iii)</w:t>
      </w:r>
      <w:r w:rsidR="0024495A" w:rsidRPr="005D131A">
        <w:rPr>
          <w:sz w:val="28"/>
          <w:szCs w:val="28"/>
          <w:lang w:val="es-CO"/>
        </w:rPr>
        <w:t xml:space="preserve"> </w:t>
      </w:r>
      <w:r w:rsidRPr="005D131A">
        <w:rPr>
          <w:sz w:val="28"/>
          <w:szCs w:val="28"/>
        </w:rPr>
        <w:t xml:space="preserve">el interesado no puede costearlo directamente, ni las sumas que la entidad encargada de garantizar la prestación del servicio se encuentra autorizada legalmente a cobrar, y no puede acceder al servicio por otro plan distinto que lo beneficie; y </w:t>
      </w:r>
      <w:r w:rsidR="0024495A" w:rsidRPr="005D131A">
        <w:rPr>
          <w:i/>
          <w:sz w:val="28"/>
          <w:szCs w:val="28"/>
          <w:lang w:val="es-CO"/>
        </w:rPr>
        <w:t>iv)</w:t>
      </w:r>
      <w:r w:rsidR="0024495A" w:rsidRPr="005D131A">
        <w:rPr>
          <w:sz w:val="28"/>
          <w:szCs w:val="28"/>
          <w:lang w:val="es-CO"/>
        </w:rPr>
        <w:t xml:space="preserve"> </w:t>
      </w:r>
      <w:r w:rsidRPr="005D131A">
        <w:rPr>
          <w:sz w:val="28"/>
          <w:szCs w:val="28"/>
        </w:rPr>
        <w:t>el servicio médico ha sido ordenado por un médico adscrito a la entidad encargada de garantizar la prestación del servicio a quien está solicitándolo</w:t>
      </w:r>
      <w:r w:rsidRPr="005D131A">
        <w:rPr>
          <w:sz w:val="28"/>
          <w:szCs w:val="28"/>
          <w:vertAlign w:val="superscript"/>
        </w:rPr>
        <w:footnoteReference w:id="71"/>
      </w:r>
      <w:r w:rsidRPr="005D131A">
        <w:rPr>
          <w:sz w:val="28"/>
          <w:szCs w:val="28"/>
        </w:rPr>
        <w:t>.</w:t>
      </w:r>
    </w:p>
    <w:p w:rsidR="007C03C4" w:rsidRPr="005D131A" w:rsidRDefault="007C03C4" w:rsidP="005D131A">
      <w:pPr>
        <w:tabs>
          <w:tab w:val="left" w:pos="426"/>
        </w:tabs>
        <w:rPr>
          <w:sz w:val="28"/>
          <w:szCs w:val="28"/>
          <w:lang w:val="es-CO"/>
        </w:rPr>
      </w:pPr>
    </w:p>
    <w:p w:rsidR="001C10D9" w:rsidRPr="005D131A" w:rsidRDefault="001C10D9" w:rsidP="005D131A">
      <w:pPr>
        <w:tabs>
          <w:tab w:val="left" w:pos="426"/>
        </w:tabs>
        <w:rPr>
          <w:sz w:val="28"/>
          <w:szCs w:val="28"/>
          <w:lang w:val="es-CO"/>
        </w:rPr>
      </w:pPr>
      <w:r w:rsidRPr="005D131A">
        <w:rPr>
          <w:sz w:val="28"/>
          <w:szCs w:val="28"/>
          <w:lang w:val="es-CO"/>
        </w:rPr>
        <w:t xml:space="preserve">Consideró </w:t>
      </w:r>
      <w:r w:rsidR="0024495A" w:rsidRPr="005D131A">
        <w:rPr>
          <w:sz w:val="28"/>
          <w:szCs w:val="28"/>
          <w:lang w:val="es-CO"/>
        </w:rPr>
        <w:t xml:space="preserve">además que los </w:t>
      </w:r>
      <w:r w:rsidR="00191F89" w:rsidRPr="005D131A">
        <w:rPr>
          <w:sz w:val="28"/>
          <w:szCs w:val="28"/>
          <w:lang w:val="es-CO"/>
        </w:rPr>
        <w:t xml:space="preserve">CTC </w:t>
      </w:r>
      <w:r w:rsidRPr="005D131A">
        <w:rPr>
          <w:sz w:val="28"/>
          <w:szCs w:val="28"/>
          <w:lang w:val="es-CO"/>
        </w:rPr>
        <w:t>se han posicionado como la instancia de aprobación de tecnologías no POS, situación que se evidencia en el hecho de que el 87.79 % de los recobros corresponden a decision</w:t>
      </w:r>
      <w:r w:rsidR="0024495A" w:rsidRPr="005D131A">
        <w:rPr>
          <w:sz w:val="28"/>
          <w:szCs w:val="28"/>
          <w:lang w:val="es-CO"/>
        </w:rPr>
        <w:t xml:space="preserve">es de </w:t>
      </w:r>
      <w:r w:rsidR="00191F89" w:rsidRPr="005D131A">
        <w:rPr>
          <w:sz w:val="28"/>
          <w:szCs w:val="28"/>
          <w:lang w:val="es-CO"/>
        </w:rPr>
        <w:t xml:space="preserve">esos organismos </w:t>
      </w:r>
      <w:r w:rsidR="0024495A" w:rsidRPr="005D131A">
        <w:rPr>
          <w:sz w:val="28"/>
          <w:szCs w:val="28"/>
          <w:lang w:val="es-CO"/>
        </w:rPr>
        <w:t>y el 12.20 % restante</w:t>
      </w:r>
      <w:r w:rsidRPr="005D131A">
        <w:rPr>
          <w:sz w:val="28"/>
          <w:szCs w:val="28"/>
          <w:lang w:val="es-CO"/>
        </w:rPr>
        <w:t xml:space="preserve"> a fallos de tutela. Adujo que la extensión del mecanismo a los servicios diferentes a medicamentos </w:t>
      </w:r>
      <w:r w:rsidR="001C0C3F" w:rsidRPr="005D131A">
        <w:rPr>
          <w:sz w:val="28"/>
          <w:szCs w:val="28"/>
          <w:lang w:val="es-CO"/>
        </w:rPr>
        <w:t>contemplada en la orden vigésima</w:t>
      </w:r>
      <w:r w:rsidRPr="005D131A">
        <w:rPr>
          <w:sz w:val="28"/>
          <w:szCs w:val="28"/>
          <w:lang w:val="es-CO"/>
        </w:rPr>
        <w:t xml:space="preserve"> tercera fue cumplida con las resoluciones</w:t>
      </w:r>
      <w:r w:rsidR="0024495A" w:rsidRPr="005D131A">
        <w:rPr>
          <w:sz w:val="28"/>
          <w:szCs w:val="28"/>
          <w:lang w:val="es-CO"/>
        </w:rPr>
        <w:t xml:space="preserve"> que han sido</w:t>
      </w:r>
      <w:r w:rsidRPr="005D131A">
        <w:rPr>
          <w:sz w:val="28"/>
          <w:szCs w:val="28"/>
          <w:lang w:val="es-CO"/>
        </w:rPr>
        <w:t xml:space="preserve"> expedidas</w:t>
      </w:r>
      <w:r w:rsidR="0024495A" w:rsidRPr="005D131A">
        <w:rPr>
          <w:sz w:val="28"/>
          <w:szCs w:val="28"/>
          <w:lang w:val="es-CO"/>
        </w:rPr>
        <w:t xml:space="preserve"> para el efecto. </w:t>
      </w:r>
    </w:p>
    <w:p w:rsidR="001C10D9" w:rsidRPr="005D131A" w:rsidRDefault="001C10D9" w:rsidP="005D131A">
      <w:pPr>
        <w:tabs>
          <w:tab w:val="left" w:pos="426"/>
        </w:tabs>
        <w:rPr>
          <w:sz w:val="28"/>
          <w:szCs w:val="28"/>
          <w:lang w:val="es-CO"/>
        </w:rPr>
      </w:pPr>
    </w:p>
    <w:p w:rsidR="001C10D9" w:rsidRPr="005D131A" w:rsidRDefault="001C10D9" w:rsidP="005D131A">
      <w:pPr>
        <w:tabs>
          <w:tab w:val="left" w:pos="426"/>
        </w:tabs>
        <w:rPr>
          <w:sz w:val="28"/>
          <w:szCs w:val="28"/>
          <w:lang w:val="es-CO"/>
        </w:rPr>
      </w:pPr>
      <w:r w:rsidRPr="005D131A">
        <w:rPr>
          <w:sz w:val="28"/>
          <w:szCs w:val="28"/>
          <w:lang w:val="es-CO"/>
        </w:rPr>
        <w:t xml:space="preserve">Precisó que la fuente disponible e idónea para determinar si se ha cumplido con la obligación de suministrar servicios no POS de urgencia sin someterlo al CTC es la base </w:t>
      </w:r>
      <w:r w:rsidR="0024495A" w:rsidRPr="005D131A">
        <w:rPr>
          <w:sz w:val="28"/>
          <w:szCs w:val="28"/>
          <w:lang w:val="es-CO"/>
        </w:rPr>
        <w:t>de datos de recobros del</w:t>
      </w:r>
      <w:r w:rsidRPr="005D131A">
        <w:rPr>
          <w:sz w:val="28"/>
          <w:szCs w:val="28"/>
          <w:lang w:val="es-CO"/>
        </w:rPr>
        <w:t xml:space="preserve"> </w:t>
      </w:r>
      <w:r w:rsidR="0055673D" w:rsidRPr="005D131A">
        <w:rPr>
          <w:sz w:val="28"/>
          <w:szCs w:val="28"/>
          <w:lang w:val="es-CO"/>
        </w:rPr>
        <w:t>Fosyga</w:t>
      </w:r>
      <w:r w:rsidRPr="005D131A">
        <w:rPr>
          <w:sz w:val="28"/>
          <w:szCs w:val="28"/>
          <w:lang w:val="es-CO"/>
        </w:rPr>
        <w:t xml:space="preserve">. </w:t>
      </w:r>
      <w:r w:rsidR="00214EF5" w:rsidRPr="005D131A">
        <w:rPr>
          <w:sz w:val="28"/>
          <w:szCs w:val="28"/>
          <w:lang w:val="es-CO"/>
        </w:rPr>
        <w:t xml:space="preserve">Sin embargo, </w:t>
      </w:r>
      <w:r w:rsidR="001C0C3F" w:rsidRPr="005D131A">
        <w:rPr>
          <w:sz w:val="28"/>
          <w:szCs w:val="28"/>
          <w:lang w:val="es-CO"/>
        </w:rPr>
        <w:t xml:space="preserve">esa información </w:t>
      </w:r>
      <w:r w:rsidRPr="005D131A">
        <w:rPr>
          <w:sz w:val="28"/>
          <w:szCs w:val="28"/>
          <w:lang w:val="es-CO"/>
        </w:rPr>
        <w:t xml:space="preserve">no permiten establecer una línea base ni </w:t>
      </w:r>
      <w:r w:rsidR="00214EF5" w:rsidRPr="005D131A">
        <w:rPr>
          <w:sz w:val="28"/>
          <w:szCs w:val="28"/>
          <w:lang w:val="es-CO"/>
        </w:rPr>
        <w:t>una tendencia en la prestación, t</w:t>
      </w:r>
      <w:r w:rsidRPr="005D131A">
        <w:rPr>
          <w:sz w:val="28"/>
          <w:szCs w:val="28"/>
          <w:lang w:val="es-CO"/>
        </w:rPr>
        <w:t>ampoco evidencian quejas referentes a la demora en la prestación, el traslado de la carga administrativa a los usuarios ni la falta de conocimiento de los miembros del com</w:t>
      </w:r>
      <w:r w:rsidR="00214EF5" w:rsidRPr="005D131A">
        <w:rPr>
          <w:sz w:val="28"/>
          <w:szCs w:val="28"/>
          <w:lang w:val="es-CO"/>
        </w:rPr>
        <w:t xml:space="preserve">ité de la Circular 019 de 2012. </w:t>
      </w:r>
    </w:p>
    <w:p w:rsidR="00A92706" w:rsidRPr="005D131A" w:rsidRDefault="00A92706" w:rsidP="005D131A">
      <w:pPr>
        <w:tabs>
          <w:tab w:val="left" w:pos="426"/>
        </w:tabs>
        <w:rPr>
          <w:sz w:val="28"/>
          <w:szCs w:val="28"/>
          <w:lang w:val="es-CO"/>
        </w:rPr>
      </w:pPr>
    </w:p>
    <w:p w:rsidR="001C10D9" w:rsidRPr="005D131A" w:rsidRDefault="00214EF5" w:rsidP="005D131A">
      <w:pPr>
        <w:tabs>
          <w:tab w:val="left" w:pos="426"/>
        </w:tabs>
        <w:rPr>
          <w:sz w:val="28"/>
          <w:szCs w:val="28"/>
          <w:lang w:val="es-CO"/>
        </w:rPr>
      </w:pPr>
      <w:r w:rsidRPr="005D131A">
        <w:rPr>
          <w:sz w:val="28"/>
          <w:szCs w:val="28"/>
          <w:lang w:val="es-CO"/>
        </w:rPr>
        <w:t>E</w:t>
      </w:r>
      <w:r w:rsidR="001C10D9" w:rsidRPr="005D131A">
        <w:rPr>
          <w:sz w:val="28"/>
          <w:szCs w:val="28"/>
          <w:lang w:val="es-CO"/>
        </w:rPr>
        <w:t xml:space="preserve">xplicó </w:t>
      </w:r>
      <w:r w:rsidRPr="005D131A">
        <w:rPr>
          <w:sz w:val="28"/>
          <w:szCs w:val="28"/>
          <w:lang w:val="es-CO"/>
        </w:rPr>
        <w:t>el Ministerio que cada año</w:t>
      </w:r>
      <w:r w:rsidR="001C10D9" w:rsidRPr="005D131A">
        <w:rPr>
          <w:sz w:val="28"/>
          <w:szCs w:val="28"/>
          <w:lang w:val="es-CO"/>
        </w:rPr>
        <w:t xml:space="preserve"> se realiza una encuesta </w:t>
      </w:r>
      <w:r w:rsidRPr="005D131A">
        <w:rPr>
          <w:sz w:val="28"/>
          <w:szCs w:val="28"/>
          <w:lang w:val="es-CO"/>
        </w:rPr>
        <w:t xml:space="preserve">dirigida a los </w:t>
      </w:r>
      <w:r w:rsidR="001C10D9" w:rsidRPr="005D131A">
        <w:rPr>
          <w:sz w:val="28"/>
          <w:szCs w:val="28"/>
          <w:lang w:val="es-CO"/>
        </w:rPr>
        <w:t xml:space="preserve">usuarios </w:t>
      </w:r>
      <w:r w:rsidR="001C0C3F" w:rsidRPr="005D131A">
        <w:rPr>
          <w:sz w:val="28"/>
          <w:szCs w:val="28"/>
          <w:lang w:val="es-CO"/>
        </w:rPr>
        <w:t xml:space="preserve">sobre el </w:t>
      </w:r>
      <w:r w:rsidR="00191F89" w:rsidRPr="005D131A">
        <w:rPr>
          <w:sz w:val="28"/>
          <w:szCs w:val="28"/>
          <w:lang w:val="es-CO"/>
        </w:rPr>
        <w:t xml:space="preserve">funcionamiento del sistema, pero </w:t>
      </w:r>
      <w:r w:rsidR="00B83589" w:rsidRPr="005D131A">
        <w:rPr>
          <w:sz w:val="28"/>
          <w:szCs w:val="28"/>
          <w:lang w:val="es-CO"/>
        </w:rPr>
        <w:t>los datos recolectado son afectados</w:t>
      </w:r>
      <w:r w:rsidR="001C10D9" w:rsidRPr="005D131A">
        <w:rPr>
          <w:sz w:val="28"/>
          <w:szCs w:val="28"/>
          <w:lang w:val="es-CO"/>
        </w:rPr>
        <w:t xml:space="preserve"> por </w:t>
      </w:r>
      <w:r w:rsidR="001C10D9" w:rsidRPr="005D131A">
        <w:rPr>
          <w:i/>
          <w:sz w:val="28"/>
          <w:szCs w:val="28"/>
          <w:lang w:val="es-CO"/>
        </w:rPr>
        <w:t>“sesgos de recordación”</w:t>
      </w:r>
      <w:r w:rsidR="001C10D9" w:rsidRPr="005D131A">
        <w:rPr>
          <w:sz w:val="28"/>
          <w:szCs w:val="28"/>
          <w:lang w:val="es-CO"/>
        </w:rPr>
        <w:t xml:space="preserve"> que hace que los pacientes piensen que cualquier diligencia es u</w:t>
      </w:r>
      <w:r w:rsidR="00B83589" w:rsidRPr="005D131A">
        <w:rPr>
          <w:sz w:val="28"/>
          <w:szCs w:val="28"/>
          <w:lang w:val="es-CO"/>
        </w:rPr>
        <w:t>n trámite administrativo. En ese sentido</w:t>
      </w:r>
      <w:r w:rsidR="001C10D9" w:rsidRPr="005D131A">
        <w:rPr>
          <w:sz w:val="28"/>
          <w:szCs w:val="28"/>
          <w:lang w:val="es-CO"/>
        </w:rPr>
        <w:t xml:space="preserve">, pidió tener en cuenta que el trámite ante el CTC se da dentro de la tensión creada por las altas expectativas de los afiliados y la imposición de labores a los galenos, </w:t>
      </w:r>
      <w:r w:rsidRPr="005D131A">
        <w:rPr>
          <w:sz w:val="28"/>
          <w:szCs w:val="28"/>
          <w:lang w:val="es-CO"/>
        </w:rPr>
        <w:t xml:space="preserve">además </w:t>
      </w:r>
      <w:r w:rsidR="001C10D9" w:rsidRPr="005D131A">
        <w:rPr>
          <w:sz w:val="28"/>
          <w:szCs w:val="28"/>
          <w:lang w:val="es-CO"/>
        </w:rPr>
        <w:t xml:space="preserve">en la actualidad existe una sobrecarga en los servicios de urgencia de las IPS. </w:t>
      </w:r>
    </w:p>
    <w:p w:rsidR="001C10D9" w:rsidRPr="005D131A" w:rsidRDefault="001C10D9" w:rsidP="005D131A">
      <w:pPr>
        <w:tabs>
          <w:tab w:val="left" w:pos="426"/>
        </w:tabs>
        <w:rPr>
          <w:sz w:val="28"/>
          <w:szCs w:val="28"/>
          <w:lang w:val="es-CO"/>
        </w:rPr>
      </w:pPr>
    </w:p>
    <w:p w:rsidR="001C10D9" w:rsidRPr="005D131A" w:rsidRDefault="001C10D9" w:rsidP="005D131A">
      <w:pPr>
        <w:tabs>
          <w:tab w:val="left" w:pos="426"/>
        </w:tabs>
        <w:rPr>
          <w:sz w:val="28"/>
          <w:szCs w:val="28"/>
          <w:lang w:val="es-CO"/>
        </w:rPr>
      </w:pPr>
      <w:r w:rsidRPr="005D131A">
        <w:rPr>
          <w:sz w:val="28"/>
          <w:szCs w:val="28"/>
          <w:lang w:val="es-CO"/>
        </w:rPr>
        <w:t xml:space="preserve">Finalmente, </w:t>
      </w:r>
      <w:r w:rsidR="00214EF5" w:rsidRPr="005D131A">
        <w:rPr>
          <w:sz w:val="28"/>
          <w:szCs w:val="28"/>
          <w:lang w:val="es-CO"/>
        </w:rPr>
        <w:t xml:space="preserve">en la sesión técnica referida, </w:t>
      </w:r>
      <w:r w:rsidRPr="005D131A">
        <w:rPr>
          <w:sz w:val="28"/>
          <w:szCs w:val="28"/>
          <w:lang w:val="es-CO"/>
        </w:rPr>
        <w:t>sostuvo que se encontraba en formulación la regulación sobre la verificación de la capacidad de pago de los afiliados al régimen contributivo en salud, con el f</w:t>
      </w:r>
      <w:r w:rsidR="001C0C3F" w:rsidRPr="005D131A">
        <w:rPr>
          <w:sz w:val="28"/>
          <w:szCs w:val="28"/>
          <w:lang w:val="es-CO"/>
        </w:rPr>
        <w:t>in de que puedan acceder a esas</w:t>
      </w:r>
      <w:r w:rsidRPr="005D131A">
        <w:rPr>
          <w:sz w:val="28"/>
          <w:szCs w:val="28"/>
          <w:lang w:val="es-CO"/>
        </w:rPr>
        <w:t xml:space="preserve"> prestaciones.</w:t>
      </w:r>
    </w:p>
    <w:p w:rsidR="001C10D9" w:rsidRPr="005D131A" w:rsidRDefault="001C10D9" w:rsidP="005D131A">
      <w:pPr>
        <w:shd w:val="clear" w:color="auto" w:fill="FFFFFF"/>
        <w:rPr>
          <w:b/>
          <w:sz w:val="28"/>
          <w:szCs w:val="28"/>
        </w:rPr>
      </w:pPr>
    </w:p>
    <w:p w:rsidR="00191F89" w:rsidRPr="005D131A" w:rsidRDefault="002A6DB3" w:rsidP="005D131A">
      <w:pPr>
        <w:tabs>
          <w:tab w:val="left" w:pos="426"/>
        </w:tabs>
        <w:rPr>
          <w:sz w:val="28"/>
          <w:szCs w:val="28"/>
          <w:lang w:val="es-CO"/>
        </w:rPr>
      </w:pPr>
      <w:r w:rsidRPr="005D131A">
        <w:rPr>
          <w:sz w:val="28"/>
          <w:szCs w:val="28"/>
        </w:rPr>
        <w:t xml:space="preserve">26. </w:t>
      </w:r>
      <w:r w:rsidR="005130B8" w:rsidRPr="005D131A">
        <w:rPr>
          <w:sz w:val="28"/>
          <w:szCs w:val="28"/>
        </w:rPr>
        <w:t xml:space="preserve">El 13 </w:t>
      </w:r>
      <w:r w:rsidR="005130B8" w:rsidRPr="005D131A">
        <w:rPr>
          <w:sz w:val="28"/>
          <w:szCs w:val="28"/>
          <w:lang w:val="es-CO"/>
        </w:rPr>
        <w:t>de</w:t>
      </w:r>
      <w:r w:rsidR="005130B8" w:rsidRPr="005D131A">
        <w:rPr>
          <w:sz w:val="28"/>
          <w:szCs w:val="28"/>
        </w:rPr>
        <w:t xml:space="preserve"> abril de 2016, el Ministerio </w:t>
      </w:r>
      <w:r w:rsidR="005A21C1" w:rsidRPr="005D131A">
        <w:rPr>
          <w:sz w:val="28"/>
          <w:szCs w:val="28"/>
        </w:rPr>
        <w:t xml:space="preserve">de Salud y Protección Social </w:t>
      </w:r>
      <w:r w:rsidR="005130B8" w:rsidRPr="005D131A">
        <w:rPr>
          <w:sz w:val="28"/>
          <w:szCs w:val="28"/>
        </w:rPr>
        <w:t xml:space="preserve">allegó informe </w:t>
      </w:r>
      <w:r w:rsidR="005A21C1" w:rsidRPr="005D131A">
        <w:rPr>
          <w:sz w:val="28"/>
          <w:szCs w:val="28"/>
        </w:rPr>
        <w:t xml:space="preserve">sobre el </w:t>
      </w:r>
      <w:r w:rsidR="005130B8" w:rsidRPr="005D131A">
        <w:rPr>
          <w:sz w:val="28"/>
          <w:szCs w:val="28"/>
        </w:rPr>
        <w:t>cumplimiento de l</w:t>
      </w:r>
      <w:r w:rsidR="005A21C1" w:rsidRPr="005D131A">
        <w:rPr>
          <w:sz w:val="28"/>
          <w:szCs w:val="28"/>
        </w:rPr>
        <w:t xml:space="preserve">a orden bajo estudio, en el que señaló </w:t>
      </w:r>
      <w:r w:rsidR="00191F89" w:rsidRPr="005D131A">
        <w:rPr>
          <w:sz w:val="28"/>
          <w:szCs w:val="28"/>
        </w:rPr>
        <w:t>las actuaciones adelantadas desde la expedición de la Sentencia</w:t>
      </w:r>
      <w:r w:rsidR="009B2546" w:rsidRPr="005D131A">
        <w:rPr>
          <w:sz w:val="28"/>
          <w:szCs w:val="28"/>
        </w:rPr>
        <w:t xml:space="preserve"> T-760 de 2008, precisando los alcances, medidas, resultados y avances, de la siguiente manera: </w:t>
      </w:r>
    </w:p>
    <w:p w:rsidR="00A02B57" w:rsidRPr="005D131A" w:rsidRDefault="00A02B57" w:rsidP="005D131A">
      <w:pPr>
        <w:tabs>
          <w:tab w:val="left" w:pos="426"/>
        </w:tabs>
        <w:rPr>
          <w:sz w:val="28"/>
          <w:szCs w:val="28"/>
        </w:rPr>
      </w:pPr>
    </w:p>
    <w:p w:rsidR="005130B8" w:rsidRPr="005D131A" w:rsidRDefault="002A6DB3" w:rsidP="005D131A">
      <w:pPr>
        <w:pStyle w:val="Prrafodelista"/>
        <w:tabs>
          <w:tab w:val="left" w:pos="567"/>
        </w:tabs>
        <w:ind w:left="0"/>
        <w:rPr>
          <w:sz w:val="28"/>
          <w:szCs w:val="28"/>
        </w:rPr>
      </w:pPr>
      <w:r w:rsidRPr="005D131A">
        <w:rPr>
          <w:sz w:val="28"/>
          <w:szCs w:val="28"/>
        </w:rPr>
        <w:t xml:space="preserve">26.1. </w:t>
      </w:r>
      <w:r w:rsidR="005739EE" w:rsidRPr="005D131A">
        <w:rPr>
          <w:sz w:val="28"/>
          <w:szCs w:val="28"/>
        </w:rPr>
        <w:t>En primer lugar, el ente ministerial señaló que a p</w:t>
      </w:r>
      <w:r w:rsidR="001D2450" w:rsidRPr="005D131A">
        <w:rPr>
          <w:sz w:val="28"/>
          <w:szCs w:val="28"/>
        </w:rPr>
        <w:t>artir de la Circular 019 de 2012</w:t>
      </w:r>
      <w:r w:rsidR="005739EE" w:rsidRPr="005D131A">
        <w:rPr>
          <w:sz w:val="28"/>
          <w:szCs w:val="28"/>
        </w:rPr>
        <w:t xml:space="preserve">, y de manera previa con la expedición de la Resolución 3099 de 2008, se exceptuó la aplicación del procedimiento de autorización </w:t>
      </w:r>
      <w:r w:rsidR="00E81191" w:rsidRPr="005D131A">
        <w:rPr>
          <w:sz w:val="28"/>
          <w:szCs w:val="28"/>
        </w:rPr>
        <w:t>para los servicios y tecnologías no incluidas en el</w:t>
      </w:r>
      <w:r w:rsidR="001D2450" w:rsidRPr="005D131A">
        <w:rPr>
          <w:sz w:val="28"/>
          <w:szCs w:val="28"/>
        </w:rPr>
        <w:t xml:space="preserve"> POS</w:t>
      </w:r>
      <w:r w:rsidR="00E81191" w:rsidRPr="005D131A">
        <w:rPr>
          <w:sz w:val="28"/>
          <w:szCs w:val="28"/>
        </w:rPr>
        <w:t xml:space="preserve">, hoy denominadas no cubiertas por el Plan de Beneficios con cargo a la </w:t>
      </w:r>
      <w:r w:rsidR="001D2450" w:rsidRPr="005D131A">
        <w:rPr>
          <w:sz w:val="28"/>
          <w:szCs w:val="28"/>
        </w:rPr>
        <w:t>Unidad de Pago por Capitación -</w:t>
      </w:r>
      <w:r w:rsidR="00E81191" w:rsidRPr="005D131A">
        <w:rPr>
          <w:sz w:val="28"/>
          <w:szCs w:val="28"/>
        </w:rPr>
        <w:t>UPC</w:t>
      </w:r>
      <w:r w:rsidR="001D2450" w:rsidRPr="005D131A">
        <w:rPr>
          <w:sz w:val="28"/>
          <w:szCs w:val="28"/>
        </w:rPr>
        <w:t>-</w:t>
      </w:r>
      <w:r w:rsidR="00E81191" w:rsidRPr="005D131A">
        <w:rPr>
          <w:sz w:val="28"/>
          <w:szCs w:val="28"/>
        </w:rPr>
        <w:t xml:space="preserve">, </w:t>
      </w:r>
      <w:r w:rsidR="001D2450" w:rsidRPr="005D131A">
        <w:rPr>
          <w:sz w:val="28"/>
          <w:szCs w:val="28"/>
        </w:rPr>
        <w:t>en casos de urgencia manifiesta. L</w:t>
      </w:r>
      <w:r w:rsidR="005130B8" w:rsidRPr="005D131A">
        <w:rPr>
          <w:sz w:val="28"/>
          <w:szCs w:val="28"/>
        </w:rPr>
        <w:t xml:space="preserve">a Resolución 5395 de 2013 reiteró </w:t>
      </w:r>
      <w:r w:rsidR="005739EE" w:rsidRPr="005D131A">
        <w:rPr>
          <w:sz w:val="28"/>
          <w:szCs w:val="28"/>
        </w:rPr>
        <w:t>dicha</w:t>
      </w:r>
      <w:r w:rsidR="001D2450" w:rsidRPr="005D131A">
        <w:rPr>
          <w:sz w:val="28"/>
          <w:szCs w:val="28"/>
        </w:rPr>
        <w:t xml:space="preserve"> excepción, norma que c</w:t>
      </w:r>
      <w:r w:rsidR="005130B8" w:rsidRPr="005D131A">
        <w:rPr>
          <w:sz w:val="28"/>
          <w:szCs w:val="28"/>
        </w:rPr>
        <w:t xml:space="preserve">onsagró </w:t>
      </w:r>
      <w:r w:rsidR="001C0C3F" w:rsidRPr="005D131A">
        <w:rPr>
          <w:sz w:val="28"/>
          <w:szCs w:val="28"/>
        </w:rPr>
        <w:t xml:space="preserve">además </w:t>
      </w:r>
      <w:r w:rsidR="005130B8" w:rsidRPr="005D131A">
        <w:rPr>
          <w:sz w:val="28"/>
          <w:szCs w:val="28"/>
        </w:rPr>
        <w:t>que le correspondía al médico tratante presentar ante el comité la justificación de la tecnología</w:t>
      </w:r>
      <w:r w:rsidR="005739EE" w:rsidRPr="005D131A">
        <w:rPr>
          <w:sz w:val="28"/>
          <w:szCs w:val="28"/>
        </w:rPr>
        <w:t xml:space="preserve"> en salud</w:t>
      </w:r>
      <w:r w:rsidR="005130B8" w:rsidRPr="005D131A">
        <w:rPr>
          <w:sz w:val="28"/>
          <w:szCs w:val="28"/>
        </w:rPr>
        <w:t xml:space="preserve"> con fundamento en la historia clínica del paciente</w:t>
      </w:r>
      <w:r w:rsidR="005130B8" w:rsidRPr="005D131A">
        <w:rPr>
          <w:sz w:val="28"/>
          <w:szCs w:val="28"/>
          <w:vertAlign w:val="superscript"/>
        </w:rPr>
        <w:footnoteReference w:id="72"/>
      </w:r>
      <w:r w:rsidR="005130B8" w:rsidRPr="005D131A">
        <w:rPr>
          <w:sz w:val="28"/>
          <w:szCs w:val="28"/>
        </w:rPr>
        <w:t xml:space="preserve">. </w:t>
      </w:r>
    </w:p>
    <w:p w:rsidR="001C0C3F" w:rsidRPr="005D131A" w:rsidRDefault="001C0C3F" w:rsidP="005D131A">
      <w:pPr>
        <w:pStyle w:val="Prrafodelista"/>
        <w:tabs>
          <w:tab w:val="left" w:pos="567"/>
        </w:tabs>
        <w:ind w:left="0"/>
        <w:rPr>
          <w:sz w:val="28"/>
          <w:szCs w:val="28"/>
        </w:rPr>
      </w:pPr>
    </w:p>
    <w:p w:rsidR="00E81191" w:rsidRPr="005D131A" w:rsidRDefault="001D2450" w:rsidP="005D131A">
      <w:pPr>
        <w:pStyle w:val="Prrafodelista"/>
        <w:tabs>
          <w:tab w:val="left" w:pos="567"/>
        </w:tabs>
        <w:ind w:left="0"/>
        <w:rPr>
          <w:sz w:val="28"/>
          <w:szCs w:val="28"/>
        </w:rPr>
      </w:pPr>
      <w:r w:rsidRPr="005D131A">
        <w:rPr>
          <w:sz w:val="28"/>
          <w:szCs w:val="28"/>
        </w:rPr>
        <w:t xml:space="preserve">En su concepto, </w:t>
      </w:r>
      <w:r w:rsidR="00E81191" w:rsidRPr="005D131A">
        <w:rPr>
          <w:sz w:val="28"/>
          <w:szCs w:val="28"/>
        </w:rPr>
        <w:t xml:space="preserve">ha adoptado medidas orientadas a garantizar la prestación de los servicios y tecnologías sin cobertura en el plan de beneficios con cargo a la UPC, para los casos de urgencia. </w:t>
      </w:r>
    </w:p>
    <w:p w:rsidR="00E81191" w:rsidRPr="005D131A" w:rsidRDefault="00E81191" w:rsidP="005D131A">
      <w:pPr>
        <w:pStyle w:val="Prrafodelista"/>
        <w:tabs>
          <w:tab w:val="left" w:pos="567"/>
        </w:tabs>
        <w:ind w:left="0"/>
        <w:rPr>
          <w:sz w:val="28"/>
          <w:szCs w:val="28"/>
        </w:rPr>
      </w:pPr>
    </w:p>
    <w:p w:rsidR="00CB4518" w:rsidRPr="005D131A" w:rsidRDefault="002A6DB3" w:rsidP="005D131A">
      <w:pPr>
        <w:rPr>
          <w:sz w:val="28"/>
          <w:szCs w:val="28"/>
        </w:rPr>
      </w:pPr>
      <w:r w:rsidRPr="005D131A">
        <w:rPr>
          <w:sz w:val="28"/>
          <w:szCs w:val="28"/>
        </w:rPr>
        <w:t xml:space="preserve">26.2. </w:t>
      </w:r>
      <w:r w:rsidR="00E81191" w:rsidRPr="005D131A">
        <w:rPr>
          <w:sz w:val="28"/>
          <w:szCs w:val="28"/>
        </w:rPr>
        <w:t>En segundo lugar, s</w:t>
      </w:r>
      <w:r w:rsidR="005739EE" w:rsidRPr="005D131A">
        <w:rPr>
          <w:sz w:val="28"/>
          <w:szCs w:val="28"/>
        </w:rPr>
        <w:t>ostuvo que</w:t>
      </w:r>
      <w:r w:rsidR="00CB4518" w:rsidRPr="005D131A">
        <w:rPr>
          <w:sz w:val="28"/>
          <w:szCs w:val="28"/>
        </w:rPr>
        <w:t xml:space="preserve"> la prestación de los servicios mencionados </w:t>
      </w:r>
      <w:r w:rsidR="001D2450" w:rsidRPr="005D131A">
        <w:rPr>
          <w:sz w:val="28"/>
          <w:szCs w:val="28"/>
        </w:rPr>
        <w:t xml:space="preserve">son </w:t>
      </w:r>
      <w:r w:rsidR="00CB4518" w:rsidRPr="005D131A">
        <w:rPr>
          <w:sz w:val="28"/>
          <w:szCs w:val="28"/>
        </w:rPr>
        <w:t xml:space="preserve">objeto de validación a través de las solicitudes presentadas ante el </w:t>
      </w:r>
      <w:r w:rsidR="001C0C3F" w:rsidRPr="005D131A">
        <w:rPr>
          <w:sz w:val="28"/>
          <w:szCs w:val="28"/>
        </w:rPr>
        <w:t>Fosyga</w:t>
      </w:r>
      <w:r w:rsidR="00CB4518" w:rsidRPr="005D131A">
        <w:rPr>
          <w:sz w:val="28"/>
          <w:szCs w:val="28"/>
        </w:rPr>
        <w:t xml:space="preserve">, cuya base de datos se realiza teniendo en cuenta: (i) que la fecha de prestación del </w:t>
      </w:r>
      <w:r w:rsidR="001D2450" w:rsidRPr="005D131A">
        <w:rPr>
          <w:sz w:val="28"/>
          <w:szCs w:val="28"/>
        </w:rPr>
        <w:t xml:space="preserve">servicio </w:t>
      </w:r>
      <w:r w:rsidR="00CB4518" w:rsidRPr="005D131A">
        <w:rPr>
          <w:sz w:val="28"/>
          <w:szCs w:val="28"/>
        </w:rPr>
        <w:t xml:space="preserve">sea anterior a la fecha de autorización del CTC y (ii) que la solicitud de reconocimiento se haya realizado durante el periodo 2012 a 2015.  En ese sentido, señaló que </w:t>
      </w:r>
      <w:r w:rsidR="00CB4518" w:rsidRPr="005D131A">
        <w:rPr>
          <w:i/>
          <w:sz w:val="28"/>
          <w:szCs w:val="28"/>
        </w:rPr>
        <w:t>“se radicaron solicitudes de recobro derivadas de atención de urgencias por valor de $1.8 billones de pesos constantes de 2015, durante el periodo comprendido entre el 2011 y 2015”</w:t>
      </w:r>
      <w:r w:rsidR="00CB4518" w:rsidRPr="005D131A">
        <w:rPr>
          <w:sz w:val="28"/>
          <w:szCs w:val="28"/>
        </w:rPr>
        <w:t xml:space="preserve">. </w:t>
      </w:r>
    </w:p>
    <w:p w:rsidR="00CB4518" w:rsidRPr="005D131A" w:rsidRDefault="00CB4518" w:rsidP="005D131A">
      <w:pPr>
        <w:rPr>
          <w:sz w:val="28"/>
          <w:szCs w:val="28"/>
        </w:rPr>
      </w:pPr>
    </w:p>
    <w:p w:rsidR="00CB4518" w:rsidRPr="005D131A" w:rsidRDefault="001D2450" w:rsidP="005D131A">
      <w:pPr>
        <w:rPr>
          <w:sz w:val="28"/>
          <w:szCs w:val="28"/>
        </w:rPr>
      </w:pPr>
      <w:r w:rsidRPr="005D131A">
        <w:rPr>
          <w:sz w:val="28"/>
          <w:szCs w:val="28"/>
        </w:rPr>
        <w:t xml:space="preserve">En suma, </w:t>
      </w:r>
      <w:r w:rsidR="00CB4518" w:rsidRPr="005D131A">
        <w:rPr>
          <w:sz w:val="28"/>
          <w:szCs w:val="28"/>
        </w:rPr>
        <w:t xml:space="preserve">consideró que </w:t>
      </w:r>
      <w:r w:rsidR="00641706" w:rsidRPr="005D131A">
        <w:rPr>
          <w:sz w:val="28"/>
          <w:szCs w:val="28"/>
        </w:rPr>
        <w:t>existe un avance porcentual</w:t>
      </w:r>
      <w:r w:rsidRPr="005D131A">
        <w:rPr>
          <w:sz w:val="28"/>
          <w:szCs w:val="28"/>
        </w:rPr>
        <w:t xml:space="preserve"> sobre la materia </w:t>
      </w:r>
      <w:r w:rsidR="00641706" w:rsidRPr="005D131A">
        <w:rPr>
          <w:i/>
          <w:sz w:val="28"/>
          <w:szCs w:val="28"/>
        </w:rPr>
        <w:t>“el cual se expresa a través de la evolución de las solicitudes de recobro presentadas ante el FOSYGA, en las que la fecha de autorización del Comité Técnico Científico es posterior a la fecha de prestación del servicio”</w:t>
      </w:r>
      <w:r w:rsidR="00641706" w:rsidRPr="005D131A">
        <w:rPr>
          <w:sz w:val="28"/>
          <w:szCs w:val="28"/>
        </w:rPr>
        <w:t xml:space="preserve">. </w:t>
      </w:r>
    </w:p>
    <w:p w:rsidR="00BD2656" w:rsidRPr="005D131A" w:rsidRDefault="00BD2656" w:rsidP="005D131A">
      <w:pPr>
        <w:tabs>
          <w:tab w:val="left" w:pos="426"/>
        </w:tabs>
        <w:rPr>
          <w:sz w:val="28"/>
          <w:szCs w:val="28"/>
          <w:lang w:val="es-CO"/>
        </w:rPr>
      </w:pPr>
    </w:p>
    <w:p w:rsidR="005130B8" w:rsidRPr="005D131A" w:rsidRDefault="002A6DB3" w:rsidP="005D131A">
      <w:pPr>
        <w:pStyle w:val="Prrafodelista"/>
        <w:tabs>
          <w:tab w:val="left" w:pos="567"/>
        </w:tabs>
        <w:ind w:left="0"/>
        <w:rPr>
          <w:sz w:val="28"/>
          <w:szCs w:val="28"/>
          <w:lang w:val="es-CO"/>
        </w:rPr>
      </w:pPr>
      <w:r w:rsidRPr="005D131A">
        <w:rPr>
          <w:sz w:val="28"/>
          <w:szCs w:val="28"/>
          <w:lang w:val="es-CO"/>
        </w:rPr>
        <w:t xml:space="preserve">26.3. </w:t>
      </w:r>
      <w:r w:rsidR="00995A94" w:rsidRPr="005D131A">
        <w:rPr>
          <w:sz w:val="28"/>
          <w:szCs w:val="28"/>
          <w:lang w:val="es-CO"/>
        </w:rPr>
        <w:t xml:space="preserve">En tercer lugar, </w:t>
      </w:r>
      <w:r w:rsidR="005130B8" w:rsidRPr="005D131A">
        <w:rPr>
          <w:sz w:val="28"/>
          <w:szCs w:val="28"/>
          <w:lang w:val="es-CO"/>
        </w:rPr>
        <w:t>mencionó que mediante los Acuerdos 008 de 2009</w:t>
      </w:r>
      <w:r w:rsidR="005130B8" w:rsidRPr="005D131A">
        <w:rPr>
          <w:sz w:val="28"/>
          <w:szCs w:val="28"/>
          <w:vertAlign w:val="superscript"/>
          <w:lang w:val="es-CO"/>
        </w:rPr>
        <w:footnoteReference w:id="73"/>
      </w:r>
      <w:r w:rsidR="005130B8" w:rsidRPr="005D131A">
        <w:rPr>
          <w:sz w:val="28"/>
          <w:szCs w:val="28"/>
          <w:lang w:val="es-CO"/>
        </w:rPr>
        <w:t xml:space="preserve"> y 029 de 2011</w:t>
      </w:r>
      <w:r w:rsidR="005130B8" w:rsidRPr="005D131A">
        <w:rPr>
          <w:sz w:val="28"/>
          <w:szCs w:val="28"/>
          <w:vertAlign w:val="superscript"/>
          <w:lang w:val="es-CO"/>
        </w:rPr>
        <w:footnoteReference w:id="74"/>
      </w:r>
      <w:r w:rsidR="005130B8" w:rsidRPr="005D131A">
        <w:rPr>
          <w:sz w:val="28"/>
          <w:szCs w:val="28"/>
          <w:lang w:val="es-CO"/>
        </w:rPr>
        <w:t xml:space="preserve"> y la Resolución 5521 de 2013</w:t>
      </w:r>
      <w:r w:rsidR="005130B8" w:rsidRPr="005D131A">
        <w:rPr>
          <w:sz w:val="28"/>
          <w:szCs w:val="28"/>
          <w:vertAlign w:val="superscript"/>
          <w:lang w:val="es-CO"/>
        </w:rPr>
        <w:footnoteReference w:id="75"/>
      </w:r>
      <w:r w:rsidR="005130B8" w:rsidRPr="005D131A">
        <w:rPr>
          <w:sz w:val="28"/>
          <w:szCs w:val="28"/>
          <w:lang w:val="es-CO"/>
        </w:rPr>
        <w:t xml:space="preserve"> se realizaron las siguientes precisiones respecto a las coberturas del POS</w:t>
      </w:r>
      <w:r w:rsidR="00520B41" w:rsidRPr="005D131A">
        <w:rPr>
          <w:sz w:val="28"/>
          <w:szCs w:val="28"/>
          <w:lang w:val="es-CO"/>
        </w:rPr>
        <w:t>, así como aquellas tecnologías explícitamente excluidas del mismo</w:t>
      </w:r>
      <w:r w:rsidR="005130B8" w:rsidRPr="005D131A">
        <w:rPr>
          <w:sz w:val="28"/>
          <w:szCs w:val="28"/>
          <w:lang w:val="es-CO"/>
        </w:rPr>
        <w:t>:</w:t>
      </w:r>
    </w:p>
    <w:p w:rsidR="005130B8" w:rsidRPr="005D131A" w:rsidRDefault="005130B8" w:rsidP="005D131A">
      <w:pPr>
        <w:tabs>
          <w:tab w:val="left" w:pos="426"/>
        </w:tabs>
        <w:ind w:left="720"/>
        <w:rPr>
          <w:sz w:val="28"/>
          <w:szCs w:val="28"/>
          <w:lang w:val="es-CO"/>
        </w:rPr>
      </w:pPr>
    </w:p>
    <w:p w:rsidR="005130B8" w:rsidRPr="005D131A" w:rsidRDefault="00B83589" w:rsidP="005D131A">
      <w:pPr>
        <w:tabs>
          <w:tab w:val="left" w:pos="426"/>
        </w:tabs>
        <w:rPr>
          <w:sz w:val="28"/>
          <w:szCs w:val="28"/>
          <w:lang w:val="es-CO"/>
        </w:rPr>
      </w:pPr>
      <w:r w:rsidRPr="005D131A">
        <w:rPr>
          <w:sz w:val="28"/>
          <w:szCs w:val="28"/>
          <w:lang w:val="es-CO"/>
        </w:rPr>
        <w:t>26.3.1.</w:t>
      </w:r>
      <w:r w:rsidR="00F71DD5" w:rsidRPr="005D131A">
        <w:rPr>
          <w:sz w:val="28"/>
          <w:szCs w:val="28"/>
          <w:lang w:val="es-CO"/>
        </w:rPr>
        <w:t xml:space="preserve"> </w:t>
      </w:r>
      <w:r w:rsidR="005130B8" w:rsidRPr="005D131A">
        <w:rPr>
          <w:sz w:val="28"/>
          <w:szCs w:val="28"/>
          <w:lang w:val="es-CO"/>
        </w:rPr>
        <w:t xml:space="preserve">El </w:t>
      </w:r>
      <w:r w:rsidR="001C0C3F" w:rsidRPr="005D131A">
        <w:rPr>
          <w:sz w:val="28"/>
          <w:szCs w:val="28"/>
          <w:lang w:val="es-CO"/>
        </w:rPr>
        <w:t xml:space="preserve">POS </w:t>
      </w:r>
      <w:r w:rsidR="005130B8" w:rsidRPr="005D131A">
        <w:rPr>
          <w:sz w:val="28"/>
          <w:szCs w:val="28"/>
          <w:lang w:val="es-CO"/>
        </w:rPr>
        <w:t>se definió bajo un esquema de coberturas explícitas que se encuentran listadas en los</w:t>
      </w:r>
      <w:r w:rsidR="00F71DD5" w:rsidRPr="005D131A">
        <w:rPr>
          <w:sz w:val="28"/>
          <w:szCs w:val="28"/>
          <w:lang w:val="es-CO"/>
        </w:rPr>
        <w:t xml:space="preserve"> mencionados</w:t>
      </w:r>
      <w:r w:rsidR="005130B8" w:rsidRPr="005D131A">
        <w:rPr>
          <w:sz w:val="28"/>
          <w:szCs w:val="28"/>
          <w:lang w:val="es-CO"/>
        </w:rPr>
        <w:t xml:space="preserve"> actos administrativos bajo la denominación de medicamentos o procedimientos. A su vez, cuenta con unas implícitas que están consignadas en la norma, pero se entienden cubiertas en virtud del principio de integralidad. Ellas corresponden a tecnologías blandas y duras (insumos, dispositivos, instrumentales, software, sistema de soporte, entre otros).</w:t>
      </w:r>
    </w:p>
    <w:p w:rsidR="005130B8" w:rsidRPr="005D131A" w:rsidRDefault="005130B8" w:rsidP="005D131A">
      <w:pPr>
        <w:tabs>
          <w:tab w:val="left" w:pos="426"/>
        </w:tabs>
        <w:rPr>
          <w:sz w:val="28"/>
          <w:szCs w:val="28"/>
          <w:lang w:val="es-CO"/>
        </w:rPr>
      </w:pPr>
    </w:p>
    <w:p w:rsidR="005130B8" w:rsidRPr="005D131A" w:rsidRDefault="00B83589" w:rsidP="005D131A">
      <w:pPr>
        <w:tabs>
          <w:tab w:val="left" w:pos="426"/>
        </w:tabs>
        <w:rPr>
          <w:sz w:val="28"/>
          <w:szCs w:val="28"/>
          <w:lang w:val="es-CO"/>
        </w:rPr>
      </w:pPr>
      <w:r w:rsidRPr="005D131A">
        <w:rPr>
          <w:sz w:val="28"/>
          <w:szCs w:val="28"/>
          <w:lang w:val="es-CO"/>
        </w:rPr>
        <w:t>26.3.2.</w:t>
      </w:r>
      <w:r w:rsidR="00F71DD5" w:rsidRPr="005D131A">
        <w:rPr>
          <w:sz w:val="28"/>
          <w:szCs w:val="28"/>
          <w:lang w:val="es-CO"/>
        </w:rPr>
        <w:t xml:space="preserve"> </w:t>
      </w:r>
      <w:r w:rsidR="005130B8" w:rsidRPr="005D131A">
        <w:rPr>
          <w:sz w:val="28"/>
          <w:szCs w:val="28"/>
          <w:lang w:val="es-CO"/>
        </w:rPr>
        <w:t xml:space="preserve">La denominación </w:t>
      </w:r>
      <w:r w:rsidR="005130B8" w:rsidRPr="005D131A">
        <w:rPr>
          <w:i/>
          <w:sz w:val="28"/>
          <w:szCs w:val="28"/>
          <w:lang w:val="es-CO"/>
        </w:rPr>
        <w:t xml:space="preserve">“no POS” </w:t>
      </w:r>
      <w:r w:rsidR="005130B8" w:rsidRPr="005D131A">
        <w:rPr>
          <w:sz w:val="28"/>
          <w:szCs w:val="28"/>
          <w:lang w:val="es-CO"/>
        </w:rPr>
        <w:t xml:space="preserve">corresponde a toda tecnología que no está en el plan de manera explícita o implícita. </w:t>
      </w:r>
      <w:r w:rsidR="00F71DD5" w:rsidRPr="005D131A">
        <w:rPr>
          <w:sz w:val="28"/>
          <w:szCs w:val="28"/>
          <w:lang w:val="es-CO"/>
        </w:rPr>
        <w:t xml:space="preserve">Además, </w:t>
      </w:r>
      <w:r w:rsidR="001D2450" w:rsidRPr="005D131A">
        <w:rPr>
          <w:sz w:val="28"/>
          <w:szCs w:val="28"/>
          <w:lang w:val="es-CO"/>
        </w:rPr>
        <w:t>s</w:t>
      </w:r>
      <w:r w:rsidR="005130B8" w:rsidRPr="005D131A">
        <w:rPr>
          <w:sz w:val="28"/>
          <w:szCs w:val="28"/>
          <w:lang w:val="es-CO"/>
        </w:rPr>
        <w:t xml:space="preserve">e dispuso un listado de servicios que no son financiados por la UPC, denominados </w:t>
      </w:r>
      <w:r w:rsidR="005130B8" w:rsidRPr="005D131A">
        <w:rPr>
          <w:i/>
          <w:sz w:val="28"/>
          <w:szCs w:val="28"/>
          <w:lang w:val="es-CO"/>
        </w:rPr>
        <w:t>“exclusiones del POS”</w:t>
      </w:r>
      <w:r w:rsidR="005130B8" w:rsidRPr="005D131A">
        <w:rPr>
          <w:i/>
          <w:sz w:val="28"/>
          <w:szCs w:val="28"/>
          <w:vertAlign w:val="superscript"/>
          <w:lang w:val="es-CO"/>
        </w:rPr>
        <w:footnoteReference w:id="76"/>
      </w:r>
      <w:r w:rsidR="005130B8" w:rsidRPr="005D131A">
        <w:rPr>
          <w:sz w:val="28"/>
          <w:szCs w:val="28"/>
          <w:lang w:val="es-CO"/>
        </w:rPr>
        <w:t>.</w:t>
      </w:r>
    </w:p>
    <w:p w:rsidR="00B04BD9" w:rsidRPr="005D131A" w:rsidRDefault="00B04BD9" w:rsidP="005D131A">
      <w:pPr>
        <w:tabs>
          <w:tab w:val="left" w:pos="426"/>
        </w:tabs>
        <w:rPr>
          <w:sz w:val="28"/>
          <w:szCs w:val="28"/>
          <w:lang w:val="es-CO"/>
        </w:rPr>
      </w:pPr>
    </w:p>
    <w:p w:rsidR="00B20094" w:rsidRPr="005D131A" w:rsidRDefault="002A6DB3" w:rsidP="005D131A">
      <w:pPr>
        <w:tabs>
          <w:tab w:val="left" w:pos="426"/>
        </w:tabs>
        <w:rPr>
          <w:sz w:val="28"/>
          <w:szCs w:val="28"/>
          <w:lang w:val="es-CO"/>
        </w:rPr>
      </w:pPr>
      <w:r w:rsidRPr="005D131A">
        <w:rPr>
          <w:sz w:val="28"/>
          <w:szCs w:val="28"/>
          <w:lang w:val="es-CO"/>
        </w:rPr>
        <w:t xml:space="preserve">26.4. </w:t>
      </w:r>
      <w:r w:rsidR="00520B41" w:rsidRPr="005D131A">
        <w:rPr>
          <w:sz w:val="28"/>
          <w:szCs w:val="28"/>
          <w:lang w:val="es-CO"/>
        </w:rPr>
        <w:t xml:space="preserve">Ahora bien, el Ministerio hizo referencia a las medidas implementadas para garantizar que una EPS someta a consideración del CTC la aprobación de aquellas prestaciones en salud que están excluidas de forma </w:t>
      </w:r>
      <w:r w:rsidR="00995A94" w:rsidRPr="005D131A">
        <w:rPr>
          <w:sz w:val="28"/>
          <w:szCs w:val="28"/>
          <w:lang w:val="es-CO"/>
        </w:rPr>
        <w:t>explícita</w:t>
      </w:r>
      <w:r w:rsidR="00520B41" w:rsidRPr="005D131A">
        <w:rPr>
          <w:sz w:val="28"/>
          <w:szCs w:val="28"/>
          <w:lang w:val="es-CO"/>
        </w:rPr>
        <w:t xml:space="preserve"> del Plan de Beneficios y el procedimiento establecido para autorizar esas tecnología</w:t>
      </w:r>
      <w:r w:rsidR="001D2450" w:rsidRPr="005D131A">
        <w:rPr>
          <w:sz w:val="28"/>
          <w:szCs w:val="28"/>
          <w:lang w:val="es-CO"/>
        </w:rPr>
        <w:t>s</w:t>
      </w:r>
      <w:r w:rsidR="00520B41" w:rsidRPr="005D131A">
        <w:rPr>
          <w:sz w:val="28"/>
          <w:szCs w:val="28"/>
          <w:lang w:val="es-CO"/>
        </w:rPr>
        <w:t xml:space="preserve"> en salud cuando son ordenadas por el médico tratante pero negada</w:t>
      </w:r>
      <w:r w:rsidR="001D2450" w:rsidRPr="005D131A">
        <w:rPr>
          <w:sz w:val="28"/>
          <w:szCs w:val="28"/>
          <w:lang w:val="es-CO"/>
        </w:rPr>
        <w:t>s</w:t>
      </w:r>
      <w:r w:rsidR="00520B41" w:rsidRPr="005D131A">
        <w:rPr>
          <w:sz w:val="28"/>
          <w:szCs w:val="28"/>
          <w:lang w:val="es-CO"/>
        </w:rPr>
        <w:t xml:space="preserve"> por la EPS, a pesar de que la prestación se requiere con necesidad: </w:t>
      </w:r>
    </w:p>
    <w:p w:rsidR="00B20094" w:rsidRPr="005D131A" w:rsidRDefault="00B20094" w:rsidP="005D131A">
      <w:pPr>
        <w:tabs>
          <w:tab w:val="left" w:pos="426"/>
        </w:tabs>
        <w:rPr>
          <w:sz w:val="28"/>
          <w:szCs w:val="28"/>
          <w:lang w:val="es-CO"/>
        </w:rPr>
      </w:pPr>
    </w:p>
    <w:p w:rsidR="005130B8" w:rsidRPr="005D131A" w:rsidRDefault="00B83589" w:rsidP="005D131A">
      <w:pPr>
        <w:tabs>
          <w:tab w:val="left" w:pos="426"/>
        </w:tabs>
        <w:rPr>
          <w:sz w:val="28"/>
          <w:szCs w:val="28"/>
          <w:lang w:val="es-CO"/>
        </w:rPr>
      </w:pPr>
      <w:r w:rsidRPr="005D131A">
        <w:rPr>
          <w:sz w:val="28"/>
          <w:szCs w:val="28"/>
          <w:lang w:val="es-CO"/>
        </w:rPr>
        <w:t xml:space="preserve">26.4.1. </w:t>
      </w:r>
      <w:r w:rsidR="005130B8" w:rsidRPr="005D131A">
        <w:rPr>
          <w:sz w:val="28"/>
          <w:szCs w:val="28"/>
          <w:lang w:val="es-CO"/>
        </w:rPr>
        <w:t xml:space="preserve">Concepto núm. 12150-199824 </w:t>
      </w:r>
      <w:r w:rsidR="00520B41" w:rsidRPr="005D131A">
        <w:rPr>
          <w:sz w:val="28"/>
          <w:szCs w:val="28"/>
          <w:lang w:val="es-CO"/>
        </w:rPr>
        <w:t>del 15 de julio de 2010, proferido</w:t>
      </w:r>
      <w:r w:rsidR="005130B8" w:rsidRPr="005D131A">
        <w:rPr>
          <w:sz w:val="28"/>
          <w:szCs w:val="28"/>
          <w:lang w:val="es-CO"/>
        </w:rPr>
        <w:t xml:space="preserve"> por la entonces Dirección General de Financiamiento del Ministerio y dirigido al administrador fiduciario, con ocasión de la suspensión provisional decretada por el Consejo de Estado sobre el parágrafo del artículo 6° de la Resolución 3099 de 2</w:t>
      </w:r>
      <w:r w:rsidR="00520B41" w:rsidRPr="005D131A">
        <w:rPr>
          <w:sz w:val="28"/>
          <w:szCs w:val="28"/>
          <w:lang w:val="es-CO"/>
        </w:rPr>
        <w:t xml:space="preserve">008. En este se estableció que, </w:t>
      </w:r>
      <w:r w:rsidR="005130B8" w:rsidRPr="005D131A">
        <w:rPr>
          <w:sz w:val="28"/>
          <w:szCs w:val="28"/>
          <w:lang w:val="es-CO"/>
        </w:rPr>
        <w:t xml:space="preserve">en virtud de la jurisprudencia constitucional, los CTC estaban facultados para autorizar ese tipo de prestaciones. </w:t>
      </w:r>
    </w:p>
    <w:p w:rsidR="00E95275" w:rsidRPr="005D131A" w:rsidRDefault="00E95275" w:rsidP="005D131A">
      <w:pPr>
        <w:tabs>
          <w:tab w:val="left" w:pos="426"/>
        </w:tabs>
        <w:rPr>
          <w:sz w:val="28"/>
          <w:szCs w:val="28"/>
          <w:lang w:val="es-CO"/>
        </w:rPr>
      </w:pPr>
    </w:p>
    <w:p w:rsidR="001F69A6" w:rsidRPr="005D131A" w:rsidRDefault="00B83589" w:rsidP="005D131A">
      <w:pPr>
        <w:tabs>
          <w:tab w:val="left" w:pos="426"/>
        </w:tabs>
        <w:rPr>
          <w:sz w:val="28"/>
          <w:szCs w:val="28"/>
          <w:lang w:val="es-CO"/>
        </w:rPr>
      </w:pPr>
      <w:r w:rsidRPr="005D131A">
        <w:rPr>
          <w:sz w:val="28"/>
          <w:szCs w:val="28"/>
          <w:lang w:val="es-CO"/>
        </w:rPr>
        <w:t xml:space="preserve">26.4.2. </w:t>
      </w:r>
      <w:r w:rsidR="005130B8" w:rsidRPr="005D131A">
        <w:rPr>
          <w:sz w:val="28"/>
          <w:szCs w:val="28"/>
          <w:lang w:val="es-CO"/>
        </w:rPr>
        <w:t>Creación del Comité de Criterios y Lineamientos Técnicos para el Reconocimiento de Tecnologías en Salud no POS, a través del artículo 44 de la Resolución 5395 de 2013. Este órgano ratificó la competen</w:t>
      </w:r>
      <w:r w:rsidR="001D2450" w:rsidRPr="005D131A">
        <w:rPr>
          <w:sz w:val="28"/>
          <w:szCs w:val="28"/>
          <w:lang w:val="es-CO"/>
        </w:rPr>
        <w:t>cia de los CTC para evaluar dichos</w:t>
      </w:r>
      <w:r w:rsidR="005130B8" w:rsidRPr="005D131A">
        <w:rPr>
          <w:sz w:val="28"/>
          <w:szCs w:val="28"/>
          <w:lang w:val="es-CO"/>
        </w:rPr>
        <w:t xml:space="preserve"> servicios</w:t>
      </w:r>
      <w:r w:rsidR="005130B8" w:rsidRPr="005D131A">
        <w:rPr>
          <w:sz w:val="28"/>
          <w:szCs w:val="28"/>
          <w:vertAlign w:val="superscript"/>
          <w:lang w:val="es-CO"/>
        </w:rPr>
        <w:footnoteReference w:id="77"/>
      </w:r>
      <w:r w:rsidR="005130B8" w:rsidRPr="005D131A">
        <w:rPr>
          <w:sz w:val="28"/>
          <w:szCs w:val="28"/>
          <w:lang w:val="es-CO"/>
        </w:rPr>
        <w:t xml:space="preserve">. </w:t>
      </w:r>
    </w:p>
    <w:p w:rsidR="00B83589" w:rsidRPr="005D131A" w:rsidRDefault="00B83589" w:rsidP="005D131A">
      <w:pPr>
        <w:tabs>
          <w:tab w:val="left" w:pos="426"/>
        </w:tabs>
        <w:rPr>
          <w:sz w:val="28"/>
          <w:szCs w:val="28"/>
          <w:lang w:val="es-CO"/>
        </w:rPr>
      </w:pPr>
    </w:p>
    <w:p w:rsidR="00DA4E4B" w:rsidRPr="005D131A" w:rsidRDefault="00B83589" w:rsidP="005D131A">
      <w:pPr>
        <w:tabs>
          <w:tab w:val="left" w:pos="426"/>
        </w:tabs>
        <w:rPr>
          <w:sz w:val="28"/>
          <w:szCs w:val="28"/>
          <w:lang w:val="es-CO"/>
        </w:rPr>
      </w:pPr>
      <w:r w:rsidRPr="005D131A">
        <w:rPr>
          <w:sz w:val="28"/>
          <w:szCs w:val="28"/>
          <w:lang w:val="es-CO"/>
        </w:rPr>
        <w:t xml:space="preserve">26.4.3. </w:t>
      </w:r>
      <w:r w:rsidR="001F69A6" w:rsidRPr="005D131A">
        <w:rPr>
          <w:sz w:val="28"/>
          <w:szCs w:val="28"/>
          <w:lang w:val="es-CO"/>
        </w:rPr>
        <w:t>Adopción de los lineamientos y criterios técnicos respecto a exclusiones del POS y prestaciones que no pueden ser financiadas con recursos del SGSSS</w:t>
      </w:r>
      <w:r w:rsidR="00C2486D" w:rsidRPr="005D131A">
        <w:rPr>
          <w:sz w:val="28"/>
          <w:szCs w:val="28"/>
          <w:vertAlign w:val="superscript"/>
          <w:lang w:val="es-CO"/>
        </w:rPr>
        <w:footnoteReference w:id="78"/>
      </w:r>
      <w:r w:rsidR="001F69A6" w:rsidRPr="005D131A">
        <w:rPr>
          <w:sz w:val="28"/>
          <w:szCs w:val="28"/>
          <w:lang w:val="es-CO"/>
        </w:rPr>
        <w:t>, mediante la Nota Externa 201433200296523 de 2014</w:t>
      </w:r>
      <w:r w:rsidR="00520B41" w:rsidRPr="005D131A">
        <w:rPr>
          <w:sz w:val="28"/>
          <w:szCs w:val="28"/>
          <w:lang w:val="es-CO"/>
        </w:rPr>
        <w:t>.</w:t>
      </w:r>
      <w:r w:rsidR="00C958C9" w:rsidRPr="005D131A">
        <w:rPr>
          <w:sz w:val="28"/>
          <w:szCs w:val="28"/>
          <w:lang w:val="es-CO"/>
        </w:rPr>
        <w:t xml:space="preserve"> </w:t>
      </w:r>
      <w:r w:rsidR="00DA4E4B" w:rsidRPr="005D131A">
        <w:rPr>
          <w:sz w:val="28"/>
          <w:szCs w:val="28"/>
          <w:lang w:val="es-CO"/>
        </w:rPr>
        <w:t xml:space="preserve">Este acto tuvo como fundamento, entre otros, </w:t>
      </w:r>
      <w:r w:rsidR="00E356B2" w:rsidRPr="005D131A">
        <w:rPr>
          <w:sz w:val="28"/>
          <w:szCs w:val="28"/>
          <w:lang w:val="es-CO"/>
        </w:rPr>
        <w:t xml:space="preserve">el artículo 154 de la Ley 1450 de 2011 y </w:t>
      </w:r>
      <w:r w:rsidR="00DA4E4B" w:rsidRPr="005D131A">
        <w:rPr>
          <w:sz w:val="28"/>
          <w:szCs w:val="28"/>
          <w:lang w:val="es-CO"/>
        </w:rPr>
        <w:t xml:space="preserve">la Sentencia T-160 de 2014, según la cual la reglamentación y aplicación del POS no puede desconocer derechos fundamentales, </w:t>
      </w:r>
      <w:r w:rsidR="001D2450" w:rsidRPr="005D131A">
        <w:rPr>
          <w:sz w:val="28"/>
          <w:szCs w:val="28"/>
          <w:lang w:val="es-CO"/>
        </w:rPr>
        <w:t xml:space="preserve">por ejemplo </w:t>
      </w:r>
      <w:r w:rsidR="00DA4E4B" w:rsidRPr="005D131A">
        <w:rPr>
          <w:sz w:val="28"/>
          <w:szCs w:val="28"/>
          <w:lang w:val="es-CO"/>
        </w:rPr>
        <w:t>cuando una EPS interpreta de manera restr</w:t>
      </w:r>
      <w:r w:rsidR="001D2450" w:rsidRPr="005D131A">
        <w:rPr>
          <w:sz w:val="28"/>
          <w:szCs w:val="28"/>
          <w:lang w:val="es-CO"/>
        </w:rPr>
        <w:t>ictiva la reglamentación bajo</w:t>
      </w:r>
      <w:r w:rsidR="00DA4E4B" w:rsidRPr="005D131A">
        <w:rPr>
          <w:sz w:val="28"/>
          <w:szCs w:val="28"/>
          <w:lang w:val="es-CO"/>
        </w:rPr>
        <w:t xml:space="preserve"> argumento</w:t>
      </w:r>
      <w:r w:rsidR="00520B41" w:rsidRPr="005D131A">
        <w:rPr>
          <w:sz w:val="28"/>
          <w:szCs w:val="28"/>
          <w:lang w:val="es-CO"/>
        </w:rPr>
        <w:t>s</w:t>
      </w:r>
      <w:r w:rsidR="001D2450" w:rsidRPr="005D131A">
        <w:rPr>
          <w:sz w:val="28"/>
          <w:szCs w:val="28"/>
          <w:lang w:val="es-CO"/>
        </w:rPr>
        <w:t xml:space="preserve"> exegéticos de</w:t>
      </w:r>
      <w:r w:rsidR="00DA4E4B" w:rsidRPr="005D131A">
        <w:rPr>
          <w:sz w:val="28"/>
          <w:szCs w:val="28"/>
          <w:lang w:val="es-CO"/>
        </w:rPr>
        <w:t xml:space="preserve"> exclusión del plan y evade la práctica de servicios necesarios para preservar la calidad de vida de los afiliados y su dignidad.</w:t>
      </w:r>
      <w:r w:rsidR="008F5ED3" w:rsidRPr="005D131A">
        <w:rPr>
          <w:sz w:val="28"/>
          <w:szCs w:val="28"/>
          <w:lang w:val="es-CO"/>
        </w:rPr>
        <w:t xml:space="preserve"> </w:t>
      </w:r>
    </w:p>
    <w:p w:rsidR="001D2450" w:rsidRPr="005D131A" w:rsidRDefault="001D2450" w:rsidP="005D131A">
      <w:pPr>
        <w:tabs>
          <w:tab w:val="left" w:pos="426"/>
        </w:tabs>
        <w:rPr>
          <w:sz w:val="28"/>
          <w:szCs w:val="28"/>
          <w:lang w:val="es-CO"/>
        </w:rPr>
      </w:pPr>
    </w:p>
    <w:p w:rsidR="003B342B" w:rsidRPr="005D131A" w:rsidRDefault="00DA4E4B" w:rsidP="005D131A">
      <w:pPr>
        <w:tabs>
          <w:tab w:val="left" w:pos="426"/>
        </w:tabs>
        <w:rPr>
          <w:sz w:val="28"/>
          <w:szCs w:val="28"/>
          <w:lang w:val="es-CO"/>
        </w:rPr>
      </w:pPr>
      <w:r w:rsidRPr="005D131A">
        <w:rPr>
          <w:sz w:val="28"/>
          <w:szCs w:val="28"/>
          <w:lang w:val="es-CO"/>
        </w:rPr>
        <w:t xml:space="preserve">Explicó que </w:t>
      </w:r>
      <w:r w:rsidR="003B342B" w:rsidRPr="005D131A">
        <w:rPr>
          <w:sz w:val="28"/>
          <w:szCs w:val="28"/>
          <w:lang w:val="es-CO"/>
        </w:rPr>
        <w:t>solo podrán ser objeto de recobro aquellas exclusion</w:t>
      </w:r>
      <w:r w:rsidR="001D2450" w:rsidRPr="005D131A">
        <w:rPr>
          <w:sz w:val="28"/>
          <w:szCs w:val="28"/>
          <w:lang w:val="es-CO"/>
        </w:rPr>
        <w:t>es que no correspondan a las</w:t>
      </w:r>
      <w:r w:rsidR="003B342B" w:rsidRPr="005D131A">
        <w:rPr>
          <w:sz w:val="28"/>
          <w:szCs w:val="28"/>
          <w:lang w:val="es-CO"/>
        </w:rPr>
        <w:t xml:space="preserve"> que </w:t>
      </w:r>
      <w:r w:rsidR="00172F0F" w:rsidRPr="005D131A">
        <w:rPr>
          <w:sz w:val="28"/>
          <w:szCs w:val="28"/>
          <w:lang w:val="es-CO"/>
        </w:rPr>
        <w:t xml:space="preserve">el artículo 154 de </w:t>
      </w:r>
      <w:r w:rsidR="003B342B" w:rsidRPr="005D131A">
        <w:rPr>
          <w:sz w:val="28"/>
          <w:szCs w:val="28"/>
          <w:lang w:val="es-CO"/>
        </w:rPr>
        <w:t>la Ley 1450 de 2011 define que no pueden ser financiados con recursos del sistema, a saber:</w:t>
      </w:r>
    </w:p>
    <w:p w:rsidR="001D2450" w:rsidRPr="005D131A" w:rsidRDefault="001D2450" w:rsidP="005D131A">
      <w:pPr>
        <w:tabs>
          <w:tab w:val="left" w:pos="426"/>
        </w:tabs>
        <w:rPr>
          <w:sz w:val="28"/>
          <w:szCs w:val="28"/>
          <w:lang w:val="es-CO"/>
        </w:rPr>
      </w:pPr>
    </w:p>
    <w:p w:rsidR="00E43B74" w:rsidRPr="005D131A" w:rsidRDefault="00E43B74" w:rsidP="005D131A">
      <w:pPr>
        <w:pStyle w:val="Descripcin"/>
        <w:keepNext/>
        <w:spacing w:line="240" w:lineRule="auto"/>
        <w:rPr>
          <w:b w:val="0"/>
          <w:szCs w:val="28"/>
        </w:rPr>
      </w:pPr>
      <w:r w:rsidRPr="005D131A">
        <w:rPr>
          <w:b w:val="0"/>
          <w:szCs w:val="28"/>
        </w:rPr>
        <w:t>Figura núm.</w:t>
      </w:r>
      <w:r w:rsidR="006B61FE" w:rsidRPr="005D131A">
        <w:rPr>
          <w:b w:val="0"/>
          <w:szCs w:val="28"/>
        </w:rPr>
        <w:t xml:space="preserve"> 2</w:t>
      </w:r>
      <w:r w:rsidRPr="005D131A">
        <w:rPr>
          <w:b w:val="0"/>
          <w:szCs w:val="28"/>
        </w:rPr>
        <w:t xml:space="preserve"> </w:t>
      </w:r>
    </w:p>
    <w:p w:rsidR="00E43B74" w:rsidRPr="005D131A" w:rsidRDefault="00E43B74" w:rsidP="005D131A">
      <w:pPr>
        <w:jc w:val="center"/>
        <w:rPr>
          <w:sz w:val="28"/>
          <w:szCs w:val="28"/>
        </w:rPr>
      </w:pPr>
      <w:r w:rsidRPr="005D131A">
        <w:rPr>
          <w:sz w:val="28"/>
          <w:szCs w:val="28"/>
        </w:rPr>
        <w:t>Listado de exclusiones del POS, que no corresponden a las prestaciones que la Ley 1450 de 2011 (Art., 154) define que no pueden ser financiadas con recursos del SGSSS</w:t>
      </w:r>
      <w:r w:rsidR="001555FA" w:rsidRPr="005D131A">
        <w:rPr>
          <w:sz w:val="28"/>
          <w:szCs w:val="28"/>
          <w:vertAlign w:val="superscript"/>
        </w:rPr>
        <w:footnoteReference w:id="79"/>
      </w:r>
    </w:p>
    <w:p w:rsidR="00E95275" w:rsidRPr="005D131A" w:rsidRDefault="00E95275" w:rsidP="005D131A">
      <w:pPr>
        <w:jc w:val="center"/>
        <w:rPr>
          <w:sz w:val="28"/>
          <w:szCs w:val="28"/>
          <w:lang w:val="es-ES_tradnl"/>
        </w:rPr>
      </w:pPr>
    </w:p>
    <w:tbl>
      <w:tblPr>
        <w:tblStyle w:val="Tablaconcuadrcula"/>
        <w:tblW w:w="8618" w:type="dxa"/>
        <w:jc w:val="center"/>
        <w:tblLook w:val="04A0" w:firstRow="1" w:lastRow="0" w:firstColumn="1" w:lastColumn="0" w:noHBand="0" w:noVBand="1"/>
      </w:tblPr>
      <w:tblGrid>
        <w:gridCol w:w="878"/>
        <w:gridCol w:w="7740"/>
      </w:tblGrid>
      <w:tr w:rsidR="0010093F" w:rsidRPr="005D131A" w:rsidTr="00E37A7A">
        <w:trPr>
          <w:jc w:val="center"/>
        </w:trPr>
        <w:tc>
          <w:tcPr>
            <w:tcW w:w="709" w:type="dxa"/>
          </w:tcPr>
          <w:p w:rsidR="009A6F24" w:rsidRPr="005D131A" w:rsidRDefault="009A6F24" w:rsidP="005D131A">
            <w:pPr>
              <w:pStyle w:val="Prrafodelista"/>
              <w:tabs>
                <w:tab w:val="left" w:pos="426"/>
              </w:tabs>
              <w:ind w:left="0"/>
              <w:rPr>
                <w:i/>
                <w:sz w:val="28"/>
                <w:szCs w:val="28"/>
                <w:lang w:val="es-CO"/>
              </w:rPr>
            </w:pPr>
            <w:r w:rsidRPr="005D131A">
              <w:rPr>
                <w:rStyle w:val="FontStyle47"/>
                <w:rFonts w:ascii="Times New Roman" w:hAnsi="Times New Roman" w:cs="Times New Roman"/>
                <w:i w:val="0"/>
                <w:sz w:val="28"/>
                <w:szCs w:val="28"/>
                <w:lang w:val="es-ES_tradnl" w:eastAsia="es-ES_tradnl"/>
              </w:rPr>
              <w:t>Núm</w:t>
            </w:r>
            <w:r w:rsidR="00E43B74" w:rsidRPr="005D131A">
              <w:rPr>
                <w:rStyle w:val="FontStyle47"/>
                <w:rFonts w:ascii="Times New Roman" w:hAnsi="Times New Roman" w:cs="Times New Roman"/>
                <w:i w:val="0"/>
                <w:sz w:val="28"/>
                <w:szCs w:val="28"/>
                <w:lang w:val="es-ES_tradnl" w:eastAsia="es-ES_tradnl"/>
              </w:rPr>
              <w:t>.</w:t>
            </w:r>
          </w:p>
        </w:tc>
        <w:tc>
          <w:tcPr>
            <w:tcW w:w="7909" w:type="dxa"/>
          </w:tcPr>
          <w:p w:rsidR="009A6F24" w:rsidRPr="005D131A" w:rsidRDefault="00E43B74" w:rsidP="005D131A">
            <w:pPr>
              <w:pStyle w:val="Prrafodelista"/>
              <w:tabs>
                <w:tab w:val="left" w:pos="426"/>
              </w:tabs>
              <w:ind w:left="0"/>
              <w:rPr>
                <w:i/>
                <w:sz w:val="28"/>
                <w:szCs w:val="28"/>
                <w:lang w:val="es-CO"/>
              </w:rPr>
            </w:pPr>
            <w:r w:rsidRPr="005D131A">
              <w:rPr>
                <w:rStyle w:val="FontStyle47"/>
                <w:rFonts w:ascii="Times New Roman" w:hAnsi="Times New Roman" w:cs="Times New Roman"/>
                <w:i w:val="0"/>
                <w:sz w:val="28"/>
                <w:szCs w:val="28"/>
                <w:lang w:val="es-ES_tradnl" w:eastAsia="es-ES_tradnl"/>
              </w:rPr>
              <w:t>Servicio excluido</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Tratamientos o curas de reposo o del sueño</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Medias elásticas de soporte, corsés o fajas, sillas de ruedas, plantillas y zapatos ortopédicos, vendajes acrílicos, lentes de contacto, lentes para anteojos con materiales diferentes a vidrio o plástico, filtros o colores y películas especiales</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vAlign w:val="center"/>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Dispositivos, implantes o prótesis, necesarios para tecnologías en salud no cubiertas en el POS según la Resolución 5521 de 2013.</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Trasplante de órganos e injertos biológicos</w:t>
            </w:r>
            <w:r w:rsidR="00E43B74" w:rsidRPr="005D131A">
              <w:rPr>
                <w:iCs/>
                <w:sz w:val="28"/>
                <w:szCs w:val="28"/>
                <w:vertAlign w:val="superscript"/>
                <w:lang w:val="es-ES_tradnl" w:eastAsia="es-ES_tradnl"/>
              </w:rPr>
              <w:footnoteReference w:id="80"/>
            </w:r>
            <w:r w:rsidRPr="005D131A">
              <w:rPr>
                <w:rStyle w:val="FontStyle43"/>
                <w:rFonts w:ascii="Times New Roman" w:hAnsi="Times New Roman" w:cs="Times New Roman"/>
                <w:i w:val="0"/>
                <w:sz w:val="28"/>
                <w:szCs w:val="28"/>
                <w:lang w:val="es-ES_tradnl" w:eastAsia="es-ES_tradnl"/>
              </w:rPr>
              <w:t xml:space="preserve"> diferentes a los descritos en la Resolución 5521 de 2013</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vAlign w:val="center"/>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Tratamientos de periodoncia, ortodoncia, implantología, dispositivos protésicos en cavidad oral, diferentes a los descritos en la Resolución 5521 de 2013</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vAlign w:val="center"/>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Tecnologías en salud para la atención de pacientes con enfermedades crónicas, degenerativas, carcinomatosis, traumáticas o de cualquier índole en su fase terminal, o cuando para ellas no existan posibilidades de recuperación, salvo lo dispuesto para la atención paliativa en la Resolución 5521 de 2013.</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Pañales para niños y adultos</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Toallas higiénicas</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vAlign w:val="center"/>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Suplementos o complementos vitamínicos, nutricionales o nutracéuticos, salvo excepciones expresas en la norma</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Líquidos para lentes de contacto</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Tratamientos capilares</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Champús de cualquier tipo</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Jabones</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Cremas hidratantes o humectantes</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Cremas antisolares o para las manchas en la piel</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Medicamentos para la memoria</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Edulcorantes o sustitutos de la sal</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vAlign w:val="center"/>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Cubrimiento de cualquier tipo de dieta en ámbitos no hospitalarios, salvo lo señalado expresamente en la Resolución 5521 de 2013.</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Enjuagues bucales y cremas dentales</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Cepillo y seda dental</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Los procedimientos conexos y las complicaciones que surjan de las atenciones en los eventos expresamente excluidos</w:t>
            </w:r>
          </w:p>
        </w:tc>
      </w:tr>
      <w:tr w:rsidR="0010093F"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vAlign w:val="center"/>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La atención en los servicios de Internación en las unidades de cuidados intensivos, intermedios o quemados de pacientes en estado terminal de cualquier etiología, según criterio del profesional de la salud tratante</w:t>
            </w:r>
          </w:p>
        </w:tc>
      </w:tr>
      <w:tr w:rsidR="009A6F24" w:rsidRPr="005D131A" w:rsidTr="00E37A7A">
        <w:trPr>
          <w:jc w:val="center"/>
        </w:trPr>
        <w:tc>
          <w:tcPr>
            <w:tcW w:w="709" w:type="dxa"/>
          </w:tcPr>
          <w:p w:rsidR="009A6F24" w:rsidRPr="005D131A" w:rsidRDefault="009A6F24" w:rsidP="005D131A">
            <w:pPr>
              <w:pStyle w:val="Prrafodelista"/>
              <w:numPr>
                <w:ilvl w:val="0"/>
                <w:numId w:val="21"/>
              </w:numPr>
              <w:tabs>
                <w:tab w:val="left" w:pos="360"/>
              </w:tabs>
              <w:ind w:left="357" w:hanging="357"/>
              <w:jc w:val="center"/>
              <w:rPr>
                <w:sz w:val="28"/>
                <w:szCs w:val="28"/>
                <w:lang w:val="es-CO"/>
              </w:rPr>
            </w:pPr>
          </w:p>
        </w:tc>
        <w:tc>
          <w:tcPr>
            <w:tcW w:w="7909" w:type="dxa"/>
            <w:vAlign w:val="center"/>
          </w:tcPr>
          <w:p w:rsidR="009A6F24" w:rsidRPr="005D131A" w:rsidRDefault="009A6F24" w:rsidP="005D131A">
            <w:pPr>
              <w:pStyle w:val="Prrafodelista"/>
              <w:tabs>
                <w:tab w:val="left" w:pos="426"/>
              </w:tabs>
              <w:ind w:left="0"/>
              <w:rPr>
                <w:sz w:val="28"/>
                <w:szCs w:val="28"/>
                <w:lang w:val="es-CO"/>
              </w:rPr>
            </w:pPr>
            <w:r w:rsidRPr="005D131A">
              <w:rPr>
                <w:rStyle w:val="FontStyle43"/>
                <w:rFonts w:ascii="Times New Roman" w:hAnsi="Times New Roman" w:cs="Times New Roman"/>
                <w:i w:val="0"/>
                <w:sz w:val="28"/>
                <w:szCs w:val="28"/>
                <w:lang w:val="es-ES_tradnl" w:eastAsia="es-ES_tradnl"/>
              </w:rPr>
              <w:t>La atención en los servicios de internación en las unidades de cuidados intensivos, intermedios o quemados de pacientes con diagnóstico de muerte cerebral, salvo proceso en curso de donación de sus órganos, que estará a cargo de la Entidad Promotora de Salud del receptor</w:t>
            </w:r>
            <w:r w:rsidR="00E95275" w:rsidRPr="005D131A">
              <w:rPr>
                <w:rStyle w:val="FontStyle43"/>
                <w:rFonts w:ascii="Times New Roman" w:hAnsi="Times New Roman" w:cs="Times New Roman"/>
                <w:i w:val="0"/>
                <w:sz w:val="28"/>
                <w:szCs w:val="28"/>
                <w:lang w:val="es-ES_tradnl" w:eastAsia="es-ES_tradnl"/>
              </w:rPr>
              <w:t>.</w:t>
            </w:r>
          </w:p>
        </w:tc>
      </w:tr>
    </w:tbl>
    <w:p w:rsidR="003B342B" w:rsidRPr="005D131A" w:rsidRDefault="003B342B" w:rsidP="005D131A">
      <w:pPr>
        <w:pStyle w:val="Prrafodelista"/>
        <w:tabs>
          <w:tab w:val="left" w:pos="426"/>
        </w:tabs>
        <w:ind w:left="305"/>
        <w:rPr>
          <w:sz w:val="28"/>
          <w:szCs w:val="28"/>
          <w:lang w:val="es-CO"/>
        </w:rPr>
      </w:pPr>
    </w:p>
    <w:p w:rsidR="003B342B" w:rsidRPr="005D131A" w:rsidRDefault="00B83589" w:rsidP="005D131A">
      <w:pPr>
        <w:tabs>
          <w:tab w:val="left" w:pos="426"/>
        </w:tabs>
        <w:rPr>
          <w:sz w:val="28"/>
          <w:szCs w:val="28"/>
          <w:lang w:val="es-CO"/>
        </w:rPr>
      </w:pPr>
      <w:r w:rsidRPr="005D131A">
        <w:rPr>
          <w:sz w:val="28"/>
          <w:szCs w:val="28"/>
          <w:lang w:val="es-CO"/>
        </w:rPr>
        <w:t>Asimismo</w:t>
      </w:r>
      <w:r w:rsidR="00E356B2" w:rsidRPr="005D131A">
        <w:rPr>
          <w:sz w:val="28"/>
          <w:szCs w:val="28"/>
          <w:lang w:val="es-CO"/>
        </w:rPr>
        <w:t>, el Ministerio explicó los casos donde los</w:t>
      </w:r>
      <w:r w:rsidR="003B342B" w:rsidRPr="005D131A">
        <w:rPr>
          <w:sz w:val="28"/>
          <w:szCs w:val="28"/>
          <w:lang w:val="es-CO"/>
        </w:rPr>
        <w:t xml:space="preserve"> servicios que ostentan</w:t>
      </w:r>
      <w:r w:rsidR="00E356B2" w:rsidRPr="005D131A">
        <w:rPr>
          <w:sz w:val="28"/>
          <w:szCs w:val="28"/>
          <w:lang w:val="es-CO"/>
        </w:rPr>
        <w:t xml:space="preserve"> una </w:t>
      </w:r>
      <w:r w:rsidR="003B342B" w:rsidRPr="005D131A">
        <w:rPr>
          <w:sz w:val="28"/>
          <w:szCs w:val="28"/>
          <w:lang w:val="es-CO"/>
        </w:rPr>
        <w:t>doble condición</w:t>
      </w:r>
      <w:r w:rsidR="001D2450" w:rsidRPr="005D131A">
        <w:rPr>
          <w:sz w:val="28"/>
          <w:szCs w:val="28"/>
          <w:lang w:val="es-CO"/>
        </w:rPr>
        <w:t xml:space="preserve">, es decir, aquellas tecnologías que </w:t>
      </w:r>
      <w:r w:rsidR="00E356B2" w:rsidRPr="005D131A">
        <w:rPr>
          <w:sz w:val="28"/>
          <w:szCs w:val="28"/>
          <w:lang w:val="es-CO"/>
        </w:rPr>
        <w:t>se encuentran listados como exclusiones del POS y que además corresponden a prestaciones que de conformidad con lo previsto en el artículo 154 de la Ley 1450 de 2011, no pueden ser financiadas con recursos del Sistema General de Salud, no pueden ser recobrados y</w:t>
      </w:r>
      <w:r w:rsidR="00B04BD9" w:rsidRPr="005D131A">
        <w:rPr>
          <w:sz w:val="28"/>
          <w:szCs w:val="28"/>
          <w:lang w:val="es-CO"/>
        </w:rPr>
        <w:t>,</w:t>
      </w:r>
      <w:r w:rsidR="00E356B2" w:rsidRPr="005D131A">
        <w:rPr>
          <w:sz w:val="28"/>
          <w:szCs w:val="28"/>
          <w:lang w:val="es-CO"/>
        </w:rPr>
        <w:t xml:space="preserve"> por tanto, los CTC no tienen la facultad para autorizarlos, para lo cual la cartera ministerial</w:t>
      </w:r>
      <w:r w:rsidR="00A615BA" w:rsidRPr="005D131A">
        <w:rPr>
          <w:sz w:val="28"/>
          <w:szCs w:val="28"/>
          <w:lang w:val="es-CO"/>
        </w:rPr>
        <w:t xml:space="preserve"> allegó el siguiente listado:</w:t>
      </w:r>
    </w:p>
    <w:p w:rsidR="003B342B" w:rsidRPr="005D131A" w:rsidRDefault="003B342B" w:rsidP="005D131A">
      <w:pPr>
        <w:tabs>
          <w:tab w:val="left" w:pos="426"/>
        </w:tabs>
        <w:rPr>
          <w:sz w:val="28"/>
          <w:szCs w:val="28"/>
          <w:lang w:val="es-CO"/>
        </w:rPr>
      </w:pPr>
    </w:p>
    <w:p w:rsidR="007970D4" w:rsidRPr="005D131A" w:rsidRDefault="006B61FE" w:rsidP="005D131A">
      <w:pPr>
        <w:pStyle w:val="Descripcin"/>
        <w:keepNext/>
        <w:spacing w:line="240" w:lineRule="auto"/>
        <w:rPr>
          <w:b w:val="0"/>
          <w:szCs w:val="28"/>
        </w:rPr>
      </w:pPr>
      <w:r w:rsidRPr="005D131A">
        <w:rPr>
          <w:b w:val="0"/>
          <w:szCs w:val="28"/>
        </w:rPr>
        <w:t>Figura núm. 3</w:t>
      </w:r>
    </w:p>
    <w:p w:rsidR="00E95275" w:rsidRPr="005D131A" w:rsidRDefault="007970D4" w:rsidP="005D131A">
      <w:pPr>
        <w:jc w:val="center"/>
        <w:rPr>
          <w:rStyle w:val="FontStyle47"/>
          <w:rFonts w:ascii="Times New Roman" w:hAnsi="Times New Roman" w:cs="Times New Roman"/>
          <w:b w:val="0"/>
          <w:i w:val="0"/>
          <w:sz w:val="28"/>
          <w:szCs w:val="28"/>
          <w:lang w:val="es-ES_tradnl" w:eastAsia="es-ES_tradnl"/>
        </w:rPr>
      </w:pPr>
      <w:r w:rsidRPr="005D131A">
        <w:rPr>
          <w:rStyle w:val="FontStyle47"/>
          <w:rFonts w:ascii="Times New Roman" w:hAnsi="Times New Roman" w:cs="Times New Roman"/>
          <w:b w:val="0"/>
          <w:i w:val="0"/>
          <w:sz w:val="28"/>
          <w:szCs w:val="28"/>
          <w:lang w:val="es-ES_tradnl" w:eastAsia="es-ES_tradnl"/>
        </w:rPr>
        <w:t>Servicios que cumplen la doble condición de ser prestaciones que no pueden ser financiadas por el sistema y son exclusiones del POS</w:t>
      </w:r>
    </w:p>
    <w:p w:rsidR="00E95275" w:rsidRPr="005D131A" w:rsidRDefault="00E95275" w:rsidP="005D131A">
      <w:pPr>
        <w:jc w:val="center"/>
        <w:rPr>
          <w:bCs/>
          <w:iCs/>
          <w:sz w:val="28"/>
          <w:szCs w:val="28"/>
          <w:lang w:val="es-ES_tradnl" w:eastAsia="es-ES_tradnl"/>
        </w:rPr>
      </w:pPr>
    </w:p>
    <w:tbl>
      <w:tblPr>
        <w:tblW w:w="9207" w:type="dxa"/>
        <w:tblInd w:w="40" w:type="dxa"/>
        <w:tblLayout w:type="fixed"/>
        <w:tblCellMar>
          <w:left w:w="40" w:type="dxa"/>
          <w:right w:w="40" w:type="dxa"/>
        </w:tblCellMar>
        <w:tblLook w:val="0000" w:firstRow="0" w:lastRow="0" w:firstColumn="0" w:lastColumn="0" w:noHBand="0" w:noVBand="0"/>
      </w:tblPr>
      <w:tblGrid>
        <w:gridCol w:w="4733"/>
        <w:gridCol w:w="4474"/>
      </w:tblGrid>
      <w:tr w:rsidR="0010093F" w:rsidRPr="005D131A" w:rsidTr="007970D4">
        <w:tc>
          <w:tcPr>
            <w:tcW w:w="4733" w:type="dxa"/>
            <w:tcBorders>
              <w:top w:val="single" w:sz="6" w:space="0" w:color="auto"/>
              <w:left w:val="single" w:sz="6" w:space="0" w:color="auto"/>
              <w:bottom w:val="single" w:sz="6" w:space="0" w:color="auto"/>
              <w:right w:val="single" w:sz="6" w:space="0" w:color="auto"/>
            </w:tcBorders>
          </w:tcPr>
          <w:p w:rsidR="00E43B74" w:rsidRPr="005D131A" w:rsidRDefault="00BC3766" w:rsidP="005D131A">
            <w:pPr>
              <w:pStyle w:val="Style12"/>
              <w:widowControl/>
              <w:rPr>
                <w:rStyle w:val="FontStyle47"/>
                <w:rFonts w:ascii="Times New Roman" w:hAnsi="Times New Roman" w:cs="Times New Roman"/>
                <w:i w:val="0"/>
                <w:sz w:val="28"/>
                <w:szCs w:val="28"/>
                <w:lang w:val="es-ES_tradnl" w:eastAsia="es-ES_tradnl"/>
              </w:rPr>
            </w:pPr>
            <w:r w:rsidRPr="005D131A">
              <w:rPr>
                <w:rStyle w:val="FontStyle47"/>
                <w:rFonts w:ascii="Times New Roman" w:hAnsi="Times New Roman" w:cs="Times New Roman"/>
                <w:i w:val="0"/>
                <w:sz w:val="28"/>
                <w:szCs w:val="28"/>
                <w:lang w:val="es-ES_tradnl" w:eastAsia="es-ES_tradnl"/>
              </w:rPr>
              <w:t>Servicios que no pueden ser financiados por el sistema (Art. 154 de la Ley 1450 de 2011)</w:t>
            </w:r>
          </w:p>
        </w:tc>
        <w:tc>
          <w:tcPr>
            <w:tcW w:w="4474" w:type="dxa"/>
            <w:tcBorders>
              <w:top w:val="single" w:sz="6" w:space="0" w:color="auto"/>
              <w:left w:val="single" w:sz="6" w:space="0" w:color="auto"/>
              <w:bottom w:val="single" w:sz="6" w:space="0" w:color="auto"/>
              <w:right w:val="single" w:sz="6" w:space="0" w:color="auto"/>
            </w:tcBorders>
          </w:tcPr>
          <w:p w:rsidR="00E43B74" w:rsidRPr="005D131A" w:rsidRDefault="00BC3766" w:rsidP="005D131A">
            <w:pPr>
              <w:pStyle w:val="Style12"/>
              <w:widowControl/>
              <w:rPr>
                <w:rStyle w:val="FontStyle47"/>
                <w:rFonts w:ascii="Times New Roman" w:hAnsi="Times New Roman" w:cs="Times New Roman"/>
                <w:i w:val="0"/>
                <w:sz w:val="28"/>
                <w:szCs w:val="28"/>
                <w:lang w:val="es-ES_tradnl" w:eastAsia="es-ES_tradnl"/>
              </w:rPr>
            </w:pPr>
            <w:r w:rsidRPr="005D131A">
              <w:rPr>
                <w:rStyle w:val="FontStyle47"/>
                <w:rFonts w:ascii="Times New Roman" w:hAnsi="Times New Roman" w:cs="Times New Roman"/>
                <w:i w:val="0"/>
                <w:sz w:val="28"/>
                <w:szCs w:val="28"/>
                <w:lang w:val="es-ES_tradnl" w:eastAsia="es-ES_tradnl"/>
              </w:rPr>
              <w:t>Listado de exclusiones del Pos (Art. 130 de la Resolución 5521 de 2013)</w:t>
            </w:r>
          </w:p>
        </w:tc>
      </w:tr>
      <w:tr w:rsidR="0010093F" w:rsidRPr="005D131A" w:rsidTr="007970D4">
        <w:tc>
          <w:tcPr>
            <w:tcW w:w="4733" w:type="dxa"/>
            <w:vMerge w:val="restart"/>
            <w:tcBorders>
              <w:top w:val="single" w:sz="6" w:space="0" w:color="auto"/>
              <w:left w:val="single" w:sz="6" w:space="0" w:color="auto"/>
              <w:bottom w:val="nil"/>
              <w:right w:val="single" w:sz="6" w:space="0" w:color="auto"/>
            </w:tcBorders>
          </w:tcPr>
          <w:p w:rsidR="00E43B74" w:rsidRPr="005D131A" w:rsidRDefault="00E43B74" w:rsidP="005D131A">
            <w:pPr>
              <w:pStyle w:val="Style11"/>
              <w:widowControl/>
              <w:spacing w:line="240" w:lineRule="auto"/>
              <w:jc w:val="left"/>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Prestaciones</w:t>
            </w:r>
            <w:r w:rsidR="008F5ED3" w:rsidRPr="005D131A">
              <w:rPr>
                <w:rStyle w:val="FontStyle43"/>
                <w:rFonts w:ascii="Times New Roman" w:hAnsi="Times New Roman" w:cs="Times New Roman"/>
                <w:i w:val="0"/>
                <w:sz w:val="28"/>
                <w:szCs w:val="28"/>
                <w:lang w:val="es-ES_tradnl" w:eastAsia="es-ES_tradnl"/>
              </w:rPr>
              <w:t xml:space="preserve"> </w:t>
            </w:r>
            <w:r w:rsidRPr="005D131A">
              <w:rPr>
                <w:rStyle w:val="FontStyle43"/>
                <w:rFonts w:ascii="Times New Roman" w:hAnsi="Times New Roman" w:cs="Times New Roman"/>
                <w:i w:val="0"/>
                <w:sz w:val="28"/>
                <w:szCs w:val="28"/>
                <w:lang w:val="es-ES_tradnl" w:eastAsia="es-ES_tradnl"/>
              </w:rPr>
              <w:t xml:space="preserve"> suntuarias</w:t>
            </w:r>
            <w:r w:rsidR="008F5ED3" w:rsidRPr="005D131A">
              <w:rPr>
                <w:rStyle w:val="FontStyle43"/>
                <w:rFonts w:ascii="Times New Roman" w:hAnsi="Times New Roman" w:cs="Times New Roman"/>
                <w:i w:val="0"/>
                <w:sz w:val="28"/>
                <w:szCs w:val="28"/>
                <w:lang w:val="es-ES_tradnl" w:eastAsia="es-ES_tradnl"/>
              </w:rPr>
              <w:t xml:space="preserve"> </w:t>
            </w:r>
            <w:r w:rsidRPr="005D131A">
              <w:rPr>
                <w:rStyle w:val="FontStyle43"/>
                <w:rFonts w:ascii="Times New Roman" w:hAnsi="Times New Roman" w:cs="Times New Roman"/>
                <w:i w:val="0"/>
                <w:sz w:val="28"/>
                <w:szCs w:val="28"/>
                <w:lang w:val="es-ES_tradnl" w:eastAsia="es-ES_tradnl"/>
              </w:rPr>
              <w:t xml:space="preserve"> y</w:t>
            </w:r>
            <w:r w:rsidR="008F5ED3" w:rsidRPr="005D131A">
              <w:rPr>
                <w:rStyle w:val="FontStyle43"/>
                <w:rFonts w:ascii="Times New Roman" w:hAnsi="Times New Roman" w:cs="Times New Roman"/>
                <w:i w:val="0"/>
                <w:sz w:val="28"/>
                <w:szCs w:val="28"/>
                <w:lang w:val="es-ES_tradnl" w:eastAsia="es-ES_tradnl"/>
              </w:rPr>
              <w:t xml:space="preserve"> </w:t>
            </w:r>
            <w:r w:rsidRPr="005D131A">
              <w:rPr>
                <w:rStyle w:val="FontStyle43"/>
                <w:rFonts w:ascii="Times New Roman" w:hAnsi="Times New Roman" w:cs="Times New Roman"/>
                <w:i w:val="0"/>
                <w:sz w:val="28"/>
                <w:szCs w:val="28"/>
                <w:lang w:val="es-ES_tradnl" w:eastAsia="es-ES_tradnl"/>
              </w:rPr>
              <w:t xml:space="preserve"> servicios exclusivamente cosméticos</w:t>
            </w:r>
          </w:p>
        </w:tc>
        <w:tc>
          <w:tcPr>
            <w:tcW w:w="4474" w:type="dxa"/>
            <w:tcBorders>
              <w:top w:val="single" w:sz="6" w:space="0" w:color="auto"/>
              <w:left w:val="single" w:sz="6" w:space="0" w:color="auto"/>
              <w:bottom w:val="single" w:sz="6" w:space="0" w:color="auto"/>
              <w:right w:val="single" w:sz="6" w:space="0" w:color="auto"/>
            </w:tcBorders>
          </w:tcPr>
          <w:p w:rsidR="00E43B74" w:rsidRPr="005D131A" w:rsidRDefault="00E43B74" w:rsidP="005D131A">
            <w:pPr>
              <w:pStyle w:val="Style11"/>
              <w:widowControl/>
              <w:spacing w:line="240" w:lineRule="auto"/>
              <w:ind w:firstLine="24"/>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Cirugía estética con fines de embellecimiento y procedimientos de cirugía plástica cosmética, o suntuaria</w:t>
            </w:r>
          </w:p>
        </w:tc>
      </w:tr>
      <w:tr w:rsidR="0010093F" w:rsidRPr="005D131A" w:rsidTr="007970D4">
        <w:tc>
          <w:tcPr>
            <w:tcW w:w="4733" w:type="dxa"/>
            <w:vMerge/>
            <w:tcBorders>
              <w:top w:val="nil"/>
              <w:left w:val="single" w:sz="6" w:space="0" w:color="auto"/>
              <w:bottom w:val="nil"/>
              <w:right w:val="single" w:sz="6" w:space="0" w:color="auto"/>
            </w:tcBorders>
          </w:tcPr>
          <w:p w:rsidR="00E43B74" w:rsidRPr="005D131A" w:rsidRDefault="00E43B74" w:rsidP="005D131A">
            <w:pPr>
              <w:rPr>
                <w:rStyle w:val="FontStyle43"/>
                <w:rFonts w:ascii="Times New Roman" w:hAnsi="Times New Roman" w:cs="Times New Roman"/>
                <w:i w:val="0"/>
                <w:sz w:val="28"/>
                <w:szCs w:val="28"/>
                <w:lang w:val="es-ES_tradnl" w:eastAsia="es-ES_tradnl"/>
              </w:rPr>
            </w:pPr>
          </w:p>
          <w:p w:rsidR="00E43B74" w:rsidRPr="005D131A" w:rsidRDefault="00E43B74" w:rsidP="005D131A">
            <w:pPr>
              <w:rPr>
                <w:rStyle w:val="FontStyle43"/>
                <w:rFonts w:ascii="Times New Roman" w:hAnsi="Times New Roman" w:cs="Times New Roman"/>
                <w:i w:val="0"/>
                <w:sz w:val="28"/>
                <w:szCs w:val="28"/>
                <w:lang w:val="es-ES_tradnl" w:eastAsia="es-ES_tradnl"/>
              </w:rPr>
            </w:pPr>
          </w:p>
        </w:tc>
        <w:tc>
          <w:tcPr>
            <w:tcW w:w="4474" w:type="dxa"/>
            <w:tcBorders>
              <w:top w:val="single" w:sz="6" w:space="0" w:color="auto"/>
              <w:left w:val="single" w:sz="6" w:space="0" w:color="auto"/>
              <w:bottom w:val="single" w:sz="6" w:space="0" w:color="auto"/>
              <w:right w:val="single" w:sz="6" w:space="0" w:color="auto"/>
            </w:tcBorders>
          </w:tcPr>
          <w:p w:rsidR="00E43B74" w:rsidRPr="005D131A" w:rsidRDefault="00E43B74" w:rsidP="005D131A">
            <w:pPr>
              <w:pStyle w:val="Style11"/>
              <w:widowControl/>
              <w:spacing w:line="240" w:lineRule="auto"/>
              <w:ind w:firstLine="24"/>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Cirugías para corrección de vicios de refracción por razones estéticas</w:t>
            </w:r>
          </w:p>
        </w:tc>
      </w:tr>
      <w:tr w:rsidR="0010093F" w:rsidRPr="005D131A" w:rsidTr="007970D4">
        <w:tc>
          <w:tcPr>
            <w:tcW w:w="4733" w:type="dxa"/>
            <w:vMerge/>
            <w:tcBorders>
              <w:top w:val="nil"/>
              <w:left w:val="single" w:sz="6" w:space="0" w:color="auto"/>
              <w:bottom w:val="nil"/>
              <w:right w:val="single" w:sz="6" w:space="0" w:color="auto"/>
            </w:tcBorders>
          </w:tcPr>
          <w:p w:rsidR="00E43B74" w:rsidRPr="005D131A" w:rsidRDefault="00E43B74" w:rsidP="005D131A">
            <w:pPr>
              <w:rPr>
                <w:rStyle w:val="FontStyle43"/>
                <w:rFonts w:ascii="Times New Roman" w:hAnsi="Times New Roman" w:cs="Times New Roman"/>
                <w:i w:val="0"/>
                <w:sz w:val="28"/>
                <w:szCs w:val="28"/>
                <w:lang w:val="es-ES_tradnl" w:eastAsia="es-ES_tradnl"/>
              </w:rPr>
            </w:pPr>
          </w:p>
          <w:p w:rsidR="00E43B74" w:rsidRPr="005D131A" w:rsidRDefault="00E43B74" w:rsidP="005D131A">
            <w:pPr>
              <w:rPr>
                <w:rStyle w:val="FontStyle43"/>
                <w:rFonts w:ascii="Times New Roman" w:hAnsi="Times New Roman" w:cs="Times New Roman"/>
                <w:i w:val="0"/>
                <w:sz w:val="28"/>
                <w:szCs w:val="28"/>
                <w:lang w:val="es-ES_tradnl" w:eastAsia="es-ES_tradnl"/>
              </w:rPr>
            </w:pPr>
          </w:p>
        </w:tc>
        <w:tc>
          <w:tcPr>
            <w:tcW w:w="4474" w:type="dxa"/>
            <w:tcBorders>
              <w:top w:val="single" w:sz="6" w:space="0" w:color="auto"/>
              <w:left w:val="single" w:sz="6" w:space="0" w:color="auto"/>
              <w:bottom w:val="single" w:sz="6" w:space="0" w:color="auto"/>
              <w:right w:val="single" w:sz="6" w:space="0" w:color="auto"/>
            </w:tcBorders>
          </w:tcPr>
          <w:p w:rsidR="00E43B74" w:rsidRPr="005D131A" w:rsidRDefault="00E43B74" w:rsidP="005D131A">
            <w:pPr>
              <w:pStyle w:val="Style11"/>
              <w:widowControl/>
              <w:spacing w:line="240" w:lineRule="auto"/>
              <w:ind w:right="931"/>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Tratamientos nutricionales con fines estéticos</w:t>
            </w:r>
          </w:p>
        </w:tc>
      </w:tr>
      <w:tr w:rsidR="0010093F" w:rsidRPr="005D131A" w:rsidTr="007970D4">
        <w:tc>
          <w:tcPr>
            <w:tcW w:w="4733" w:type="dxa"/>
            <w:vMerge/>
            <w:tcBorders>
              <w:top w:val="nil"/>
              <w:left w:val="single" w:sz="6" w:space="0" w:color="auto"/>
              <w:bottom w:val="nil"/>
              <w:right w:val="single" w:sz="6" w:space="0" w:color="auto"/>
            </w:tcBorders>
          </w:tcPr>
          <w:p w:rsidR="00E43B74" w:rsidRPr="005D131A" w:rsidRDefault="00E43B74" w:rsidP="005D131A">
            <w:pPr>
              <w:rPr>
                <w:rStyle w:val="FontStyle43"/>
                <w:rFonts w:ascii="Times New Roman" w:hAnsi="Times New Roman" w:cs="Times New Roman"/>
                <w:i w:val="0"/>
                <w:sz w:val="28"/>
                <w:szCs w:val="28"/>
                <w:lang w:val="es-ES_tradnl" w:eastAsia="es-ES_tradnl"/>
              </w:rPr>
            </w:pPr>
          </w:p>
          <w:p w:rsidR="00E43B74" w:rsidRPr="005D131A" w:rsidRDefault="00E43B74" w:rsidP="005D131A">
            <w:pPr>
              <w:rPr>
                <w:rStyle w:val="FontStyle43"/>
                <w:rFonts w:ascii="Times New Roman" w:hAnsi="Times New Roman" w:cs="Times New Roman"/>
                <w:i w:val="0"/>
                <w:sz w:val="28"/>
                <w:szCs w:val="28"/>
                <w:lang w:val="es-ES_tradnl" w:eastAsia="es-ES_tradnl"/>
              </w:rPr>
            </w:pPr>
          </w:p>
        </w:tc>
        <w:tc>
          <w:tcPr>
            <w:tcW w:w="4474" w:type="dxa"/>
            <w:tcBorders>
              <w:top w:val="single" w:sz="6" w:space="0" w:color="auto"/>
              <w:left w:val="single" w:sz="6" w:space="0" w:color="auto"/>
              <w:bottom w:val="single" w:sz="6" w:space="0" w:color="auto"/>
              <w:right w:val="single" w:sz="6" w:space="0" w:color="auto"/>
            </w:tcBorders>
          </w:tcPr>
          <w:p w:rsidR="00E43B74" w:rsidRPr="005D131A" w:rsidRDefault="00E43B74" w:rsidP="005D131A">
            <w:pPr>
              <w:pStyle w:val="Style11"/>
              <w:widowControl/>
              <w:spacing w:line="240" w:lineRule="auto"/>
              <w:ind w:firstLine="24"/>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Tratamiento con fines estéticos de afecciones vasculares o cutáneas</w:t>
            </w:r>
          </w:p>
        </w:tc>
      </w:tr>
      <w:tr w:rsidR="0010093F" w:rsidRPr="005D131A" w:rsidTr="007970D4">
        <w:tc>
          <w:tcPr>
            <w:tcW w:w="4733" w:type="dxa"/>
            <w:vMerge/>
            <w:tcBorders>
              <w:top w:val="nil"/>
              <w:left w:val="single" w:sz="6" w:space="0" w:color="auto"/>
              <w:bottom w:val="nil"/>
              <w:right w:val="single" w:sz="6" w:space="0" w:color="auto"/>
            </w:tcBorders>
          </w:tcPr>
          <w:p w:rsidR="00E43B74" w:rsidRPr="005D131A" w:rsidRDefault="00E43B74" w:rsidP="005D131A">
            <w:pPr>
              <w:rPr>
                <w:rStyle w:val="FontStyle43"/>
                <w:rFonts w:ascii="Times New Roman" w:hAnsi="Times New Roman" w:cs="Times New Roman"/>
                <w:i w:val="0"/>
                <w:sz w:val="28"/>
                <w:szCs w:val="28"/>
                <w:lang w:val="es-ES_tradnl" w:eastAsia="es-ES_tradnl"/>
              </w:rPr>
            </w:pPr>
          </w:p>
          <w:p w:rsidR="00E43B74" w:rsidRPr="005D131A" w:rsidRDefault="00E43B74" w:rsidP="005D131A">
            <w:pPr>
              <w:rPr>
                <w:rStyle w:val="FontStyle43"/>
                <w:rFonts w:ascii="Times New Roman" w:hAnsi="Times New Roman" w:cs="Times New Roman"/>
                <w:i w:val="0"/>
                <w:sz w:val="28"/>
                <w:szCs w:val="28"/>
                <w:lang w:val="es-ES_tradnl" w:eastAsia="es-ES_tradnl"/>
              </w:rPr>
            </w:pPr>
          </w:p>
        </w:tc>
        <w:tc>
          <w:tcPr>
            <w:tcW w:w="4474" w:type="dxa"/>
            <w:tcBorders>
              <w:top w:val="single" w:sz="6" w:space="0" w:color="auto"/>
              <w:left w:val="single" w:sz="6" w:space="0" w:color="auto"/>
              <w:bottom w:val="single" w:sz="6" w:space="0" w:color="auto"/>
              <w:right w:val="single" w:sz="6" w:space="0" w:color="auto"/>
            </w:tcBorders>
          </w:tcPr>
          <w:p w:rsidR="00E43B74" w:rsidRPr="005D131A" w:rsidRDefault="00E43B74" w:rsidP="005D131A">
            <w:pPr>
              <w:pStyle w:val="Style11"/>
              <w:widowControl/>
              <w:spacing w:line="240" w:lineRule="auto"/>
              <w:ind w:right="2760"/>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Artículos cosméticos</w:t>
            </w:r>
          </w:p>
        </w:tc>
      </w:tr>
      <w:tr w:rsidR="0010093F" w:rsidRPr="005D131A" w:rsidTr="007970D4">
        <w:tc>
          <w:tcPr>
            <w:tcW w:w="4733" w:type="dxa"/>
            <w:vMerge/>
            <w:tcBorders>
              <w:top w:val="nil"/>
              <w:left w:val="single" w:sz="6" w:space="0" w:color="auto"/>
              <w:bottom w:val="single" w:sz="6" w:space="0" w:color="auto"/>
              <w:right w:val="single" w:sz="6" w:space="0" w:color="auto"/>
            </w:tcBorders>
          </w:tcPr>
          <w:p w:rsidR="00E43B74" w:rsidRPr="005D131A" w:rsidRDefault="00E43B74" w:rsidP="005D131A">
            <w:pPr>
              <w:rPr>
                <w:rStyle w:val="FontStyle43"/>
                <w:rFonts w:ascii="Times New Roman" w:hAnsi="Times New Roman" w:cs="Times New Roman"/>
                <w:i w:val="0"/>
                <w:sz w:val="28"/>
                <w:szCs w:val="28"/>
                <w:lang w:val="es-ES_tradnl" w:eastAsia="es-ES_tradnl"/>
              </w:rPr>
            </w:pPr>
          </w:p>
          <w:p w:rsidR="00E43B74" w:rsidRPr="005D131A" w:rsidRDefault="00E43B74" w:rsidP="005D131A">
            <w:pPr>
              <w:rPr>
                <w:rStyle w:val="FontStyle43"/>
                <w:rFonts w:ascii="Times New Roman" w:hAnsi="Times New Roman" w:cs="Times New Roman"/>
                <w:i w:val="0"/>
                <w:sz w:val="28"/>
                <w:szCs w:val="28"/>
                <w:lang w:val="es-ES_tradnl" w:eastAsia="es-ES_tradnl"/>
              </w:rPr>
            </w:pPr>
          </w:p>
        </w:tc>
        <w:tc>
          <w:tcPr>
            <w:tcW w:w="4474" w:type="dxa"/>
            <w:tcBorders>
              <w:top w:val="single" w:sz="6" w:space="0" w:color="auto"/>
              <w:left w:val="single" w:sz="6" w:space="0" w:color="auto"/>
              <w:bottom w:val="single" w:sz="6" w:space="0" w:color="auto"/>
              <w:right w:val="single" w:sz="6" w:space="0" w:color="auto"/>
            </w:tcBorders>
          </w:tcPr>
          <w:p w:rsidR="00E43B74" w:rsidRPr="005D131A" w:rsidRDefault="00E43B74" w:rsidP="005D131A">
            <w:pPr>
              <w:pStyle w:val="Style11"/>
              <w:widowControl/>
              <w:spacing w:line="240" w:lineRule="auto"/>
              <w:ind w:right="533"/>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Blanqueamiento dental en la atención odontológica</w:t>
            </w:r>
          </w:p>
        </w:tc>
      </w:tr>
      <w:tr w:rsidR="0010093F" w:rsidRPr="005D131A" w:rsidTr="007970D4">
        <w:tc>
          <w:tcPr>
            <w:tcW w:w="4733" w:type="dxa"/>
            <w:vMerge w:val="restart"/>
            <w:tcBorders>
              <w:top w:val="single" w:sz="6" w:space="0" w:color="auto"/>
              <w:left w:val="single" w:sz="6" w:space="0" w:color="auto"/>
              <w:bottom w:val="nil"/>
              <w:right w:val="single" w:sz="6" w:space="0" w:color="auto"/>
            </w:tcBorders>
          </w:tcPr>
          <w:p w:rsidR="00E43B74" w:rsidRPr="005D131A" w:rsidRDefault="00E43B74" w:rsidP="005D131A">
            <w:pPr>
              <w:pStyle w:val="Style11"/>
              <w:widowControl/>
              <w:spacing w:line="240" w:lineRule="auto"/>
              <w:jc w:val="left"/>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Servicios experimentales sin evidencia científica</w:t>
            </w:r>
          </w:p>
        </w:tc>
        <w:tc>
          <w:tcPr>
            <w:tcW w:w="4474" w:type="dxa"/>
            <w:tcBorders>
              <w:top w:val="single" w:sz="6" w:space="0" w:color="auto"/>
              <w:left w:val="single" w:sz="6" w:space="0" w:color="auto"/>
              <w:bottom w:val="single" w:sz="6" w:space="0" w:color="auto"/>
              <w:right w:val="single" w:sz="6" w:space="0" w:color="auto"/>
            </w:tcBorders>
          </w:tcPr>
          <w:p w:rsidR="00E43B74" w:rsidRPr="005D131A" w:rsidRDefault="00E43B74" w:rsidP="005D131A">
            <w:pPr>
              <w:pStyle w:val="Style11"/>
              <w:widowControl/>
              <w:spacing w:line="240" w:lineRule="auto"/>
              <w:ind w:firstLine="19"/>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Tecnologías o tratamientos experimentales para cualquier tipo de enfermedad</w:t>
            </w:r>
          </w:p>
        </w:tc>
      </w:tr>
      <w:tr w:rsidR="0010093F" w:rsidRPr="005D131A" w:rsidTr="007970D4">
        <w:tc>
          <w:tcPr>
            <w:tcW w:w="4733" w:type="dxa"/>
            <w:vMerge/>
            <w:tcBorders>
              <w:top w:val="nil"/>
              <w:left w:val="single" w:sz="6" w:space="0" w:color="auto"/>
              <w:bottom w:val="single" w:sz="6" w:space="0" w:color="auto"/>
              <w:right w:val="single" w:sz="6" w:space="0" w:color="auto"/>
            </w:tcBorders>
          </w:tcPr>
          <w:p w:rsidR="00E43B74" w:rsidRPr="005D131A" w:rsidRDefault="00E43B74" w:rsidP="005D131A">
            <w:pPr>
              <w:rPr>
                <w:rStyle w:val="FontStyle43"/>
                <w:rFonts w:ascii="Times New Roman" w:hAnsi="Times New Roman" w:cs="Times New Roman"/>
                <w:i w:val="0"/>
                <w:sz w:val="28"/>
                <w:szCs w:val="28"/>
                <w:lang w:val="es-ES_tradnl" w:eastAsia="es-ES_tradnl"/>
              </w:rPr>
            </w:pPr>
          </w:p>
          <w:p w:rsidR="00E43B74" w:rsidRPr="005D131A" w:rsidRDefault="00E43B74" w:rsidP="005D131A">
            <w:pPr>
              <w:rPr>
                <w:rStyle w:val="FontStyle43"/>
                <w:rFonts w:ascii="Times New Roman" w:hAnsi="Times New Roman" w:cs="Times New Roman"/>
                <w:i w:val="0"/>
                <w:sz w:val="28"/>
                <w:szCs w:val="28"/>
                <w:lang w:val="es-ES_tradnl" w:eastAsia="es-ES_tradnl"/>
              </w:rPr>
            </w:pPr>
          </w:p>
        </w:tc>
        <w:tc>
          <w:tcPr>
            <w:tcW w:w="4474" w:type="dxa"/>
            <w:tcBorders>
              <w:top w:val="single" w:sz="6" w:space="0" w:color="auto"/>
              <w:left w:val="single" w:sz="6" w:space="0" w:color="auto"/>
              <w:bottom w:val="single" w:sz="6" w:space="0" w:color="auto"/>
              <w:right w:val="single" w:sz="6" w:space="0" w:color="auto"/>
            </w:tcBorders>
          </w:tcPr>
          <w:p w:rsidR="00E43B74" w:rsidRPr="005D131A" w:rsidRDefault="00E43B74" w:rsidP="005D131A">
            <w:pPr>
              <w:pStyle w:val="Style11"/>
              <w:widowControl/>
              <w:spacing w:line="240" w:lineRule="auto"/>
              <w:ind w:firstLine="14"/>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 xml:space="preserve">Tecnologías en salud (medicamentos y dispositivos) sobre las cuales el </w:t>
            </w:r>
            <w:r w:rsidR="007970D4" w:rsidRPr="005D131A">
              <w:rPr>
                <w:rStyle w:val="FontStyle43"/>
                <w:rFonts w:ascii="Times New Roman" w:hAnsi="Times New Roman" w:cs="Times New Roman"/>
                <w:i w:val="0"/>
                <w:sz w:val="28"/>
                <w:szCs w:val="28"/>
                <w:lang w:val="es-ES_tradnl" w:eastAsia="es-ES_tradnl"/>
              </w:rPr>
              <w:t xml:space="preserve">Invima </w:t>
            </w:r>
            <w:r w:rsidRPr="005D131A">
              <w:rPr>
                <w:rStyle w:val="FontStyle43"/>
                <w:rFonts w:ascii="Times New Roman" w:hAnsi="Times New Roman" w:cs="Times New Roman"/>
                <w:i w:val="0"/>
                <w:sz w:val="28"/>
                <w:szCs w:val="28"/>
                <w:lang w:val="es-ES_tradnl" w:eastAsia="es-ES_tradnl"/>
              </w:rPr>
              <w:t>como autoridad competente haya recomendado su retiro del mercado o no haya sido reconocida por las autoridades competentes Tecnologías en salud sobre la cual no exista evidencia científica, de seguridad o costo efectividad o que tengan alertas de seguridad o falta de efectividad que recomienden su retiro del mercado, de acuerdo con la normatividad vigente</w:t>
            </w:r>
          </w:p>
        </w:tc>
      </w:tr>
      <w:tr w:rsidR="0010093F" w:rsidRPr="005D131A" w:rsidTr="007970D4">
        <w:tc>
          <w:tcPr>
            <w:tcW w:w="4733" w:type="dxa"/>
            <w:tcBorders>
              <w:top w:val="single" w:sz="6" w:space="0" w:color="auto"/>
              <w:left w:val="single" w:sz="6" w:space="0" w:color="auto"/>
              <w:bottom w:val="single" w:sz="6" w:space="0" w:color="auto"/>
              <w:right w:val="single" w:sz="6" w:space="0" w:color="auto"/>
            </w:tcBorders>
          </w:tcPr>
          <w:p w:rsidR="00E43B74" w:rsidRPr="005D131A" w:rsidRDefault="00E43B74" w:rsidP="005D131A">
            <w:pPr>
              <w:pStyle w:val="Style11"/>
              <w:widowControl/>
              <w:spacing w:line="240" w:lineRule="auto"/>
              <w:jc w:val="left"/>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Servicios que se ofrezcan por fuera del territorio colombiano</w:t>
            </w:r>
          </w:p>
        </w:tc>
        <w:tc>
          <w:tcPr>
            <w:tcW w:w="4474" w:type="dxa"/>
            <w:tcBorders>
              <w:top w:val="single" w:sz="6" w:space="0" w:color="auto"/>
              <w:left w:val="single" w:sz="6" w:space="0" w:color="auto"/>
              <w:bottom w:val="single" w:sz="6" w:space="0" w:color="auto"/>
              <w:right w:val="single" w:sz="6" w:space="0" w:color="auto"/>
            </w:tcBorders>
          </w:tcPr>
          <w:p w:rsidR="00E43B74" w:rsidRPr="005D131A" w:rsidRDefault="00E43B74" w:rsidP="005D131A">
            <w:pPr>
              <w:pStyle w:val="Style11"/>
              <w:widowControl/>
              <w:spacing w:line="240" w:lineRule="auto"/>
              <w:ind w:right="298"/>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Tratamientos realizados fuera del territorio colombiano</w:t>
            </w:r>
          </w:p>
        </w:tc>
      </w:tr>
      <w:tr w:rsidR="0010093F" w:rsidRPr="005D131A" w:rsidTr="00E1062B">
        <w:tc>
          <w:tcPr>
            <w:tcW w:w="4733" w:type="dxa"/>
            <w:vMerge w:val="restart"/>
            <w:tcBorders>
              <w:top w:val="single" w:sz="6" w:space="0" w:color="auto"/>
              <w:left w:val="single" w:sz="6" w:space="0" w:color="auto"/>
              <w:right w:val="single" w:sz="6" w:space="0" w:color="auto"/>
            </w:tcBorders>
          </w:tcPr>
          <w:p w:rsidR="007970D4" w:rsidRPr="005D131A" w:rsidRDefault="007970D4" w:rsidP="005D131A">
            <w:pPr>
              <w:pStyle w:val="Style11"/>
              <w:widowControl/>
              <w:spacing w:line="240" w:lineRule="auto"/>
              <w:jc w:val="left"/>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Servicios que no sean propios del ámbito de la salud</w:t>
            </w:r>
          </w:p>
          <w:p w:rsidR="007970D4" w:rsidRPr="005D131A" w:rsidRDefault="007970D4" w:rsidP="005D131A">
            <w:pPr>
              <w:rPr>
                <w:rStyle w:val="FontStyle43"/>
                <w:rFonts w:ascii="Times New Roman" w:hAnsi="Times New Roman" w:cs="Times New Roman"/>
                <w:i w:val="0"/>
                <w:sz w:val="28"/>
                <w:szCs w:val="28"/>
                <w:lang w:val="es-ES_tradnl" w:eastAsia="es-ES_tradnl"/>
              </w:rPr>
            </w:pPr>
          </w:p>
          <w:p w:rsidR="007970D4" w:rsidRPr="005D131A" w:rsidRDefault="007970D4" w:rsidP="005D131A">
            <w:pPr>
              <w:rPr>
                <w:rStyle w:val="FontStyle43"/>
                <w:rFonts w:ascii="Times New Roman" w:hAnsi="Times New Roman" w:cs="Times New Roman"/>
                <w:i w:val="0"/>
                <w:sz w:val="28"/>
                <w:szCs w:val="28"/>
                <w:lang w:val="es-ES_tradnl" w:eastAsia="es-ES_tradnl"/>
              </w:rPr>
            </w:pPr>
          </w:p>
          <w:p w:rsidR="007970D4" w:rsidRPr="005D131A" w:rsidRDefault="007970D4" w:rsidP="005D131A">
            <w:pPr>
              <w:rPr>
                <w:rStyle w:val="FontStyle43"/>
                <w:rFonts w:ascii="Times New Roman" w:hAnsi="Times New Roman" w:cs="Times New Roman"/>
                <w:i w:val="0"/>
                <w:sz w:val="28"/>
                <w:szCs w:val="28"/>
                <w:lang w:val="es-ES_tradnl" w:eastAsia="es-ES_tradnl"/>
              </w:rPr>
            </w:pPr>
          </w:p>
          <w:p w:rsidR="007970D4" w:rsidRPr="005D131A" w:rsidRDefault="007970D4" w:rsidP="005D131A">
            <w:pPr>
              <w:rPr>
                <w:rStyle w:val="FontStyle43"/>
                <w:rFonts w:ascii="Times New Roman" w:hAnsi="Times New Roman" w:cs="Times New Roman"/>
                <w:i w:val="0"/>
                <w:sz w:val="28"/>
                <w:szCs w:val="28"/>
                <w:lang w:val="es-ES_tradnl" w:eastAsia="es-ES_tradnl"/>
              </w:rPr>
            </w:pPr>
          </w:p>
        </w:tc>
        <w:tc>
          <w:tcPr>
            <w:tcW w:w="4474" w:type="dxa"/>
            <w:tcBorders>
              <w:top w:val="single" w:sz="6" w:space="0" w:color="auto"/>
              <w:left w:val="single" w:sz="6" w:space="0" w:color="auto"/>
              <w:bottom w:val="single" w:sz="6" w:space="0" w:color="auto"/>
              <w:right w:val="single" w:sz="6" w:space="0" w:color="auto"/>
            </w:tcBorders>
          </w:tcPr>
          <w:p w:rsidR="007970D4" w:rsidRPr="005D131A" w:rsidRDefault="007970D4" w:rsidP="005D131A">
            <w:pPr>
              <w:pStyle w:val="Style11"/>
              <w:widowControl/>
              <w:spacing w:line="240" w:lineRule="auto"/>
              <w:ind w:firstLine="5"/>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Tecnologías en salud cuya finalidad no sea la promoción de la salud, prevención, diagnóstico, tratamiento, rehabilitación o paliación de la enfermedad</w:t>
            </w:r>
          </w:p>
        </w:tc>
      </w:tr>
      <w:tr w:rsidR="0010093F" w:rsidRPr="005D131A" w:rsidTr="00E1062B">
        <w:tc>
          <w:tcPr>
            <w:tcW w:w="4733" w:type="dxa"/>
            <w:vMerge/>
            <w:tcBorders>
              <w:left w:val="single" w:sz="6" w:space="0" w:color="auto"/>
              <w:right w:val="single" w:sz="6" w:space="0" w:color="auto"/>
            </w:tcBorders>
          </w:tcPr>
          <w:p w:rsidR="007970D4" w:rsidRPr="005D131A" w:rsidRDefault="007970D4" w:rsidP="005D131A">
            <w:pPr>
              <w:rPr>
                <w:rStyle w:val="FontStyle43"/>
                <w:rFonts w:ascii="Times New Roman" w:hAnsi="Times New Roman" w:cs="Times New Roman"/>
                <w:i w:val="0"/>
                <w:sz w:val="28"/>
                <w:szCs w:val="28"/>
                <w:lang w:val="es-ES_tradnl" w:eastAsia="es-ES_tradnl"/>
              </w:rPr>
            </w:pPr>
          </w:p>
        </w:tc>
        <w:tc>
          <w:tcPr>
            <w:tcW w:w="4474" w:type="dxa"/>
            <w:tcBorders>
              <w:top w:val="single" w:sz="6" w:space="0" w:color="auto"/>
              <w:left w:val="single" w:sz="6" w:space="0" w:color="auto"/>
              <w:bottom w:val="single" w:sz="6" w:space="0" w:color="auto"/>
              <w:right w:val="single" w:sz="6" w:space="0" w:color="auto"/>
            </w:tcBorders>
          </w:tcPr>
          <w:p w:rsidR="007970D4" w:rsidRPr="005D131A" w:rsidRDefault="007970D4" w:rsidP="005D131A">
            <w:pPr>
              <w:pStyle w:val="Style11"/>
              <w:widowControl/>
              <w:spacing w:line="240" w:lineRule="auto"/>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Tecnologías de carácter educativo, instructivo o de capacitación, que se lleven a cabo durante el proceso de rehabilitación social o laboral y no corresponden al ámbito de la salud aunque sean realizadas por personal del área de la salud.</w:t>
            </w:r>
          </w:p>
        </w:tc>
      </w:tr>
      <w:tr w:rsidR="0010093F" w:rsidRPr="005D131A" w:rsidTr="00E1062B">
        <w:tc>
          <w:tcPr>
            <w:tcW w:w="4733" w:type="dxa"/>
            <w:vMerge/>
            <w:tcBorders>
              <w:left w:val="single" w:sz="6" w:space="0" w:color="auto"/>
              <w:right w:val="single" w:sz="6" w:space="0" w:color="auto"/>
            </w:tcBorders>
          </w:tcPr>
          <w:p w:rsidR="007970D4" w:rsidRPr="005D131A" w:rsidRDefault="007970D4" w:rsidP="005D131A">
            <w:pPr>
              <w:rPr>
                <w:rStyle w:val="FontStyle43"/>
                <w:rFonts w:ascii="Times New Roman" w:hAnsi="Times New Roman" w:cs="Times New Roman"/>
                <w:i w:val="0"/>
                <w:sz w:val="28"/>
                <w:szCs w:val="28"/>
                <w:lang w:val="es-ES_tradnl" w:eastAsia="es-ES_tradnl"/>
              </w:rPr>
            </w:pPr>
          </w:p>
        </w:tc>
        <w:tc>
          <w:tcPr>
            <w:tcW w:w="4474" w:type="dxa"/>
            <w:tcBorders>
              <w:top w:val="single" w:sz="6" w:space="0" w:color="auto"/>
              <w:left w:val="single" w:sz="6" w:space="0" w:color="auto"/>
              <w:bottom w:val="single" w:sz="6" w:space="0" w:color="auto"/>
              <w:right w:val="single" w:sz="6" w:space="0" w:color="auto"/>
            </w:tcBorders>
          </w:tcPr>
          <w:p w:rsidR="007970D4" w:rsidRPr="005D131A" w:rsidRDefault="007970D4" w:rsidP="005D131A">
            <w:pPr>
              <w:pStyle w:val="Style11"/>
              <w:widowControl/>
              <w:spacing w:line="240" w:lineRule="auto"/>
              <w:ind w:right="1459"/>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Internación en Instituciones educativas</w:t>
            </w:r>
          </w:p>
        </w:tc>
      </w:tr>
      <w:tr w:rsidR="0010093F" w:rsidRPr="005D131A" w:rsidTr="00E1062B">
        <w:tc>
          <w:tcPr>
            <w:tcW w:w="4733" w:type="dxa"/>
            <w:vMerge/>
            <w:tcBorders>
              <w:left w:val="single" w:sz="6" w:space="0" w:color="auto"/>
              <w:right w:val="single" w:sz="6" w:space="0" w:color="auto"/>
            </w:tcBorders>
          </w:tcPr>
          <w:p w:rsidR="007970D4" w:rsidRPr="005D131A" w:rsidRDefault="007970D4" w:rsidP="005D131A">
            <w:pPr>
              <w:rPr>
                <w:rStyle w:val="FontStyle43"/>
                <w:rFonts w:ascii="Times New Roman" w:hAnsi="Times New Roman" w:cs="Times New Roman"/>
                <w:i w:val="0"/>
                <w:sz w:val="28"/>
                <w:szCs w:val="28"/>
                <w:lang w:val="es-ES_tradnl" w:eastAsia="es-ES_tradnl"/>
              </w:rPr>
            </w:pPr>
          </w:p>
        </w:tc>
        <w:tc>
          <w:tcPr>
            <w:tcW w:w="4474" w:type="dxa"/>
            <w:tcBorders>
              <w:top w:val="single" w:sz="6" w:space="0" w:color="auto"/>
              <w:left w:val="single" w:sz="6" w:space="0" w:color="auto"/>
              <w:bottom w:val="single" w:sz="6" w:space="0" w:color="auto"/>
              <w:right w:val="single" w:sz="6" w:space="0" w:color="auto"/>
            </w:tcBorders>
          </w:tcPr>
          <w:p w:rsidR="007970D4" w:rsidRPr="005D131A" w:rsidRDefault="007970D4" w:rsidP="005D131A">
            <w:pPr>
              <w:pStyle w:val="Style11"/>
              <w:widowControl/>
              <w:spacing w:line="240" w:lineRule="auto"/>
              <w:ind w:right="2213"/>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Atenciones de balneoterapia</w:t>
            </w:r>
          </w:p>
        </w:tc>
      </w:tr>
      <w:tr w:rsidR="0010093F" w:rsidRPr="005D131A" w:rsidTr="00E1062B">
        <w:tc>
          <w:tcPr>
            <w:tcW w:w="4733" w:type="dxa"/>
            <w:vMerge/>
            <w:tcBorders>
              <w:left w:val="single" w:sz="6" w:space="0" w:color="auto"/>
              <w:bottom w:val="single" w:sz="6" w:space="0" w:color="auto"/>
              <w:right w:val="single" w:sz="6" w:space="0" w:color="auto"/>
            </w:tcBorders>
          </w:tcPr>
          <w:p w:rsidR="007970D4" w:rsidRPr="005D131A" w:rsidRDefault="007970D4" w:rsidP="005D131A">
            <w:pPr>
              <w:rPr>
                <w:rStyle w:val="FontStyle43"/>
                <w:rFonts w:ascii="Times New Roman" w:hAnsi="Times New Roman" w:cs="Times New Roman"/>
                <w:i w:val="0"/>
                <w:sz w:val="28"/>
                <w:szCs w:val="28"/>
                <w:lang w:val="es-ES_tradnl" w:eastAsia="es-ES_tradnl"/>
              </w:rPr>
            </w:pPr>
          </w:p>
        </w:tc>
        <w:tc>
          <w:tcPr>
            <w:tcW w:w="4474" w:type="dxa"/>
            <w:tcBorders>
              <w:top w:val="single" w:sz="6" w:space="0" w:color="auto"/>
              <w:left w:val="single" w:sz="6" w:space="0" w:color="auto"/>
              <w:bottom w:val="single" w:sz="6" w:space="0" w:color="auto"/>
              <w:right w:val="single" w:sz="6" w:space="0" w:color="auto"/>
            </w:tcBorders>
          </w:tcPr>
          <w:p w:rsidR="007970D4" w:rsidRPr="005D131A" w:rsidRDefault="007970D4" w:rsidP="005D131A">
            <w:pPr>
              <w:pStyle w:val="Style11"/>
              <w:widowControl/>
              <w:spacing w:line="240" w:lineRule="auto"/>
              <w:ind w:right="1"/>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La atención financiada con recursos diferentes a los del POS y bienes y servicios que no correspondan al ámbito de la salud</w:t>
            </w:r>
          </w:p>
        </w:tc>
      </w:tr>
      <w:tr w:rsidR="0010093F" w:rsidRPr="005D131A" w:rsidTr="00E1062B">
        <w:tc>
          <w:tcPr>
            <w:tcW w:w="4733" w:type="dxa"/>
            <w:vMerge w:val="restart"/>
            <w:tcBorders>
              <w:top w:val="single" w:sz="6" w:space="0" w:color="auto"/>
              <w:left w:val="single" w:sz="6" w:space="0" w:color="auto"/>
              <w:right w:val="single" w:sz="6" w:space="0" w:color="auto"/>
            </w:tcBorders>
          </w:tcPr>
          <w:p w:rsidR="007970D4" w:rsidRPr="005D131A" w:rsidRDefault="007970D4" w:rsidP="005D131A">
            <w:pPr>
              <w:pStyle w:val="Style11"/>
              <w:widowControl/>
              <w:spacing w:line="240" w:lineRule="auto"/>
              <w:jc w:val="left"/>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Los usos no autorizados por la autoridad competente en el caso de medicamentos y dispositivos continuarán por fuera del ámbito de financiación del Sistema General de Seguridad Social en Salud</w:t>
            </w:r>
          </w:p>
        </w:tc>
        <w:tc>
          <w:tcPr>
            <w:tcW w:w="4474" w:type="dxa"/>
            <w:tcBorders>
              <w:top w:val="single" w:sz="6" w:space="0" w:color="auto"/>
              <w:left w:val="single" w:sz="6" w:space="0" w:color="auto"/>
              <w:bottom w:val="single" w:sz="6" w:space="0" w:color="auto"/>
              <w:right w:val="single" w:sz="6" w:space="0" w:color="auto"/>
            </w:tcBorders>
          </w:tcPr>
          <w:p w:rsidR="007970D4" w:rsidRPr="005D131A" w:rsidRDefault="007970D4" w:rsidP="005D131A">
            <w:pPr>
              <w:pStyle w:val="Style11"/>
              <w:widowControl/>
              <w:spacing w:line="240" w:lineRule="auto"/>
              <w:ind w:right="1"/>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Medicamentos y dispositivos médicos cuyas indicaciones y usos respectivamente no se encuentren autorizados por la autoridad competente</w:t>
            </w:r>
          </w:p>
        </w:tc>
      </w:tr>
      <w:tr w:rsidR="0010093F" w:rsidRPr="005D131A" w:rsidTr="00E1062B">
        <w:tc>
          <w:tcPr>
            <w:tcW w:w="4733" w:type="dxa"/>
            <w:vMerge/>
            <w:tcBorders>
              <w:left w:val="single" w:sz="6" w:space="0" w:color="auto"/>
              <w:bottom w:val="single" w:sz="6" w:space="0" w:color="auto"/>
              <w:right w:val="single" w:sz="6" w:space="0" w:color="auto"/>
            </w:tcBorders>
          </w:tcPr>
          <w:p w:rsidR="007970D4" w:rsidRPr="005D131A" w:rsidRDefault="007970D4" w:rsidP="005D131A">
            <w:pPr>
              <w:rPr>
                <w:rStyle w:val="FontStyle43"/>
                <w:rFonts w:ascii="Times New Roman" w:hAnsi="Times New Roman" w:cs="Times New Roman"/>
                <w:i w:val="0"/>
                <w:sz w:val="28"/>
                <w:szCs w:val="28"/>
                <w:lang w:val="es-ES_tradnl" w:eastAsia="es-ES_tradnl"/>
              </w:rPr>
            </w:pPr>
          </w:p>
        </w:tc>
        <w:tc>
          <w:tcPr>
            <w:tcW w:w="4474" w:type="dxa"/>
            <w:tcBorders>
              <w:top w:val="single" w:sz="6" w:space="0" w:color="auto"/>
              <w:left w:val="single" w:sz="6" w:space="0" w:color="auto"/>
              <w:bottom w:val="single" w:sz="6" w:space="0" w:color="auto"/>
              <w:right w:val="single" w:sz="6" w:space="0" w:color="auto"/>
            </w:tcBorders>
          </w:tcPr>
          <w:p w:rsidR="007970D4" w:rsidRPr="005D131A" w:rsidRDefault="007970D4" w:rsidP="005D131A">
            <w:pPr>
              <w:pStyle w:val="Style11"/>
              <w:widowControl/>
              <w:spacing w:line="240" w:lineRule="auto"/>
              <w:ind w:right="1"/>
              <w:rPr>
                <w:rStyle w:val="FontStyle43"/>
                <w:rFonts w:ascii="Times New Roman" w:hAnsi="Times New Roman" w:cs="Times New Roman"/>
                <w:i w:val="0"/>
                <w:sz w:val="28"/>
                <w:szCs w:val="28"/>
                <w:lang w:val="es-ES_tradnl" w:eastAsia="es-ES_tradnl"/>
              </w:rPr>
            </w:pPr>
            <w:r w:rsidRPr="005D131A">
              <w:rPr>
                <w:rStyle w:val="FontStyle43"/>
                <w:rFonts w:ascii="Times New Roman" w:hAnsi="Times New Roman" w:cs="Times New Roman"/>
                <w:i w:val="0"/>
                <w:sz w:val="28"/>
                <w:szCs w:val="28"/>
                <w:lang w:val="es-ES_tradnl" w:eastAsia="es-ES_tradnl"/>
              </w:rPr>
              <w:t>Prestaciones de salud en instituciones no habilitadas para tal fin dentro del sistema de salud"</w:t>
            </w:r>
          </w:p>
        </w:tc>
      </w:tr>
    </w:tbl>
    <w:p w:rsidR="00E43B74" w:rsidRPr="005D131A" w:rsidRDefault="00E43B74" w:rsidP="005D131A">
      <w:pPr>
        <w:tabs>
          <w:tab w:val="left" w:pos="426"/>
        </w:tabs>
        <w:rPr>
          <w:sz w:val="28"/>
          <w:szCs w:val="28"/>
          <w:lang w:val="es-ES_tradnl"/>
        </w:rPr>
      </w:pPr>
    </w:p>
    <w:p w:rsidR="00E43B74" w:rsidRPr="005D131A" w:rsidRDefault="00ED43FA" w:rsidP="005D131A">
      <w:pPr>
        <w:tabs>
          <w:tab w:val="left" w:pos="426"/>
        </w:tabs>
        <w:rPr>
          <w:sz w:val="28"/>
          <w:szCs w:val="28"/>
          <w:lang w:val="es-CO"/>
        </w:rPr>
      </w:pPr>
      <w:r w:rsidRPr="005D131A">
        <w:rPr>
          <w:sz w:val="28"/>
          <w:szCs w:val="28"/>
          <w:lang w:val="es-CO"/>
        </w:rPr>
        <w:t>Sin embargo,</w:t>
      </w:r>
      <w:r w:rsidR="001D2450" w:rsidRPr="005D131A">
        <w:rPr>
          <w:sz w:val="28"/>
          <w:szCs w:val="28"/>
          <w:lang w:val="es-CO"/>
        </w:rPr>
        <w:t xml:space="preserve"> advirtió</w:t>
      </w:r>
      <w:r w:rsidRPr="005D131A">
        <w:rPr>
          <w:sz w:val="28"/>
          <w:szCs w:val="28"/>
          <w:lang w:val="es-CO"/>
        </w:rPr>
        <w:t xml:space="preserve"> </w:t>
      </w:r>
      <w:r w:rsidR="001C0C3F" w:rsidRPr="005D131A">
        <w:rPr>
          <w:sz w:val="28"/>
          <w:szCs w:val="28"/>
          <w:lang w:val="es-CO"/>
        </w:rPr>
        <w:t xml:space="preserve">que </w:t>
      </w:r>
      <w:r w:rsidRPr="005D131A">
        <w:rPr>
          <w:sz w:val="28"/>
          <w:szCs w:val="28"/>
          <w:lang w:val="es-CO"/>
        </w:rPr>
        <w:t>en el marco de la Ley Estatutaria en salud, el plan de beneficios fue actualizado íntegramente a través de las Resolución 5592 de 2015, la cual entró en vigencia el 1º de enero de 2016. Dicha actualización precisó en su artículo 132 las tecnologías no financiadas con cargo a la UPC.</w:t>
      </w:r>
    </w:p>
    <w:p w:rsidR="00ED43FA" w:rsidRPr="005D131A" w:rsidRDefault="00ED43FA" w:rsidP="005D131A">
      <w:pPr>
        <w:tabs>
          <w:tab w:val="left" w:pos="426"/>
        </w:tabs>
        <w:rPr>
          <w:sz w:val="28"/>
          <w:szCs w:val="28"/>
          <w:lang w:val="es-CO"/>
        </w:rPr>
      </w:pPr>
    </w:p>
    <w:p w:rsidR="009E1562" w:rsidRPr="005D131A" w:rsidRDefault="008D467E" w:rsidP="005D131A">
      <w:pPr>
        <w:tabs>
          <w:tab w:val="left" w:pos="426"/>
        </w:tabs>
        <w:rPr>
          <w:sz w:val="28"/>
          <w:szCs w:val="28"/>
          <w:lang w:val="es-CO"/>
        </w:rPr>
      </w:pPr>
      <w:r w:rsidRPr="005D131A">
        <w:rPr>
          <w:sz w:val="28"/>
          <w:szCs w:val="28"/>
          <w:lang w:val="es-CO"/>
        </w:rPr>
        <w:t xml:space="preserve">Destacó como resultado de dichas medidas, el hecho de que el </w:t>
      </w:r>
      <w:r w:rsidR="00D75D28" w:rsidRPr="005D131A">
        <w:rPr>
          <w:sz w:val="28"/>
          <w:szCs w:val="28"/>
          <w:lang w:val="es-CO"/>
        </w:rPr>
        <w:t>Fosyga</w:t>
      </w:r>
      <w:r w:rsidRPr="005D131A">
        <w:rPr>
          <w:sz w:val="28"/>
          <w:szCs w:val="28"/>
          <w:lang w:val="es-CO"/>
        </w:rPr>
        <w:t xml:space="preserve"> ha pagado $ 439</w:t>
      </w:r>
      <w:r w:rsidR="00ED43FA" w:rsidRPr="005D131A">
        <w:rPr>
          <w:sz w:val="28"/>
          <w:szCs w:val="28"/>
          <w:lang w:val="es-CO"/>
        </w:rPr>
        <w:t>.</w:t>
      </w:r>
      <w:r w:rsidRPr="005D131A">
        <w:rPr>
          <w:sz w:val="28"/>
          <w:szCs w:val="28"/>
          <w:lang w:val="es-CO"/>
        </w:rPr>
        <w:t>393 millones entre las vigencias 2010 a 2015 por concepto de serv</w:t>
      </w:r>
      <w:r w:rsidR="008011AD" w:rsidRPr="005D131A">
        <w:rPr>
          <w:sz w:val="28"/>
          <w:szCs w:val="28"/>
          <w:lang w:val="es-CO"/>
        </w:rPr>
        <w:t>icios explícitamente excluidos.</w:t>
      </w:r>
    </w:p>
    <w:p w:rsidR="008011AD" w:rsidRPr="005D131A" w:rsidRDefault="008011AD" w:rsidP="005D131A">
      <w:pPr>
        <w:tabs>
          <w:tab w:val="left" w:pos="426"/>
        </w:tabs>
        <w:rPr>
          <w:sz w:val="28"/>
          <w:szCs w:val="28"/>
          <w:lang w:val="es-CO"/>
        </w:rPr>
      </w:pPr>
    </w:p>
    <w:p w:rsidR="009E1562" w:rsidRPr="005D131A" w:rsidRDefault="00ED43FA" w:rsidP="005D131A">
      <w:pPr>
        <w:tabs>
          <w:tab w:val="left" w:pos="426"/>
        </w:tabs>
        <w:rPr>
          <w:sz w:val="28"/>
          <w:szCs w:val="28"/>
          <w:lang w:val="es-CO"/>
        </w:rPr>
      </w:pPr>
      <w:r w:rsidRPr="005D131A">
        <w:rPr>
          <w:sz w:val="28"/>
          <w:szCs w:val="28"/>
          <w:lang w:val="es-CO"/>
        </w:rPr>
        <w:t>Para el Ministerio, e</w:t>
      </w:r>
      <w:r w:rsidR="008011AD" w:rsidRPr="005D131A">
        <w:rPr>
          <w:sz w:val="28"/>
          <w:szCs w:val="28"/>
          <w:lang w:val="es-CO"/>
        </w:rPr>
        <w:t>se monto evidencia</w:t>
      </w:r>
      <w:r w:rsidR="00B85066" w:rsidRPr="005D131A">
        <w:rPr>
          <w:sz w:val="28"/>
          <w:szCs w:val="28"/>
          <w:lang w:val="es-CO"/>
        </w:rPr>
        <w:t xml:space="preserve"> el avance obtenido a través del CTC,</w:t>
      </w:r>
      <w:r w:rsidR="001D2450" w:rsidRPr="005D131A">
        <w:rPr>
          <w:sz w:val="28"/>
          <w:szCs w:val="28"/>
          <w:lang w:val="es-CO"/>
        </w:rPr>
        <w:t xml:space="preserve"> ya que</w:t>
      </w:r>
      <w:r w:rsidR="00995A94" w:rsidRPr="005D131A">
        <w:rPr>
          <w:sz w:val="28"/>
          <w:szCs w:val="28"/>
          <w:lang w:val="es-CO"/>
        </w:rPr>
        <w:t xml:space="preserve"> se ha garantizado la prestación de todos los servicios y tecnologías excluidas del Plan</w:t>
      </w:r>
      <w:r w:rsidR="001D2450" w:rsidRPr="005D131A">
        <w:rPr>
          <w:sz w:val="28"/>
          <w:szCs w:val="28"/>
          <w:lang w:val="es-CO"/>
        </w:rPr>
        <w:t xml:space="preserve"> de Beneficios</w:t>
      </w:r>
      <w:r w:rsidR="00995A94" w:rsidRPr="005D131A">
        <w:rPr>
          <w:sz w:val="28"/>
          <w:szCs w:val="28"/>
          <w:lang w:val="es-CO"/>
        </w:rPr>
        <w:t>.</w:t>
      </w:r>
      <w:r w:rsidR="001D2450" w:rsidRPr="005D131A">
        <w:rPr>
          <w:sz w:val="28"/>
          <w:szCs w:val="28"/>
          <w:lang w:val="es-CO"/>
        </w:rPr>
        <w:t xml:space="preserve"> En ese sentido</w:t>
      </w:r>
      <w:r w:rsidR="00995A94" w:rsidRPr="005D131A">
        <w:rPr>
          <w:sz w:val="28"/>
          <w:szCs w:val="28"/>
          <w:lang w:val="es-CO"/>
        </w:rPr>
        <w:t xml:space="preserve">, consideró al CTC </w:t>
      </w:r>
      <w:r w:rsidR="00B85066" w:rsidRPr="005D131A">
        <w:rPr>
          <w:sz w:val="28"/>
          <w:szCs w:val="28"/>
          <w:lang w:val="es-CO"/>
        </w:rPr>
        <w:t xml:space="preserve">como una instancia técnica de autorización de lo no POS, conformada por profesionales de la salud que atienden la fundamentación científica que realizan los médicos tratantes sobre las necesidades de los pacientes. </w:t>
      </w:r>
    </w:p>
    <w:p w:rsidR="006F68ED" w:rsidRPr="005D131A" w:rsidRDefault="006F68ED" w:rsidP="005D131A">
      <w:pPr>
        <w:tabs>
          <w:tab w:val="left" w:pos="426"/>
        </w:tabs>
        <w:rPr>
          <w:sz w:val="28"/>
          <w:szCs w:val="28"/>
          <w:lang w:val="es-CO"/>
        </w:rPr>
      </w:pPr>
    </w:p>
    <w:p w:rsidR="005130B8" w:rsidRPr="005D131A" w:rsidRDefault="00995A94" w:rsidP="005D131A">
      <w:pPr>
        <w:tabs>
          <w:tab w:val="left" w:pos="567"/>
        </w:tabs>
        <w:rPr>
          <w:sz w:val="28"/>
          <w:szCs w:val="28"/>
          <w:lang w:val="es-CO"/>
        </w:rPr>
      </w:pPr>
      <w:r w:rsidRPr="005D131A">
        <w:rPr>
          <w:sz w:val="28"/>
          <w:szCs w:val="28"/>
        </w:rPr>
        <w:t xml:space="preserve">En su concepto, </w:t>
      </w:r>
      <w:r w:rsidRPr="005D131A">
        <w:rPr>
          <w:sz w:val="28"/>
          <w:szCs w:val="28"/>
          <w:lang w:val="es-CO"/>
        </w:rPr>
        <w:t xml:space="preserve">los procedimientos establecidos mediante las Resoluciones 3099 de 2008 y 5395 de 2013, </w:t>
      </w:r>
      <w:r w:rsidR="001D2450" w:rsidRPr="005D131A">
        <w:rPr>
          <w:sz w:val="28"/>
          <w:szCs w:val="28"/>
          <w:lang w:val="es-CO"/>
        </w:rPr>
        <w:t xml:space="preserve">han garantizado hasta la fecha </w:t>
      </w:r>
      <w:r w:rsidRPr="005D131A">
        <w:rPr>
          <w:sz w:val="28"/>
          <w:szCs w:val="28"/>
          <w:lang w:val="es-CO"/>
        </w:rPr>
        <w:t>el acc</w:t>
      </w:r>
      <w:r w:rsidR="00C81522" w:rsidRPr="005D131A">
        <w:rPr>
          <w:sz w:val="28"/>
          <w:szCs w:val="28"/>
          <w:lang w:val="es-CO"/>
        </w:rPr>
        <w:t>eso a las prestaciones en salud no incluida</w:t>
      </w:r>
      <w:r w:rsidR="001D2450" w:rsidRPr="005D131A">
        <w:rPr>
          <w:sz w:val="28"/>
          <w:szCs w:val="28"/>
          <w:lang w:val="es-CO"/>
        </w:rPr>
        <w:t>s</w:t>
      </w:r>
      <w:r w:rsidR="00C81522" w:rsidRPr="005D131A">
        <w:rPr>
          <w:sz w:val="28"/>
          <w:szCs w:val="28"/>
          <w:lang w:val="es-CO"/>
        </w:rPr>
        <w:t xml:space="preserve"> o excluida</w:t>
      </w:r>
      <w:r w:rsidR="001C0C3F" w:rsidRPr="005D131A">
        <w:rPr>
          <w:sz w:val="28"/>
          <w:szCs w:val="28"/>
          <w:lang w:val="es-CO"/>
        </w:rPr>
        <w:t xml:space="preserve">s del POS. Empero, </w:t>
      </w:r>
      <w:r w:rsidR="00797D49" w:rsidRPr="005D131A">
        <w:rPr>
          <w:sz w:val="28"/>
          <w:szCs w:val="28"/>
          <w:lang w:val="es-CO"/>
        </w:rPr>
        <w:t xml:space="preserve">en virtud del artículo </w:t>
      </w:r>
      <w:r w:rsidR="007F7916" w:rsidRPr="005D131A">
        <w:rPr>
          <w:sz w:val="28"/>
          <w:szCs w:val="28"/>
          <w:lang w:val="es-CO"/>
        </w:rPr>
        <w:t>17 de la Ley Estatutaria 1751</w:t>
      </w:r>
      <w:r w:rsidR="00797D49" w:rsidRPr="005D131A">
        <w:rPr>
          <w:sz w:val="28"/>
          <w:szCs w:val="28"/>
          <w:lang w:val="es-CO"/>
        </w:rPr>
        <w:t xml:space="preserve"> de 2015</w:t>
      </w:r>
      <w:r w:rsidR="007F7916" w:rsidRPr="005D131A">
        <w:rPr>
          <w:sz w:val="28"/>
          <w:szCs w:val="28"/>
          <w:vertAlign w:val="superscript"/>
          <w:lang w:val="es-CO"/>
        </w:rPr>
        <w:footnoteReference w:id="81"/>
      </w:r>
      <w:r w:rsidR="003D0956" w:rsidRPr="005D131A">
        <w:rPr>
          <w:sz w:val="28"/>
          <w:szCs w:val="28"/>
          <w:lang w:val="es-CO"/>
        </w:rPr>
        <w:t xml:space="preserve"> sobre autonomía médica</w:t>
      </w:r>
      <w:r w:rsidR="001D2450" w:rsidRPr="005D131A">
        <w:rPr>
          <w:sz w:val="28"/>
          <w:szCs w:val="28"/>
          <w:lang w:val="es-CO"/>
        </w:rPr>
        <w:t>,</w:t>
      </w:r>
      <w:r w:rsidR="00797D49" w:rsidRPr="005D131A">
        <w:rPr>
          <w:sz w:val="28"/>
          <w:szCs w:val="28"/>
          <w:lang w:val="es-CO"/>
        </w:rPr>
        <w:t xml:space="preserve"> está gestionando el desarrollo de un aplicativo de registro en línea de prescripci</w:t>
      </w:r>
      <w:r w:rsidR="003D0956" w:rsidRPr="005D131A">
        <w:rPr>
          <w:sz w:val="28"/>
          <w:szCs w:val="28"/>
          <w:lang w:val="es-CO"/>
        </w:rPr>
        <w:t xml:space="preserve">ón de servicios no POS. Este sería </w:t>
      </w:r>
      <w:r w:rsidR="00797D49" w:rsidRPr="005D131A">
        <w:rPr>
          <w:sz w:val="28"/>
          <w:szCs w:val="28"/>
          <w:lang w:val="es-CO"/>
        </w:rPr>
        <w:t>diligenciado por el</w:t>
      </w:r>
      <w:r w:rsidR="000421D2" w:rsidRPr="005D131A">
        <w:rPr>
          <w:sz w:val="28"/>
          <w:szCs w:val="28"/>
          <w:lang w:val="es-CO"/>
        </w:rPr>
        <w:t xml:space="preserve"> </w:t>
      </w:r>
      <w:r w:rsidR="00B42596" w:rsidRPr="005D131A">
        <w:rPr>
          <w:sz w:val="28"/>
          <w:szCs w:val="28"/>
          <w:lang w:val="es-CO"/>
        </w:rPr>
        <w:t>médico tratante</w:t>
      </w:r>
      <w:r w:rsidR="003D0956" w:rsidRPr="005D131A">
        <w:rPr>
          <w:sz w:val="28"/>
          <w:szCs w:val="28"/>
          <w:lang w:val="es-CO"/>
        </w:rPr>
        <w:t xml:space="preserve"> y no será objeto de autorización alguna, a menos de que se trate de una prestación excepcional</w:t>
      </w:r>
      <w:r w:rsidR="00B42596" w:rsidRPr="005D131A">
        <w:rPr>
          <w:sz w:val="28"/>
          <w:szCs w:val="28"/>
          <w:lang w:val="es-CO"/>
        </w:rPr>
        <w:t xml:space="preserve"> que requiera un análisis adicional</w:t>
      </w:r>
      <w:r w:rsidR="00BF61A5" w:rsidRPr="005D131A">
        <w:rPr>
          <w:sz w:val="28"/>
          <w:szCs w:val="28"/>
          <w:lang w:val="es-CO"/>
        </w:rPr>
        <w:t>. Este procedimiento busca disminuir los tiempos</w:t>
      </w:r>
      <w:r w:rsidR="003D0956" w:rsidRPr="005D131A">
        <w:rPr>
          <w:sz w:val="28"/>
          <w:szCs w:val="28"/>
          <w:lang w:val="es-CO"/>
        </w:rPr>
        <w:t xml:space="preserve"> </w:t>
      </w:r>
      <w:r w:rsidR="00BF61A5" w:rsidRPr="005D131A">
        <w:rPr>
          <w:sz w:val="28"/>
          <w:szCs w:val="28"/>
          <w:lang w:val="es-CO"/>
        </w:rPr>
        <w:t>de acceso, los trámites administrativos para el personal de salud y los soportes presentados al Fosyga.</w:t>
      </w:r>
    </w:p>
    <w:p w:rsidR="0087131A" w:rsidRPr="005D131A" w:rsidRDefault="0087131A" w:rsidP="005D131A">
      <w:pPr>
        <w:pStyle w:val="Prrafodelista"/>
        <w:tabs>
          <w:tab w:val="left" w:pos="567"/>
        </w:tabs>
        <w:ind w:left="0"/>
        <w:rPr>
          <w:sz w:val="28"/>
          <w:szCs w:val="28"/>
          <w:lang w:val="es-CO"/>
        </w:rPr>
      </w:pPr>
    </w:p>
    <w:p w:rsidR="001F5F5E" w:rsidRPr="005D131A" w:rsidRDefault="0087131A" w:rsidP="005D131A">
      <w:pPr>
        <w:tabs>
          <w:tab w:val="left" w:pos="567"/>
        </w:tabs>
        <w:rPr>
          <w:sz w:val="28"/>
          <w:szCs w:val="28"/>
          <w:lang w:val="es-CO"/>
        </w:rPr>
      </w:pPr>
      <w:r w:rsidRPr="005D131A">
        <w:rPr>
          <w:sz w:val="28"/>
          <w:szCs w:val="28"/>
          <w:lang w:val="es-CO"/>
        </w:rPr>
        <w:t xml:space="preserve">Respecto de la sanción </w:t>
      </w:r>
      <w:r w:rsidR="001D2450" w:rsidRPr="005D131A">
        <w:rPr>
          <w:sz w:val="28"/>
          <w:szCs w:val="28"/>
          <w:lang w:val="es-CO"/>
        </w:rPr>
        <w:t xml:space="preserve">en el recobro, </w:t>
      </w:r>
      <w:r w:rsidR="00875956" w:rsidRPr="005D131A">
        <w:rPr>
          <w:sz w:val="28"/>
          <w:szCs w:val="28"/>
          <w:lang w:val="es-CO"/>
        </w:rPr>
        <w:t>según la cual solo procederá el reembolso de la mitad de los costos no cubiertos en los casos donde el servicio</w:t>
      </w:r>
      <w:r w:rsidR="00AC2E58" w:rsidRPr="005D131A">
        <w:rPr>
          <w:sz w:val="28"/>
          <w:szCs w:val="28"/>
          <w:lang w:val="es-CO"/>
        </w:rPr>
        <w:t xml:space="preserve"> fue negado por el CTC </w:t>
      </w:r>
      <w:r w:rsidR="001F5F5E" w:rsidRPr="005D131A">
        <w:rPr>
          <w:sz w:val="28"/>
          <w:szCs w:val="28"/>
          <w:lang w:val="es-CO"/>
        </w:rPr>
        <w:t xml:space="preserve">pero posteriormente </w:t>
      </w:r>
      <w:r w:rsidR="00875956" w:rsidRPr="005D131A">
        <w:rPr>
          <w:sz w:val="28"/>
          <w:szCs w:val="28"/>
          <w:lang w:val="es-CO"/>
        </w:rPr>
        <w:t xml:space="preserve">reconocido a través de una acción de tutela, </w:t>
      </w:r>
      <w:r w:rsidR="005D0F3F" w:rsidRPr="005D131A">
        <w:rPr>
          <w:sz w:val="28"/>
          <w:szCs w:val="28"/>
          <w:lang w:val="es-CO"/>
        </w:rPr>
        <w:t xml:space="preserve"> manifestó </w:t>
      </w:r>
      <w:r w:rsidR="00807CA0" w:rsidRPr="005D131A">
        <w:rPr>
          <w:sz w:val="28"/>
          <w:szCs w:val="28"/>
          <w:lang w:val="es-CO"/>
        </w:rPr>
        <w:t>que</w:t>
      </w:r>
      <w:r w:rsidR="001F5F5E" w:rsidRPr="005D131A">
        <w:rPr>
          <w:sz w:val="28"/>
          <w:szCs w:val="28"/>
          <w:lang w:val="es-CO"/>
        </w:rPr>
        <w:t xml:space="preserve"> la </w:t>
      </w:r>
      <w:r w:rsidR="00807CA0" w:rsidRPr="005D131A">
        <w:rPr>
          <w:sz w:val="28"/>
          <w:szCs w:val="28"/>
          <w:lang w:val="es-CO"/>
        </w:rPr>
        <w:t xml:space="preserve"> </w:t>
      </w:r>
      <w:r w:rsidR="001F5F5E" w:rsidRPr="005D131A">
        <w:rPr>
          <w:sz w:val="28"/>
          <w:szCs w:val="28"/>
          <w:lang w:val="es-CO"/>
        </w:rPr>
        <w:t xml:space="preserve">Ley 1438 de 2011 derogó </w:t>
      </w:r>
      <w:r w:rsidR="00807CA0" w:rsidRPr="005D131A">
        <w:rPr>
          <w:sz w:val="28"/>
          <w:szCs w:val="28"/>
          <w:lang w:val="es-CO"/>
        </w:rPr>
        <w:t>el literal j del artículo 14 de la Ley 1122 de 2007</w:t>
      </w:r>
      <w:r w:rsidR="001F5F5E" w:rsidRPr="005D131A">
        <w:rPr>
          <w:sz w:val="28"/>
          <w:szCs w:val="28"/>
          <w:lang w:val="es-CO"/>
        </w:rPr>
        <w:t xml:space="preserve"> que </w:t>
      </w:r>
      <w:r w:rsidR="00AC2E58" w:rsidRPr="005D131A">
        <w:rPr>
          <w:sz w:val="28"/>
          <w:szCs w:val="28"/>
          <w:lang w:val="es-CO"/>
        </w:rPr>
        <w:t>la sustentaba</w:t>
      </w:r>
      <w:r w:rsidR="00B85CAA" w:rsidRPr="005D131A">
        <w:rPr>
          <w:sz w:val="28"/>
          <w:szCs w:val="28"/>
          <w:lang w:val="es-CO"/>
        </w:rPr>
        <w:t>, lo que</w:t>
      </w:r>
      <w:r w:rsidR="00AC2E58" w:rsidRPr="005D131A">
        <w:rPr>
          <w:sz w:val="28"/>
          <w:szCs w:val="28"/>
          <w:lang w:val="es-CO"/>
        </w:rPr>
        <w:t xml:space="preserve"> hace inejecutable dicha sanción hacia el futuro. </w:t>
      </w:r>
    </w:p>
    <w:p w:rsidR="001F5F5E" w:rsidRPr="005D131A" w:rsidRDefault="001F5F5E" w:rsidP="005D131A">
      <w:pPr>
        <w:tabs>
          <w:tab w:val="left" w:pos="567"/>
        </w:tabs>
        <w:rPr>
          <w:sz w:val="28"/>
          <w:szCs w:val="28"/>
          <w:lang w:val="es-CO"/>
        </w:rPr>
      </w:pPr>
    </w:p>
    <w:p w:rsidR="0087131A" w:rsidRPr="005D131A" w:rsidRDefault="005F3310" w:rsidP="005D131A">
      <w:pPr>
        <w:tabs>
          <w:tab w:val="left" w:pos="567"/>
        </w:tabs>
        <w:rPr>
          <w:sz w:val="28"/>
          <w:szCs w:val="28"/>
          <w:lang w:val="es-CO"/>
        </w:rPr>
      </w:pPr>
      <w:r w:rsidRPr="005D131A">
        <w:rPr>
          <w:sz w:val="28"/>
          <w:szCs w:val="28"/>
          <w:lang w:val="es-CO"/>
        </w:rPr>
        <w:t>Por ello, l</w:t>
      </w:r>
      <w:r w:rsidR="00237141" w:rsidRPr="005D131A">
        <w:rPr>
          <w:sz w:val="28"/>
          <w:szCs w:val="28"/>
          <w:lang w:val="es-CO"/>
        </w:rPr>
        <w:t>a</w:t>
      </w:r>
      <w:r w:rsidRPr="005D131A">
        <w:rPr>
          <w:sz w:val="28"/>
          <w:szCs w:val="28"/>
          <w:lang w:val="es-CO"/>
        </w:rPr>
        <w:t xml:space="preserve">s </w:t>
      </w:r>
      <w:r w:rsidR="00237141" w:rsidRPr="005D131A">
        <w:rPr>
          <w:sz w:val="28"/>
          <w:szCs w:val="28"/>
          <w:lang w:val="es-CO"/>
        </w:rPr>
        <w:t xml:space="preserve">solicitudes de reembolso </w:t>
      </w:r>
      <w:r w:rsidRPr="005D131A">
        <w:rPr>
          <w:sz w:val="28"/>
          <w:szCs w:val="28"/>
          <w:lang w:val="es-CO"/>
        </w:rPr>
        <w:t>por prestaciones suministradas después del 18 de enero de 2011</w:t>
      </w:r>
      <w:r w:rsidR="00490298" w:rsidRPr="005D131A">
        <w:rPr>
          <w:sz w:val="28"/>
          <w:szCs w:val="28"/>
          <w:vertAlign w:val="superscript"/>
          <w:lang w:val="es-CO"/>
        </w:rPr>
        <w:footnoteReference w:id="82"/>
      </w:r>
      <w:r w:rsidR="00490298" w:rsidRPr="005D131A">
        <w:rPr>
          <w:sz w:val="28"/>
          <w:szCs w:val="28"/>
          <w:lang w:val="es-CO"/>
        </w:rPr>
        <w:t xml:space="preserve"> como consecuencia de un fallo de tutela sin que previamente se hubiere tramitado el CTC, se pagan al 100 % del valor facturado. Explicó</w:t>
      </w:r>
      <w:r w:rsidR="00B85CAA" w:rsidRPr="005D131A">
        <w:rPr>
          <w:sz w:val="28"/>
          <w:szCs w:val="28"/>
          <w:lang w:val="es-CO"/>
        </w:rPr>
        <w:t>,</w:t>
      </w:r>
      <w:r w:rsidR="00490298" w:rsidRPr="005D131A">
        <w:rPr>
          <w:sz w:val="28"/>
          <w:szCs w:val="28"/>
          <w:lang w:val="es-CO"/>
        </w:rPr>
        <w:t xml:space="preserve"> que </w:t>
      </w:r>
      <w:r w:rsidR="000B1CEC" w:rsidRPr="005D131A">
        <w:rPr>
          <w:sz w:val="28"/>
          <w:szCs w:val="28"/>
          <w:lang w:val="es-CO"/>
        </w:rPr>
        <w:t xml:space="preserve">la imposición de una </w:t>
      </w:r>
      <w:r w:rsidR="001F5F5E" w:rsidRPr="005D131A">
        <w:rPr>
          <w:sz w:val="28"/>
          <w:szCs w:val="28"/>
          <w:lang w:val="es-CO"/>
        </w:rPr>
        <w:t xml:space="preserve">sanción como la presente </w:t>
      </w:r>
      <w:r w:rsidR="000B1CEC" w:rsidRPr="005D131A">
        <w:rPr>
          <w:sz w:val="28"/>
          <w:szCs w:val="28"/>
          <w:lang w:val="es-CO"/>
        </w:rPr>
        <w:t>es de reserva legal</w:t>
      </w:r>
      <w:r w:rsidR="00D45003" w:rsidRPr="005D131A">
        <w:rPr>
          <w:sz w:val="28"/>
          <w:szCs w:val="28"/>
          <w:lang w:val="es-CO"/>
        </w:rPr>
        <w:t>, por lo que no le es dable al Ministerio implementar</w:t>
      </w:r>
      <w:r w:rsidR="00237141" w:rsidRPr="005D131A">
        <w:rPr>
          <w:sz w:val="28"/>
          <w:szCs w:val="28"/>
          <w:lang w:val="es-CO"/>
        </w:rPr>
        <w:t xml:space="preserve">la, reproduciendo </w:t>
      </w:r>
      <w:r w:rsidR="00D45003" w:rsidRPr="005D131A">
        <w:rPr>
          <w:sz w:val="28"/>
          <w:szCs w:val="28"/>
          <w:lang w:val="es-CO"/>
        </w:rPr>
        <w:t>una norma derogada</w:t>
      </w:r>
      <w:r w:rsidR="00237141" w:rsidRPr="005D131A">
        <w:rPr>
          <w:sz w:val="28"/>
          <w:szCs w:val="28"/>
          <w:lang w:val="es-CO"/>
        </w:rPr>
        <w:t>.</w:t>
      </w:r>
    </w:p>
    <w:p w:rsidR="00237141" w:rsidRPr="005D131A" w:rsidRDefault="00237141" w:rsidP="005D131A">
      <w:pPr>
        <w:pStyle w:val="Prrafodelista"/>
        <w:ind w:left="0"/>
        <w:rPr>
          <w:sz w:val="28"/>
          <w:szCs w:val="28"/>
          <w:lang w:val="es-CO"/>
        </w:rPr>
      </w:pPr>
    </w:p>
    <w:p w:rsidR="00237141" w:rsidRPr="005D131A" w:rsidRDefault="00237141" w:rsidP="005D131A">
      <w:pPr>
        <w:pStyle w:val="Prrafodelista"/>
        <w:tabs>
          <w:tab w:val="left" w:pos="567"/>
        </w:tabs>
        <w:ind w:left="0"/>
        <w:rPr>
          <w:sz w:val="28"/>
          <w:szCs w:val="28"/>
          <w:lang w:val="es-CO"/>
        </w:rPr>
      </w:pPr>
      <w:r w:rsidRPr="005D131A">
        <w:rPr>
          <w:sz w:val="28"/>
          <w:szCs w:val="28"/>
          <w:lang w:val="es-CO"/>
        </w:rPr>
        <w:t xml:space="preserve">Adicionó que tal sanción afectaba la </w:t>
      </w:r>
      <w:r w:rsidR="001F5F5E" w:rsidRPr="005D131A">
        <w:rPr>
          <w:sz w:val="28"/>
          <w:szCs w:val="28"/>
          <w:lang w:val="es-CO"/>
        </w:rPr>
        <w:t>sostenibilidad financiera</w:t>
      </w:r>
      <w:r w:rsidRPr="005D131A">
        <w:rPr>
          <w:sz w:val="28"/>
          <w:szCs w:val="28"/>
          <w:lang w:val="es-CO"/>
        </w:rPr>
        <w:t xml:space="preserve"> de las EPS, ya que eran obligadas a pagar costos que legalmente no les correspond</w:t>
      </w:r>
      <w:r w:rsidR="00225604" w:rsidRPr="005D131A">
        <w:rPr>
          <w:sz w:val="28"/>
          <w:szCs w:val="28"/>
          <w:lang w:val="es-CO"/>
        </w:rPr>
        <w:t xml:space="preserve">ía asumir. La función de la promotora era conformar el CTC que, con fundamentos técnicos, decidía sobre la aprobación de los servicios. </w:t>
      </w:r>
      <w:r w:rsidR="00C23FB8" w:rsidRPr="005D131A">
        <w:rPr>
          <w:sz w:val="28"/>
          <w:szCs w:val="28"/>
          <w:lang w:val="es-CO"/>
        </w:rPr>
        <w:t>Por ende,</w:t>
      </w:r>
      <w:r w:rsidR="001F5F5E" w:rsidRPr="005D131A">
        <w:rPr>
          <w:sz w:val="28"/>
          <w:szCs w:val="28"/>
          <w:lang w:val="es-CO"/>
        </w:rPr>
        <w:t xml:space="preserve"> en su criterio,</w:t>
      </w:r>
      <w:r w:rsidR="00C23FB8" w:rsidRPr="005D131A">
        <w:rPr>
          <w:sz w:val="28"/>
          <w:szCs w:val="28"/>
          <w:lang w:val="es-CO"/>
        </w:rPr>
        <w:t xml:space="preserve"> una negativa no implicaba el</w:t>
      </w:r>
      <w:r w:rsidR="00B85CAA" w:rsidRPr="005D131A">
        <w:rPr>
          <w:sz w:val="28"/>
          <w:szCs w:val="28"/>
          <w:lang w:val="es-CO"/>
        </w:rPr>
        <w:t xml:space="preserve"> desconocimiento del derecho de los</w:t>
      </w:r>
      <w:r w:rsidR="00C23FB8" w:rsidRPr="005D131A">
        <w:rPr>
          <w:sz w:val="28"/>
          <w:szCs w:val="28"/>
          <w:lang w:val="es-CO"/>
        </w:rPr>
        <w:t xml:space="preserve"> usuario</w:t>
      </w:r>
      <w:r w:rsidR="00B85CAA" w:rsidRPr="005D131A">
        <w:rPr>
          <w:sz w:val="28"/>
          <w:szCs w:val="28"/>
          <w:lang w:val="es-CO"/>
        </w:rPr>
        <w:t>s</w:t>
      </w:r>
      <w:r w:rsidR="00C23FB8" w:rsidRPr="005D131A">
        <w:rPr>
          <w:sz w:val="28"/>
          <w:szCs w:val="28"/>
          <w:lang w:val="es-CO"/>
        </w:rPr>
        <w:t>.</w:t>
      </w:r>
    </w:p>
    <w:p w:rsidR="00B42596" w:rsidRPr="005D131A" w:rsidRDefault="00B42596" w:rsidP="005D131A">
      <w:pPr>
        <w:pStyle w:val="Prrafodelista"/>
        <w:tabs>
          <w:tab w:val="left" w:pos="567"/>
        </w:tabs>
        <w:ind w:left="0"/>
        <w:rPr>
          <w:sz w:val="28"/>
          <w:szCs w:val="28"/>
          <w:lang w:val="es-CO"/>
        </w:rPr>
      </w:pPr>
    </w:p>
    <w:p w:rsidR="00AC2E58" w:rsidRPr="005D131A" w:rsidRDefault="00927C6D" w:rsidP="005D131A">
      <w:pPr>
        <w:pStyle w:val="Prrafodelista"/>
        <w:tabs>
          <w:tab w:val="left" w:pos="567"/>
        </w:tabs>
        <w:ind w:left="0"/>
        <w:rPr>
          <w:sz w:val="28"/>
          <w:szCs w:val="28"/>
          <w:lang w:val="es-CO"/>
        </w:rPr>
      </w:pPr>
      <w:r w:rsidRPr="005D131A">
        <w:rPr>
          <w:sz w:val="28"/>
          <w:szCs w:val="28"/>
          <w:lang w:val="es-CO"/>
        </w:rPr>
        <w:t xml:space="preserve">Finalmente, indicó que a la luz de la información presentada, el </w:t>
      </w:r>
      <w:r w:rsidR="00C23FB8" w:rsidRPr="005D131A">
        <w:rPr>
          <w:sz w:val="28"/>
          <w:szCs w:val="28"/>
          <w:lang w:val="es-CO"/>
        </w:rPr>
        <w:t>Ministerio</w:t>
      </w:r>
      <w:r w:rsidRPr="005D131A">
        <w:rPr>
          <w:sz w:val="28"/>
          <w:szCs w:val="28"/>
          <w:lang w:val="es-CO"/>
        </w:rPr>
        <w:t xml:space="preserve"> ha mostrado avances sustanciales en la defi</w:t>
      </w:r>
      <w:r w:rsidR="00586BFF" w:rsidRPr="005D131A">
        <w:rPr>
          <w:sz w:val="28"/>
          <w:szCs w:val="28"/>
          <w:lang w:val="es-CO"/>
        </w:rPr>
        <w:t>ni</w:t>
      </w:r>
      <w:r w:rsidRPr="005D131A">
        <w:rPr>
          <w:sz w:val="28"/>
          <w:szCs w:val="28"/>
          <w:lang w:val="es-CO"/>
        </w:rPr>
        <w:t xml:space="preserve">ción de un proceso que permite al CTC analizar y aprobar </w:t>
      </w:r>
      <w:r w:rsidR="00457EA1" w:rsidRPr="005D131A">
        <w:rPr>
          <w:sz w:val="28"/>
          <w:szCs w:val="28"/>
          <w:lang w:val="es-CO"/>
        </w:rPr>
        <w:t>tecnologías no incluidas y explícitamente excluidas del POS. Esta circunstancia</w:t>
      </w:r>
      <w:r w:rsidR="00B85CAA" w:rsidRPr="005D131A">
        <w:rPr>
          <w:sz w:val="28"/>
          <w:szCs w:val="28"/>
          <w:lang w:val="es-CO"/>
        </w:rPr>
        <w:t>,</w:t>
      </w:r>
      <w:r w:rsidR="00457EA1" w:rsidRPr="005D131A">
        <w:rPr>
          <w:sz w:val="28"/>
          <w:szCs w:val="28"/>
          <w:lang w:val="es-CO"/>
        </w:rPr>
        <w:t xml:space="preserve"> impacta directamente el número de tutelas asociadas a esos servicios y la oportunidad de la atención, lo cual mejora la calidad de vida de los afiliados. Como justificación presentó la tendencia de las solicitudes de recobro por CTC y por tutela, señalando que las primeras incrementaron mientras las segundas disminuyeron</w:t>
      </w:r>
      <w:r w:rsidR="001F5F5E" w:rsidRPr="005D131A">
        <w:rPr>
          <w:sz w:val="28"/>
          <w:szCs w:val="28"/>
          <w:lang w:val="es-CO"/>
        </w:rPr>
        <w:t>, así</w:t>
      </w:r>
      <w:r w:rsidR="003732AB" w:rsidRPr="005D131A">
        <w:rPr>
          <w:sz w:val="28"/>
          <w:szCs w:val="28"/>
          <w:lang w:val="es-CO"/>
        </w:rPr>
        <w:t xml:space="preserve">: </w:t>
      </w:r>
    </w:p>
    <w:p w:rsidR="00E95275" w:rsidRPr="005D131A" w:rsidRDefault="00E95275" w:rsidP="005D131A">
      <w:pPr>
        <w:rPr>
          <w:sz w:val="28"/>
          <w:szCs w:val="28"/>
          <w:lang w:val="es-CO"/>
        </w:rPr>
      </w:pPr>
    </w:p>
    <w:p w:rsidR="00C40799" w:rsidRPr="005D131A" w:rsidRDefault="006B61FE" w:rsidP="005D131A">
      <w:pPr>
        <w:pStyle w:val="Descripcin"/>
        <w:keepNext/>
        <w:spacing w:line="240" w:lineRule="auto"/>
        <w:rPr>
          <w:b w:val="0"/>
          <w:szCs w:val="28"/>
        </w:rPr>
      </w:pPr>
      <w:r w:rsidRPr="005D131A">
        <w:rPr>
          <w:b w:val="0"/>
          <w:szCs w:val="28"/>
        </w:rPr>
        <w:t>Figura núm.4</w:t>
      </w:r>
    </w:p>
    <w:p w:rsidR="00C40799" w:rsidRPr="005D131A" w:rsidRDefault="00C40799" w:rsidP="005D131A">
      <w:pPr>
        <w:jc w:val="center"/>
        <w:rPr>
          <w:sz w:val="28"/>
          <w:szCs w:val="28"/>
          <w:lang w:val="es-CO"/>
        </w:rPr>
      </w:pPr>
      <w:r w:rsidRPr="005D131A">
        <w:rPr>
          <w:sz w:val="28"/>
          <w:szCs w:val="28"/>
        </w:rPr>
        <w:t>Registro de prescripción de servicios y tecnologías en salud no cubiertos con la UPC</w:t>
      </w:r>
    </w:p>
    <w:p w:rsidR="00C40799" w:rsidRPr="005D131A" w:rsidRDefault="00C40799" w:rsidP="005D131A">
      <w:pPr>
        <w:rPr>
          <w:sz w:val="28"/>
          <w:szCs w:val="28"/>
          <w:lang w:val="es-ES_tradnl"/>
        </w:rPr>
      </w:pPr>
    </w:p>
    <w:p w:rsidR="00C40799" w:rsidRPr="005D131A" w:rsidRDefault="008A0E09" w:rsidP="005D131A">
      <w:pPr>
        <w:jc w:val="center"/>
        <w:rPr>
          <w:sz w:val="28"/>
          <w:szCs w:val="28"/>
          <w:lang w:val="es-CO"/>
        </w:rPr>
      </w:pPr>
      <w:r w:rsidRPr="008A0E09">
        <w:rPr>
          <w:noProof/>
          <w:sz w:val="28"/>
          <w:szCs w:val="28"/>
        </w:rPr>
        <w:drawing>
          <wp:inline distT="0" distB="0" distL="0" distR="0">
            <wp:extent cx="4991100" cy="2400300"/>
            <wp:effectExtent l="0" t="0" r="0" b="0"/>
            <wp:docPr id="1" name="Gráfico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7D49" w:rsidRPr="005D131A" w:rsidRDefault="00797D49" w:rsidP="005D131A">
      <w:pPr>
        <w:rPr>
          <w:sz w:val="28"/>
          <w:szCs w:val="28"/>
          <w:lang w:val="es-CO"/>
        </w:rPr>
      </w:pPr>
    </w:p>
    <w:p w:rsidR="006B61FE" w:rsidRPr="005D131A" w:rsidRDefault="002A6DB3" w:rsidP="005D131A">
      <w:pPr>
        <w:rPr>
          <w:sz w:val="28"/>
          <w:szCs w:val="28"/>
          <w:lang w:val="es-CO"/>
        </w:rPr>
      </w:pPr>
      <w:r w:rsidRPr="005D131A">
        <w:rPr>
          <w:sz w:val="28"/>
          <w:szCs w:val="28"/>
          <w:lang w:val="es-CO"/>
        </w:rPr>
        <w:t xml:space="preserve">27. </w:t>
      </w:r>
      <w:r w:rsidR="00AC2E58" w:rsidRPr="005D131A">
        <w:rPr>
          <w:sz w:val="28"/>
          <w:szCs w:val="28"/>
          <w:lang w:val="es-CO"/>
        </w:rPr>
        <w:t xml:space="preserve">El </w:t>
      </w:r>
      <w:r w:rsidR="0095573F" w:rsidRPr="005D131A">
        <w:rPr>
          <w:sz w:val="28"/>
          <w:szCs w:val="28"/>
          <w:lang w:val="es-CO"/>
        </w:rPr>
        <w:t>20 de abril de 2016</w:t>
      </w:r>
      <w:r w:rsidR="00AC2E58" w:rsidRPr="005D131A">
        <w:rPr>
          <w:i/>
          <w:sz w:val="28"/>
          <w:szCs w:val="28"/>
          <w:vertAlign w:val="superscript"/>
          <w:lang w:val="es-CO"/>
        </w:rPr>
        <w:footnoteReference w:id="83"/>
      </w:r>
      <w:r w:rsidR="00AC2E58" w:rsidRPr="005D131A">
        <w:rPr>
          <w:sz w:val="28"/>
          <w:szCs w:val="28"/>
          <w:lang w:val="es-CO"/>
        </w:rPr>
        <w:t xml:space="preserve"> la Cartera de Salud </w:t>
      </w:r>
      <w:r w:rsidR="0095573F" w:rsidRPr="005D131A">
        <w:rPr>
          <w:sz w:val="28"/>
          <w:szCs w:val="28"/>
          <w:lang w:val="es-CO"/>
        </w:rPr>
        <w:t>remitió copia de la Resolución 1328 de 15 de abril de 2016</w:t>
      </w:r>
      <w:r w:rsidR="00B83589" w:rsidRPr="005D131A">
        <w:rPr>
          <w:sz w:val="28"/>
          <w:szCs w:val="28"/>
          <w:vertAlign w:val="superscript"/>
          <w:lang w:val="es-CO"/>
        </w:rPr>
        <w:footnoteReference w:id="84"/>
      </w:r>
      <w:r w:rsidR="0095573F" w:rsidRPr="005D131A">
        <w:rPr>
          <w:sz w:val="28"/>
          <w:szCs w:val="28"/>
          <w:lang w:val="es-CO"/>
        </w:rPr>
        <w:t xml:space="preserve">, </w:t>
      </w:r>
      <w:r w:rsidR="00AC2E58" w:rsidRPr="005D131A">
        <w:rPr>
          <w:sz w:val="28"/>
          <w:szCs w:val="28"/>
          <w:lang w:val="es-CO"/>
        </w:rPr>
        <w:t xml:space="preserve">la cual entraría en vigencia el 1º de junio de 2016. </w:t>
      </w:r>
    </w:p>
    <w:p w:rsidR="007C03C4" w:rsidRPr="005D131A" w:rsidRDefault="00AC2E58" w:rsidP="005D131A">
      <w:pPr>
        <w:rPr>
          <w:sz w:val="28"/>
          <w:szCs w:val="28"/>
          <w:lang w:val="es-CO"/>
        </w:rPr>
      </w:pPr>
      <w:r w:rsidRPr="005D131A">
        <w:rPr>
          <w:sz w:val="28"/>
          <w:szCs w:val="28"/>
          <w:lang w:val="es-CO"/>
        </w:rPr>
        <w:t>El</w:t>
      </w:r>
      <w:r w:rsidR="007C03C4" w:rsidRPr="005D131A">
        <w:rPr>
          <w:sz w:val="28"/>
          <w:szCs w:val="28"/>
          <w:lang w:val="es-CO"/>
        </w:rPr>
        <w:t xml:space="preserve"> artículo 5 de la mencionada Resolución eliminó los Comités Técnicos Científicos para el régimen contributivo al disponer que “</w:t>
      </w:r>
      <w:r w:rsidR="007C03C4" w:rsidRPr="005D131A">
        <w:rPr>
          <w:i/>
          <w:sz w:val="28"/>
          <w:szCs w:val="28"/>
          <w:lang w:val="es-CO"/>
        </w:rPr>
        <w:t>la prescripción de los servicios y tecnologías en salud no cubiertas en el Plan de Beneficios en Salud con cargo a la UPC será realizada por el profesional de la salud tratante, a través del aplicativo que para tal efecto disponga este Ministerio, el cual operará mediante la plataforma tecnológica del Sistema Integral de Información de la Protección Social - SISPRO con diligenciamiento en línea o de acuerdo con los mecanismos tecnológicos disponibles en la correspondiente área geográfica”</w:t>
      </w:r>
      <w:r w:rsidR="007C03C4" w:rsidRPr="005D131A">
        <w:rPr>
          <w:sz w:val="28"/>
          <w:szCs w:val="28"/>
          <w:lang w:val="es-CO"/>
        </w:rPr>
        <w:t>.</w:t>
      </w:r>
    </w:p>
    <w:p w:rsidR="006B61FE" w:rsidRPr="005D131A" w:rsidRDefault="006B61FE" w:rsidP="005D131A">
      <w:pPr>
        <w:rPr>
          <w:sz w:val="28"/>
          <w:szCs w:val="28"/>
          <w:lang w:val="es-CO"/>
        </w:rPr>
      </w:pPr>
    </w:p>
    <w:p w:rsidR="006B61FE" w:rsidRPr="005D131A" w:rsidRDefault="002A6DB3" w:rsidP="005D131A">
      <w:pPr>
        <w:rPr>
          <w:sz w:val="28"/>
          <w:szCs w:val="28"/>
          <w:lang w:val="es-CO"/>
        </w:rPr>
      </w:pPr>
      <w:r w:rsidRPr="005D131A">
        <w:rPr>
          <w:sz w:val="28"/>
          <w:szCs w:val="28"/>
          <w:lang w:val="es-CO"/>
        </w:rPr>
        <w:t xml:space="preserve">28. </w:t>
      </w:r>
      <w:r w:rsidR="007C03C4" w:rsidRPr="005D131A">
        <w:rPr>
          <w:sz w:val="28"/>
          <w:szCs w:val="28"/>
          <w:lang w:val="es-CO"/>
        </w:rPr>
        <w:t xml:space="preserve">Por su parte, la Defensoría del Pueblo mediante escritos de 17 y 20 de junio </w:t>
      </w:r>
      <w:r w:rsidR="00910B85" w:rsidRPr="005D131A">
        <w:rPr>
          <w:sz w:val="28"/>
          <w:szCs w:val="28"/>
          <w:lang w:val="es-CO"/>
        </w:rPr>
        <w:t>de 2016</w:t>
      </w:r>
      <w:r w:rsidR="00910B85" w:rsidRPr="005D131A">
        <w:rPr>
          <w:sz w:val="28"/>
          <w:szCs w:val="28"/>
          <w:vertAlign w:val="superscript"/>
          <w:lang w:val="es-CO"/>
        </w:rPr>
        <w:footnoteReference w:id="85"/>
      </w:r>
      <w:r w:rsidR="00910B85" w:rsidRPr="005D131A">
        <w:rPr>
          <w:sz w:val="28"/>
          <w:szCs w:val="28"/>
          <w:lang w:val="es-CO"/>
        </w:rPr>
        <w:t xml:space="preserve">, allegó el octavo informe de seguimiento a la sentencia T-760 de 2008, en el que señaló que según lo informado por la Superintendencia de Salud, en el año 2015 esa entidad recibió 28.006 quejas o reclamos </w:t>
      </w:r>
      <w:r w:rsidR="000F4973" w:rsidRPr="005D131A">
        <w:rPr>
          <w:sz w:val="28"/>
          <w:szCs w:val="28"/>
          <w:lang w:val="es-CO"/>
        </w:rPr>
        <w:t>de los usuarios contra las EPS por tecnologías no incluidas o explícitamente del POS, lo que representa un 8,6 del total de quejas que recibe la entidad. Agregó que las quejas más frecuentes son</w:t>
      </w:r>
      <w:r w:rsidR="00967EE1" w:rsidRPr="005D131A">
        <w:rPr>
          <w:sz w:val="28"/>
          <w:szCs w:val="28"/>
          <w:lang w:val="es-CO"/>
        </w:rPr>
        <w:t>: i)</w:t>
      </w:r>
      <w:r w:rsidR="000F4973" w:rsidRPr="005D131A">
        <w:rPr>
          <w:sz w:val="28"/>
          <w:szCs w:val="28"/>
          <w:lang w:val="es-CO"/>
        </w:rPr>
        <w:t xml:space="preserve"> la falta </w:t>
      </w:r>
      <w:r w:rsidR="00967EE1" w:rsidRPr="005D131A">
        <w:rPr>
          <w:sz w:val="28"/>
          <w:szCs w:val="28"/>
          <w:lang w:val="es-CO"/>
        </w:rPr>
        <w:t>de oportunidad en la entrega d</w:t>
      </w:r>
      <w:r w:rsidR="00B85CAA" w:rsidRPr="005D131A">
        <w:rPr>
          <w:sz w:val="28"/>
          <w:szCs w:val="28"/>
          <w:lang w:val="es-CO"/>
        </w:rPr>
        <w:t>e medicamentos; ii) demora en su autorización</w:t>
      </w:r>
      <w:r w:rsidR="00967EE1" w:rsidRPr="005D131A">
        <w:rPr>
          <w:sz w:val="28"/>
          <w:szCs w:val="28"/>
          <w:lang w:val="es-CO"/>
        </w:rPr>
        <w:t>; iii) negaciones</w:t>
      </w:r>
      <w:r w:rsidR="00AC2E58" w:rsidRPr="005D131A">
        <w:rPr>
          <w:sz w:val="28"/>
          <w:szCs w:val="28"/>
          <w:lang w:val="es-CO"/>
        </w:rPr>
        <w:t xml:space="preserve"> para la entrega de los mismos</w:t>
      </w:r>
      <w:r w:rsidR="00967EE1" w:rsidRPr="005D131A">
        <w:rPr>
          <w:sz w:val="28"/>
          <w:szCs w:val="28"/>
          <w:lang w:val="es-CO"/>
        </w:rPr>
        <w:t>;</w:t>
      </w:r>
      <w:r w:rsidR="00B85CAA" w:rsidRPr="005D131A">
        <w:rPr>
          <w:sz w:val="28"/>
          <w:szCs w:val="28"/>
          <w:lang w:val="es-CO"/>
        </w:rPr>
        <w:t xml:space="preserve"> y</w:t>
      </w:r>
      <w:r w:rsidR="00967EE1" w:rsidRPr="005D131A">
        <w:rPr>
          <w:sz w:val="28"/>
          <w:szCs w:val="28"/>
          <w:lang w:val="es-CO"/>
        </w:rPr>
        <w:t xml:space="preserve"> iv) demora de la autorización de insumos y en la autorización de cirugías no POS. </w:t>
      </w:r>
    </w:p>
    <w:p w:rsidR="006B61FE" w:rsidRPr="005D131A" w:rsidRDefault="006B61FE" w:rsidP="005D131A">
      <w:pPr>
        <w:rPr>
          <w:sz w:val="28"/>
          <w:szCs w:val="28"/>
          <w:lang w:val="es-CO"/>
        </w:rPr>
      </w:pPr>
    </w:p>
    <w:p w:rsidR="00910B85" w:rsidRPr="005D131A" w:rsidRDefault="00B83589" w:rsidP="005D131A">
      <w:pPr>
        <w:rPr>
          <w:sz w:val="28"/>
          <w:szCs w:val="28"/>
          <w:lang w:val="es-CO"/>
        </w:rPr>
      </w:pPr>
      <w:r w:rsidRPr="005D131A">
        <w:rPr>
          <w:sz w:val="28"/>
          <w:szCs w:val="28"/>
          <w:lang w:val="es-CO"/>
        </w:rPr>
        <w:t xml:space="preserve">En consecuencia, </w:t>
      </w:r>
      <w:r w:rsidR="00B620B7" w:rsidRPr="005D131A">
        <w:rPr>
          <w:sz w:val="28"/>
          <w:szCs w:val="28"/>
          <w:lang w:val="es-CO"/>
        </w:rPr>
        <w:t xml:space="preserve">las negaciones no POS y las tutelas que indican violación en tal sentido </w:t>
      </w:r>
      <w:r w:rsidR="00B620B7" w:rsidRPr="005D131A">
        <w:rPr>
          <w:i/>
          <w:sz w:val="28"/>
          <w:szCs w:val="28"/>
          <w:lang w:val="es-CO"/>
        </w:rPr>
        <w:t>“impiden pensar, como lo afirma el MSPS, que en esta situación no se identifiquen problemas, al menos casos o grupos de pacientes con barreras de acceso”</w:t>
      </w:r>
      <w:r w:rsidR="00B620B7" w:rsidRPr="005D131A">
        <w:rPr>
          <w:sz w:val="28"/>
          <w:szCs w:val="28"/>
          <w:lang w:val="es-CO"/>
        </w:rPr>
        <w:t xml:space="preserve">. </w:t>
      </w:r>
    </w:p>
    <w:p w:rsidR="006F68ED" w:rsidRPr="005D131A" w:rsidRDefault="006F68ED" w:rsidP="005D131A">
      <w:pPr>
        <w:rPr>
          <w:sz w:val="28"/>
          <w:szCs w:val="28"/>
          <w:lang w:val="es-CO"/>
        </w:rPr>
      </w:pPr>
    </w:p>
    <w:p w:rsidR="00750AE4" w:rsidRPr="005D131A" w:rsidRDefault="00750AE4" w:rsidP="005D131A">
      <w:pPr>
        <w:rPr>
          <w:sz w:val="28"/>
          <w:szCs w:val="28"/>
          <w:lang w:val="es-CO"/>
        </w:rPr>
      </w:pPr>
      <w:r w:rsidRPr="005D131A">
        <w:rPr>
          <w:sz w:val="28"/>
          <w:szCs w:val="28"/>
          <w:lang w:val="es-CO"/>
        </w:rPr>
        <w:t>29</w:t>
      </w:r>
      <w:r w:rsidR="002A6DB3" w:rsidRPr="005D131A">
        <w:rPr>
          <w:sz w:val="28"/>
          <w:szCs w:val="28"/>
          <w:lang w:val="es-CO"/>
        </w:rPr>
        <w:t xml:space="preserve">. </w:t>
      </w:r>
      <w:r w:rsidR="00BD30A0" w:rsidRPr="005D131A">
        <w:rPr>
          <w:sz w:val="28"/>
          <w:szCs w:val="28"/>
          <w:lang w:val="es-CO"/>
        </w:rPr>
        <w:t>Ahora bien, mediante auto de 5 de julio de 2016</w:t>
      </w:r>
      <w:r w:rsidR="001A0B49" w:rsidRPr="005D131A">
        <w:rPr>
          <w:sz w:val="28"/>
          <w:szCs w:val="28"/>
          <w:vertAlign w:val="superscript"/>
          <w:lang w:val="es-CO"/>
        </w:rPr>
        <w:footnoteReference w:id="86"/>
      </w:r>
      <w:r w:rsidR="00BD30A0" w:rsidRPr="005D131A">
        <w:rPr>
          <w:sz w:val="28"/>
          <w:szCs w:val="28"/>
          <w:lang w:val="es-CO"/>
        </w:rPr>
        <w:t xml:space="preserve">, el magistrado sustanciador de la Sala Especial de Seguimiento </w:t>
      </w:r>
      <w:r w:rsidR="009A6D89" w:rsidRPr="005D131A">
        <w:rPr>
          <w:sz w:val="28"/>
          <w:szCs w:val="28"/>
          <w:lang w:val="es-CO"/>
        </w:rPr>
        <w:t xml:space="preserve">requirió al Ministerio de Salud para que suministrara información acerca de las gestiones adelantadas, la infraestructura humana, organizativa y de material que se han dispuesto como consecuencia de la Resolución 1328 de 2016 que eliminó los CTC y, en su lugar, implementó un aplicativo web donde los profesionales de la salud reportan la prescripción. También preguntó sobre las garantías que ofrece </w:t>
      </w:r>
      <w:r w:rsidR="00B83589" w:rsidRPr="005D131A">
        <w:rPr>
          <w:sz w:val="28"/>
          <w:szCs w:val="28"/>
          <w:lang w:val="es-CO"/>
        </w:rPr>
        <w:t xml:space="preserve">esa plataforma </w:t>
      </w:r>
      <w:r w:rsidR="009A6D89" w:rsidRPr="005D131A">
        <w:rPr>
          <w:sz w:val="28"/>
          <w:szCs w:val="28"/>
          <w:lang w:val="es-CO"/>
        </w:rPr>
        <w:t>en cuanto a la transparencia de la información, seguridad y confiabilidad y la entidad o dependencia encargada de mantener en óptimas condiciones la plata</w:t>
      </w:r>
      <w:r w:rsidR="00191B99" w:rsidRPr="005D131A">
        <w:rPr>
          <w:sz w:val="28"/>
          <w:szCs w:val="28"/>
          <w:lang w:val="es-CO"/>
        </w:rPr>
        <w:t>forma tecnológica. Por último,</w:t>
      </w:r>
      <w:r w:rsidR="009A6D89" w:rsidRPr="005D131A">
        <w:rPr>
          <w:sz w:val="28"/>
          <w:szCs w:val="28"/>
          <w:lang w:val="es-CO"/>
        </w:rPr>
        <w:t xml:space="preserve"> solicitó que indicara si esa nueva normativa aplica para los dos regímenes de salu</w:t>
      </w:r>
      <w:r w:rsidR="00814C5D" w:rsidRPr="005D131A">
        <w:rPr>
          <w:sz w:val="28"/>
          <w:szCs w:val="28"/>
          <w:lang w:val="es-CO"/>
        </w:rPr>
        <w:t xml:space="preserve">d o solo para el contributivo. </w:t>
      </w:r>
    </w:p>
    <w:p w:rsidR="00814C5D" w:rsidRPr="005D131A" w:rsidRDefault="00814C5D" w:rsidP="005D131A">
      <w:pPr>
        <w:rPr>
          <w:sz w:val="28"/>
          <w:szCs w:val="28"/>
          <w:lang w:val="es-CO"/>
        </w:rPr>
      </w:pPr>
    </w:p>
    <w:p w:rsidR="003F5DAF" w:rsidRPr="005D131A" w:rsidRDefault="002A6DB3" w:rsidP="005D131A">
      <w:pPr>
        <w:pStyle w:val="Prrafodelista"/>
        <w:ind w:left="0"/>
        <w:rPr>
          <w:sz w:val="28"/>
          <w:szCs w:val="28"/>
          <w:lang w:val="es-CO"/>
        </w:rPr>
      </w:pPr>
      <w:r w:rsidRPr="005D131A">
        <w:rPr>
          <w:sz w:val="28"/>
          <w:szCs w:val="28"/>
          <w:lang w:val="es-CO"/>
        </w:rPr>
        <w:t>30</w:t>
      </w:r>
      <w:r w:rsidR="00750AE4" w:rsidRPr="005D131A">
        <w:rPr>
          <w:sz w:val="28"/>
          <w:szCs w:val="28"/>
          <w:lang w:val="es-CO"/>
        </w:rPr>
        <w:t>.</w:t>
      </w:r>
      <w:r w:rsidR="00D70262" w:rsidRPr="005D131A">
        <w:rPr>
          <w:sz w:val="28"/>
          <w:szCs w:val="28"/>
          <w:lang w:val="es-CO"/>
        </w:rPr>
        <w:t xml:space="preserve"> El 13 de julio de 2016, el </w:t>
      </w:r>
      <w:r w:rsidR="009A6D89" w:rsidRPr="005D131A">
        <w:rPr>
          <w:sz w:val="28"/>
          <w:szCs w:val="28"/>
          <w:lang w:val="es-CO"/>
        </w:rPr>
        <w:t>ente ministerial</w:t>
      </w:r>
      <w:r w:rsidR="001A0B49" w:rsidRPr="005D131A">
        <w:rPr>
          <w:sz w:val="28"/>
          <w:szCs w:val="28"/>
          <w:vertAlign w:val="superscript"/>
          <w:lang w:val="es-CO"/>
        </w:rPr>
        <w:footnoteReference w:id="87"/>
      </w:r>
      <w:r w:rsidR="00D70262" w:rsidRPr="005D131A">
        <w:rPr>
          <w:sz w:val="28"/>
          <w:szCs w:val="28"/>
          <w:lang w:val="es-CO"/>
        </w:rPr>
        <w:t xml:space="preserve"> dio respuesta a los anteriores interrogantes, los cuales serán desarrollado</w:t>
      </w:r>
      <w:r w:rsidR="00750AE4" w:rsidRPr="005D131A">
        <w:rPr>
          <w:sz w:val="28"/>
          <w:szCs w:val="28"/>
          <w:lang w:val="es-CO"/>
        </w:rPr>
        <w:t>s</w:t>
      </w:r>
      <w:r w:rsidR="00D70262" w:rsidRPr="005D131A">
        <w:rPr>
          <w:sz w:val="28"/>
          <w:szCs w:val="28"/>
          <w:lang w:val="es-CO"/>
        </w:rPr>
        <w:t xml:space="preserve"> en la parte considerativa de la presente providencia.</w:t>
      </w:r>
    </w:p>
    <w:p w:rsidR="00191B99" w:rsidRPr="005D131A" w:rsidRDefault="00191B99" w:rsidP="005D131A">
      <w:pPr>
        <w:pStyle w:val="Prrafodelista"/>
        <w:ind w:left="0"/>
        <w:rPr>
          <w:sz w:val="28"/>
          <w:szCs w:val="28"/>
          <w:lang w:val="es-CO"/>
        </w:rPr>
      </w:pPr>
    </w:p>
    <w:p w:rsidR="00235EB0" w:rsidRPr="005D131A" w:rsidRDefault="00235EB0" w:rsidP="005D131A">
      <w:pPr>
        <w:jc w:val="center"/>
        <w:rPr>
          <w:b/>
          <w:bCs/>
          <w:sz w:val="28"/>
          <w:szCs w:val="28"/>
          <w:lang w:val="es-CO"/>
        </w:rPr>
      </w:pPr>
      <w:r w:rsidRPr="005D131A">
        <w:rPr>
          <w:b/>
          <w:bCs/>
          <w:sz w:val="28"/>
          <w:szCs w:val="28"/>
          <w:lang w:val="es-CO"/>
        </w:rPr>
        <w:t>II. CONSIDERACIONES DE LA SALA ESPECIAL DE SEGUIMIENTO</w:t>
      </w:r>
    </w:p>
    <w:p w:rsidR="00235EB0" w:rsidRPr="005D131A" w:rsidRDefault="00235EB0" w:rsidP="005D131A">
      <w:pPr>
        <w:rPr>
          <w:sz w:val="28"/>
          <w:szCs w:val="28"/>
          <w:lang w:val="es-CO"/>
        </w:rPr>
      </w:pPr>
    </w:p>
    <w:p w:rsidR="00235EB0" w:rsidRPr="005D131A" w:rsidRDefault="00235EB0" w:rsidP="005D131A">
      <w:pPr>
        <w:numPr>
          <w:ilvl w:val="0"/>
          <w:numId w:val="4"/>
        </w:numPr>
        <w:tabs>
          <w:tab w:val="left" w:pos="426"/>
        </w:tabs>
        <w:ind w:left="0" w:firstLine="0"/>
        <w:rPr>
          <w:b/>
          <w:sz w:val="28"/>
          <w:szCs w:val="28"/>
          <w:lang w:val="es-CO"/>
        </w:rPr>
      </w:pPr>
      <w:r w:rsidRPr="005D131A">
        <w:rPr>
          <w:b/>
          <w:sz w:val="28"/>
          <w:szCs w:val="28"/>
          <w:lang w:val="es-CO"/>
        </w:rPr>
        <w:t>Competencia y metodología de la valoración</w:t>
      </w:r>
    </w:p>
    <w:p w:rsidR="00235EB0" w:rsidRPr="005D131A" w:rsidRDefault="00235EB0" w:rsidP="005D131A">
      <w:pPr>
        <w:rPr>
          <w:b/>
          <w:sz w:val="28"/>
          <w:szCs w:val="28"/>
          <w:lang w:val="es-CO"/>
        </w:rPr>
      </w:pPr>
    </w:p>
    <w:p w:rsidR="00235EB0" w:rsidRPr="005D131A" w:rsidRDefault="004564E4" w:rsidP="005D131A">
      <w:pPr>
        <w:tabs>
          <w:tab w:val="left" w:pos="567"/>
        </w:tabs>
        <w:autoSpaceDN w:val="0"/>
        <w:rPr>
          <w:sz w:val="28"/>
          <w:szCs w:val="28"/>
          <w:lang w:val="es-CO"/>
        </w:rPr>
      </w:pPr>
      <w:r w:rsidRPr="005D131A">
        <w:rPr>
          <w:sz w:val="28"/>
          <w:szCs w:val="28"/>
          <w:lang w:val="es-ES_tradnl"/>
        </w:rPr>
        <w:t>1.1</w:t>
      </w:r>
      <w:r w:rsidR="004D6D7E" w:rsidRPr="005D131A">
        <w:rPr>
          <w:sz w:val="28"/>
          <w:szCs w:val="28"/>
          <w:lang w:val="es-ES_tradnl"/>
        </w:rPr>
        <w:t>. Conforme</w:t>
      </w:r>
      <w:r w:rsidR="00235EB0" w:rsidRPr="005D131A">
        <w:rPr>
          <w:sz w:val="28"/>
          <w:szCs w:val="28"/>
          <w:lang w:val="es-ES_tradnl"/>
        </w:rPr>
        <w:t xml:space="preserve"> a las atribuciones otorgadas por la Sala Plena de la Corte Constitucional </w:t>
      </w:r>
      <w:r w:rsidR="00235EB0" w:rsidRPr="005D131A">
        <w:rPr>
          <w:sz w:val="28"/>
          <w:szCs w:val="28"/>
          <w:lang w:val="es-CO"/>
        </w:rPr>
        <w:t>en sesión del 1° de abril de 2009; el artículo 86 de la Constitución Política; el artículo 25, numeral 2, literal c)</w:t>
      </w:r>
      <w:r w:rsidR="00235EB0" w:rsidRPr="005D131A">
        <w:rPr>
          <w:sz w:val="28"/>
          <w:szCs w:val="28"/>
          <w:vertAlign w:val="superscript"/>
          <w:lang w:val="es-CO"/>
        </w:rPr>
        <w:footnoteReference w:id="88"/>
      </w:r>
      <w:r w:rsidR="00235EB0" w:rsidRPr="005D131A">
        <w:rPr>
          <w:sz w:val="28"/>
          <w:szCs w:val="28"/>
          <w:lang w:val="es-CO"/>
        </w:rPr>
        <w:t xml:space="preserve"> de la Convención Americana sobre Derechos Humanos</w:t>
      </w:r>
      <w:r w:rsidR="00235EB0" w:rsidRPr="005D131A">
        <w:rPr>
          <w:sz w:val="28"/>
          <w:szCs w:val="28"/>
          <w:vertAlign w:val="superscript"/>
          <w:lang w:val="es-CO"/>
        </w:rPr>
        <w:footnoteReference w:id="89"/>
      </w:r>
      <w:r w:rsidR="00235EB0" w:rsidRPr="005D131A">
        <w:rPr>
          <w:sz w:val="28"/>
          <w:szCs w:val="28"/>
          <w:lang w:val="es-CO"/>
        </w:rPr>
        <w:t>; y el artículo 27 del Decreto Estatutario 2591 de 1991, esta Sala Especial de Seguimiento es competente para proferir el presente auto.</w:t>
      </w:r>
    </w:p>
    <w:p w:rsidR="00235EB0" w:rsidRPr="005D131A" w:rsidRDefault="00235EB0" w:rsidP="005D131A">
      <w:pPr>
        <w:tabs>
          <w:tab w:val="left" w:pos="357"/>
        </w:tabs>
        <w:rPr>
          <w:sz w:val="28"/>
          <w:szCs w:val="28"/>
          <w:lang w:val="es-CO"/>
        </w:rPr>
      </w:pPr>
    </w:p>
    <w:p w:rsidR="002A6DB3" w:rsidRPr="005D131A" w:rsidRDefault="004564E4" w:rsidP="005D131A">
      <w:pPr>
        <w:tabs>
          <w:tab w:val="left" w:pos="357"/>
          <w:tab w:val="left" w:pos="567"/>
        </w:tabs>
        <w:autoSpaceDN w:val="0"/>
        <w:rPr>
          <w:sz w:val="28"/>
          <w:szCs w:val="28"/>
          <w:lang w:val="es-CO"/>
        </w:rPr>
      </w:pPr>
      <w:r w:rsidRPr="005D131A">
        <w:rPr>
          <w:sz w:val="28"/>
          <w:szCs w:val="28"/>
          <w:lang w:val="es-CO"/>
        </w:rPr>
        <w:t xml:space="preserve">1.2. </w:t>
      </w:r>
      <w:r w:rsidR="00235EB0" w:rsidRPr="005D131A">
        <w:rPr>
          <w:sz w:val="28"/>
          <w:szCs w:val="28"/>
          <w:lang w:val="es-CO"/>
        </w:rPr>
        <w:t xml:space="preserve">En esta </w:t>
      </w:r>
      <w:r w:rsidR="00235EB0" w:rsidRPr="005D131A">
        <w:rPr>
          <w:sz w:val="28"/>
          <w:szCs w:val="28"/>
          <w:lang w:val="es-ES_tradnl"/>
        </w:rPr>
        <w:t>oportunidad</w:t>
      </w:r>
      <w:r w:rsidR="00235EB0" w:rsidRPr="005D131A">
        <w:rPr>
          <w:sz w:val="28"/>
          <w:szCs w:val="28"/>
          <w:lang w:val="es-CO"/>
        </w:rPr>
        <w:t xml:space="preserve">, la Corte se encargará de evaluar el grado de cumplimiento de la orden </w:t>
      </w:r>
      <w:r w:rsidR="00975112" w:rsidRPr="005D131A">
        <w:rPr>
          <w:sz w:val="28"/>
          <w:szCs w:val="28"/>
          <w:lang w:val="es-CO"/>
        </w:rPr>
        <w:t>vigésimo tercera</w:t>
      </w:r>
      <w:r w:rsidR="00235EB0" w:rsidRPr="005D131A">
        <w:rPr>
          <w:sz w:val="28"/>
          <w:szCs w:val="28"/>
          <w:lang w:val="es-CO"/>
        </w:rPr>
        <w:t xml:space="preserve"> de la Sentencia T-760 de 2008, a partir de los informes presentados por el ente ministerial, las observaciones de </w:t>
      </w:r>
      <w:r w:rsidR="00496136" w:rsidRPr="005D131A">
        <w:rPr>
          <w:sz w:val="28"/>
          <w:szCs w:val="28"/>
          <w:lang w:val="es-CO"/>
        </w:rPr>
        <w:t>la Defensoría del Pueblo y la Superintendencia de Salud</w:t>
      </w:r>
      <w:r w:rsidR="00235EB0" w:rsidRPr="005D131A">
        <w:rPr>
          <w:sz w:val="28"/>
          <w:szCs w:val="28"/>
          <w:lang w:val="es-CO"/>
        </w:rPr>
        <w:t>, los conceptos de los peritos constitucionales voluntarios y las demás entidades vincul</w:t>
      </w:r>
      <w:r w:rsidR="002A6DB3" w:rsidRPr="005D131A">
        <w:rPr>
          <w:sz w:val="28"/>
          <w:szCs w:val="28"/>
          <w:lang w:val="es-CO"/>
        </w:rPr>
        <w:t xml:space="preserve">adas al trámite de verificación, los cuales fueron sintetizados en el acápite de antecedentes. </w:t>
      </w:r>
    </w:p>
    <w:p w:rsidR="002A6DB3" w:rsidRPr="005D131A" w:rsidRDefault="002A6DB3" w:rsidP="005D131A">
      <w:pPr>
        <w:tabs>
          <w:tab w:val="left" w:pos="357"/>
          <w:tab w:val="left" w:pos="567"/>
        </w:tabs>
        <w:autoSpaceDN w:val="0"/>
        <w:rPr>
          <w:sz w:val="28"/>
          <w:szCs w:val="28"/>
          <w:lang w:val="es-CO"/>
        </w:rPr>
      </w:pPr>
    </w:p>
    <w:p w:rsidR="00147F62" w:rsidRPr="005D131A" w:rsidRDefault="004564E4" w:rsidP="005D131A">
      <w:pPr>
        <w:tabs>
          <w:tab w:val="left" w:pos="357"/>
          <w:tab w:val="left" w:pos="567"/>
        </w:tabs>
        <w:autoSpaceDN w:val="0"/>
        <w:rPr>
          <w:sz w:val="28"/>
          <w:szCs w:val="28"/>
        </w:rPr>
      </w:pPr>
      <w:r w:rsidRPr="005D131A">
        <w:rPr>
          <w:sz w:val="28"/>
          <w:szCs w:val="28"/>
        </w:rPr>
        <w:t xml:space="preserve">1.3. En esos términos, la Sala abordará, en primer lugar, los niveles de cumplimiento de las órdenes impartidas en el fallo objeto de verificación, seguido, fijará el alcance de la orden </w:t>
      </w:r>
      <w:r w:rsidRPr="005D131A">
        <w:rPr>
          <w:i/>
          <w:sz w:val="28"/>
          <w:szCs w:val="28"/>
        </w:rPr>
        <w:t xml:space="preserve">sub </w:t>
      </w:r>
      <w:r w:rsidRPr="005D131A">
        <w:rPr>
          <w:sz w:val="28"/>
          <w:szCs w:val="28"/>
        </w:rPr>
        <w:t>examine</w:t>
      </w:r>
      <w:r w:rsidR="004963F8" w:rsidRPr="005D131A">
        <w:rPr>
          <w:sz w:val="28"/>
          <w:szCs w:val="28"/>
        </w:rPr>
        <w:t xml:space="preserve"> y revisará las modificaciones </w:t>
      </w:r>
      <w:r w:rsidR="00D97898" w:rsidRPr="005D131A">
        <w:rPr>
          <w:sz w:val="28"/>
          <w:szCs w:val="28"/>
        </w:rPr>
        <w:t xml:space="preserve">que sobre el particular fueron </w:t>
      </w:r>
      <w:r w:rsidR="004963F8" w:rsidRPr="005D131A">
        <w:rPr>
          <w:sz w:val="28"/>
          <w:szCs w:val="28"/>
        </w:rPr>
        <w:t>incorporadas por la ley estatutaria</w:t>
      </w:r>
      <w:r w:rsidRPr="005D131A">
        <w:rPr>
          <w:sz w:val="28"/>
          <w:szCs w:val="28"/>
        </w:rPr>
        <w:t xml:space="preserve">. Luego, la Corte procederá a realizar el estudio de los elementos constitucionalmente relevantes de la orden. Para este efecto, se analizarán las medidas adoptadas por el ente regulador en aras de acatar el mandato estudiado, </w:t>
      </w:r>
      <w:r w:rsidR="00885375" w:rsidRPr="005D131A">
        <w:rPr>
          <w:sz w:val="28"/>
          <w:szCs w:val="28"/>
        </w:rPr>
        <w:t xml:space="preserve">específicamente </w:t>
      </w:r>
      <w:r w:rsidR="007F06F8" w:rsidRPr="005D131A">
        <w:rPr>
          <w:sz w:val="28"/>
          <w:szCs w:val="28"/>
        </w:rPr>
        <w:t>la obligación del Ministerio de Salud y Protecc</w:t>
      </w:r>
      <w:r w:rsidR="00814C5D" w:rsidRPr="005D131A">
        <w:rPr>
          <w:sz w:val="28"/>
          <w:szCs w:val="28"/>
        </w:rPr>
        <w:t>ión Social</w:t>
      </w:r>
      <w:r w:rsidR="00814C5D" w:rsidRPr="005D131A">
        <w:rPr>
          <w:sz w:val="28"/>
          <w:szCs w:val="28"/>
          <w:vertAlign w:val="superscript"/>
        </w:rPr>
        <w:footnoteReference w:id="90"/>
      </w:r>
      <w:r w:rsidR="007F06F8" w:rsidRPr="005D131A">
        <w:rPr>
          <w:sz w:val="28"/>
          <w:szCs w:val="28"/>
        </w:rPr>
        <w:t>de adoptar las medidas necesarias para regular el trámite interno que deb</w:t>
      </w:r>
      <w:r w:rsidR="007A392B" w:rsidRPr="005D131A">
        <w:rPr>
          <w:sz w:val="28"/>
          <w:szCs w:val="28"/>
        </w:rPr>
        <w:t>e adelantar el médico tratante a</w:t>
      </w:r>
      <w:r w:rsidR="007F06F8" w:rsidRPr="005D131A">
        <w:rPr>
          <w:sz w:val="28"/>
          <w:szCs w:val="28"/>
        </w:rPr>
        <w:t xml:space="preserve">nte la EPS, de manera que esta autorice </w:t>
      </w:r>
      <w:r w:rsidR="000B52B8" w:rsidRPr="005D131A">
        <w:rPr>
          <w:sz w:val="28"/>
          <w:szCs w:val="28"/>
        </w:rPr>
        <w:t xml:space="preserve">directamente </w:t>
      </w:r>
      <w:r w:rsidR="007F06F8" w:rsidRPr="005D131A">
        <w:rPr>
          <w:sz w:val="28"/>
          <w:szCs w:val="28"/>
        </w:rPr>
        <w:t>la prestación de tecnologías en salud no incluidas o ex</w:t>
      </w:r>
      <w:r w:rsidR="000B52B8" w:rsidRPr="005D131A">
        <w:rPr>
          <w:sz w:val="28"/>
          <w:szCs w:val="28"/>
        </w:rPr>
        <w:t xml:space="preserve">cluidas del plan de beneficios. </w:t>
      </w:r>
    </w:p>
    <w:p w:rsidR="000B52B8" w:rsidRPr="005D131A" w:rsidRDefault="000B52B8" w:rsidP="005D131A">
      <w:pPr>
        <w:tabs>
          <w:tab w:val="left" w:pos="357"/>
          <w:tab w:val="left" w:pos="567"/>
        </w:tabs>
        <w:autoSpaceDN w:val="0"/>
        <w:rPr>
          <w:sz w:val="28"/>
          <w:szCs w:val="28"/>
        </w:rPr>
      </w:pPr>
    </w:p>
    <w:p w:rsidR="006735CB" w:rsidRPr="005D131A" w:rsidRDefault="006735CB" w:rsidP="005D131A">
      <w:pPr>
        <w:tabs>
          <w:tab w:val="left" w:pos="567"/>
        </w:tabs>
        <w:autoSpaceDN w:val="0"/>
        <w:rPr>
          <w:sz w:val="28"/>
          <w:szCs w:val="28"/>
        </w:rPr>
      </w:pPr>
      <w:r w:rsidRPr="005D131A">
        <w:rPr>
          <w:sz w:val="28"/>
          <w:szCs w:val="28"/>
        </w:rPr>
        <w:t xml:space="preserve">Agotado lo anterior, se culminará con la valoración del mandato </w:t>
      </w:r>
      <w:r w:rsidR="00885375" w:rsidRPr="005D131A">
        <w:rPr>
          <w:sz w:val="28"/>
          <w:szCs w:val="28"/>
        </w:rPr>
        <w:t>vigésimo tercero</w:t>
      </w:r>
      <w:r w:rsidRPr="005D131A">
        <w:rPr>
          <w:sz w:val="28"/>
          <w:szCs w:val="28"/>
        </w:rPr>
        <w:t xml:space="preserve"> y, en consecuencia, se impartirán algunas determinaciones sobre el particular.</w:t>
      </w:r>
    </w:p>
    <w:p w:rsidR="006735CB" w:rsidRPr="005D131A" w:rsidRDefault="006735CB" w:rsidP="005D131A">
      <w:pPr>
        <w:pStyle w:val="Prrafodelista"/>
        <w:tabs>
          <w:tab w:val="left" w:pos="0"/>
        </w:tabs>
        <w:ind w:left="0"/>
        <w:rPr>
          <w:b/>
          <w:color w:val="000000" w:themeColor="text1"/>
          <w:sz w:val="28"/>
          <w:szCs w:val="28"/>
        </w:rPr>
      </w:pPr>
    </w:p>
    <w:p w:rsidR="00393006" w:rsidRPr="005D131A" w:rsidRDefault="00393006" w:rsidP="005D131A">
      <w:pPr>
        <w:rPr>
          <w:b/>
          <w:snapToGrid w:val="0"/>
          <w:sz w:val="28"/>
          <w:szCs w:val="28"/>
        </w:rPr>
      </w:pPr>
      <w:r w:rsidRPr="005D131A">
        <w:rPr>
          <w:b/>
          <w:snapToGrid w:val="0"/>
          <w:sz w:val="28"/>
          <w:szCs w:val="28"/>
        </w:rPr>
        <w:t>2. Niveles de cumplimiento a las órdenes de la sentencia T-760 de 2008.</w:t>
      </w:r>
    </w:p>
    <w:p w:rsidR="00393006" w:rsidRPr="005D131A" w:rsidRDefault="00393006" w:rsidP="005D131A">
      <w:pPr>
        <w:rPr>
          <w:b/>
          <w:snapToGrid w:val="0"/>
          <w:sz w:val="28"/>
          <w:szCs w:val="28"/>
        </w:rPr>
      </w:pPr>
    </w:p>
    <w:p w:rsidR="004B13F3" w:rsidRPr="005D131A" w:rsidRDefault="00393006" w:rsidP="005D131A">
      <w:pPr>
        <w:rPr>
          <w:snapToGrid w:val="0"/>
          <w:sz w:val="28"/>
          <w:szCs w:val="28"/>
        </w:rPr>
      </w:pPr>
      <w:r w:rsidRPr="005D131A">
        <w:rPr>
          <w:snapToGrid w:val="0"/>
          <w:sz w:val="28"/>
          <w:szCs w:val="28"/>
        </w:rPr>
        <w:t>2.1. Las órdenes estructurales impartidas en la sentencia T-760 de 2008 implican la intervención judicial excepcional en el diseño y/o implementación de la política pública en salud. Por ende, para lograr su cumplimiento se deberán observar, sin perjuicio de sus elementos característicos, las condiciones básicas determinadas en la jurisprudencia constitucional</w:t>
      </w:r>
      <w:r w:rsidRPr="005D131A">
        <w:rPr>
          <w:snapToGrid w:val="0"/>
          <w:sz w:val="28"/>
          <w:szCs w:val="28"/>
          <w:vertAlign w:val="superscript"/>
        </w:rPr>
        <w:footnoteReference w:id="91"/>
      </w:r>
      <w:r w:rsidRPr="005D131A">
        <w:rPr>
          <w:snapToGrid w:val="0"/>
          <w:sz w:val="28"/>
          <w:szCs w:val="28"/>
        </w:rPr>
        <w:t xml:space="preserve">. </w:t>
      </w:r>
    </w:p>
    <w:p w:rsidR="00E95275" w:rsidRPr="005D131A" w:rsidRDefault="00E95275"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La primera es que exista efectivamente, es decir, que haga parte de un programa de acción estructurado que permita a la autoridad responsable adoptar las medidas adecuadas y necesarias. Además, debe suponer un cronograma de actividades para su realización y debe ser ejecutado en un tiempo determinado y razonable.</w:t>
      </w:r>
    </w:p>
    <w:p w:rsidR="00393006" w:rsidRPr="005D131A" w:rsidRDefault="00393006"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 xml:space="preserve">La segunda es que el plan de acción tenga como prioridad garantizar el goce efectivo del derecho. No puede tratarse de una política pública simbólica o formal. La misión del Estado no se reduce a expedir normas que reconozcan en el papel la titularidad de derechos. La racionalidad mínima del texto Superior manda que estén seguidas de acciones reales, dirigidas a facilitar el disfrute y el ejercicio cabal de las atribuciones fundamentales. Se vulnera la Constitución cuando existiendo una ruta se constata que solo está escrita y no ha sido iniciada su ejecución o aunque se esté implementando resulta evidentemente inane, bien porque no es sensible a las verdaderas angustias poblacionales o porque su materialización se ha diferido indefinidamente. </w:t>
      </w:r>
    </w:p>
    <w:p w:rsidR="00393006" w:rsidRPr="005D131A" w:rsidRDefault="00393006"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 xml:space="preserve">La tercera está dada en que los procesos de decisión, elaboración, implementación y evaluación de la política pública, habrán de permitir una participación democrática efectiva en todas las etapas. Es inaceptable que exista un plan gubernamental que no abra espacios de interacción real a los ciudadanos en las diferentes fases del proceso o aunque los brinde resulten inocuos al limitarse a prever una intervención trivial. </w:t>
      </w:r>
    </w:p>
    <w:p w:rsidR="00393006" w:rsidRPr="005D131A" w:rsidRDefault="00393006"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La Corte Constitucional ha precisado que el adecuado funcionamiento y los buenos resultados de las reformas normativas dependen de que estas se encuentren soportadas en estudios empíricos y de juiciosas reflexiones sobre cuál es el mejor curso de la acción estatal</w:t>
      </w:r>
      <w:r w:rsidRPr="005D131A">
        <w:rPr>
          <w:snapToGrid w:val="0"/>
          <w:sz w:val="28"/>
          <w:szCs w:val="28"/>
          <w:vertAlign w:val="superscript"/>
        </w:rPr>
        <w:footnoteReference w:id="92"/>
      </w:r>
      <w:r w:rsidRPr="005D131A">
        <w:rPr>
          <w:snapToGrid w:val="0"/>
          <w:sz w:val="28"/>
          <w:szCs w:val="28"/>
        </w:rPr>
        <w:t>. Siempre habrá que tener en cuenta que una verdadera política pública involucra el cumplimiento de obligaciones de respeto y garantía a los derechos humanos</w:t>
      </w:r>
      <w:r w:rsidRPr="005D131A">
        <w:rPr>
          <w:snapToGrid w:val="0"/>
          <w:sz w:val="28"/>
          <w:szCs w:val="28"/>
          <w:vertAlign w:val="superscript"/>
        </w:rPr>
        <w:footnoteReference w:id="93"/>
      </w:r>
      <w:r w:rsidRPr="005D131A">
        <w:rPr>
          <w:snapToGrid w:val="0"/>
          <w:sz w:val="28"/>
          <w:szCs w:val="28"/>
        </w:rPr>
        <w:t>.  La simple expedición de normas legales o de actos administrativos, la ejecución parcial de políticas públicas y la mera demostración de ajustes presupuestales, no constituyen en modo alguno un motivo suficiente o una razón determinante para dar por superada la falla estructural declarada en la Sentencia</w:t>
      </w:r>
      <w:r w:rsidRPr="005D131A">
        <w:rPr>
          <w:snapToGrid w:val="0"/>
          <w:sz w:val="28"/>
          <w:szCs w:val="28"/>
          <w:vertAlign w:val="superscript"/>
        </w:rPr>
        <w:footnoteReference w:id="94"/>
      </w:r>
      <w:r w:rsidRPr="005D131A">
        <w:rPr>
          <w:snapToGrid w:val="0"/>
          <w:sz w:val="28"/>
          <w:szCs w:val="28"/>
        </w:rPr>
        <w:t xml:space="preserve">.   </w:t>
      </w:r>
    </w:p>
    <w:p w:rsidR="00393006" w:rsidRPr="005D131A" w:rsidRDefault="00393006" w:rsidP="005D131A">
      <w:pPr>
        <w:rPr>
          <w:snapToGrid w:val="0"/>
          <w:sz w:val="28"/>
          <w:szCs w:val="28"/>
        </w:rPr>
      </w:pPr>
    </w:p>
    <w:p w:rsidR="00393006" w:rsidRPr="005D131A" w:rsidRDefault="00393006" w:rsidP="005D131A">
      <w:pPr>
        <w:rPr>
          <w:sz w:val="28"/>
          <w:szCs w:val="28"/>
          <w:lang w:eastAsia="es-ES_tradnl"/>
        </w:rPr>
      </w:pPr>
      <w:r w:rsidRPr="005D131A">
        <w:rPr>
          <w:snapToGrid w:val="0"/>
          <w:sz w:val="28"/>
          <w:szCs w:val="28"/>
        </w:rPr>
        <w:t>2.2. Durante los ocho años que han transcurrido desde la expedición del fallo objeto de supervisión</w:t>
      </w:r>
      <w:r w:rsidRPr="005D131A">
        <w:rPr>
          <w:snapToGrid w:val="0"/>
          <w:sz w:val="28"/>
          <w:szCs w:val="28"/>
          <w:vertAlign w:val="superscript"/>
        </w:rPr>
        <w:footnoteReference w:id="95"/>
      </w:r>
      <w:r w:rsidRPr="005D131A">
        <w:rPr>
          <w:snapToGrid w:val="0"/>
          <w:sz w:val="28"/>
          <w:szCs w:val="28"/>
        </w:rPr>
        <w:t>, este Tribunal ha realizado varias valoraciones de cumplimiento de algunas de las órdenes estructurales. En tal sentido, ha declarado incumplimientos generales</w:t>
      </w:r>
      <w:r w:rsidRPr="005D131A">
        <w:rPr>
          <w:snapToGrid w:val="0"/>
          <w:sz w:val="28"/>
          <w:szCs w:val="28"/>
          <w:vertAlign w:val="superscript"/>
        </w:rPr>
        <w:footnoteReference w:id="96"/>
      </w:r>
      <w:r w:rsidRPr="005D131A">
        <w:rPr>
          <w:snapToGrid w:val="0"/>
          <w:sz w:val="28"/>
          <w:szCs w:val="28"/>
        </w:rPr>
        <w:t>, incumplimientos parciales</w:t>
      </w:r>
      <w:r w:rsidRPr="005D131A">
        <w:rPr>
          <w:snapToGrid w:val="0"/>
          <w:sz w:val="28"/>
          <w:szCs w:val="28"/>
          <w:vertAlign w:val="superscript"/>
        </w:rPr>
        <w:footnoteReference w:id="97"/>
      </w:r>
      <w:r w:rsidRPr="005D131A">
        <w:rPr>
          <w:snapToGrid w:val="0"/>
          <w:sz w:val="28"/>
          <w:szCs w:val="28"/>
        </w:rPr>
        <w:t>, cumplimientos parciales</w:t>
      </w:r>
      <w:r w:rsidRPr="005D131A">
        <w:rPr>
          <w:snapToGrid w:val="0"/>
          <w:sz w:val="28"/>
          <w:szCs w:val="28"/>
          <w:vertAlign w:val="superscript"/>
        </w:rPr>
        <w:footnoteReference w:id="98"/>
      </w:r>
      <w:r w:rsidRPr="005D131A">
        <w:rPr>
          <w:snapToGrid w:val="0"/>
          <w:sz w:val="28"/>
          <w:szCs w:val="28"/>
        </w:rPr>
        <w:t xml:space="preserve"> e incluso, el nivel de acatamiento bajo</w:t>
      </w:r>
      <w:r w:rsidRPr="005D131A">
        <w:rPr>
          <w:snapToGrid w:val="0"/>
          <w:sz w:val="28"/>
          <w:szCs w:val="28"/>
          <w:vertAlign w:val="superscript"/>
        </w:rPr>
        <w:footnoteReference w:id="99"/>
      </w:r>
      <w:r w:rsidRPr="005D131A">
        <w:rPr>
          <w:snapToGrid w:val="0"/>
          <w:sz w:val="28"/>
          <w:szCs w:val="28"/>
        </w:rPr>
        <w:t>, con ocasión del análisis de las gestiones, acciones o medidas adelantadas por las autoridades obligadas. De hecho en el Auto 226 de 2011</w:t>
      </w:r>
      <w:r w:rsidRPr="005D131A">
        <w:rPr>
          <w:snapToGrid w:val="0"/>
          <w:sz w:val="28"/>
          <w:szCs w:val="28"/>
          <w:vertAlign w:val="superscript"/>
        </w:rPr>
        <w:footnoteReference w:id="100"/>
      </w:r>
      <w:r w:rsidRPr="005D131A">
        <w:rPr>
          <w:snapToGrid w:val="0"/>
          <w:sz w:val="28"/>
          <w:szCs w:val="28"/>
        </w:rPr>
        <w:t xml:space="preserve"> fueron determinados los niveles de acatamiento de la orden decimoséptima y sus correspondientes parámetros de cumplimiento. En aquella oportunidad se determinaron las medidas bajo los cuales se debería hacer esta valoración, que obedecían a </w:t>
      </w:r>
      <w:r w:rsidRPr="005D131A">
        <w:rPr>
          <w:b/>
          <w:sz w:val="28"/>
          <w:szCs w:val="28"/>
          <w:lang w:val="es-ES_tradnl"/>
        </w:rPr>
        <w:t>estructura</w:t>
      </w:r>
      <w:r w:rsidRPr="005D131A">
        <w:rPr>
          <w:sz w:val="28"/>
          <w:szCs w:val="28"/>
          <w:vertAlign w:val="superscript"/>
        </w:rPr>
        <w:footnoteReference w:id="101"/>
      </w:r>
      <w:r w:rsidRPr="005D131A">
        <w:rPr>
          <w:sz w:val="28"/>
          <w:szCs w:val="28"/>
          <w:lang w:val="es-ES_tradnl"/>
        </w:rPr>
        <w:t xml:space="preserve">, </w:t>
      </w:r>
      <w:r w:rsidRPr="005D131A">
        <w:rPr>
          <w:b/>
          <w:sz w:val="28"/>
          <w:szCs w:val="28"/>
          <w:lang w:val="es-ES_tradnl"/>
        </w:rPr>
        <w:t>proceso</w:t>
      </w:r>
      <w:r w:rsidRPr="005D131A">
        <w:rPr>
          <w:sz w:val="28"/>
          <w:szCs w:val="28"/>
          <w:vertAlign w:val="superscript"/>
        </w:rPr>
        <w:footnoteReference w:id="102"/>
      </w:r>
      <w:r w:rsidRPr="005D131A">
        <w:rPr>
          <w:sz w:val="28"/>
          <w:szCs w:val="28"/>
          <w:lang w:val="es-ES_tradnl"/>
        </w:rPr>
        <w:t xml:space="preserve"> y </w:t>
      </w:r>
      <w:r w:rsidRPr="005D131A">
        <w:rPr>
          <w:b/>
          <w:sz w:val="28"/>
          <w:szCs w:val="28"/>
          <w:lang w:val="es-ES_tradnl"/>
        </w:rPr>
        <w:t>resultado</w:t>
      </w:r>
      <w:r w:rsidRPr="005D131A">
        <w:rPr>
          <w:sz w:val="28"/>
          <w:szCs w:val="28"/>
          <w:vertAlign w:val="superscript"/>
        </w:rPr>
        <w:footnoteReference w:id="103"/>
      </w:r>
      <w:r w:rsidRPr="005D131A">
        <w:rPr>
          <w:sz w:val="28"/>
          <w:szCs w:val="28"/>
          <w:lang w:val="es-ES_tradnl"/>
        </w:rPr>
        <w:t xml:space="preserve"> para llevar a cabo la actualización integral del POS por parte del Ministerio de la Protección Social y la Comisión de Regulación en Salud. También fijó los niveles de cumplimiento e incumplimiento que regirían la valoración de dichos lineamientos e </w:t>
      </w:r>
      <w:r w:rsidRPr="005D131A">
        <w:rPr>
          <w:sz w:val="28"/>
          <w:szCs w:val="28"/>
          <w:lang w:val="es-ES_tradnl" w:eastAsia="es-ES_tradnl"/>
        </w:rPr>
        <w:t xml:space="preserve">invitó </w:t>
      </w:r>
      <w:r w:rsidRPr="005D131A">
        <w:rPr>
          <w:sz w:val="28"/>
          <w:szCs w:val="28"/>
          <w:lang w:val="es-ES_tradnl"/>
        </w:rPr>
        <w:t>al Gobierno Nacional y al Congreso de la República a que implementaran las medidas necesarias para acatar las diferentes órdenes generales impartidas en la sentencia T-760 de 2008, con el fin de avanzar hacia el goce efectivo del derecho fundamental a la salud de la población.</w:t>
      </w:r>
    </w:p>
    <w:p w:rsidR="00393006" w:rsidRPr="005D131A" w:rsidRDefault="00393006" w:rsidP="005D131A">
      <w:pPr>
        <w:rPr>
          <w:snapToGrid w:val="0"/>
          <w:sz w:val="28"/>
          <w:szCs w:val="28"/>
        </w:rPr>
      </w:pPr>
    </w:p>
    <w:p w:rsidR="00393006" w:rsidRPr="005D131A" w:rsidRDefault="00393006" w:rsidP="005D131A">
      <w:pPr>
        <w:rPr>
          <w:snapToGrid w:val="0"/>
          <w:sz w:val="28"/>
          <w:szCs w:val="28"/>
          <w:lang w:val="es-ES_tradnl"/>
        </w:rPr>
      </w:pPr>
      <w:r w:rsidRPr="005D131A">
        <w:rPr>
          <w:snapToGrid w:val="0"/>
          <w:sz w:val="28"/>
          <w:szCs w:val="28"/>
        </w:rPr>
        <w:t xml:space="preserve">No obstante, el tiempo que ha implicado el seguimiento obliga a que la Corte los actualice y contextualice respecto de la totalidad de mandatos objeto de supervisión. En este contexto, se profirió el </w:t>
      </w:r>
      <w:r w:rsidRPr="005D131A">
        <w:rPr>
          <w:snapToGrid w:val="0"/>
          <w:sz w:val="28"/>
          <w:szCs w:val="28"/>
          <w:lang w:val="es-ES_tradnl"/>
        </w:rPr>
        <w:t xml:space="preserve">Auto 411 de 2015, a través del cual esta Sala estableció los niveles de cumplimiento que seguirá aplicando a </w:t>
      </w:r>
      <w:r w:rsidRPr="005D131A">
        <w:rPr>
          <w:snapToGrid w:val="0"/>
          <w:sz w:val="28"/>
          <w:szCs w:val="28"/>
        </w:rPr>
        <w:t>la totalidad de valoraciones de acatamiento que se lleven a cabo respecto de las diferentes órdenes generales impartidas en la sentencia T-760 de 2008 y sus autos de seguimiento.</w:t>
      </w:r>
    </w:p>
    <w:p w:rsidR="00393006" w:rsidRPr="005D131A" w:rsidRDefault="00393006" w:rsidP="005D131A">
      <w:pPr>
        <w:tabs>
          <w:tab w:val="left" w:pos="426"/>
        </w:tabs>
        <w:rPr>
          <w:snapToGrid w:val="0"/>
          <w:sz w:val="28"/>
          <w:szCs w:val="28"/>
          <w:lang w:val="es-ES_tradnl"/>
        </w:rPr>
      </w:pPr>
    </w:p>
    <w:p w:rsidR="00393006" w:rsidRPr="005D131A" w:rsidRDefault="00393006" w:rsidP="005D131A">
      <w:pPr>
        <w:tabs>
          <w:tab w:val="left" w:pos="426"/>
        </w:tabs>
        <w:rPr>
          <w:sz w:val="28"/>
          <w:szCs w:val="28"/>
        </w:rPr>
      </w:pPr>
      <w:r w:rsidRPr="005D131A">
        <w:rPr>
          <w:snapToGrid w:val="0"/>
          <w:sz w:val="28"/>
          <w:szCs w:val="28"/>
          <w:lang w:val="es-ES_tradnl"/>
        </w:rPr>
        <w:t xml:space="preserve">Se advirtió que a pesar que en el </w:t>
      </w:r>
      <w:r w:rsidRPr="005D131A">
        <w:rPr>
          <w:sz w:val="28"/>
          <w:szCs w:val="28"/>
        </w:rPr>
        <w:t>Auto 226 de 2011</w:t>
      </w:r>
      <w:r w:rsidRPr="005D131A">
        <w:rPr>
          <w:sz w:val="28"/>
          <w:szCs w:val="28"/>
          <w:vertAlign w:val="superscript"/>
        </w:rPr>
        <w:footnoteReference w:id="104"/>
      </w:r>
      <w:r w:rsidRPr="005D131A">
        <w:rPr>
          <w:sz w:val="28"/>
          <w:szCs w:val="28"/>
        </w:rPr>
        <w:t xml:space="preserve"> fueron determinados los niveles de acatamiento de la orden decimoséptima y sus correspondientes parámetros de cumplimiento, se hizo necesario establecer la </w:t>
      </w:r>
      <w:r w:rsidRPr="005D131A">
        <w:rPr>
          <w:i/>
          <w:sz w:val="28"/>
          <w:szCs w:val="28"/>
        </w:rPr>
        <w:t>metodología y matrices de valoración</w:t>
      </w:r>
      <w:r w:rsidRPr="005D131A">
        <w:rPr>
          <w:sz w:val="28"/>
          <w:szCs w:val="28"/>
        </w:rPr>
        <w:t xml:space="preserve">, partiendo desde tres aspectos: las medidas, los resultados y los avances. </w:t>
      </w:r>
    </w:p>
    <w:p w:rsidR="00393006" w:rsidRPr="005D131A" w:rsidRDefault="00393006" w:rsidP="005D131A">
      <w:pPr>
        <w:rPr>
          <w:sz w:val="28"/>
          <w:szCs w:val="28"/>
        </w:rPr>
      </w:pPr>
    </w:p>
    <w:p w:rsidR="00393006" w:rsidRPr="005D131A" w:rsidRDefault="00393006" w:rsidP="005D131A">
      <w:pPr>
        <w:pStyle w:val="Prrafodelista"/>
        <w:tabs>
          <w:tab w:val="left" w:pos="567"/>
        </w:tabs>
        <w:ind w:left="0"/>
        <w:rPr>
          <w:b/>
          <w:sz w:val="28"/>
          <w:szCs w:val="28"/>
        </w:rPr>
      </w:pPr>
      <w:r w:rsidRPr="005D131A">
        <w:rPr>
          <w:sz w:val="28"/>
          <w:szCs w:val="28"/>
        </w:rPr>
        <w:t>A partir de allí se conceptualizan 5 categorías de evaluación de cumplimiento: (i) incumplimiento general; (ii) nivel de cumplimiento bajo; (iii) nivel de cumplimiento medio; (iv) nivel de cumplimiento alto; y (v) cumplimiento general</w:t>
      </w:r>
    </w:p>
    <w:p w:rsidR="00393006" w:rsidRPr="005D131A" w:rsidRDefault="00393006"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Lo anterior adquiere su fundamento, a partir de la necesidad de adelantar un examen más riguroso atendiendo el lapso temporal del que ha dispuesto el rector de la política pública para cumplir efectivamente la orden impuesta y que impide estudiar solamente los actos meramente formales acreditados por el Gobierno, toda vez que las determinaciones de este Tribunal se construirán desde la evidencia social.</w:t>
      </w:r>
    </w:p>
    <w:p w:rsidR="00343B8C" w:rsidRPr="005D131A" w:rsidRDefault="00343B8C"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Corresponde entonces a la Sala comprobar los resultados concretos que se han logrado en el sistema de salud, de manera que valore el avance en el goce efectivo del derecho de los residentes en el territorio nacional. Bajo este entendido solo se declararía la superación de la problemática estructural cuando el Ejecutivo demuestre: (i) unas transformaciones en el funcionamiento del sector salud; (ii) que esos cambios impliquen con alto grado de certeza la consecución de las condiciones para lograr el goce efectivo y avanzar sosteniblemente; y por último (iii) que esas soluciones tengan la virtud de ser coherentes y duraderas, como lo ha exigido la jurisprudencia de la Corte</w:t>
      </w:r>
      <w:r w:rsidRPr="005D131A">
        <w:rPr>
          <w:snapToGrid w:val="0"/>
          <w:sz w:val="28"/>
          <w:szCs w:val="28"/>
          <w:vertAlign w:val="superscript"/>
        </w:rPr>
        <w:footnoteReference w:id="105"/>
      </w:r>
      <w:r w:rsidRPr="005D131A">
        <w:rPr>
          <w:snapToGrid w:val="0"/>
          <w:sz w:val="28"/>
          <w:szCs w:val="28"/>
        </w:rPr>
        <w:t>.</w:t>
      </w:r>
    </w:p>
    <w:p w:rsidR="00393006" w:rsidRPr="005D131A" w:rsidRDefault="00393006"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 xml:space="preserve">La Sala Especial esperaría que existieran resultados verificables emanados de cada una de las decisiones cuyo cumplimiento es objeto de monitoreo. Al momento de valorar la ejecución de cada mandato, esta Corporación hará una calificación detenida de las medidas adoptadas y las acciones efectuadas por las autoridades, aunado a que determinará su impacto o efectividad en el sistema. Lo anterior, con fundamento en que la política pública debe construirse desde la realidad social y bajo el empoderamiento de la ciudadanía con el objeto de permitir la participación de los usuarios y la sociedad civil en las decisiones que le afectan. </w:t>
      </w:r>
    </w:p>
    <w:p w:rsidR="00393006" w:rsidRPr="005D131A" w:rsidRDefault="00393006"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 xml:space="preserve">Por consiguiente, la totalidad de valoraciones de acatamiento a futuro se podrán efectuar de manera general sobre la orden y específicamente sobre cada uno de sus elementos constitucionalmente relevantes. </w:t>
      </w:r>
    </w:p>
    <w:p w:rsidR="00393006" w:rsidRPr="005D131A" w:rsidRDefault="00393006" w:rsidP="005D131A">
      <w:pPr>
        <w:rPr>
          <w:b/>
          <w:snapToGrid w:val="0"/>
          <w:sz w:val="28"/>
          <w:szCs w:val="28"/>
        </w:rPr>
      </w:pPr>
    </w:p>
    <w:p w:rsidR="00393006" w:rsidRPr="005D131A" w:rsidRDefault="00393006" w:rsidP="005D131A">
      <w:pPr>
        <w:rPr>
          <w:b/>
          <w:snapToGrid w:val="0"/>
          <w:sz w:val="28"/>
          <w:szCs w:val="28"/>
        </w:rPr>
      </w:pPr>
      <w:r w:rsidRPr="005D131A">
        <w:rPr>
          <w:b/>
          <w:snapToGrid w:val="0"/>
          <w:sz w:val="28"/>
          <w:szCs w:val="28"/>
        </w:rPr>
        <w:t>2.3. Metodología y matrices de valoración:</w:t>
      </w:r>
      <w:r w:rsidRPr="005D131A">
        <w:rPr>
          <w:snapToGrid w:val="0"/>
          <w:sz w:val="28"/>
          <w:szCs w:val="28"/>
        </w:rPr>
        <w:t xml:space="preserve"> Como se expuso en el auto 411 de 2015 para adelantar esa evaluación, es necesario analizar la orden desde tres aspectos: las medidas, los resultados y los avances. </w:t>
      </w:r>
    </w:p>
    <w:p w:rsidR="00393006" w:rsidRPr="005D131A" w:rsidRDefault="00393006"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 xml:space="preserve">En primer lugar, se debe estudiar la existencia de </w:t>
      </w:r>
      <w:r w:rsidRPr="005D131A">
        <w:rPr>
          <w:b/>
          <w:snapToGrid w:val="0"/>
          <w:sz w:val="28"/>
          <w:szCs w:val="28"/>
        </w:rPr>
        <w:t xml:space="preserve">MEDIDAS </w:t>
      </w:r>
      <w:r w:rsidRPr="005D131A">
        <w:rPr>
          <w:snapToGrid w:val="0"/>
          <w:sz w:val="28"/>
          <w:szCs w:val="28"/>
        </w:rPr>
        <w:t>y si las mismas son conducentes o no de lo cual dependerá el nivel de cumplimiento decretado, como se expone:</w:t>
      </w:r>
    </w:p>
    <w:p w:rsidR="00393006" w:rsidRPr="005D131A" w:rsidRDefault="00393006" w:rsidP="005D131A">
      <w:pPr>
        <w:rPr>
          <w:snapToGrid w:val="0"/>
          <w:sz w:val="28"/>
          <w:szCs w:val="28"/>
        </w:rPr>
      </w:pPr>
    </w:p>
    <w:p w:rsidR="00E30D38" w:rsidRPr="005D131A" w:rsidRDefault="00E30D38" w:rsidP="005D131A">
      <w:pPr>
        <w:rPr>
          <w:snapToGrid w:val="0"/>
          <w:sz w:val="28"/>
          <w:szCs w:val="28"/>
        </w:rPr>
      </w:pPr>
    </w:p>
    <w:p w:rsidR="00E30D38" w:rsidRPr="005D131A" w:rsidRDefault="00393006" w:rsidP="005D131A">
      <w:pPr>
        <w:rPr>
          <w:snapToGrid w:val="0"/>
          <w:sz w:val="28"/>
          <w:szCs w:val="28"/>
        </w:rPr>
      </w:pPr>
      <w:r w:rsidRPr="005D131A">
        <w:rPr>
          <w:snapToGrid w:val="0"/>
          <w:sz w:val="28"/>
          <w:szCs w:val="28"/>
        </w:rPr>
        <w:t>Matriz n</w:t>
      </w:r>
      <w:r w:rsidR="00E30D38" w:rsidRPr="005D131A">
        <w:rPr>
          <w:snapToGrid w:val="0"/>
          <w:sz w:val="28"/>
          <w:szCs w:val="28"/>
        </w:rPr>
        <w:t>. 1</w:t>
      </w:r>
    </w:p>
    <w:tbl>
      <w:tblPr>
        <w:tblW w:w="9214" w:type="dxa"/>
        <w:tblInd w:w="-10" w:type="dxa"/>
        <w:tblCellMar>
          <w:left w:w="70" w:type="dxa"/>
          <w:right w:w="70" w:type="dxa"/>
        </w:tblCellMar>
        <w:tblLook w:val="04A0" w:firstRow="1" w:lastRow="0" w:firstColumn="1" w:lastColumn="0" w:noHBand="0" w:noVBand="1"/>
      </w:tblPr>
      <w:tblGrid>
        <w:gridCol w:w="468"/>
        <w:gridCol w:w="1867"/>
        <w:gridCol w:w="2054"/>
        <w:gridCol w:w="1867"/>
        <w:gridCol w:w="1867"/>
        <w:gridCol w:w="1867"/>
        <w:gridCol w:w="1867"/>
      </w:tblGrid>
      <w:tr w:rsidR="00393006" w:rsidRPr="005D131A" w:rsidTr="007772B7">
        <w:trPr>
          <w:trHeight w:val="731"/>
        </w:trPr>
        <w:tc>
          <w:tcPr>
            <w:tcW w:w="2084" w:type="dxa"/>
            <w:gridSpan w:val="2"/>
            <w:tcBorders>
              <w:top w:val="single" w:sz="8" w:space="0" w:color="auto"/>
              <w:left w:val="single" w:sz="8" w:space="0" w:color="auto"/>
              <w:bottom w:val="single" w:sz="4" w:space="0" w:color="auto"/>
              <w:right w:val="single" w:sz="4" w:space="0" w:color="auto"/>
            </w:tcBorders>
            <w:shd w:val="clear" w:color="000000" w:fill="A6A6A6"/>
            <w:vAlign w:val="center"/>
            <w:hideMark/>
          </w:tcPr>
          <w:p w:rsidR="00393006" w:rsidRPr="005D131A" w:rsidRDefault="00393006" w:rsidP="005D5550">
            <w:pPr>
              <w:ind w:right="-800"/>
              <w:rPr>
                <w:b/>
                <w:snapToGrid w:val="0"/>
                <w:sz w:val="28"/>
                <w:szCs w:val="28"/>
              </w:rPr>
            </w:pPr>
            <w:r w:rsidRPr="005D131A">
              <w:rPr>
                <w:b/>
                <w:snapToGrid w:val="0"/>
                <w:sz w:val="28"/>
                <w:szCs w:val="28"/>
              </w:rPr>
              <w:t>Elementos a evaluar </w:t>
            </w:r>
          </w:p>
        </w:tc>
        <w:tc>
          <w:tcPr>
            <w:tcW w:w="1507" w:type="dxa"/>
            <w:tcBorders>
              <w:top w:val="single" w:sz="8" w:space="0" w:color="auto"/>
              <w:left w:val="nil"/>
              <w:bottom w:val="single" w:sz="4" w:space="0" w:color="auto"/>
              <w:right w:val="single" w:sz="4" w:space="0" w:color="auto"/>
            </w:tcBorders>
            <w:shd w:val="clear" w:color="000000" w:fill="C00000"/>
            <w:vAlign w:val="center"/>
            <w:hideMark/>
          </w:tcPr>
          <w:p w:rsidR="00393006" w:rsidRPr="005D131A" w:rsidRDefault="00393006" w:rsidP="005D5550">
            <w:pPr>
              <w:ind w:right="-800"/>
              <w:rPr>
                <w:b/>
                <w:snapToGrid w:val="0"/>
                <w:sz w:val="28"/>
                <w:szCs w:val="28"/>
              </w:rPr>
            </w:pPr>
            <w:r w:rsidRPr="005D131A">
              <w:rPr>
                <w:b/>
                <w:snapToGrid w:val="0"/>
                <w:sz w:val="28"/>
                <w:szCs w:val="28"/>
              </w:rPr>
              <w:t>Incumplimiento General</w:t>
            </w:r>
          </w:p>
        </w:tc>
        <w:tc>
          <w:tcPr>
            <w:tcW w:w="1374" w:type="dxa"/>
            <w:tcBorders>
              <w:top w:val="single" w:sz="8" w:space="0" w:color="auto"/>
              <w:left w:val="nil"/>
              <w:bottom w:val="single" w:sz="4" w:space="0" w:color="auto"/>
              <w:right w:val="single" w:sz="4" w:space="0" w:color="auto"/>
            </w:tcBorders>
            <w:shd w:val="clear" w:color="000000" w:fill="FF0000"/>
            <w:vAlign w:val="center"/>
            <w:hideMark/>
          </w:tcPr>
          <w:p w:rsidR="00393006" w:rsidRPr="005D131A" w:rsidRDefault="00393006" w:rsidP="005D5550">
            <w:pPr>
              <w:ind w:right="-800"/>
              <w:rPr>
                <w:b/>
                <w:snapToGrid w:val="0"/>
                <w:sz w:val="28"/>
                <w:szCs w:val="28"/>
              </w:rPr>
            </w:pPr>
            <w:r w:rsidRPr="005D131A">
              <w:rPr>
                <w:b/>
                <w:snapToGrid w:val="0"/>
                <w:sz w:val="28"/>
                <w:szCs w:val="28"/>
              </w:rPr>
              <w:t>Nivel de Cumplimiento Bajo</w:t>
            </w:r>
          </w:p>
        </w:tc>
        <w:tc>
          <w:tcPr>
            <w:tcW w:w="1414" w:type="dxa"/>
            <w:tcBorders>
              <w:top w:val="single" w:sz="8" w:space="0" w:color="auto"/>
              <w:left w:val="nil"/>
              <w:bottom w:val="single" w:sz="4" w:space="0" w:color="auto"/>
              <w:right w:val="single" w:sz="4" w:space="0" w:color="auto"/>
            </w:tcBorders>
            <w:shd w:val="clear" w:color="000000" w:fill="ED7D31"/>
            <w:vAlign w:val="center"/>
            <w:hideMark/>
          </w:tcPr>
          <w:p w:rsidR="00393006" w:rsidRPr="005D131A" w:rsidRDefault="00393006" w:rsidP="005D5550">
            <w:pPr>
              <w:ind w:right="-800"/>
              <w:rPr>
                <w:b/>
                <w:snapToGrid w:val="0"/>
                <w:sz w:val="28"/>
                <w:szCs w:val="28"/>
              </w:rPr>
            </w:pPr>
            <w:r w:rsidRPr="005D131A">
              <w:rPr>
                <w:b/>
                <w:snapToGrid w:val="0"/>
                <w:sz w:val="28"/>
                <w:szCs w:val="28"/>
              </w:rPr>
              <w:t>Nivel de Cumplimiento Medio</w:t>
            </w:r>
          </w:p>
        </w:tc>
        <w:tc>
          <w:tcPr>
            <w:tcW w:w="1418" w:type="dxa"/>
            <w:tcBorders>
              <w:top w:val="single" w:sz="8" w:space="0" w:color="auto"/>
              <w:left w:val="nil"/>
              <w:bottom w:val="single" w:sz="4" w:space="0" w:color="auto"/>
              <w:right w:val="single" w:sz="4" w:space="0" w:color="auto"/>
            </w:tcBorders>
            <w:shd w:val="clear" w:color="000000" w:fill="FFFF00"/>
            <w:vAlign w:val="center"/>
            <w:hideMark/>
          </w:tcPr>
          <w:p w:rsidR="00393006" w:rsidRPr="005D131A" w:rsidRDefault="00393006" w:rsidP="005D5550">
            <w:pPr>
              <w:ind w:right="-800"/>
              <w:rPr>
                <w:b/>
                <w:snapToGrid w:val="0"/>
                <w:sz w:val="28"/>
                <w:szCs w:val="28"/>
              </w:rPr>
            </w:pPr>
            <w:r w:rsidRPr="005D131A">
              <w:rPr>
                <w:b/>
                <w:snapToGrid w:val="0"/>
                <w:sz w:val="28"/>
                <w:szCs w:val="28"/>
              </w:rPr>
              <w:t>Nivel de Cumplimiento Alto</w:t>
            </w:r>
          </w:p>
        </w:tc>
        <w:tc>
          <w:tcPr>
            <w:tcW w:w="1417" w:type="dxa"/>
            <w:tcBorders>
              <w:top w:val="single" w:sz="8" w:space="0" w:color="auto"/>
              <w:left w:val="nil"/>
              <w:bottom w:val="single" w:sz="4" w:space="0" w:color="auto"/>
              <w:right w:val="single" w:sz="8" w:space="0" w:color="auto"/>
            </w:tcBorders>
            <w:shd w:val="clear" w:color="000000" w:fill="70AD47"/>
            <w:vAlign w:val="center"/>
            <w:hideMark/>
          </w:tcPr>
          <w:p w:rsidR="00393006" w:rsidRPr="005D131A" w:rsidRDefault="00393006" w:rsidP="005D5550">
            <w:pPr>
              <w:ind w:right="-800"/>
              <w:rPr>
                <w:b/>
                <w:snapToGrid w:val="0"/>
                <w:sz w:val="28"/>
                <w:szCs w:val="28"/>
              </w:rPr>
            </w:pPr>
            <w:r w:rsidRPr="005D131A">
              <w:rPr>
                <w:b/>
                <w:snapToGrid w:val="0"/>
                <w:sz w:val="28"/>
                <w:szCs w:val="28"/>
              </w:rPr>
              <w:t>Cumplimiento General</w:t>
            </w:r>
          </w:p>
        </w:tc>
      </w:tr>
      <w:tr w:rsidR="00393006" w:rsidRPr="005D131A" w:rsidTr="007772B7">
        <w:trPr>
          <w:trHeight w:val="315"/>
        </w:trPr>
        <w:tc>
          <w:tcPr>
            <w:tcW w:w="376" w:type="dxa"/>
            <w:vMerge w:val="restart"/>
            <w:tcBorders>
              <w:top w:val="nil"/>
              <w:left w:val="single" w:sz="8" w:space="0" w:color="auto"/>
              <w:bottom w:val="single" w:sz="8" w:space="0" w:color="000000"/>
              <w:right w:val="single" w:sz="4" w:space="0" w:color="auto"/>
            </w:tcBorders>
            <w:shd w:val="clear" w:color="000000" w:fill="A6A6A6"/>
            <w:textDirection w:val="btLr"/>
            <w:vAlign w:val="center"/>
            <w:hideMark/>
          </w:tcPr>
          <w:p w:rsidR="00393006" w:rsidRPr="005D131A" w:rsidRDefault="00393006" w:rsidP="005D5550">
            <w:pPr>
              <w:ind w:right="-800"/>
              <w:rPr>
                <w:b/>
                <w:snapToGrid w:val="0"/>
                <w:sz w:val="28"/>
                <w:szCs w:val="28"/>
              </w:rPr>
            </w:pPr>
            <w:r w:rsidRPr="005D131A">
              <w:rPr>
                <w:b/>
                <w:snapToGrid w:val="0"/>
                <w:sz w:val="28"/>
                <w:szCs w:val="28"/>
              </w:rPr>
              <w:t>Medidas</w:t>
            </w:r>
          </w:p>
        </w:tc>
        <w:tc>
          <w:tcPr>
            <w:tcW w:w="1708" w:type="dxa"/>
            <w:tcBorders>
              <w:top w:val="nil"/>
              <w:left w:val="nil"/>
              <w:bottom w:val="single" w:sz="4" w:space="0" w:color="auto"/>
              <w:right w:val="single" w:sz="4" w:space="0" w:color="auto"/>
            </w:tcBorders>
            <w:vAlign w:val="center"/>
            <w:hideMark/>
          </w:tcPr>
          <w:p w:rsidR="00393006" w:rsidRPr="005D131A" w:rsidRDefault="00393006" w:rsidP="005D5550">
            <w:pPr>
              <w:ind w:right="-800"/>
              <w:rPr>
                <w:b/>
                <w:snapToGrid w:val="0"/>
                <w:sz w:val="28"/>
                <w:szCs w:val="28"/>
              </w:rPr>
            </w:pPr>
            <w:r w:rsidRPr="005D131A">
              <w:rPr>
                <w:b/>
                <w:snapToGrid w:val="0"/>
                <w:sz w:val="28"/>
                <w:szCs w:val="28"/>
              </w:rPr>
              <w:t>No existen</w:t>
            </w:r>
          </w:p>
        </w:tc>
        <w:tc>
          <w:tcPr>
            <w:tcW w:w="1507" w:type="dxa"/>
            <w:tcBorders>
              <w:top w:val="nil"/>
              <w:left w:val="nil"/>
              <w:bottom w:val="single" w:sz="4" w:space="0" w:color="auto"/>
              <w:right w:val="single" w:sz="4" w:space="0" w:color="auto"/>
            </w:tcBorders>
            <w:shd w:val="clear" w:color="000000" w:fill="C00000"/>
            <w:vAlign w:val="center"/>
            <w:hideMark/>
          </w:tcPr>
          <w:p w:rsidR="00393006" w:rsidRPr="005D131A" w:rsidRDefault="00393006" w:rsidP="005D5550">
            <w:pPr>
              <w:ind w:right="-800"/>
              <w:rPr>
                <w:b/>
                <w:snapToGrid w:val="0"/>
                <w:sz w:val="28"/>
                <w:szCs w:val="28"/>
              </w:rPr>
            </w:pPr>
            <w:r w:rsidRPr="005D131A">
              <w:rPr>
                <w:b/>
                <w:snapToGrid w:val="0"/>
                <w:sz w:val="28"/>
                <w:szCs w:val="28"/>
              </w:rPr>
              <w:t>X</w:t>
            </w:r>
          </w:p>
        </w:tc>
        <w:tc>
          <w:tcPr>
            <w:tcW w:w="1374" w:type="dxa"/>
            <w:tcBorders>
              <w:top w:val="nil"/>
              <w:left w:val="nil"/>
              <w:bottom w:val="single" w:sz="4" w:space="0" w:color="auto"/>
              <w:right w:val="single" w:sz="4" w:space="0" w:color="auto"/>
            </w:tcBorders>
            <w:shd w:val="clear" w:color="000000" w:fill="FF0000"/>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414" w:type="dxa"/>
            <w:tcBorders>
              <w:top w:val="nil"/>
              <w:left w:val="nil"/>
              <w:bottom w:val="single" w:sz="4" w:space="0" w:color="auto"/>
              <w:right w:val="single" w:sz="4" w:space="0" w:color="auto"/>
            </w:tcBorders>
            <w:shd w:val="clear" w:color="000000" w:fill="ED7D31"/>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418" w:type="dxa"/>
            <w:tcBorders>
              <w:top w:val="nil"/>
              <w:left w:val="nil"/>
              <w:bottom w:val="single" w:sz="4" w:space="0" w:color="auto"/>
              <w:right w:val="single" w:sz="4" w:space="0" w:color="auto"/>
            </w:tcBorders>
            <w:shd w:val="clear" w:color="000000" w:fill="FFFF00"/>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417" w:type="dxa"/>
            <w:tcBorders>
              <w:top w:val="nil"/>
              <w:left w:val="nil"/>
              <w:bottom w:val="single" w:sz="4" w:space="0" w:color="auto"/>
              <w:right w:val="single" w:sz="8" w:space="0" w:color="auto"/>
            </w:tcBorders>
            <w:shd w:val="clear" w:color="000000" w:fill="70AD47"/>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r>
      <w:tr w:rsidR="00393006" w:rsidRPr="005D131A" w:rsidTr="007772B7">
        <w:trPr>
          <w:trHeight w:val="315"/>
        </w:trPr>
        <w:tc>
          <w:tcPr>
            <w:tcW w:w="376" w:type="dxa"/>
            <w:vMerge/>
            <w:tcBorders>
              <w:top w:val="nil"/>
              <w:left w:val="single" w:sz="8" w:space="0" w:color="auto"/>
              <w:bottom w:val="single" w:sz="8" w:space="0" w:color="000000"/>
              <w:right w:val="single" w:sz="4" w:space="0" w:color="auto"/>
            </w:tcBorders>
            <w:vAlign w:val="center"/>
            <w:hideMark/>
          </w:tcPr>
          <w:p w:rsidR="00393006" w:rsidRPr="005D131A" w:rsidRDefault="00393006" w:rsidP="005D5550">
            <w:pPr>
              <w:ind w:right="-800"/>
              <w:rPr>
                <w:b/>
                <w:snapToGrid w:val="0"/>
                <w:sz w:val="28"/>
                <w:szCs w:val="28"/>
              </w:rPr>
            </w:pPr>
          </w:p>
        </w:tc>
        <w:tc>
          <w:tcPr>
            <w:tcW w:w="1708" w:type="dxa"/>
            <w:tcBorders>
              <w:top w:val="nil"/>
              <w:left w:val="nil"/>
              <w:bottom w:val="single" w:sz="4" w:space="0" w:color="auto"/>
              <w:right w:val="single" w:sz="4" w:space="0" w:color="auto"/>
            </w:tcBorders>
            <w:vAlign w:val="center"/>
            <w:hideMark/>
          </w:tcPr>
          <w:p w:rsidR="00393006" w:rsidRPr="005D131A" w:rsidRDefault="00393006" w:rsidP="005D5550">
            <w:pPr>
              <w:ind w:right="-800"/>
              <w:rPr>
                <w:b/>
                <w:snapToGrid w:val="0"/>
                <w:sz w:val="28"/>
                <w:szCs w:val="28"/>
              </w:rPr>
            </w:pPr>
            <w:r w:rsidRPr="005D131A">
              <w:rPr>
                <w:b/>
                <w:snapToGrid w:val="0"/>
                <w:sz w:val="28"/>
                <w:szCs w:val="28"/>
              </w:rPr>
              <w:t>Inconducentes</w:t>
            </w:r>
          </w:p>
        </w:tc>
        <w:tc>
          <w:tcPr>
            <w:tcW w:w="1507" w:type="dxa"/>
            <w:tcBorders>
              <w:top w:val="nil"/>
              <w:left w:val="nil"/>
              <w:bottom w:val="single" w:sz="4" w:space="0" w:color="auto"/>
              <w:right w:val="single" w:sz="4" w:space="0" w:color="auto"/>
            </w:tcBorders>
            <w:shd w:val="clear" w:color="000000" w:fill="C00000"/>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374" w:type="dxa"/>
            <w:tcBorders>
              <w:top w:val="nil"/>
              <w:left w:val="nil"/>
              <w:bottom w:val="single" w:sz="4" w:space="0" w:color="auto"/>
              <w:right w:val="single" w:sz="4" w:space="0" w:color="auto"/>
            </w:tcBorders>
            <w:shd w:val="clear" w:color="000000" w:fill="FF0000"/>
            <w:vAlign w:val="center"/>
            <w:hideMark/>
          </w:tcPr>
          <w:p w:rsidR="00393006" w:rsidRPr="005D131A" w:rsidRDefault="00393006" w:rsidP="005D5550">
            <w:pPr>
              <w:ind w:right="-800"/>
              <w:rPr>
                <w:b/>
                <w:snapToGrid w:val="0"/>
                <w:sz w:val="28"/>
                <w:szCs w:val="28"/>
              </w:rPr>
            </w:pPr>
            <w:r w:rsidRPr="005D131A">
              <w:rPr>
                <w:b/>
                <w:snapToGrid w:val="0"/>
                <w:sz w:val="28"/>
                <w:szCs w:val="28"/>
              </w:rPr>
              <w:t>X</w:t>
            </w:r>
          </w:p>
        </w:tc>
        <w:tc>
          <w:tcPr>
            <w:tcW w:w="1414" w:type="dxa"/>
            <w:tcBorders>
              <w:top w:val="nil"/>
              <w:left w:val="nil"/>
              <w:bottom w:val="single" w:sz="4" w:space="0" w:color="auto"/>
              <w:right w:val="single" w:sz="4" w:space="0" w:color="auto"/>
            </w:tcBorders>
            <w:shd w:val="clear" w:color="000000" w:fill="ED7D31"/>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418" w:type="dxa"/>
            <w:tcBorders>
              <w:top w:val="nil"/>
              <w:left w:val="nil"/>
              <w:bottom w:val="single" w:sz="4" w:space="0" w:color="auto"/>
              <w:right w:val="single" w:sz="4" w:space="0" w:color="auto"/>
            </w:tcBorders>
            <w:shd w:val="clear" w:color="000000" w:fill="FFFF00"/>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417" w:type="dxa"/>
            <w:tcBorders>
              <w:top w:val="nil"/>
              <w:left w:val="nil"/>
              <w:bottom w:val="single" w:sz="4" w:space="0" w:color="auto"/>
              <w:right w:val="single" w:sz="8" w:space="0" w:color="auto"/>
            </w:tcBorders>
            <w:shd w:val="clear" w:color="000000" w:fill="70AD47"/>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r>
      <w:tr w:rsidR="00393006" w:rsidRPr="005D131A" w:rsidTr="007772B7">
        <w:trPr>
          <w:trHeight w:val="330"/>
        </w:trPr>
        <w:tc>
          <w:tcPr>
            <w:tcW w:w="376" w:type="dxa"/>
            <w:vMerge/>
            <w:tcBorders>
              <w:top w:val="nil"/>
              <w:left w:val="single" w:sz="8" w:space="0" w:color="auto"/>
              <w:bottom w:val="single" w:sz="8" w:space="0" w:color="000000"/>
              <w:right w:val="single" w:sz="4" w:space="0" w:color="auto"/>
            </w:tcBorders>
            <w:vAlign w:val="center"/>
            <w:hideMark/>
          </w:tcPr>
          <w:p w:rsidR="00393006" w:rsidRPr="005D131A" w:rsidRDefault="00393006" w:rsidP="005D5550">
            <w:pPr>
              <w:ind w:right="-800"/>
              <w:rPr>
                <w:b/>
                <w:snapToGrid w:val="0"/>
                <w:sz w:val="28"/>
                <w:szCs w:val="28"/>
              </w:rPr>
            </w:pPr>
          </w:p>
        </w:tc>
        <w:tc>
          <w:tcPr>
            <w:tcW w:w="1708" w:type="dxa"/>
            <w:tcBorders>
              <w:top w:val="nil"/>
              <w:left w:val="nil"/>
              <w:bottom w:val="single" w:sz="8" w:space="0" w:color="auto"/>
              <w:right w:val="single" w:sz="4" w:space="0" w:color="auto"/>
            </w:tcBorders>
            <w:vAlign w:val="center"/>
            <w:hideMark/>
          </w:tcPr>
          <w:p w:rsidR="00393006" w:rsidRPr="005D131A" w:rsidRDefault="00393006" w:rsidP="005D5550">
            <w:pPr>
              <w:ind w:right="-800"/>
              <w:rPr>
                <w:b/>
                <w:snapToGrid w:val="0"/>
                <w:sz w:val="28"/>
                <w:szCs w:val="28"/>
              </w:rPr>
            </w:pPr>
            <w:r w:rsidRPr="005D131A">
              <w:rPr>
                <w:b/>
                <w:snapToGrid w:val="0"/>
                <w:sz w:val="28"/>
                <w:szCs w:val="28"/>
              </w:rPr>
              <w:t>Conducentes</w:t>
            </w:r>
          </w:p>
        </w:tc>
        <w:tc>
          <w:tcPr>
            <w:tcW w:w="1507" w:type="dxa"/>
            <w:tcBorders>
              <w:top w:val="nil"/>
              <w:left w:val="nil"/>
              <w:bottom w:val="single" w:sz="8" w:space="0" w:color="auto"/>
              <w:right w:val="single" w:sz="4" w:space="0" w:color="auto"/>
            </w:tcBorders>
            <w:shd w:val="clear" w:color="000000" w:fill="C00000"/>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374" w:type="dxa"/>
            <w:tcBorders>
              <w:top w:val="nil"/>
              <w:left w:val="nil"/>
              <w:bottom w:val="single" w:sz="8" w:space="0" w:color="auto"/>
              <w:right w:val="single" w:sz="4" w:space="0" w:color="auto"/>
            </w:tcBorders>
            <w:shd w:val="clear" w:color="000000" w:fill="FF0000"/>
            <w:vAlign w:val="center"/>
            <w:hideMark/>
          </w:tcPr>
          <w:p w:rsidR="00393006" w:rsidRPr="005D131A" w:rsidRDefault="00393006" w:rsidP="005D5550">
            <w:pPr>
              <w:ind w:right="-800"/>
              <w:rPr>
                <w:b/>
                <w:snapToGrid w:val="0"/>
                <w:sz w:val="28"/>
                <w:szCs w:val="28"/>
              </w:rPr>
            </w:pPr>
            <w:r w:rsidRPr="005D131A">
              <w:rPr>
                <w:b/>
                <w:snapToGrid w:val="0"/>
                <w:sz w:val="28"/>
                <w:szCs w:val="28"/>
              </w:rPr>
              <w:t>X</w:t>
            </w:r>
          </w:p>
        </w:tc>
        <w:tc>
          <w:tcPr>
            <w:tcW w:w="1414" w:type="dxa"/>
            <w:tcBorders>
              <w:top w:val="nil"/>
              <w:left w:val="nil"/>
              <w:bottom w:val="single" w:sz="8" w:space="0" w:color="auto"/>
              <w:right w:val="single" w:sz="4" w:space="0" w:color="auto"/>
            </w:tcBorders>
            <w:shd w:val="clear" w:color="000000" w:fill="ED7D31"/>
            <w:vAlign w:val="center"/>
            <w:hideMark/>
          </w:tcPr>
          <w:p w:rsidR="00393006" w:rsidRPr="005D131A" w:rsidRDefault="00393006" w:rsidP="005D5550">
            <w:pPr>
              <w:ind w:right="-800"/>
              <w:rPr>
                <w:b/>
                <w:snapToGrid w:val="0"/>
                <w:sz w:val="28"/>
                <w:szCs w:val="28"/>
              </w:rPr>
            </w:pPr>
            <w:r w:rsidRPr="005D131A">
              <w:rPr>
                <w:b/>
                <w:snapToGrid w:val="0"/>
                <w:sz w:val="28"/>
                <w:szCs w:val="28"/>
              </w:rPr>
              <w:t>X</w:t>
            </w:r>
          </w:p>
        </w:tc>
        <w:tc>
          <w:tcPr>
            <w:tcW w:w="1418" w:type="dxa"/>
            <w:tcBorders>
              <w:top w:val="nil"/>
              <w:left w:val="nil"/>
              <w:bottom w:val="single" w:sz="8" w:space="0" w:color="auto"/>
              <w:right w:val="single" w:sz="4" w:space="0" w:color="auto"/>
            </w:tcBorders>
            <w:shd w:val="clear" w:color="000000" w:fill="FFFF00"/>
            <w:vAlign w:val="center"/>
            <w:hideMark/>
          </w:tcPr>
          <w:p w:rsidR="00393006" w:rsidRPr="005D131A" w:rsidRDefault="00393006" w:rsidP="005D5550">
            <w:pPr>
              <w:ind w:right="-800"/>
              <w:rPr>
                <w:b/>
                <w:snapToGrid w:val="0"/>
                <w:sz w:val="28"/>
                <w:szCs w:val="28"/>
              </w:rPr>
            </w:pPr>
            <w:r w:rsidRPr="005D131A">
              <w:rPr>
                <w:b/>
                <w:snapToGrid w:val="0"/>
                <w:sz w:val="28"/>
                <w:szCs w:val="28"/>
              </w:rPr>
              <w:t>X</w:t>
            </w:r>
          </w:p>
        </w:tc>
        <w:tc>
          <w:tcPr>
            <w:tcW w:w="1417" w:type="dxa"/>
            <w:tcBorders>
              <w:top w:val="nil"/>
              <w:left w:val="nil"/>
              <w:bottom w:val="single" w:sz="8" w:space="0" w:color="auto"/>
              <w:right w:val="single" w:sz="8" w:space="0" w:color="auto"/>
            </w:tcBorders>
            <w:shd w:val="clear" w:color="000000" w:fill="70AD47"/>
            <w:vAlign w:val="center"/>
            <w:hideMark/>
          </w:tcPr>
          <w:p w:rsidR="00393006" w:rsidRPr="005D131A" w:rsidRDefault="00393006" w:rsidP="005D5550">
            <w:pPr>
              <w:ind w:right="-800"/>
              <w:rPr>
                <w:b/>
                <w:snapToGrid w:val="0"/>
                <w:sz w:val="28"/>
                <w:szCs w:val="28"/>
              </w:rPr>
            </w:pPr>
            <w:r w:rsidRPr="005D131A">
              <w:rPr>
                <w:b/>
                <w:snapToGrid w:val="0"/>
                <w:sz w:val="28"/>
                <w:szCs w:val="28"/>
              </w:rPr>
              <w:t>X</w:t>
            </w:r>
          </w:p>
        </w:tc>
      </w:tr>
    </w:tbl>
    <w:p w:rsidR="00393006" w:rsidRPr="005D131A" w:rsidRDefault="00393006" w:rsidP="005D5550">
      <w:pPr>
        <w:ind w:right="-800"/>
        <w:rPr>
          <w:snapToGrid w:val="0"/>
          <w:sz w:val="28"/>
          <w:szCs w:val="28"/>
        </w:rPr>
      </w:pPr>
    </w:p>
    <w:p w:rsidR="00393006" w:rsidRPr="005D131A" w:rsidRDefault="00393006" w:rsidP="005D5550">
      <w:pPr>
        <w:ind w:right="-800"/>
        <w:rPr>
          <w:snapToGrid w:val="0"/>
          <w:sz w:val="28"/>
          <w:szCs w:val="28"/>
        </w:rPr>
      </w:pPr>
      <w:r w:rsidRPr="005D131A">
        <w:rPr>
          <w:snapToGrid w:val="0"/>
          <w:sz w:val="28"/>
          <w:szCs w:val="28"/>
        </w:rPr>
        <w:t xml:space="preserve">Si la situación encuadra en el primer (no existen) o segundo (son inconducentes) supuesto se concluirá inmediatamente el estudio del grado de acatamiento. De lo contrario, si se constata la existencia de medidas conducentes para cumplir el objeto de la orden (3 fila de la matriz núm. 1), se continuará con la revisión de los </w:t>
      </w:r>
      <w:r w:rsidRPr="005D131A">
        <w:rPr>
          <w:b/>
          <w:snapToGrid w:val="0"/>
          <w:sz w:val="28"/>
          <w:szCs w:val="28"/>
        </w:rPr>
        <w:t>RESULTADOS</w:t>
      </w:r>
      <w:r w:rsidRPr="005D131A">
        <w:rPr>
          <w:snapToGrid w:val="0"/>
          <w:sz w:val="28"/>
          <w:szCs w:val="28"/>
        </w:rPr>
        <w:t>, a saber:</w:t>
      </w:r>
    </w:p>
    <w:p w:rsidR="00393006" w:rsidRPr="005D131A" w:rsidRDefault="00393006" w:rsidP="005D5550">
      <w:pPr>
        <w:ind w:right="-800"/>
        <w:rPr>
          <w:snapToGrid w:val="0"/>
          <w:sz w:val="28"/>
          <w:szCs w:val="28"/>
        </w:rPr>
      </w:pPr>
    </w:p>
    <w:p w:rsidR="00393006" w:rsidRPr="005D131A" w:rsidRDefault="00777CD1" w:rsidP="005D5550">
      <w:pPr>
        <w:ind w:right="-800"/>
        <w:rPr>
          <w:snapToGrid w:val="0"/>
          <w:sz w:val="28"/>
          <w:szCs w:val="28"/>
        </w:rPr>
      </w:pPr>
      <w:r w:rsidRPr="005D131A">
        <w:rPr>
          <w:snapToGrid w:val="0"/>
          <w:sz w:val="28"/>
          <w:szCs w:val="28"/>
        </w:rPr>
        <w:t>Matriz núm. 2</w:t>
      </w:r>
    </w:p>
    <w:tbl>
      <w:tblPr>
        <w:tblW w:w="9214" w:type="dxa"/>
        <w:tblInd w:w="-10" w:type="dxa"/>
        <w:tblCellMar>
          <w:left w:w="70" w:type="dxa"/>
          <w:right w:w="70" w:type="dxa"/>
        </w:tblCellMar>
        <w:tblLook w:val="04A0" w:firstRow="1" w:lastRow="0" w:firstColumn="1" w:lastColumn="0" w:noHBand="0" w:noVBand="1"/>
      </w:tblPr>
      <w:tblGrid>
        <w:gridCol w:w="468"/>
        <w:gridCol w:w="1727"/>
        <w:gridCol w:w="2054"/>
        <w:gridCol w:w="1867"/>
        <w:gridCol w:w="1867"/>
        <w:gridCol w:w="1867"/>
        <w:gridCol w:w="1867"/>
      </w:tblGrid>
      <w:tr w:rsidR="00393006" w:rsidRPr="005D131A" w:rsidTr="007772B7">
        <w:trPr>
          <w:trHeight w:val="742"/>
        </w:trPr>
        <w:tc>
          <w:tcPr>
            <w:tcW w:w="1869" w:type="dxa"/>
            <w:gridSpan w:val="2"/>
            <w:tcBorders>
              <w:top w:val="single" w:sz="8" w:space="0" w:color="auto"/>
              <w:left w:val="single" w:sz="8" w:space="0" w:color="auto"/>
              <w:bottom w:val="single" w:sz="4" w:space="0" w:color="auto"/>
              <w:right w:val="single" w:sz="4" w:space="0" w:color="auto"/>
            </w:tcBorders>
            <w:shd w:val="clear" w:color="000000" w:fill="A6A6A6"/>
            <w:vAlign w:val="center"/>
            <w:hideMark/>
          </w:tcPr>
          <w:p w:rsidR="00393006" w:rsidRPr="005D131A" w:rsidRDefault="00393006" w:rsidP="005D5550">
            <w:pPr>
              <w:ind w:right="-800"/>
              <w:rPr>
                <w:b/>
                <w:snapToGrid w:val="0"/>
                <w:sz w:val="28"/>
                <w:szCs w:val="28"/>
              </w:rPr>
            </w:pPr>
            <w:r w:rsidRPr="005D131A">
              <w:rPr>
                <w:b/>
                <w:snapToGrid w:val="0"/>
                <w:sz w:val="28"/>
                <w:szCs w:val="28"/>
              </w:rPr>
              <w:t>Elementos a evaluar </w:t>
            </w:r>
          </w:p>
        </w:tc>
        <w:tc>
          <w:tcPr>
            <w:tcW w:w="1666" w:type="dxa"/>
            <w:tcBorders>
              <w:top w:val="single" w:sz="8" w:space="0" w:color="auto"/>
              <w:left w:val="nil"/>
              <w:bottom w:val="single" w:sz="4" w:space="0" w:color="auto"/>
              <w:right w:val="single" w:sz="4" w:space="0" w:color="auto"/>
            </w:tcBorders>
            <w:shd w:val="clear" w:color="000000" w:fill="C00000"/>
            <w:vAlign w:val="center"/>
            <w:hideMark/>
          </w:tcPr>
          <w:p w:rsidR="00393006" w:rsidRPr="005D131A" w:rsidRDefault="00393006" w:rsidP="005D5550">
            <w:pPr>
              <w:ind w:right="-800"/>
              <w:rPr>
                <w:b/>
                <w:snapToGrid w:val="0"/>
                <w:sz w:val="28"/>
                <w:szCs w:val="28"/>
              </w:rPr>
            </w:pPr>
            <w:r w:rsidRPr="005D131A">
              <w:rPr>
                <w:b/>
                <w:snapToGrid w:val="0"/>
                <w:sz w:val="28"/>
                <w:szCs w:val="28"/>
              </w:rPr>
              <w:t>Incumplimiento General</w:t>
            </w:r>
          </w:p>
        </w:tc>
        <w:tc>
          <w:tcPr>
            <w:tcW w:w="1410" w:type="dxa"/>
            <w:tcBorders>
              <w:top w:val="single" w:sz="8" w:space="0" w:color="auto"/>
              <w:left w:val="nil"/>
              <w:bottom w:val="single" w:sz="4" w:space="0" w:color="auto"/>
              <w:right w:val="single" w:sz="4" w:space="0" w:color="auto"/>
            </w:tcBorders>
            <w:shd w:val="clear" w:color="000000" w:fill="FF0000"/>
            <w:vAlign w:val="center"/>
            <w:hideMark/>
          </w:tcPr>
          <w:p w:rsidR="00393006" w:rsidRPr="005D131A" w:rsidRDefault="00393006" w:rsidP="005D5550">
            <w:pPr>
              <w:ind w:right="-800"/>
              <w:rPr>
                <w:b/>
                <w:snapToGrid w:val="0"/>
                <w:sz w:val="28"/>
                <w:szCs w:val="28"/>
              </w:rPr>
            </w:pPr>
            <w:r w:rsidRPr="005D131A">
              <w:rPr>
                <w:b/>
                <w:snapToGrid w:val="0"/>
                <w:sz w:val="28"/>
                <w:szCs w:val="28"/>
              </w:rPr>
              <w:t>Nivel de Cumplimiento Bajo</w:t>
            </w:r>
          </w:p>
        </w:tc>
        <w:tc>
          <w:tcPr>
            <w:tcW w:w="1409" w:type="dxa"/>
            <w:tcBorders>
              <w:top w:val="single" w:sz="8" w:space="0" w:color="auto"/>
              <w:left w:val="nil"/>
              <w:bottom w:val="single" w:sz="4" w:space="0" w:color="auto"/>
              <w:right w:val="single" w:sz="4" w:space="0" w:color="auto"/>
            </w:tcBorders>
            <w:shd w:val="clear" w:color="000000" w:fill="ED7D31"/>
            <w:vAlign w:val="center"/>
            <w:hideMark/>
          </w:tcPr>
          <w:p w:rsidR="00393006" w:rsidRPr="005D131A" w:rsidRDefault="00393006" w:rsidP="005D5550">
            <w:pPr>
              <w:ind w:right="-800"/>
              <w:rPr>
                <w:b/>
                <w:snapToGrid w:val="0"/>
                <w:sz w:val="28"/>
                <w:szCs w:val="28"/>
              </w:rPr>
            </w:pPr>
            <w:r w:rsidRPr="005D131A">
              <w:rPr>
                <w:b/>
                <w:snapToGrid w:val="0"/>
                <w:sz w:val="28"/>
                <w:szCs w:val="28"/>
              </w:rPr>
              <w:t>Nivel de Cumplimiento Medio</w:t>
            </w:r>
          </w:p>
        </w:tc>
        <w:tc>
          <w:tcPr>
            <w:tcW w:w="1410" w:type="dxa"/>
            <w:tcBorders>
              <w:top w:val="single" w:sz="8" w:space="0" w:color="auto"/>
              <w:left w:val="nil"/>
              <w:bottom w:val="single" w:sz="4" w:space="0" w:color="auto"/>
              <w:right w:val="single" w:sz="4" w:space="0" w:color="auto"/>
            </w:tcBorders>
            <w:shd w:val="clear" w:color="000000" w:fill="FFFF00"/>
            <w:vAlign w:val="center"/>
            <w:hideMark/>
          </w:tcPr>
          <w:p w:rsidR="00393006" w:rsidRPr="005D131A" w:rsidRDefault="00393006" w:rsidP="005D5550">
            <w:pPr>
              <w:ind w:right="-800"/>
              <w:rPr>
                <w:b/>
                <w:snapToGrid w:val="0"/>
                <w:sz w:val="28"/>
                <w:szCs w:val="28"/>
              </w:rPr>
            </w:pPr>
            <w:r w:rsidRPr="005D131A">
              <w:rPr>
                <w:b/>
                <w:snapToGrid w:val="0"/>
                <w:sz w:val="28"/>
                <w:szCs w:val="28"/>
              </w:rPr>
              <w:t>Nivel de Cumplimiento Alto</w:t>
            </w:r>
          </w:p>
        </w:tc>
        <w:tc>
          <w:tcPr>
            <w:tcW w:w="1450" w:type="dxa"/>
            <w:tcBorders>
              <w:top w:val="single" w:sz="8" w:space="0" w:color="auto"/>
              <w:left w:val="nil"/>
              <w:bottom w:val="single" w:sz="4" w:space="0" w:color="auto"/>
              <w:right w:val="single" w:sz="8" w:space="0" w:color="auto"/>
            </w:tcBorders>
            <w:shd w:val="clear" w:color="000000" w:fill="70AD47"/>
            <w:vAlign w:val="center"/>
            <w:hideMark/>
          </w:tcPr>
          <w:p w:rsidR="00393006" w:rsidRPr="005D131A" w:rsidRDefault="00393006" w:rsidP="005D5550">
            <w:pPr>
              <w:ind w:right="-800"/>
              <w:rPr>
                <w:b/>
                <w:snapToGrid w:val="0"/>
                <w:sz w:val="28"/>
                <w:szCs w:val="28"/>
              </w:rPr>
            </w:pPr>
            <w:r w:rsidRPr="005D131A">
              <w:rPr>
                <w:b/>
                <w:snapToGrid w:val="0"/>
                <w:sz w:val="28"/>
                <w:szCs w:val="28"/>
              </w:rPr>
              <w:t>Cumplimiento General</w:t>
            </w:r>
          </w:p>
        </w:tc>
      </w:tr>
      <w:tr w:rsidR="00393006" w:rsidRPr="005D131A" w:rsidTr="007772B7">
        <w:trPr>
          <w:trHeight w:val="424"/>
        </w:trPr>
        <w:tc>
          <w:tcPr>
            <w:tcW w:w="377" w:type="dxa"/>
            <w:vMerge w:val="restart"/>
            <w:tcBorders>
              <w:top w:val="nil"/>
              <w:left w:val="single" w:sz="8" w:space="0" w:color="auto"/>
              <w:bottom w:val="single" w:sz="8" w:space="0" w:color="000000"/>
              <w:right w:val="single" w:sz="4" w:space="0" w:color="auto"/>
            </w:tcBorders>
            <w:shd w:val="clear" w:color="000000" w:fill="A6A6A6"/>
            <w:textDirection w:val="btLr"/>
            <w:vAlign w:val="center"/>
            <w:hideMark/>
          </w:tcPr>
          <w:p w:rsidR="00393006" w:rsidRPr="005D131A" w:rsidRDefault="00393006" w:rsidP="005D5550">
            <w:pPr>
              <w:ind w:right="-800"/>
              <w:rPr>
                <w:b/>
                <w:snapToGrid w:val="0"/>
                <w:sz w:val="28"/>
                <w:szCs w:val="28"/>
              </w:rPr>
            </w:pPr>
            <w:r w:rsidRPr="005D131A">
              <w:rPr>
                <w:b/>
                <w:snapToGrid w:val="0"/>
                <w:sz w:val="28"/>
                <w:szCs w:val="28"/>
              </w:rPr>
              <w:t>Resultados</w:t>
            </w:r>
          </w:p>
        </w:tc>
        <w:tc>
          <w:tcPr>
            <w:tcW w:w="1492" w:type="dxa"/>
            <w:tcBorders>
              <w:top w:val="nil"/>
              <w:left w:val="nil"/>
              <w:bottom w:val="single" w:sz="4" w:space="0" w:color="auto"/>
              <w:right w:val="single" w:sz="4" w:space="0" w:color="auto"/>
            </w:tcBorders>
            <w:vAlign w:val="center"/>
            <w:hideMark/>
          </w:tcPr>
          <w:p w:rsidR="00393006" w:rsidRPr="005D131A" w:rsidRDefault="00393006" w:rsidP="005D5550">
            <w:pPr>
              <w:ind w:right="-800"/>
              <w:rPr>
                <w:b/>
                <w:snapToGrid w:val="0"/>
                <w:sz w:val="28"/>
                <w:szCs w:val="28"/>
              </w:rPr>
            </w:pPr>
            <w:r w:rsidRPr="005D131A">
              <w:rPr>
                <w:b/>
                <w:snapToGrid w:val="0"/>
                <w:sz w:val="28"/>
                <w:szCs w:val="28"/>
              </w:rPr>
              <w:t>No acreditados</w:t>
            </w:r>
          </w:p>
        </w:tc>
        <w:tc>
          <w:tcPr>
            <w:tcW w:w="1666" w:type="dxa"/>
            <w:tcBorders>
              <w:top w:val="nil"/>
              <w:left w:val="nil"/>
              <w:bottom w:val="single" w:sz="4" w:space="0" w:color="auto"/>
              <w:right w:val="single" w:sz="4" w:space="0" w:color="auto"/>
            </w:tcBorders>
            <w:shd w:val="clear" w:color="000000" w:fill="C00000"/>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410" w:type="dxa"/>
            <w:tcBorders>
              <w:top w:val="nil"/>
              <w:left w:val="nil"/>
              <w:bottom w:val="single" w:sz="4" w:space="0" w:color="auto"/>
              <w:right w:val="single" w:sz="4" w:space="0" w:color="auto"/>
            </w:tcBorders>
            <w:shd w:val="clear" w:color="000000" w:fill="FF0000"/>
            <w:vAlign w:val="center"/>
            <w:hideMark/>
          </w:tcPr>
          <w:p w:rsidR="00393006" w:rsidRPr="005D131A" w:rsidRDefault="00393006" w:rsidP="005D5550">
            <w:pPr>
              <w:ind w:right="-800"/>
              <w:rPr>
                <w:b/>
                <w:snapToGrid w:val="0"/>
                <w:sz w:val="28"/>
                <w:szCs w:val="28"/>
              </w:rPr>
            </w:pPr>
            <w:r w:rsidRPr="005D131A">
              <w:rPr>
                <w:b/>
                <w:snapToGrid w:val="0"/>
                <w:sz w:val="28"/>
                <w:szCs w:val="28"/>
              </w:rPr>
              <w:t>X</w:t>
            </w:r>
          </w:p>
        </w:tc>
        <w:tc>
          <w:tcPr>
            <w:tcW w:w="1409" w:type="dxa"/>
            <w:tcBorders>
              <w:top w:val="nil"/>
              <w:left w:val="nil"/>
              <w:bottom w:val="single" w:sz="4" w:space="0" w:color="auto"/>
              <w:right w:val="single" w:sz="4" w:space="0" w:color="auto"/>
            </w:tcBorders>
            <w:shd w:val="clear" w:color="000000" w:fill="ED7D31"/>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410" w:type="dxa"/>
            <w:tcBorders>
              <w:top w:val="nil"/>
              <w:left w:val="nil"/>
              <w:bottom w:val="single" w:sz="4" w:space="0" w:color="auto"/>
              <w:right w:val="single" w:sz="4" w:space="0" w:color="auto"/>
            </w:tcBorders>
            <w:shd w:val="clear" w:color="000000" w:fill="FFFF00"/>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450" w:type="dxa"/>
            <w:tcBorders>
              <w:top w:val="nil"/>
              <w:left w:val="nil"/>
              <w:bottom w:val="single" w:sz="4" w:space="0" w:color="auto"/>
              <w:right w:val="single" w:sz="8" w:space="0" w:color="auto"/>
            </w:tcBorders>
            <w:shd w:val="clear" w:color="000000" w:fill="70AD47"/>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r>
      <w:tr w:rsidR="00393006" w:rsidRPr="005D131A" w:rsidTr="007772B7">
        <w:trPr>
          <w:trHeight w:val="315"/>
        </w:trPr>
        <w:tc>
          <w:tcPr>
            <w:tcW w:w="377" w:type="dxa"/>
            <w:vMerge/>
            <w:tcBorders>
              <w:top w:val="nil"/>
              <w:left w:val="single" w:sz="8" w:space="0" w:color="auto"/>
              <w:bottom w:val="single" w:sz="8" w:space="0" w:color="000000"/>
              <w:right w:val="single" w:sz="4" w:space="0" w:color="auto"/>
            </w:tcBorders>
            <w:vAlign w:val="center"/>
            <w:hideMark/>
          </w:tcPr>
          <w:p w:rsidR="00393006" w:rsidRPr="005D131A" w:rsidRDefault="00393006" w:rsidP="005D5550">
            <w:pPr>
              <w:ind w:right="-800"/>
              <w:rPr>
                <w:b/>
                <w:snapToGrid w:val="0"/>
                <w:sz w:val="28"/>
                <w:szCs w:val="28"/>
              </w:rPr>
            </w:pPr>
          </w:p>
        </w:tc>
        <w:tc>
          <w:tcPr>
            <w:tcW w:w="1492" w:type="dxa"/>
            <w:tcBorders>
              <w:top w:val="nil"/>
              <w:left w:val="nil"/>
              <w:bottom w:val="single" w:sz="4" w:space="0" w:color="auto"/>
              <w:right w:val="single" w:sz="4" w:space="0" w:color="auto"/>
            </w:tcBorders>
            <w:vAlign w:val="center"/>
            <w:hideMark/>
          </w:tcPr>
          <w:p w:rsidR="00393006" w:rsidRPr="005D131A" w:rsidRDefault="00393006" w:rsidP="005D5550">
            <w:pPr>
              <w:ind w:right="-800"/>
              <w:rPr>
                <w:b/>
                <w:snapToGrid w:val="0"/>
                <w:sz w:val="28"/>
                <w:szCs w:val="28"/>
              </w:rPr>
            </w:pPr>
            <w:r w:rsidRPr="005D131A">
              <w:rPr>
                <w:b/>
                <w:snapToGrid w:val="0"/>
                <w:sz w:val="28"/>
                <w:szCs w:val="28"/>
              </w:rPr>
              <w:t>No permiten evidenciar que se va a superar la problemática</w:t>
            </w:r>
          </w:p>
        </w:tc>
        <w:tc>
          <w:tcPr>
            <w:tcW w:w="1666" w:type="dxa"/>
            <w:tcBorders>
              <w:top w:val="nil"/>
              <w:left w:val="nil"/>
              <w:bottom w:val="single" w:sz="4" w:space="0" w:color="auto"/>
              <w:right w:val="single" w:sz="4" w:space="0" w:color="auto"/>
            </w:tcBorders>
            <w:shd w:val="clear" w:color="000000" w:fill="C00000"/>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410" w:type="dxa"/>
            <w:tcBorders>
              <w:top w:val="nil"/>
              <w:left w:val="nil"/>
              <w:bottom w:val="single" w:sz="4" w:space="0" w:color="auto"/>
              <w:right w:val="single" w:sz="4" w:space="0" w:color="auto"/>
            </w:tcBorders>
            <w:shd w:val="clear" w:color="000000" w:fill="FF0000"/>
            <w:vAlign w:val="center"/>
            <w:hideMark/>
          </w:tcPr>
          <w:p w:rsidR="00393006" w:rsidRPr="005D131A" w:rsidRDefault="00393006" w:rsidP="005D5550">
            <w:pPr>
              <w:ind w:right="-800"/>
              <w:rPr>
                <w:b/>
                <w:snapToGrid w:val="0"/>
                <w:sz w:val="28"/>
                <w:szCs w:val="28"/>
              </w:rPr>
            </w:pPr>
            <w:r w:rsidRPr="005D131A">
              <w:rPr>
                <w:b/>
                <w:snapToGrid w:val="0"/>
                <w:sz w:val="28"/>
                <w:szCs w:val="28"/>
              </w:rPr>
              <w:t>X</w:t>
            </w:r>
          </w:p>
        </w:tc>
        <w:tc>
          <w:tcPr>
            <w:tcW w:w="1409" w:type="dxa"/>
            <w:tcBorders>
              <w:top w:val="nil"/>
              <w:left w:val="nil"/>
              <w:bottom w:val="single" w:sz="4" w:space="0" w:color="auto"/>
              <w:right w:val="single" w:sz="4" w:space="0" w:color="auto"/>
            </w:tcBorders>
            <w:shd w:val="clear" w:color="000000" w:fill="ED7D31"/>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410" w:type="dxa"/>
            <w:tcBorders>
              <w:top w:val="nil"/>
              <w:left w:val="nil"/>
              <w:bottom w:val="single" w:sz="4" w:space="0" w:color="auto"/>
              <w:right w:val="single" w:sz="4" w:space="0" w:color="auto"/>
            </w:tcBorders>
            <w:shd w:val="clear" w:color="000000" w:fill="FFFF00"/>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450" w:type="dxa"/>
            <w:tcBorders>
              <w:top w:val="nil"/>
              <w:left w:val="nil"/>
              <w:bottom w:val="single" w:sz="4" w:space="0" w:color="auto"/>
              <w:right w:val="single" w:sz="8" w:space="0" w:color="auto"/>
            </w:tcBorders>
            <w:shd w:val="clear" w:color="000000" w:fill="70AD47"/>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r>
      <w:tr w:rsidR="00393006" w:rsidRPr="005D131A" w:rsidTr="007772B7">
        <w:trPr>
          <w:trHeight w:val="330"/>
        </w:trPr>
        <w:tc>
          <w:tcPr>
            <w:tcW w:w="377" w:type="dxa"/>
            <w:vMerge/>
            <w:tcBorders>
              <w:top w:val="nil"/>
              <w:left w:val="single" w:sz="8" w:space="0" w:color="auto"/>
              <w:bottom w:val="single" w:sz="8" w:space="0" w:color="000000"/>
              <w:right w:val="single" w:sz="4" w:space="0" w:color="auto"/>
            </w:tcBorders>
            <w:vAlign w:val="center"/>
            <w:hideMark/>
          </w:tcPr>
          <w:p w:rsidR="00393006" w:rsidRPr="005D131A" w:rsidRDefault="00393006" w:rsidP="005D5550">
            <w:pPr>
              <w:ind w:right="-800"/>
              <w:rPr>
                <w:b/>
                <w:snapToGrid w:val="0"/>
                <w:sz w:val="28"/>
                <w:szCs w:val="28"/>
              </w:rPr>
            </w:pPr>
          </w:p>
        </w:tc>
        <w:tc>
          <w:tcPr>
            <w:tcW w:w="1492" w:type="dxa"/>
            <w:tcBorders>
              <w:top w:val="single" w:sz="4" w:space="0" w:color="auto"/>
              <w:left w:val="nil"/>
              <w:bottom w:val="single" w:sz="4" w:space="0" w:color="auto"/>
              <w:right w:val="single" w:sz="4" w:space="0" w:color="auto"/>
            </w:tcBorders>
            <w:vAlign w:val="center"/>
            <w:hideMark/>
          </w:tcPr>
          <w:p w:rsidR="00393006" w:rsidRPr="005D131A" w:rsidRDefault="00393006" w:rsidP="005D5550">
            <w:pPr>
              <w:ind w:right="-800"/>
              <w:rPr>
                <w:b/>
                <w:snapToGrid w:val="0"/>
                <w:sz w:val="28"/>
                <w:szCs w:val="28"/>
              </w:rPr>
            </w:pPr>
            <w:r w:rsidRPr="005D131A">
              <w:rPr>
                <w:b/>
                <w:snapToGrid w:val="0"/>
                <w:sz w:val="28"/>
                <w:szCs w:val="28"/>
              </w:rPr>
              <w:t>Permiten evidenciar que se va a superar la problemática</w:t>
            </w:r>
          </w:p>
        </w:tc>
        <w:tc>
          <w:tcPr>
            <w:tcW w:w="1666" w:type="dxa"/>
            <w:tcBorders>
              <w:top w:val="single" w:sz="4" w:space="0" w:color="auto"/>
              <w:left w:val="nil"/>
              <w:bottom w:val="single" w:sz="4" w:space="0" w:color="auto"/>
              <w:right w:val="single" w:sz="4" w:space="0" w:color="auto"/>
            </w:tcBorders>
            <w:shd w:val="clear" w:color="000000" w:fill="C00000"/>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410" w:type="dxa"/>
            <w:tcBorders>
              <w:top w:val="single" w:sz="4" w:space="0" w:color="auto"/>
              <w:left w:val="nil"/>
              <w:bottom w:val="single" w:sz="4" w:space="0" w:color="auto"/>
              <w:right w:val="single" w:sz="4" w:space="0" w:color="auto"/>
            </w:tcBorders>
            <w:shd w:val="clear" w:color="000000" w:fill="FF0000"/>
            <w:vAlign w:val="center"/>
            <w:hideMark/>
          </w:tcPr>
          <w:p w:rsidR="00393006" w:rsidRPr="005D131A" w:rsidRDefault="00393006" w:rsidP="005D5550">
            <w:pPr>
              <w:ind w:right="-800"/>
              <w:rPr>
                <w:b/>
                <w:snapToGrid w:val="0"/>
                <w:sz w:val="28"/>
                <w:szCs w:val="28"/>
              </w:rPr>
            </w:pPr>
            <w:r w:rsidRPr="005D131A">
              <w:rPr>
                <w:b/>
                <w:snapToGrid w:val="0"/>
                <w:sz w:val="28"/>
                <w:szCs w:val="28"/>
              </w:rPr>
              <w:t> </w:t>
            </w:r>
          </w:p>
        </w:tc>
        <w:tc>
          <w:tcPr>
            <w:tcW w:w="1409" w:type="dxa"/>
            <w:tcBorders>
              <w:top w:val="single" w:sz="4" w:space="0" w:color="auto"/>
              <w:left w:val="nil"/>
              <w:bottom w:val="single" w:sz="4" w:space="0" w:color="auto"/>
              <w:right w:val="single" w:sz="4" w:space="0" w:color="auto"/>
            </w:tcBorders>
            <w:shd w:val="clear" w:color="000000" w:fill="ED7D31"/>
            <w:vAlign w:val="center"/>
            <w:hideMark/>
          </w:tcPr>
          <w:p w:rsidR="00393006" w:rsidRPr="005D131A" w:rsidRDefault="00393006" w:rsidP="005D5550">
            <w:pPr>
              <w:ind w:right="-800"/>
              <w:rPr>
                <w:b/>
                <w:snapToGrid w:val="0"/>
                <w:sz w:val="28"/>
                <w:szCs w:val="28"/>
              </w:rPr>
            </w:pPr>
            <w:r w:rsidRPr="005D131A">
              <w:rPr>
                <w:b/>
                <w:snapToGrid w:val="0"/>
                <w:sz w:val="28"/>
                <w:szCs w:val="28"/>
              </w:rPr>
              <w:t>X</w:t>
            </w:r>
          </w:p>
        </w:tc>
        <w:tc>
          <w:tcPr>
            <w:tcW w:w="1410" w:type="dxa"/>
            <w:tcBorders>
              <w:top w:val="single" w:sz="4" w:space="0" w:color="auto"/>
              <w:left w:val="nil"/>
              <w:bottom w:val="single" w:sz="4" w:space="0" w:color="auto"/>
              <w:right w:val="single" w:sz="4" w:space="0" w:color="auto"/>
            </w:tcBorders>
            <w:shd w:val="clear" w:color="000000" w:fill="FFFF00"/>
            <w:vAlign w:val="center"/>
            <w:hideMark/>
          </w:tcPr>
          <w:p w:rsidR="00393006" w:rsidRPr="005D131A" w:rsidRDefault="00393006" w:rsidP="005D5550">
            <w:pPr>
              <w:ind w:right="-800"/>
              <w:rPr>
                <w:b/>
                <w:snapToGrid w:val="0"/>
                <w:sz w:val="28"/>
                <w:szCs w:val="28"/>
              </w:rPr>
            </w:pPr>
            <w:r w:rsidRPr="005D131A">
              <w:rPr>
                <w:b/>
                <w:snapToGrid w:val="0"/>
                <w:sz w:val="28"/>
                <w:szCs w:val="28"/>
              </w:rPr>
              <w:t>X</w:t>
            </w:r>
          </w:p>
        </w:tc>
        <w:tc>
          <w:tcPr>
            <w:tcW w:w="1450" w:type="dxa"/>
            <w:tcBorders>
              <w:top w:val="single" w:sz="4" w:space="0" w:color="auto"/>
              <w:left w:val="nil"/>
              <w:bottom w:val="single" w:sz="4" w:space="0" w:color="auto"/>
              <w:right w:val="single" w:sz="4" w:space="0" w:color="auto"/>
            </w:tcBorders>
            <w:shd w:val="clear" w:color="000000" w:fill="70AD47"/>
            <w:vAlign w:val="center"/>
            <w:hideMark/>
          </w:tcPr>
          <w:p w:rsidR="00393006" w:rsidRPr="005D131A" w:rsidRDefault="00393006" w:rsidP="005D5550">
            <w:pPr>
              <w:ind w:right="-800"/>
              <w:rPr>
                <w:b/>
                <w:snapToGrid w:val="0"/>
                <w:sz w:val="28"/>
                <w:szCs w:val="28"/>
              </w:rPr>
            </w:pPr>
            <w:r w:rsidRPr="005D131A">
              <w:rPr>
                <w:b/>
                <w:snapToGrid w:val="0"/>
                <w:sz w:val="28"/>
                <w:szCs w:val="28"/>
              </w:rPr>
              <w:t>X</w:t>
            </w:r>
          </w:p>
        </w:tc>
      </w:tr>
    </w:tbl>
    <w:p w:rsidR="00393006" w:rsidRPr="005D131A" w:rsidRDefault="00393006" w:rsidP="005D5550">
      <w:pPr>
        <w:ind w:right="-800"/>
        <w:rPr>
          <w:snapToGrid w:val="0"/>
          <w:sz w:val="28"/>
          <w:szCs w:val="28"/>
        </w:rPr>
      </w:pPr>
    </w:p>
    <w:p w:rsidR="00393006" w:rsidRPr="005D131A" w:rsidRDefault="00393006" w:rsidP="005D5550">
      <w:pPr>
        <w:ind w:right="-800"/>
        <w:rPr>
          <w:snapToGrid w:val="0"/>
          <w:sz w:val="28"/>
          <w:szCs w:val="28"/>
        </w:rPr>
      </w:pPr>
      <w:r w:rsidRPr="005D131A">
        <w:rPr>
          <w:snapToGrid w:val="0"/>
          <w:sz w:val="28"/>
          <w:szCs w:val="28"/>
        </w:rPr>
        <w:t xml:space="preserve">Si los resultados no fueron acreditados o no permiten evidenciar que se vaya a superar la crisis se calificará hasta este aspecto la observancia de la orden. Solo si se llegare a contar con pruebas que permitan deducir que si se va a conjurar la falla (3º fila de la matriz núm. 2), se prosigue a la evaluación de los </w:t>
      </w:r>
      <w:r w:rsidRPr="005D131A">
        <w:rPr>
          <w:b/>
          <w:snapToGrid w:val="0"/>
          <w:sz w:val="28"/>
          <w:szCs w:val="28"/>
        </w:rPr>
        <w:t>AVANCES</w:t>
      </w:r>
      <w:r w:rsidRPr="005D131A">
        <w:rPr>
          <w:snapToGrid w:val="0"/>
          <w:sz w:val="28"/>
          <w:szCs w:val="28"/>
        </w:rPr>
        <w:t xml:space="preserve"> bajo los siguientes parámetros:</w:t>
      </w:r>
    </w:p>
    <w:p w:rsidR="00393006" w:rsidRPr="005D131A" w:rsidRDefault="00393006" w:rsidP="005D131A">
      <w:pPr>
        <w:rPr>
          <w:snapToGrid w:val="0"/>
          <w:sz w:val="28"/>
          <w:szCs w:val="28"/>
        </w:rPr>
      </w:pPr>
    </w:p>
    <w:p w:rsidR="00393006" w:rsidRPr="005D131A" w:rsidRDefault="00777CD1" w:rsidP="005D131A">
      <w:pPr>
        <w:rPr>
          <w:snapToGrid w:val="0"/>
          <w:sz w:val="28"/>
          <w:szCs w:val="28"/>
        </w:rPr>
      </w:pPr>
      <w:r w:rsidRPr="005D131A">
        <w:rPr>
          <w:snapToGrid w:val="0"/>
          <w:sz w:val="28"/>
          <w:szCs w:val="28"/>
        </w:rPr>
        <w:t>Matriz núm. 3</w:t>
      </w:r>
    </w:p>
    <w:tbl>
      <w:tblPr>
        <w:tblW w:w="9771" w:type="dxa"/>
        <w:jc w:val="center"/>
        <w:tblLayout w:type="fixed"/>
        <w:tblCellMar>
          <w:left w:w="70" w:type="dxa"/>
          <w:right w:w="70" w:type="dxa"/>
        </w:tblCellMar>
        <w:tblLook w:val="04A0" w:firstRow="1" w:lastRow="0" w:firstColumn="1" w:lastColumn="0" w:noHBand="0" w:noVBand="1"/>
      </w:tblPr>
      <w:tblGrid>
        <w:gridCol w:w="293"/>
        <w:gridCol w:w="2127"/>
        <w:gridCol w:w="1559"/>
        <w:gridCol w:w="1559"/>
        <w:gridCol w:w="1418"/>
        <w:gridCol w:w="1417"/>
        <w:gridCol w:w="1398"/>
      </w:tblGrid>
      <w:tr w:rsidR="00393006" w:rsidRPr="005D131A" w:rsidTr="007772B7">
        <w:trPr>
          <w:trHeight w:val="945"/>
          <w:jc w:val="center"/>
        </w:trPr>
        <w:tc>
          <w:tcPr>
            <w:tcW w:w="2420" w:type="dxa"/>
            <w:gridSpan w:val="2"/>
            <w:tcBorders>
              <w:top w:val="single" w:sz="8" w:space="0" w:color="auto"/>
              <w:left w:val="single" w:sz="8" w:space="0" w:color="auto"/>
              <w:bottom w:val="single" w:sz="4" w:space="0" w:color="auto"/>
              <w:right w:val="single" w:sz="4" w:space="0" w:color="auto"/>
            </w:tcBorders>
            <w:shd w:val="clear" w:color="000000" w:fill="A6A6A6"/>
            <w:vAlign w:val="center"/>
            <w:hideMark/>
          </w:tcPr>
          <w:p w:rsidR="00393006" w:rsidRPr="005D131A" w:rsidRDefault="00393006" w:rsidP="005D131A">
            <w:pPr>
              <w:rPr>
                <w:b/>
                <w:snapToGrid w:val="0"/>
                <w:sz w:val="28"/>
                <w:szCs w:val="28"/>
              </w:rPr>
            </w:pPr>
            <w:r w:rsidRPr="005D131A">
              <w:rPr>
                <w:b/>
                <w:snapToGrid w:val="0"/>
                <w:sz w:val="28"/>
                <w:szCs w:val="28"/>
              </w:rPr>
              <w:t>Elementos a evaluar </w:t>
            </w:r>
          </w:p>
        </w:tc>
        <w:tc>
          <w:tcPr>
            <w:tcW w:w="1559" w:type="dxa"/>
            <w:tcBorders>
              <w:top w:val="single" w:sz="8" w:space="0" w:color="auto"/>
              <w:left w:val="nil"/>
              <w:bottom w:val="single" w:sz="4" w:space="0" w:color="auto"/>
              <w:right w:val="single" w:sz="4" w:space="0" w:color="auto"/>
            </w:tcBorders>
            <w:shd w:val="clear" w:color="000000" w:fill="C00000"/>
            <w:vAlign w:val="center"/>
            <w:hideMark/>
          </w:tcPr>
          <w:p w:rsidR="00393006" w:rsidRPr="005D131A" w:rsidRDefault="00393006" w:rsidP="005D131A">
            <w:pPr>
              <w:rPr>
                <w:b/>
                <w:snapToGrid w:val="0"/>
                <w:sz w:val="28"/>
                <w:szCs w:val="28"/>
              </w:rPr>
            </w:pPr>
            <w:r w:rsidRPr="005D131A">
              <w:rPr>
                <w:b/>
                <w:snapToGrid w:val="0"/>
                <w:sz w:val="28"/>
                <w:szCs w:val="28"/>
              </w:rPr>
              <w:t>Incumplimiento General</w:t>
            </w:r>
          </w:p>
        </w:tc>
        <w:tc>
          <w:tcPr>
            <w:tcW w:w="1559" w:type="dxa"/>
            <w:tcBorders>
              <w:top w:val="single" w:sz="8" w:space="0" w:color="auto"/>
              <w:left w:val="nil"/>
              <w:bottom w:val="single" w:sz="4" w:space="0" w:color="auto"/>
              <w:right w:val="single" w:sz="4" w:space="0" w:color="auto"/>
            </w:tcBorders>
            <w:shd w:val="clear" w:color="000000" w:fill="FF0000"/>
            <w:vAlign w:val="center"/>
            <w:hideMark/>
          </w:tcPr>
          <w:p w:rsidR="00393006" w:rsidRPr="005D131A" w:rsidRDefault="00393006" w:rsidP="005D131A">
            <w:pPr>
              <w:rPr>
                <w:b/>
                <w:snapToGrid w:val="0"/>
                <w:sz w:val="28"/>
                <w:szCs w:val="28"/>
              </w:rPr>
            </w:pPr>
            <w:r w:rsidRPr="005D131A">
              <w:rPr>
                <w:b/>
                <w:snapToGrid w:val="0"/>
                <w:sz w:val="28"/>
                <w:szCs w:val="28"/>
              </w:rPr>
              <w:t>Nivel de Cumplimiento Bajo</w:t>
            </w:r>
          </w:p>
        </w:tc>
        <w:tc>
          <w:tcPr>
            <w:tcW w:w="1418" w:type="dxa"/>
            <w:tcBorders>
              <w:top w:val="single" w:sz="8" w:space="0" w:color="auto"/>
              <w:left w:val="nil"/>
              <w:bottom w:val="single" w:sz="4" w:space="0" w:color="auto"/>
              <w:right w:val="single" w:sz="4" w:space="0" w:color="auto"/>
            </w:tcBorders>
            <w:shd w:val="clear" w:color="000000" w:fill="ED7D31"/>
            <w:vAlign w:val="center"/>
            <w:hideMark/>
          </w:tcPr>
          <w:p w:rsidR="00393006" w:rsidRPr="005D131A" w:rsidRDefault="00393006" w:rsidP="005D131A">
            <w:pPr>
              <w:rPr>
                <w:b/>
                <w:snapToGrid w:val="0"/>
                <w:sz w:val="28"/>
                <w:szCs w:val="28"/>
              </w:rPr>
            </w:pPr>
            <w:r w:rsidRPr="005D131A">
              <w:rPr>
                <w:b/>
                <w:snapToGrid w:val="0"/>
                <w:sz w:val="28"/>
                <w:szCs w:val="28"/>
              </w:rPr>
              <w:t>Nivel de Cumplimiento Medio</w:t>
            </w:r>
          </w:p>
        </w:tc>
        <w:tc>
          <w:tcPr>
            <w:tcW w:w="1417" w:type="dxa"/>
            <w:tcBorders>
              <w:top w:val="single" w:sz="8" w:space="0" w:color="auto"/>
              <w:left w:val="nil"/>
              <w:bottom w:val="single" w:sz="4" w:space="0" w:color="auto"/>
              <w:right w:val="single" w:sz="4" w:space="0" w:color="auto"/>
            </w:tcBorders>
            <w:shd w:val="clear" w:color="000000" w:fill="FFFF00"/>
            <w:vAlign w:val="center"/>
            <w:hideMark/>
          </w:tcPr>
          <w:p w:rsidR="00393006" w:rsidRPr="005D131A" w:rsidRDefault="00393006" w:rsidP="005D131A">
            <w:pPr>
              <w:rPr>
                <w:b/>
                <w:snapToGrid w:val="0"/>
                <w:sz w:val="28"/>
                <w:szCs w:val="28"/>
              </w:rPr>
            </w:pPr>
            <w:r w:rsidRPr="005D131A">
              <w:rPr>
                <w:b/>
                <w:snapToGrid w:val="0"/>
                <w:sz w:val="28"/>
                <w:szCs w:val="28"/>
              </w:rPr>
              <w:t>Nivel de Cumplimiento Alto</w:t>
            </w:r>
          </w:p>
        </w:tc>
        <w:tc>
          <w:tcPr>
            <w:tcW w:w="1398" w:type="dxa"/>
            <w:tcBorders>
              <w:top w:val="single" w:sz="8" w:space="0" w:color="auto"/>
              <w:left w:val="nil"/>
              <w:bottom w:val="single" w:sz="4" w:space="0" w:color="auto"/>
              <w:right w:val="single" w:sz="8" w:space="0" w:color="auto"/>
            </w:tcBorders>
            <w:shd w:val="clear" w:color="000000" w:fill="70AD47"/>
            <w:vAlign w:val="center"/>
            <w:hideMark/>
          </w:tcPr>
          <w:p w:rsidR="00393006" w:rsidRPr="005D131A" w:rsidRDefault="00393006" w:rsidP="005D131A">
            <w:pPr>
              <w:rPr>
                <w:b/>
                <w:snapToGrid w:val="0"/>
                <w:sz w:val="28"/>
                <w:szCs w:val="28"/>
              </w:rPr>
            </w:pPr>
            <w:r w:rsidRPr="005D131A">
              <w:rPr>
                <w:b/>
                <w:snapToGrid w:val="0"/>
                <w:sz w:val="28"/>
                <w:szCs w:val="28"/>
              </w:rPr>
              <w:t>Cumplimiento General</w:t>
            </w:r>
          </w:p>
        </w:tc>
      </w:tr>
      <w:tr w:rsidR="00393006" w:rsidRPr="005D131A" w:rsidTr="007772B7">
        <w:trPr>
          <w:trHeight w:val="315"/>
          <w:jc w:val="center"/>
        </w:trPr>
        <w:tc>
          <w:tcPr>
            <w:tcW w:w="293" w:type="dxa"/>
            <w:vMerge w:val="restart"/>
            <w:tcBorders>
              <w:top w:val="nil"/>
              <w:left w:val="single" w:sz="8" w:space="0" w:color="auto"/>
              <w:bottom w:val="single" w:sz="8" w:space="0" w:color="000000"/>
              <w:right w:val="single" w:sz="4" w:space="0" w:color="auto"/>
            </w:tcBorders>
            <w:shd w:val="clear" w:color="000000" w:fill="A6A6A6"/>
            <w:textDirection w:val="btLr"/>
            <w:vAlign w:val="center"/>
            <w:hideMark/>
          </w:tcPr>
          <w:p w:rsidR="00393006" w:rsidRPr="005D131A" w:rsidRDefault="00393006" w:rsidP="005D131A">
            <w:pPr>
              <w:rPr>
                <w:b/>
                <w:snapToGrid w:val="0"/>
                <w:sz w:val="28"/>
                <w:szCs w:val="28"/>
              </w:rPr>
            </w:pPr>
            <w:r w:rsidRPr="005D131A">
              <w:rPr>
                <w:b/>
                <w:snapToGrid w:val="0"/>
                <w:sz w:val="28"/>
                <w:szCs w:val="28"/>
              </w:rPr>
              <w:t>Avances</w:t>
            </w:r>
          </w:p>
        </w:tc>
        <w:tc>
          <w:tcPr>
            <w:tcW w:w="2127" w:type="dxa"/>
            <w:tcBorders>
              <w:top w:val="nil"/>
              <w:left w:val="nil"/>
              <w:bottom w:val="single" w:sz="4" w:space="0" w:color="auto"/>
              <w:right w:val="single" w:sz="4" w:space="0" w:color="auto"/>
            </w:tcBorders>
            <w:vAlign w:val="center"/>
            <w:hideMark/>
          </w:tcPr>
          <w:p w:rsidR="00393006" w:rsidRPr="005D131A" w:rsidRDefault="00393006" w:rsidP="005D131A">
            <w:pPr>
              <w:rPr>
                <w:b/>
                <w:snapToGrid w:val="0"/>
                <w:sz w:val="28"/>
                <w:szCs w:val="28"/>
              </w:rPr>
            </w:pPr>
            <w:r w:rsidRPr="005D131A">
              <w:rPr>
                <w:b/>
                <w:snapToGrid w:val="0"/>
                <w:sz w:val="28"/>
                <w:szCs w:val="28"/>
              </w:rPr>
              <w:t>No hay avances significativos</w:t>
            </w:r>
          </w:p>
        </w:tc>
        <w:tc>
          <w:tcPr>
            <w:tcW w:w="1559" w:type="dxa"/>
            <w:tcBorders>
              <w:top w:val="nil"/>
              <w:left w:val="nil"/>
              <w:bottom w:val="single" w:sz="4" w:space="0" w:color="auto"/>
              <w:right w:val="single" w:sz="4" w:space="0" w:color="auto"/>
            </w:tcBorders>
            <w:shd w:val="clear" w:color="000000" w:fill="C00000"/>
            <w:vAlign w:val="center"/>
            <w:hideMark/>
          </w:tcPr>
          <w:p w:rsidR="00393006" w:rsidRPr="005D131A" w:rsidRDefault="00393006" w:rsidP="005D131A">
            <w:pPr>
              <w:rPr>
                <w:b/>
                <w:snapToGrid w:val="0"/>
                <w:sz w:val="28"/>
                <w:szCs w:val="28"/>
              </w:rPr>
            </w:pPr>
            <w:r w:rsidRPr="005D131A">
              <w:rPr>
                <w:b/>
                <w:snapToGrid w:val="0"/>
                <w:sz w:val="28"/>
                <w:szCs w:val="28"/>
              </w:rPr>
              <w:t> </w:t>
            </w:r>
          </w:p>
        </w:tc>
        <w:tc>
          <w:tcPr>
            <w:tcW w:w="1559" w:type="dxa"/>
            <w:tcBorders>
              <w:top w:val="nil"/>
              <w:left w:val="nil"/>
              <w:bottom w:val="single" w:sz="4" w:space="0" w:color="auto"/>
              <w:right w:val="single" w:sz="4" w:space="0" w:color="auto"/>
            </w:tcBorders>
            <w:shd w:val="clear" w:color="000000" w:fill="FF0000"/>
            <w:vAlign w:val="center"/>
            <w:hideMark/>
          </w:tcPr>
          <w:p w:rsidR="00393006" w:rsidRPr="005D131A" w:rsidRDefault="00393006" w:rsidP="005D131A">
            <w:pPr>
              <w:rPr>
                <w:b/>
                <w:snapToGrid w:val="0"/>
                <w:sz w:val="28"/>
                <w:szCs w:val="28"/>
              </w:rPr>
            </w:pPr>
            <w:r w:rsidRPr="005D131A">
              <w:rPr>
                <w:b/>
                <w:snapToGrid w:val="0"/>
                <w:sz w:val="28"/>
                <w:szCs w:val="28"/>
              </w:rPr>
              <w:t> </w:t>
            </w:r>
          </w:p>
        </w:tc>
        <w:tc>
          <w:tcPr>
            <w:tcW w:w="1418" w:type="dxa"/>
            <w:tcBorders>
              <w:top w:val="nil"/>
              <w:left w:val="nil"/>
              <w:bottom w:val="single" w:sz="4" w:space="0" w:color="auto"/>
              <w:right w:val="single" w:sz="4" w:space="0" w:color="auto"/>
            </w:tcBorders>
            <w:shd w:val="clear" w:color="000000" w:fill="ED7D31"/>
            <w:vAlign w:val="center"/>
            <w:hideMark/>
          </w:tcPr>
          <w:p w:rsidR="00393006" w:rsidRPr="005D131A" w:rsidRDefault="00393006" w:rsidP="005D131A">
            <w:pPr>
              <w:rPr>
                <w:b/>
                <w:snapToGrid w:val="0"/>
                <w:sz w:val="28"/>
                <w:szCs w:val="28"/>
              </w:rPr>
            </w:pPr>
            <w:r w:rsidRPr="005D131A">
              <w:rPr>
                <w:b/>
                <w:snapToGrid w:val="0"/>
                <w:sz w:val="28"/>
                <w:szCs w:val="28"/>
              </w:rPr>
              <w:t>X</w:t>
            </w:r>
          </w:p>
        </w:tc>
        <w:tc>
          <w:tcPr>
            <w:tcW w:w="1417" w:type="dxa"/>
            <w:tcBorders>
              <w:top w:val="nil"/>
              <w:left w:val="nil"/>
              <w:bottom w:val="single" w:sz="4" w:space="0" w:color="auto"/>
              <w:right w:val="single" w:sz="4" w:space="0" w:color="auto"/>
            </w:tcBorders>
            <w:shd w:val="clear" w:color="000000" w:fill="FFFF00"/>
            <w:vAlign w:val="center"/>
            <w:hideMark/>
          </w:tcPr>
          <w:p w:rsidR="00393006" w:rsidRPr="005D131A" w:rsidRDefault="00393006" w:rsidP="005D131A">
            <w:pPr>
              <w:rPr>
                <w:b/>
                <w:snapToGrid w:val="0"/>
                <w:sz w:val="28"/>
                <w:szCs w:val="28"/>
              </w:rPr>
            </w:pPr>
            <w:r w:rsidRPr="005D131A">
              <w:rPr>
                <w:b/>
                <w:snapToGrid w:val="0"/>
                <w:sz w:val="28"/>
                <w:szCs w:val="28"/>
              </w:rPr>
              <w:t> </w:t>
            </w:r>
          </w:p>
        </w:tc>
        <w:tc>
          <w:tcPr>
            <w:tcW w:w="1398" w:type="dxa"/>
            <w:tcBorders>
              <w:top w:val="nil"/>
              <w:left w:val="nil"/>
              <w:bottom w:val="single" w:sz="4" w:space="0" w:color="auto"/>
              <w:right w:val="single" w:sz="8" w:space="0" w:color="auto"/>
            </w:tcBorders>
            <w:shd w:val="clear" w:color="000000" w:fill="70AD47"/>
            <w:vAlign w:val="center"/>
            <w:hideMark/>
          </w:tcPr>
          <w:p w:rsidR="00393006" w:rsidRPr="005D131A" w:rsidRDefault="00393006" w:rsidP="005D131A">
            <w:pPr>
              <w:rPr>
                <w:b/>
                <w:snapToGrid w:val="0"/>
                <w:sz w:val="28"/>
                <w:szCs w:val="28"/>
              </w:rPr>
            </w:pPr>
            <w:r w:rsidRPr="005D131A">
              <w:rPr>
                <w:b/>
                <w:snapToGrid w:val="0"/>
                <w:sz w:val="28"/>
                <w:szCs w:val="28"/>
              </w:rPr>
              <w:t> </w:t>
            </w:r>
          </w:p>
        </w:tc>
      </w:tr>
      <w:tr w:rsidR="00393006" w:rsidRPr="005D131A" w:rsidTr="007772B7">
        <w:trPr>
          <w:trHeight w:val="315"/>
          <w:jc w:val="center"/>
        </w:trPr>
        <w:tc>
          <w:tcPr>
            <w:tcW w:w="293" w:type="dxa"/>
            <w:vMerge/>
            <w:tcBorders>
              <w:top w:val="nil"/>
              <w:left w:val="single" w:sz="8" w:space="0" w:color="auto"/>
              <w:bottom w:val="single" w:sz="8" w:space="0" w:color="000000"/>
              <w:right w:val="single" w:sz="4" w:space="0" w:color="auto"/>
            </w:tcBorders>
            <w:vAlign w:val="center"/>
            <w:hideMark/>
          </w:tcPr>
          <w:p w:rsidR="00393006" w:rsidRPr="005D131A" w:rsidRDefault="00393006" w:rsidP="005D131A">
            <w:pPr>
              <w:rPr>
                <w:b/>
                <w:snapToGrid w:val="0"/>
                <w:sz w:val="28"/>
                <w:szCs w:val="28"/>
              </w:rPr>
            </w:pPr>
          </w:p>
        </w:tc>
        <w:tc>
          <w:tcPr>
            <w:tcW w:w="2127" w:type="dxa"/>
            <w:tcBorders>
              <w:top w:val="nil"/>
              <w:left w:val="nil"/>
              <w:bottom w:val="single" w:sz="4" w:space="0" w:color="auto"/>
              <w:right w:val="single" w:sz="4" w:space="0" w:color="auto"/>
            </w:tcBorders>
            <w:vAlign w:val="center"/>
            <w:hideMark/>
          </w:tcPr>
          <w:p w:rsidR="00393006" w:rsidRPr="005D131A" w:rsidRDefault="00393006" w:rsidP="005D131A">
            <w:pPr>
              <w:rPr>
                <w:b/>
                <w:snapToGrid w:val="0"/>
                <w:sz w:val="28"/>
                <w:szCs w:val="28"/>
              </w:rPr>
            </w:pPr>
            <w:r w:rsidRPr="005D131A">
              <w:rPr>
                <w:b/>
                <w:snapToGrid w:val="0"/>
                <w:sz w:val="28"/>
                <w:szCs w:val="28"/>
              </w:rPr>
              <w:t>Hay avances significativos, pero no han conjurado en su totalidad la falla</w:t>
            </w:r>
          </w:p>
        </w:tc>
        <w:tc>
          <w:tcPr>
            <w:tcW w:w="1559" w:type="dxa"/>
            <w:tcBorders>
              <w:top w:val="nil"/>
              <w:left w:val="nil"/>
              <w:bottom w:val="single" w:sz="4" w:space="0" w:color="auto"/>
              <w:right w:val="single" w:sz="4" w:space="0" w:color="auto"/>
            </w:tcBorders>
            <w:shd w:val="clear" w:color="000000" w:fill="C00000"/>
            <w:vAlign w:val="center"/>
            <w:hideMark/>
          </w:tcPr>
          <w:p w:rsidR="00393006" w:rsidRPr="005D131A" w:rsidRDefault="00393006" w:rsidP="005D131A">
            <w:pPr>
              <w:rPr>
                <w:b/>
                <w:snapToGrid w:val="0"/>
                <w:sz w:val="28"/>
                <w:szCs w:val="28"/>
              </w:rPr>
            </w:pPr>
            <w:r w:rsidRPr="005D131A">
              <w:rPr>
                <w:b/>
                <w:snapToGrid w:val="0"/>
                <w:sz w:val="28"/>
                <w:szCs w:val="28"/>
              </w:rPr>
              <w:t> </w:t>
            </w:r>
          </w:p>
        </w:tc>
        <w:tc>
          <w:tcPr>
            <w:tcW w:w="1559" w:type="dxa"/>
            <w:tcBorders>
              <w:top w:val="nil"/>
              <w:left w:val="nil"/>
              <w:bottom w:val="single" w:sz="4" w:space="0" w:color="auto"/>
              <w:right w:val="single" w:sz="4" w:space="0" w:color="auto"/>
            </w:tcBorders>
            <w:shd w:val="clear" w:color="000000" w:fill="FF0000"/>
            <w:vAlign w:val="center"/>
            <w:hideMark/>
          </w:tcPr>
          <w:p w:rsidR="00393006" w:rsidRPr="005D131A" w:rsidRDefault="00393006" w:rsidP="005D131A">
            <w:pPr>
              <w:rPr>
                <w:b/>
                <w:snapToGrid w:val="0"/>
                <w:sz w:val="28"/>
                <w:szCs w:val="28"/>
              </w:rPr>
            </w:pPr>
            <w:r w:rsidRPr="005D131A">
              <w:rPr>
                <w:b/>
                <w:snapToGrid w:val="0"/>
                <w:sz w:val="28"/>
                <w:szCs w:val="28"/>
              </w:rPr>
              <w:t> </w:t>
            </w:r>
          </w:p>
        </w:tc>
        <w:tc>
          <w:tcPr>
            <w:tcW w:w="1418" w:type="dxa"/>
            <w:tcBorders>
              <w:top w:val="nil"/>
              <w:left w:val="nil"/>
              <w:bottom w:val="single" w:sz="4" w:space="0" w:color="auto"/>
              <w:right w:val="single" w:sz="4" w:space="0" w:color="auto"/>
            </w:tcBorders>
            <w:shd w:val="clear" w:color="000000" w:fill="ED7D31"/>
            <w:vAlign w:val="center"/>
            <w:hideMark/>
          </w:tcPr>
          <w:p w:rsidR="00393006" w:rsidRPr="005D131A" w:rsidRDefault="00393006" w:rsidP="005D131A">
            <w:pPr>
              <w:rPr>
                <w:b/>
                <w:snapToGrid w:val="0"/>
                <w:sz w:val="28"/>
                <w:szCs w:val="28"/>
              </w:rPr>
            </w:pPr>
            <w:r w:rsidRPr="005D131A">
              <w:rPr>
                <w:b/>
                <w:snapToGrid w:val="0"/>
                <w:sz w:val="28"/>
                <w:szCs w:val="28"/>
              </w:rPr>
              <w:t> </w:t>
            </w:r>
          </w:p>
        </w:tc>
        <w:tc>
          <w:tcPr>
            <w:tcW w:w="1417" w:type="dxa"/>
            <w:tcBorders>
              <w:top w:val="nil"/>
              <w:left w:val="nil"/>
              <w:bottom w:val="single" w:sz="4" w:space="0" w:color="auto"/>
              <w:right w:val="single" w:sz="4" w:space="0" w:color="auto"/>
            </w:tcBorders>
            <w:shd w:val="clear" w:color="000000" w:fill="FFFF00"/>
            <w:vAlign w:val="center"/>
            <w:hideMark/>
          </w:tcPr>
          <w:p w:rsidR="00393006" w:rsidRPr="005D131A" w:rsidRDefault="00393006" w:rsidP="005D131A">
            <w:pPr>
              <w:rPr>
                <w:b/>
                <w:snapToGrid w:val="0"/>
                <w:sz w:val="28"/>
                <w:szCs w:val="28"/>
              </w:rPr>
            </w:pPr>
            <w:r w:rsidRPr="005D131A">
              <w:rPr>
                <w:b/>
                <w:snapToGrid w:val="0"/>
                <w:sz w:val="28"/>
                <w:szCs w:val="28"/>
              </w:rPr>
              <w:t>X</w:t>
            </w:r>
          </w:p>
        </w:tc>
        <w:tc>
          <w:tcPr>
            <w:tcW w:w="1398" w:type="dxa"/>
            <w:tcBorders>
              <w:top w:val="nil"/>
              <w:left w:val="nil"/>
              <w:bottom w:val="single" w:sz="4" w:space="0" w:color="auto"/>
              <w:right w:val="single" w:sz="8" w:space="0" w:color="auto"/>
            </w:tcBorders>
            <w:shd w:val="clear" w:color="000000" w:fill="70AD47"/>
            <w:vAlign w:val="center"/>
            <w:hideMark/>
          </w:tcPr>
          <w:p w:rsidR="00393006" w:rsidRPr="005D131A" w:rsidRDefault="00393006" w:rsidP="005D131A">
            <w:pPr>
              <w:rPr>
                <w:b/>
                <w:snapToGrid w:val="0"/>
                <w:sz w:val="28"/>
                <w:szCs w:val="28"/>
              </w:rPr>
            </w:pPr>
            <w:r w:rsidRPr="005D131A">
              <w:rPr>
                <w:b/>
                <w:snapToGrid w:val="0"/>
                <w:sz w:val="28"/>
                <w:szCs w:val="28"/>
              </w:rPr>
              <w:t> </w:t>
            </w:r>
          </w:p>
        </w:tc>
      </w:tr>
      <w:tr w:rsidR="00393006" w:rsidRPr="005D131A" w:rsidTr="007772B7">
        <w:trPr>
          <w:trHeight w:val="330"/>
          <w:jc w:val="center"/>
        </w:trPr>
        <w:tc>
          <w:tcPr>
            <w:tcW w:w="293" w:type="dxa"/>
            <w:vMerge/>
            <w:tcBorders>
              <w:top w:val="nil"/>
              <w:left w:val="single" w:sz="8" w:space="0" w:color="auto"/>
              <w:bottom w:val="single" w:sz="8" w:space="0" w:color="000000"/>
              <w:right w:val="single" w:sz="4" w:space="0" w:color="auto"/>
            </w:tcBorders>
            <w:vAlign w:val="center"/>
            <w:hideMark/>
          </w:tcPr>
          <w:p w:rsidR="00393006" w:rsidRPr="005D131A" w:rsidRDefault="00393006" w:rsidP="005D131A">
            <w:pPr>
              <w:rPr>
                <w:b/>
                <w:snapToGrid w:val="0"/>
                <w:sz w:val="28"/>
                <w:szCs w:val="28"/>
              </w:rPr>
            </w:pPr>
          </w:p>
        </w:tc>
        <w:tc>
          <w:tcPr>
            <w:tcW w:w="2127" w:type="dxa"/>
            <w:tcBorders>
              <w:top w:val="nil"/>
              <w:left w:val="nil"/>
              <w:bottom w:val="single" w:sz="8" w:space="0" w:color="auto"/>
              <w:right w:val="single" w:sz="4" w:space="0" w:color="auto"/>
            </w:tcBorders>
            <w:vAlign w:val="center"/>
            <w:hideMark/>
          </w:tcPr>
          <w:p w:rsidR="00393006" w:rsidRPr="005D131A" w:rsidRDefault="00393006" w:rsidP="005D131A">
            <w:pPr>
              <w:rPr>
                <w:b/>
                <w:snapToGrid w:val="0"/>
                <w:sz w:val="28"/>
                <w:szCs w:val="28"/>
              </w:rPr>
            </w:pPr>
            <w:r w:rsidRPr="005D131A">
              <w:rPr>
                <w:b/>
                <w:snapToGrid w:val="0"/>
                <w:sz w:val="28"/>
                <w:szCs w:val="28"/>
              </w:rPr>
              <w:t>Superaron la falla estructural que dio origen a la orden</w:t>
            </w:r>
          </w:p>
        </w:tc>
        <w:tc>
          <w:tcPr>
            <w:tcW w:w="1559" w:type="dxa"/>
            <w:tcBorders>
              <w:top w:val="nil"/>
              <w:left w:val="nil"/>
              <w:bottom w:val="single" w:sz="8" w:space="0" w:color="auto"/>
              <w:right w:val="single" w:sz="4" w:space="0" w:color="auto"/>
            </w:tcBorders>
            <w:shd w:val="clear" w:color="000000" w:fill="C00000"/>
            <w:vAlign w:val="center"/>
            <w:hideMark/>
          </w:tcPr>
          <w:p w:rsidR="00393006" w:rsidRPr="005D131A" w:rsidRDefault="00393006" w:rsidP="005D131A">
            <w:pPr>
              <w:rPr>
                <w:b/>
                <w:snapToGrid w:val="0"/>
                <w:sz w:val="28"/>
                <w:szCs w:val="28"/>
              </w:rPr>
            </w:pPr>
            <w:r w:rsidRPr="005D131A">
              <w:rPr>
                <w:b/>
                <w:snapToGrid w:val="0"/>
                <w:sz w:val="28"/>
                <w:szCs w:val="28"/>
              </w:rPr>
              <w:t> </w:t>
            </w:r>
          </w:p>
        </w:tc>
        <w:tc>
          <w:tcPr>
            <w:tcW w:w="1559" w:type="dxa"/>
            <w:tcBorders>
              <w:top w:val="nil"/>
              <w:left w:val="nil"/>
              <w:bottom w:val="single" w:sz="8" w:space="0" w:color="auto"/>
              <w:right w:val="single" w:sz="4" w:space="0" w:color="auto"/>
            </w:tcBorders>
            <w:shd w:val="clear" w:color="000000" w:fill="FF0000"/>
            <w:vAlign w:val="center"/>
            <w:hideMark/>
          </w:tcPr>
          <w:p w:rsidR="00393006" w:rsidRPr="005D131A" w:rsidRDefault="00393006" w:rsidP="005D131A">
            <w:pPr>
              <w:rPr>
                <w:b/>
                <w:snapToGrid w:val="0"/>
                <w:sz w:val="28"/>
                <w:szCs w:val="28"/>
              </w:rPr>
            </w:pPr>
            <w:r w:rsidRPr="005D131A">
              <w:rPr>
                <w:b/>
                <w:snapToGrid w:val="0"/>
                <w:sz w:val="28"/>
                <w:szCs w:val="28"/>
              </w:rPr>
              <w:t> </w:t>
            </w:r>
          </w:p>
        </w:tc>
        <w:tc>
          <w:tcPr>
            <w:tcW w:w="1418" w:type="dxa"/>
            <w:tcBorders>
              <w:top w:val="nil"/>
              <w:left w:val="nil"/>
              <w:bottom w:val="single" w:sz="8" w:space="0" w:color="auto"/>
              <w:right w:val="single" w:sz="4" w:space="0" w:color="auto"/>
            </w:tcBorders>
            <w:shd w:val="clear" w:color="000000" w:fill="ED7D31"/>
            <w:vAlign w:val="center"/>
            <w:hideMark/>
          </w:tcPr>
          <w:p w:rsidR="00393006" w:rsidRPr="005D131A" w:rsidRDefault="00393006" w:rsidP="005D131A">
            <w:pPr>
              <w:rPr>
                <w:b/>
                <w:snapToGrid w:val="0"/>
                <w:sz w:val="28"/>
                <w:szCs w:val="28"/>
              </w:rPr>
            </w:pPr>
            <w:r w:rsidRPr="005D131A">
              <w:rPr>
                <w:b/>
                <w:snapToGrid w:val="0"/>
                <w:sz w:val="28"/>
                <w:szCs w:val="28"/>
              </w:rPr>
              <w:t> </w:t>
            </w:r>
          </w:p>
        </w:tc>
        <w:tc>
          <w:tcPr>
            <w:tcW w:w="1417" w:type="dxa"/>
            <w:tcBorders>
              <w:top w:val="nil"/>
              <w:left w:val="nil"/>
              <w:bottom w:val="single" w:sz="8" w:space="0" w:color="auto"/>
              <w:right w:val="single" w:sz="4" w:space="0" w:color="auto"/>
            </w:tcBorders>
            <w:shd w:val="clear" w:color="000000" w:fill="FFFF00"/>
            <w:vAlign w:val="center"/>
            <w:hideMark/>
          </w:tcPr>
          <w:p w:rsidR="00393006" w:rsidRPr="005D131A" w:rsidRDefault="00393006" w:rsidP="005D131A">
            <w:pPr>
              <w:rPr>
                <w:b/>
                <w:snapToGrid w:val="0"/>
                <w:sz w:val="28"/>
                <w:szCs w:val="28"/>
              </w:rPr>
            </w:pPr>
            <w:r w:rsidRPr="005D131A">
              <w:rPr>
                <w:b/>
                <w:snapToGrid w:val="0"/>
                <w:sz w:val="28"/>
                <w:szCs w:val="28"/>
              </w:rPr>
              <w:t> </w:t>
            </w:r>
          </w:p>
        </w:tc>
        <w:tc>
          <w:tcPr>
            <w:tcW w:w="1398" w:type="dxa"/>
            <w:tcBorders>
              <w:top w:val="nil"/>
              <w:left w:val="nil"/>
              <w:bottom w:val="single" w:sz="8" w:space="0" w:color="auto"/>
              <w:right w:val="single" w:sz="8" w:space="0" w:color="auto"/>
            </w:tcBorders>
            <w:shd w:val="clear" w:color="000000" w:fill="70AD47"/>
            <w:vAlign w:val="center"/>
            <w:hideMark/>
          </w:tcPr>
          <w:p w:rsidR="00393006" w:rsidRPr="005D131A" w:rsidRDefault="00393006" w:rsidP="005D131A">
            <w:pPr>
              <w:rPr>
                <w:b/>
                <w:snapToGrid w:val="0"/>
                <w:sz w:val="28"/>
                <w:szCs w:val="28"/>
              </w:rPr>
            </w:pPr>
            <w:r w:rsidRPr="005D131A">
              <w:rPr>
                <w:b/>
                <w:snapToGrid w:val="0"/>
                <w:sz w:val="28"/>
                <w:szCs w:val="28"/>
              </w:rPr>
              <w:t>X</w:t>
            </w:r>
          </w:p>
        </w:tc>
      </w:tr>
    </w:tbl>
    <w:p w:rsidR="00393006" w:rsidRPr="005D131A" w:rsidRDefault="00393006" w:rsidP="005D131A">
      <w:pPr>
        <w:rPr>
          <w:snapToGrid w:val="0"/>
          <w:sz w:val="28"/>
          <w:szCs w:val="28"/>
        </w:rPr>
      </w:pPr>
    </w:p>
    <w:p w:rsidR="00393006" w:rsidRPr="005D131A" w:rsidRDefault="00393006" w:rsidP="005D131A">
      <w:pPr>
        <w:pStyle w:val="Prrafodelista"/>
        <w:numPr>
          <w:ilvl w:val="1"/>
          <w:numId w:val="43"/>
        </w:numPr>
        <w:tabs>
          <w:tab w:val="left" w:pos="426"/>
        </w:tabs>
        <w:ind w:left="0" w:firstLine="0"/>
        <w:rPr>
          <w:snapToGrid w:val="0"/>
          <w:sz w:val="28"/>
          <w:szCs w:val="28"/>
        </w:rPr>
      </w:pPr>
      <w:r w:rsidRPr="005D131A">
        <w:rPr>
          <w:snapToGrid w:val="0"/>
          <w:sz w:val="28"/>
          <w:szCs w:val="28"/>
        </w:rPr>
        <w:t>Bajo tales precisiones, a continuación se proceden a conceptualizar las cinco (5) categorías de evaluación de cumplimiento, las cuales serán aplicadas en la medida en que sean compatibles con el contenido y alcance del mandato supervisado:</w:t>
      </w:r>
    </w:p>
    <w:p w:rsidR="00777CD1" w:rsidRPr="005D131A" w:rsidRDefault="00777CD1" w:rsidP="005D131A">
      <w:pPr>
        <w:pStyle w:val="Prrafodelista"/>
        <w:tabs>
          <w:tab w:val="left" w:pos="426"/>
        </w:tabs>
        <w:ind w:left="0"/>
        <w:rPr>
          <w:snapToGrid w:val="0"/>
          <w:sz w:val="28"/>
          <w:szCs w:val="28"/>
        </w:rPr>
      </w:pPr>
    </w:p>
    <w:p w:rsidR="00393006" w:rsidRPr="005D131A" w:rsidRDefault="00393006" w:rsidP="005D131A">
      <w:pPr>
        <w:pStyle w:val="Prrafodelista"/>
        <w:numPr>
          <w:ilvl w:val="2"/>
          <w:numId w:val="43"/>
        </w:numPr>
        <w:tabs>
          <w:tab w:val="left" w:pos="426"/>
        </w:tabs>
        <w:ind w:left="0" w:firstLine="0"/>
        <w:rPr>
          <w:snapToGrid w:val="0"/>
          <w:sz w:val="28"/>
          <w:szCs w:val="28"/>
        </w:rPr>
      </w:pPr>
      <w:r w:rsidRPr="005D131A">
        <w:rPr>
          <w:b/>
          <w:snapToGrid w:val="0"/>
          <w:sz w:val="28"/>
          <w:szCs w:val="28"/>
        </w:rPr>
        <w:t>Incumplimiento General</w:t>
      </w:r>
      <w:r w:rsidRPr="005D131A">
        <w:rPr>
          <w:snapToGrid w:val="0"/>
          <w:sz w:val="28"/>
          <w:szCs w:val="28"/>
        </w:rPr>
        <w:t>. Este nivel se declarará si revisado el estado actual de la orden se constata la inexistencia de medidas adoptadas por la autoridad obligada, con la finalidad de superar la problemática estructural que dio origen al mandato judicial.</w:t>
      </w:r>
      <w:r w:rsidRPr="005D131A">
        <w:rPr>
          <w:b/>
          <w:snapToGrid w:val="0"/>
          <w:sz w:val="28"/>
          <w:szCs w:val="28"/>
        </w:rPr>
        <w:t xml:space="preserve"> </w:t>
      </w:r>
    </w:p>
    <w:p w:rsidR="00393006" w:rsidRPr="005D131A" w:rsidRDefault="00393006" w:rsidP="005D131A">
      <w:pPr>
        <w:rPr>
          <w:b/>
          <w:snapToGrid w:val="0"/>
          <w:sz w:val="28"/>
          <w:szCs w:val="28"/>
        </w:rPr>
      </w:pPr>
    </w:p>
    <w:p w:rsidR="00393006" w:rsidRPr="005D131A" w:rsidRDefault="00393006" w:rsidP="005D131A">
      <w:pPr>
        <w:numPr>
          <w:ilvl w:val="2"/>
          <w:numId w:val="43"/>
        </w:numPr>
        <w:tabs>
          <w:tab w:val="left" w:pos="709"/>
        </w:tabs>
        <w:ind w:left="0" w:firstLine="0"/>
        <w:rPr>
          <w:b/>
          <w:snapToGrid w:val="0"/>
          <w:sz w:val="28"/>
          <w:szCs w:val="28"/>
        </w:rPr>
      </w:pPr>
      <w:r w:rsidRPr="005D131A">
        <w:rPr>
          <w:b/>
          <w:snapToGrid w:val="0"/>
          <w:sz w:val="28"/>
          <w:szCs w:val="28"/>
        </w:rPr>
        <w:t xml:space="preserve">Nivel de Cumplimiento Bajo. </w:t>
      </w:r>
      <w:r w:rsidRPr="005D131A">
        <w:rPr>
          <w:snapToGrid w:val="0"/>
          <w:sz w:val="28"/>
          <w:szCs w:val="28"/>
        </w:rPr>
        <w:t>Se presenta cuando la autoridad obligada haya adoptado algunas medidas con el fin de cumplir la Sentencia T-760 de 2008 y concurra cualquiera de los siguientes supuestos:</w:t>
      </w:r>
    </w:p>
    <w:p w:rsidR="00393006" w:rsidRPr="005D131A" w:rsidRDefault="00393006" w:rsidP="005D131A">
      <w:pPr>
        <w:rPr>
          <w:snapToGrid w:val="0"/>
          <w:sz w:val="28"/>
          <w:szCs w:val="28"/>
        </w:rPr>
      </w:pPr>
    </w:p>
    <w:p w:rsidR="00393006" w:rsidRPr="005D131A" w:rsidRDefault="00393006" w:rsidP="005D131A">
      <w:pPr>
        <w:numPr>
          <w:ilvl w:val="0"/>
          <w:numId w:val="42"/>
        </w:numPr>
        <w:tabs>
          <w:tab w:val="left" w:pos="284"/>
        </w:tabs>
        <w:ind w:left="0" w:hanging="11"/>
        <w:rPr>
          <w:snapToGrid w:val="0"/>
          <w:sz w:val="28"/>
          <w:szCs w:val="28"/>
        </w:rPr>
      </w:pPr>
      <w:r w:rsidRPr="005D131A">
        <w:rPr>
          <w:snapToGrid w:val="0"/>
          <w:sz w:val="28"/>
          <w:szCs w:val="28"/>
        </w:rPr>
        <w:t xml:space="preserve"> Las medidas adoptadas son inconducentes para el cumplimiento de la orden estructural, es decir, no son compatibles con los elementos del mandato. </w:t>
      </w:r>
    </w:p>
    <w:p w:rsidR="00393006" w:rsidRPr="005D131A" w:rsidRDefault="00393006" w:rsidP="005D131A">
      <w:pPr>
        <w:ind w:hanging="11"/>
        <w:rPr>
          <w:snapToGrid w:val="0"/>
          <w:sz w:val="28"/>
          <w:szCs w:val="28"/>
        </w:rPr>
      </w:pPr>
    </w:p>
    <w:p w:rsidR="00393006" w:rsidRPr="005D131A" w:rsidRDefault="00393006" w:rsidP="005D131A">
      <w:pPr>
        <w:numPr>
          <w:ilvl w:val="0"/>
          <w:numId w:val="42"/>
        </w:numPr>
        <w:tabs>
          <w:tab w:val="left" w:pos="426"/>
        </w:tabs>
        <w:ind w:left="0" w:hanging="11"/>
        <w:rPr>
          <w:snapToGrid w:val="0"/>
          <w:sz w:val="28"/>
          <w:szCs w:val="28"/>
        </w:rPr>
      </w:pPr>
      <w:r w:rsidRPr="005D131A">
        <w:rPr>
          <w:snapToGrid w:val="0"/>
          <w:sz w:val="28"/>
          <w:szCs w:val="28"/>
        </w:rPr>
        <w:t>Las medidas son conducentes para el acatamiento de la disposición examinada, esto es, abordan acciones en torno a los requerimientos propios de la orden, no obstante, la autoridad obligada no acreditó sus resultados</w:t>
      </w:r>
      <w:r w:rsidRPr="005D131A">
        <w:rPr>
          <w:snapToGrid w:val="0"/>
          <w:sz w:val="28"/>
          <w:szCs w:val="28"/>
          <w:vertAlign w:val="superscript"/>
        </w:rPr>
        <w:footnoteReference w:id="106"/>
      </w:r>
      <w:r w:rsidRPr="005D131A">
        <w:rPr>
          <w:snapToGrid w:val="0"/>
          <w:sz w:val="28"/>
          <w:szCs w:val="28"/>
        </w:rPr>
        <w:t xml:space="preserve"> en el sistema de salud.</w:t>
      </w:r>
    </w:p>
    <w:p w:rsidR="00393006" w:rsidRPr="005D131A" w:rsidRDefault="00393006" w:rsidP="005D131A">
      <w:pPr>
        <w:ind w:hanging="11"/>
        <w:rPr>
          <w:snapToGrid w:val="0"/>
          <w:sz w:val="28"/>
          <w:szCs w:val="28"/>
        </w:rPr>
      </w:pPr>
    </w:p>
    <w:p w:rsidR="00393006" w:rsidRPr="005D131A" w:rsidRDefault="00393006" w:rsidP="005D131A">
      <w:pPr>
        <w:numPr>
          <w:ilvl w:val="0"/>
          <w:numId w:val="42"/>
        </w:numPr>
        <w:tabs>
          <w:tab w:val="left" w:pos="426"/>
        </w:tabs>
        <w:ind w:left="0" w:hanging="11"/>
        <w:rPr>
          <w:snapToGrid w:val="0"/>
          <w:sz w:val="28"/>
          <w:szCs w:val="28"/>
        </w:rPr>
      </w:pPr>
      <w:r w:rsidRPr="005D131A">
        <w:rPr>
          <w:snapToGrid w:val="0"/>
          <w:sz w:val="28"/>
          <w:szCs w:val="28"/>
        </w:rPr>
        <w:t xml:space="preserve"> Las medidas son conducentes y sus resultados fueron informados por la autoridad obligada a la Sala Especial. Sin embargo, a partir de dicho reporte se advierte la inexistencia de avances reales</w:t>
      </w:r>
      <w:r w:rsidRPr="005D131A">
        <w:rPr>
          <w:snapToGrid w:val="0"/>
          <w:sz w:val="28"/>
          <w:szCs w:val="28"/>
          <w:vertAlign w:val="superscript"/>
        </w:rPr>
        <w:footnoteReference w:id="107"/>
      </w:r>
      <w:r w:rsidRPr="005D131A">
        <w:rPr>
          <w:snapToGrid w:val="0"/>
          <w:sz w:val="28"/>
          <w:szCs w:val="28"/>
        </w:rPr>
        <w:t xml:space="preserve">, por lo que no es razonable esperar que se obtenga la satisfacción del mandato analizado, es decir, la superación de la falla estructural. </w:t>
      </w:r>
    </w:p>
    <w:p w:rsidR="00393006" w:rsidRPr="005D131A" w:rsidRDefault="00393006" w:rsidP="005D131A">
      <w:pPr>
        <w:rPr>
          <w:snapToGrid w:val="0"/>
          <w:sz w:val="28"/>
          <w:szCs w:val="28"/>
        </w:rPr>
      </w:pPr>
    </w:p>
    <w:p w:rsidR="00393006" w:rsidRPr="005D131A" w:rsidRDefault="00393006" w:rsidP="005D131A">
      <w:pPr>
        <w:pStyle w:val="Prrafodelista"/>
        <w:numPr>
          <w:ilvl w:val="2"/>
          <w:numId w:val="43"/>
        </w:numPr>
        <w:ind w:left="0" w:firstLine="0"/>
        <w:rPr>
          <w:snapToGrid w:val="0"/>
          <w:sz w:val="28"/>
          <w:szCs w:val="28"/>
        </w:rPr>
      </w:pPr>
      <w:r w:rsidRPr="005D131A">
        <w:rPr>
          <w:b/>
          <w:snapToGrid w:val="0"/>
          <w:sz w:val="28"/>
          <w:szCs w:val="28"/>
        </w:rPr>
        <w:t>Nivel de Cumplimiento Medio</w:t>
      </w:r>
      <w:r w:rsidRPr="005D131A">
        <w:rPr>
          <w:snapToGrid w:val="0"/>
          <w:sz w:val="28"/>
          <w:szCs w:val="28"/>
        </w:rPr>
        <w:t>. Se procederá a decretar el nivel de cumplimiento medio cuando pese a que el obligado adoptó las medidas conducentes, reportó los resultados a la Corte y estos muestran avances en la implementación de la política, dichas mejoras no son suficientes sino que se muestran parciales para superar la falla estructural</w:t>
      </w:r>
      <w:r w:rsidRPr="005D131A">
        <w:rPr>
          <w:snapToGrid w:val="0"/>
          <w:sz w:val="28"/>
          <w:szCs w:val="28"/>
          <w:lang w:val="es-ES_tradnl"/>
        </w:rPr>
        <w:t xml:space="preserve"> que dio origen a la orden objeto de supervisión.</w:t>
      </w:r>
    </w:p>
    <w:p w:rsidR="00393006" w:rsidRPr="005D131A" w:rsidRDefault="00393006"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Al declarar la existencia de este nivel, la Corte dará un plazo razonable al término del cual se verificará nuevamente el acatamiento de la orden.</w:t>
      </w:r>
    </w:p>
    <w:p w:rsidR="00393006" w:rsidRPr="005D131A" w:rsidRDefault="00393006" w:rsidP="005D131A">
      <w:pPr>
        <w:rPr>
          <w:snapToGrid w:val="0"/>
          <w:sz w:val="28"/>
          <w:szCs w:val="28"/>
        </w:rPr>
      </w:pPr>
    </w:p>
    <w:p w:rsidR="00393006" w:rsidRPr="005D131A" w:rsidRDefault="00393006" w:rsidP="005D131A">
      <w:pPr>
        <w:numPr>
          <w:ilvl w:val="2"/>
          <w:numId w:val="43"/>
        </w:numPr>
        <w:ind w:left="0" w:firstLine="0"/>
        <w:rPr>
          <w:snapToGrid w:val="0"/>
          <w:sz w:val="28"/>
          <w:szCs w:val="28"/>
        </w:rPr>
      </w:pPr>
      <w:r w:rsidRPr="005D131A">
        <w:rPr>
          <w:b/>
          <w:snapToGrid w:val="0"/>
          <w:sz w:val="28"/>
          <w:szCs w:val="28"/>
        </w:rPr>
        <w:t>Nivel de Cumplimiento Alto</w:t>
      </w:r>
      <w:r w:rsidRPr="005D131A">
        <w:rPr>
          <w:snapToGrid w:val="0"/>
          <w:sz w:val="28"/>
          <w:szCs w:val="28"/>
        </w:rPr>
        <w:t>. Procederá la declaratoria del nivel de cumplimiento alto cuando:</w:t>
      </w:r>
      <w:r w:rsidRPr="005D131A">
        <w:rPr>
          <w:i/>
          <w:snapToGrid w:val="0"/>
          <w:sz w:val="28"/>
          <w:szCs w:val="28"/>
        </w:rPr>
        <w:t xml:space="preserve"> </w:t>
      </w:r>
      <w:r w:rsidRPr="005D131A">
        <w:rPr>
          <w:snapToGrid w:val="0"/>
          <w:sz w:val="28"/>
          <w:szCs w:val="28"/>
        </w:rPr>
        <w:t xml:space="preserve">(i) existen las medidas adecuadas para el acatamiento de la disposición examinada; (ii) se reporten los resultados concretos a la Sala Especial por parte de la autoridad obligada; (iii) </w:t>
      </w:r>
      <w:r w:rsidRPr="005D131A">
        <w:rPr>
          <w:snapToGrid w:val="0"/>
          <w:sz w:val="28"/>
          <w:szCs w:val="28"/>
          <w:lang w:val="es-ES_tradnl"/>
        </w:rPr>
        <w:t>los avances evidenciados son suficientes, progresivos, sostenibles y significativos para el cumplimiento de la orden;</w:t>
      </w:r>
      <w:r w:rsidRPr="005D131A">
        <w:rPr>
          <w:snapToGrid w:val="0"/>
          <w:sz w:val="28"/>
          <w:szCs w:val="28"/>
        </w:rPr>
        <w:t xml:space="preserve"> (iv)</w:t>
      </w:r>
      <w:r w:rsidRPr="005D131A">
        <w:rPr>
          <w:snapToGrid w:val="0"/>
          <w:sz w:val="28"/>
          <w:szCs w:val="28"/>
          <w:lang w:val="es-ES_tradnl"/>
        </w:rPr>
        <w:t xml:space="preserve"> </w:t>
      </w:r>
      <w:r w:rsidRPr="005D131A">
        <w:rPr>
          <w:snapToGrid w:val="0"/>
          <w:sz w:val="28"/>
          <w:szCs w:val="28"/>
        </w:rPr>
        <w:t>es razonable que la problemática que dio lugar a la orden valorada se pueda superar; y</w:t>
      </w:r>
      <w:r w:rsidRPr="005D131A">
        <w:rPr>
          <w:snapToGrid w:val="0"/>
          <w:sz w:val="28"/>
          <w:szCs w:val="28"/>
          <w:lang w:val="es-ES_tradnl"/>
        </w:rPr>
        <w:t xml:space="preserve"> (v) falte por culminar o no se ha logrado la totalidad de la ejecución de</w:t>
      </w:r>
      <w:r w:rsidRPr="005D131A">
        <w:rPr>
          <w:snapToGrid w:val="0"/>
          <w:sz w:val="28"/>
          <w:szCs w:val="28"/>
        </w:rPr>
        <w:t>l mandato analizado.</w:t>
      </w:r>
    </w:p>
    <w:p w:rsidR="00393006" w:rsidRPr="005D131A" w:rsidRDefault="00393006"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Habiéndose declarado el</w:t>
      </w:r>
      <w:r w:rsidRPr="005D131A">
        <w:rPr>
          <w:i/>
          <w:snapToGrid w:val="0"/>
          <w:sz w:val="28"/>
          <w:szCs w:val="28"/>
        </w:rPr>
        <w:t xml:space="preserve"> nivel de cumplimiento alto </w:t>
      </w:r>
      <w:r w:rsidRPr="005D131A">
        <w:rPr>
          <w:snapToGrid w:val="0"/>
          <w:sz w:val="28"/>
          <w:szCs w:val="28"/>
        </w:rPr>
        <w:t xml:space="preserve"> de la orden, se podrá trasladar el ciclo de supervisión, mediante la </w:t>
      </w:r>
      <w:r w:rsidRPr="005D131A">
        <w:rPr>
          <w:b/>
          <w:snapToGrid w:val="0"/>
          <w:sz w:val="28"/>
          <w:szCs w:val="28"/>
        </w:rPr>
        <w:t>SUSPENSIÓN DEL SEGUIMIENTO</w:t>
      </w:r>
      <w:r w:rsidRPr="005D131A">
        <w:rPr>
          <w:snapToGrid w:val="0"/>
          <w:sz w:val="28"/>
          <w:szCs w:val="28"/>
        </w:rPr>
        <w:t xml:space="preserve"> por parte de la Corte Constitucional, para que sea entregado a la Procuraduría General de </w:t>
      </w:r>
      <w:r w:rsidR="008F713B" w:rsidRPr="005D131A">
        <w:rPr>
          <w:snapToGrid w:val="0"/>
          <w:sz w:val="28"/>
          <w:szCs w:val="28"/>
        </w:rPr>
        <w:t xml:space="preserve">la </w:t>
      </w:r>
      <w:r w:rsidRPr="005D131A">
        <w:rPr>
          <w:snapToGrid w:val="0"/>
          <w:sz w:val="28"/>
          <w:szCs w:val="28"/>
        </w:rPr>
        <w:t>Nación</w:t>
      </w:r>
      <w:r w:rsidRPr="005D131A">
        <w:rPr>
          <w:snapToGrid w:val="0"/>
          <w:sz w:val="28"/>
          <w:szCs w:val="28"/>
          <w:vertAlign w:val="superscript"/>
        </w:rPr>
        <w:footnoteReference w:id="108"/>
      </w:r>
      <w:r w:rsidRPr="005D131A">
        <w:rPr>
          <w:snapToGrid w:val="0"/>
          <w:sz w:val="28"/>
          <w:szCs w:val="28"/>
        </w:rPr>
        <w:t xml:space="preserve"> y/o la Defensoría del Pueblo, a fin de que continúen con la verificación de la ejecución de la política pública a la que circunscribe el mandato estructural, bajo informes periódicos presentados a la Sala Plena por un tiempo hasta tanto se acate de forma general la orden examinada o la Corte decida reanudar el trámite suspendido.</w:t>
      </w:r>
    </w:p>
    <w:p w:rsidR="004B13F3" w:rsidRPr="005D131A" w:rsidRDefault="004B13F3" w:rsidP="005D131A">
      <w:pPr>
        <w:rPr>
          <w:snapToGrid w:val="0"/>
          <w:sz w:val="28"/>
          <w:szCs w:val="28"/>
        </w:rPr>
      </w:pPr>
    </w:p>
    <w:p w:rsidR="00393006" w:rsidRPr="005D131A" w:rsidRDefault="00393006" w:rsidP="005D131A">
      <w:pPr>
        <w:numPr>
          <w:ilvl w:val="2"/>
          <w:numId w:val="43"/>
        </w:numPr>
        <w:ind w:left="0" w:firstLine="0"/>
        <w:rPr>
          <w:snapToGrid w:val="0"/>
          <w:sz w:val="28"/>
          <w:szCs w:val="28"/>
        </w:rPr>
      </w:pPr>
      <w:r w:rsidRPr="005D131A">
        <w:rPr>
          <w:b/>
          <w:snapToGrid w:val="0"/>
          <w:sz w:val="28"/>
          <w:szCs w:val="28"/>
        </w:rPr>
        <w:t>Cumplimiento General</w:t>
      </w:r>
      <w:r w:rsidRPr="005D131A">
        <w:rPr>
          <w:snapToGrid w:val="0"/>
          <w:sz w:val="28"/>
          <w:szCs w:val="28"/>
        </w:rPr>
        <w:t>. La declaratoria de este nivel de cumplimiento se circunscribe a que al momento de realizar la valoración, la Sala colija que las medidas son adecuadas para el acatamiento de la disposición examinada y que sus resultados son suficientes</w:t>
      </w:r>
      <w:r w:rsidRPr="005D131A">
        <w:rPr>
          <w:snapToGrid w:val="0"/>
          <w:sz w:val="28"/>
          <w:szCs w:val="28"/>
          <w:lang w:val="es-ES_tradnl"/>
        </w:rPr>
        <w:t>, progresivos, sostenibles, significativos</w:t>
      </w:r>
      <w:r w:rsidRPr="005D131A">
        <w:rPr>
          <w:snapToGrid w:val="0"/>
          <w:sz w:val="28"/>
          <w:szCs w:val="28"/>
        </w:rPr>
        <w:t xml:space="preserve"> y logran, en su totalidad, los cometidos del mandato analizado, esto es, la superación continua de la falla estructural que motivó la expedición de la orden. Aunado a lo anterior, se esperaría que el sistema haya apropiado instrumentos para confrontar anomalías similares a las que provocaron la Sentencia T-760, que se presenten en el futuro.</w:t>
      </w:r>
    </w:p>
    <w:p w:rsidR="00393006" w:rsidRPr="005D131A" w:rsidRDefault="00393006"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 xml:space="preserve">Este nivel de cumplimiento, conllevaría concluir el ciclo de supervisión mediante el </w:t>
      </w:r>
      <w:r w:rsidRPr="005D131A">
        <w:rPr>
          <w:b/>
          <w:snapToGrid w:val="0"/>
          <w:sz w:val="28"/>
          <w:szCs w:val="28"/>
        </w:rPr>
        <w:t>CESE DEL SEGUIMIENTO</w:t>
      </w:r>
      <w:r w:rsidRPr="005D131A">
        <w:rPr>
          <w:snapToGrid w:val="0"/>
          <w:sz w:val="28"/>
          <w:szCs w:val="28"/>
        </w:rPr>
        <w:t xml:space="preserve"> por parte de la Corte Constitucional ante la obtención de los resultados pretendidos por el fallo objeto de supervisión.</w:t>
      </w:r>
    </w:p>
    <w:p w:rsidR="00393006" w:rsidRPr="005D131A" w:rsidRDefault="00393006" w:rsidP="005D131A">
      <w:pPr>
        <w:rPr>
          <w:b/>
          <w:snapToGrid w:val="0"/>
          <w:sz w:val="28"/>
          <w:szCs w:val="28"/>
        </w:rPr>
      </w:pPr>
    </w:p>
    <w:p w:rsidR="00393006" w:rsidRPr="005D131A" w:rsidRDefault="00393006" w:rsidP="005D131A">
      <w:pPr>
        <w:numPr>
          <w:ilvl w:val="1"/>
          <w:numId w:val="43"/>
        </w:numPr>
        <w:tabs>
          <w:tab w:val="left" w:pos="426"/>
        </w:tabs>
        <w:ind w:left="0" w:firstLine="0"/>
        <w:rPr>
          <w:snapToGrid w:val="0"/>
          <w:sz w:val="28"/>
          <w:szCs w:val="28"/>
        </w:rPr>
      </w:pPr>
      <w:r w:rsidRPr="005D131A">
        <w:rPr>
          <w:snapToGrid w:val="0"/>
          <w:sz w:val="28"/>
          <w:szCs w:val="28"/>
        </w:rPr>
        <w:t xml:space="preserve"> El trámite de supervisión también podrá </w:t>
      </w:r>
      <w:r w:rsidRPr="005D131A">
        <w:rPr>
          <w:b/>
          <w:snapToGrid w:val="0"/>
          <w:sz w:val="28"/>
          <w:szCs w:val="28"/>
        </w:rPr>
        <w:t xml:space="preserve">CESARSE </w:t>
      </w:r>
      <w:r w:rsidRPr="005D131A">
        <w:rPr>
          <w:snapToGrid w:val="0"/>
          <w:sz w:val="28"/>
          <w:szCs w:val="28"/>
        </w:rPr>
        <w:t xml:space="preserve">respecto de cualquier orden que haya sido valorada con </w:t>
      </w:r>
      <w:r w:rsidRPr="005D131A">
        <w:rPr>
          <w:i/>
          <w:snapToGrid w:val="0"/>
          <w:sz w:val="28"/>
          <w:szCs w:val="28"/>
        </w:rPr>
        <w:t>incumplimiento,</w:t>
      </w:r>
      <w:r w:rsidRPr="005D131A">
        <w:rPr>
          <w:snapToGrid w:val="0"/>
          <w:sz w:val="28"/>
          <w:szCs w:val="28"/>
        </w:rPr>
        <w:t xml:space="preserve"> </w:t>
      </w:r>
      <w:r w:rsidRPr="005D131A">
        <w:rPr>
          <w:i/>
          <w:snapToGrid w:val="0"/>
          <w:sz w:val="28"/>
          <w:szCs w:val="28"/>
        </w:rPr>
        <w:t>nivel de cumplimiento bajo y medio,</w:t>
      </w:r>
      <w:r w:rsidRPr="005D131A">
        <w:rPr>
          <w:snapToGrid w:val="0"/>
          <w:sz w:val="28"/>
          <w:szCs w:val="28"/>
        </w:rPr>
        <w:t xml:space="preserve"> cuando el mandato haya perdido los fundamentos de hecho o de derecho que le dieron lugar o cuando se haya agotado su vigencia temporal. Este último supuesto se refiere a las órdenes cuya ejecución estaba limitada en el tiempo, es decir, de una fecha determinada a otra igual.  Este último supuesto se refiere a las órdenes cuya ejecución estaba limitada en el tiempo, es decir, de una fecha determinada a otra igual, siempre que se permita determinar la superación material del motivo que dio lugar a lo ordenado y no continúe ejerciendo efectos jurídicos. </w:t>
      </w:r>
    </w:p>
    <w:p w:rsidR="00393006" w:rsidRPr="005D131A" w:rsidRDefault="00393006" w:rsidP="005D131A">
      <w:pPr>
        <w:rPr>
          <w:b/>
          <w:snapToGrid w:val="0"/>
          <w:sz w:val="28"/>
          <w:szCs w:val="28"/>
        </w:rPr>
      </w:pPr>
    </w:p>
    <w:p w:rsidR="00393006" w:rsidRPr="005D131A" w:rsidRDefault="00393006" w:rsidP="005D131A">
      <w:pPr>
        <w:numPr>
          <w:ilvl w:val="1"/>
          <w:numId w:val="43"/>
        </w:numPr>
        <w:tabs>
          <w:tab w:val="left" w:pos="426"/>
        </w:tabs>
        <w:ind w:left="0" w:firstLine="0"/>
        <w:rPr>
          <w:b/>
          <w:snapToGrid w:val="0"/>
          <w:sz w:val="28"/>
          <w:szCs w:val="28"/>
        </w:rPr>
      </w:pPr>
      <w:r w:rsidRPr="005D131A">
        <w:rPr>
          <w:b/>
          <w:snapToGrid w:val="0"/>
          <w:sz w:val="28"/>
          <w:szCs w:val="28"/>
        </w:rPr>
        <w:t xml:space="preserve"> </w:t>
      </w:r>
      <w:r w:rsidRPr="005D131A">
        <w:rPr>
          <w:snapToGrid w:val="0"/>
          <w:sz w:val="28"/>
          <w:szCs w:val="28"/>
        </w:rPr>
        <w:t xml:space="preserve">Este Tribunal resalta que en caso de que las autoridades obligadas persistan en un </w:t>
      </w:r>
      <w:r w:rsidRPr="005D131A">
        <w:rPr>
          <w:i/>
          <w:snapToGrid w:val="0"/>
          <w:sz w:val="28"/>
          <w:szCs w:val="28"/>
        </w:rPr>
        <w:t>incumplimiento general o en los niveles de acatamiento bajo y medio</w:t>
      </w:r>
      <w:r w:rsidRPr="005D131A">
        <w:rPr>
          <w:snapToGrid w:val="0"/>
          <w:sz w:val="28"/>
          <w:szCs w:val="28"/>
        </w:rPr>
        <w:t>, la Corte hará uso de las diferentes herramientas de origen constitucional y/o legal para hacer efectivas sus órdenes, en aras de evitar la secuencia de incumplimientos y conseguir avances progresivos y significativos en el goce efectivo del derecho por la población colombiana. En tal contexto, la Sala podrá valerse de un control y seguimiento más riguroso para alcanzar los objetivos constitucionales, como adoptar medidas restaurativas, de reemplazo, sancionatorias o cualquier otra que estime pertinente.</w:t>
      </w:r>
    </w:p>
    <w:p w:rsidR="00393006" w:rsidRPr="005D131A" w:rsidRDefault="00393006"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 xml:space="preserve">Aunado a lo anterior, se destaca el rol que debe cumplir la Procuraduría General de Nación en la vigilancia de la Sentencia T-760 de 2008, de tal forma que en uso de sus competencias constitucionales y legales, ante la declaratoria de los </w:t>
      </w:r>
      <w:r w:rsidRPr="005D131A">
        <w:rPr>
          <w:i/>
          <w:snapToGrid w:val="0"/>
          <w:sz w:val="28"/>
          <w:szCs w:val="28"/>
        </w:rPr>
        <w:t>niveles de cumplimiento bajo y medio</w:t>
      </w:r>
      <w:r w:rsidRPr="005D131A">
        <w:rPr>
          <w:snapToGrid w:val="0"/>
          <w:sz w:val="28"/>
          <w:szCs w:val="28"/>
        </w:rPr>
        <w:t>, deberá realizar un acompañamiento con enfoque preventivo</w:t>
      </w:r>
      <w:r w:rsidRPr="005D131A">
        <w:rPr>
          <w:snapToGrid w:val="0"/>
          <w:sz w:val="28"/>
          <w:szCs w:val="28"/>
          <w:vertAlign w:val="superscript"/>
        </w:rPr>
        <w:footnoteReference w:id="109"/>
      </w:r>
      <w:r w:rsidRPr="005D131A">
        <w:rPr>
          <w:snapToGrid w:val="0"/>
          <w:sz w:val="28"/>
          <w:szCs w:val="28"/>
        </w:rPr>
        <w:t xml:space="preserve"> a las entidades concernidas en la ejecución de las determinaciones adoptadas por esta Corporación. Su intervención debe ser oportuna y activa para el logro de los fines sociales y esenciales del Estado. </w:t>
      </w:r>
    </w:p>
    <w:p w:rsidR="00393006" w:rsidRPr="005D131A" w:rsidRDefault="00393006" w:rsidP="005D131A">
      <w:pPr>
        <w:rPr>
          <w:snapToGrid w:val="0"/>
          <w:sz w:val="28"/>
          <w:szCs w:val="28"/>
        </w:rPr>
      </w:pPr>
    </w:p>
    <w:p w:rsidR="00393006" w:rsidRPr="005D131A" w:rsidRDefault="00393006" w:rsidP="005D131A">
      <w:pPr>
        <w:rPr>
          <w:snapToGrid w:val="0"/>
          <w:sz w:val="28"/>
          <w:szCs w:val="28"/>
        </w:rPr>
      </w:pPr>
      <w:r w:rsidRPr="005D131A">
        <w:rPr>
          <w:snapToGrid w:val="0"/>
          <w:sz w:val="28"/>
          <w:szCs w:val="28"/>
        </w:rPr>
        <w:t>Igualmente, deberá ejercer la facultad disciplinaria</w:t>
      </w:r>
      <w:r w:rsidRPr="005D131A">
        <w:rPr>
          <w:snapToGrid w:val="0"/>
          <w:sz w:val="28"/>
          <w:szCs w:val="28"/>
          <w:vertAlign w:val="superscript"/>
        </w:rPr>
        <w:footnoteReference w:id="110"/>
      </w:r>
      <w:r w:rsidRPr="005D131A">
        <w:rPr>
          <w:snapToGrid w:val="0"/>
          <w:sz w:val="28"/>
          <w:szCs w:val="28"/>
        </w:rPr>
        <w:t xml:space="preserve"> para investigar y sancionar las conductas omisivas que hayan dado origen a dicha declaración. Todo lo anterior, sin perjuicio de las decisiones que continúe profiriendo la Sala Especial mientras se mantenga el trámite de supervisión.</w:t>
      </w:r>
    </w:p>
    <w:p w:rsidR="00393006" w:rsidRPr="005D131A" w:rsidRDefault="00393006" w:rsidP="005D131A">
      <w:pPr>
        <w:pStyle w:val="Prrafodelista"/>
        <w:tabs>
          <w:tab w:val="left" w:pos="0"/>
        </w:tabs>
        <w:ind w:left="0"/>
        <w:rPr>
          <w:b/>
          <w:color w:val="000000" w:themeColor="text1"/>
          <w:sz w:val="28"/>
          <w:szCs w:val="28"/>
        </w:rPr>
      </w:pPr>
    </w:p>
    <w:p w:rsidR="008A1B09" w:rsidRPr="005D131A" w:rsidRDefault="004D6D7E" w:rsidP="005D131A">
      <w:pPr>
        <w:tabs>
          <w:tab w:val="left" w:pos="567"/>
        </w:tabs>
        <w:rPr>
          <w:b/>
          <w:sz w:val="28"/>
          <w:szCs w:val="28"/>
          <w:lang w:val="es-CO"/>
        </w:rPr>
      </w:pPr>
      <w:r w:rsidRPr="005D131A">
        <w:rPr>
          <w:b/>
          <w:sz w:val="28"/>
          <w:szCs w:val="28"/>
          <w:lang w:val="es-CO"/>
        </w:rPr>
        <w:t xml:space="preserve">3. </w:t>
      </w:r>
      <w:r w:rsidR="00C229BF" w:rsidRPr="005D131A">
        <w:rPr>
          <w:b/>
          <w:sz w:val="28"/>
          <w:szCs w:val="28"/>
          <w:lang w:val="es-CO"/>
        </w:rPr>
        <w:t>Alcance de la orden vigésimo</w:t>
      </w:r>
      <w:r w:rsidR="008A1B09" w:rsidRPr="005D131A">
        <w:rPr>
          <w:b/>
          <w:sz w:val="28"/>
          <w:szCs w:val="28"/>
          <w:lang w:val="es-CO"/>
        </w:rPr>
        <w:t xml:space="preserve"> tercera</w:t>
      </w:r>
      <w:r w:rsidR="00393006" w:rsidRPr="005D131A">
        <w:rPr>
          <w:b/>
          <w:sz w:val="28"/>
          <w:szCs w:val="28"/>
          <w:lang w:val="es-CO"/>
        </w:rPr>
        <w:t xml:space="preserve"> de la sentencia </w:t>
      </w:r>
      <w:r w:rsidR="00393006" w:rsidRPr="005D131A">
        <w:rPr>
          <w:b/>
          <w:snapToGrid w:val="0"/>
          <w:sz w:val="28"/>
          <w:szCs w:val="28"/>
        </w:rPr>
        <w:t>T-760 de 2008.</w:t>
      </w:r>
    </w:p>
    <w:p w:rsidR="0064101F" w:rsidRPr="005D131A" w:rsidRDefault="0064101F" w:rsidP="005D131A">
      <w:pPr>
        <w:pStyle w:val="Prrafodelista"/>
        <w:suppressAutoHyphens/>
        <w:ind w:left="0" w:firstLine="708"/>
        <w:contextualSpacing/>
        <w:rPr>
          <w:b/>
          <w:sz w:val="28"/>
          <w:szCs w:val="28"/>
          <w:lang w:val="es-CO"/>
        </w:rPr>
      </w:pPr>
    </w:p>
    <w:p w:rsidR="0064101F" w:rsidRPr="005D131A" w:rsidRDefault="003732AB" w:rsidP="005D131A">
      <w:pPr>
        <w:tabs>
          <w:tab w:val="left" w:pos="567"/>
        </w:tabs>
        <w:suppressAutoHyphens/>
        <w:contextualSpacing/>
        <w:rPr>
          <w:bCs/>
          <w:sz w:val="28"/>
          <w:szCs w:val="28"/>
        </w:rPr>
      </w:pPr>
      <w:r w:rsidRPr="005D131A">
        <w:rPr>
          <w:sz w:val="28"/>
          <w:szCs w:val="28"/>
          <w:shd w:val="clear" w:color="auto" w:fill="FFFFFF"/>
        </w:rPr>
        <w:t xml:space="preserve">3.1. </w:t>
      </w:r>
      <w:r w:rsidR="0064101F" w:rsidRPr="005D131A">
        <w:rPr>
          <w:sz w:val="28"/>
          <w:szCs w:val="28"/>
          <w:shd w:val="clear" w:color="auto" w:fill="FFFFFF"/>
        </w:rPr>
        <w:t xml:space="preserve">La </w:t>
      </w:r>
      <w:r w:rsidR="0064101F" w:rsidRPr="005D131A">
        <w:rPr>
          <w:bCs/>
          <w:sz w:val="28"/>
          <w:szCs w:val="28"/>
        </w:rPr>
        <w:t>Corte</w:t>
      </w:r>
      <w:r w:rsidR="00BE0849" w:rsidRPr="005D131A">
        <w:rPr>
          <w:sz w:val="28"/>
          <w:szCs w:val="28"/>
          <w:shd w:val="clear" w:color="auto" w:fill="FFFFFF"/>
        </w:rPr>
        <w:t xml:space="preserve"> Constitucional</w:t>
      </w:r>
      <w:r w:rsidR="0064101F" w:rsidRPr="005D131A">
        <w:rPr>
          <w:sz w:val="28"/>
          <w:szCs w:val="28"/>
          <w:shd w:val="clear" w:color="auto" w:fill="FFFFFF"/>
        </w:rPr>
        <w:t xml:space="preserve"> ha </w:t>
      </w:r>
      <w:r w:rsidR="008C045E" w:rsidRPr="005D131A">
        <w:rPr>
          <w:sz w:val="28"/>
          <w:szCs w:val="28"/>
          <w:shd w:val="clear" w:color="auto" w:fill="FFFFFF"/>
        </w:rPr>
        <w:t>constatado</w:t>
      </w:r>
      <w:r w:rsidR="0064101F" w:rsidRPr="005D131A">
        <w:rPr>
          <w:sz w:val="28"/>
          <w:szCs w:val="28"/>
          <w:shd w:val="clear" w:color="auto" w:fill="FFFFFF"/>
        </w:rPr>
        <w:t xml:space="preserve"> las profundas dificultades que enfrenta el sistema de salud y que acarrean un déficit de protección en el derecho fundamental</w:t>
      </w:r>
      <w:r w:rsidR="003A415F" w:rsidRPr="005D131A">
        <w:rPr>
          <w:sz w:val="28"/>
          <w:szCs w:val="28"/>
          <w:shd w:val="clear" w:color="auto" w:fill="FFFFFF"/>
          <w:vertAlign w:val="superscript"/>
        </w:rPr>
        <w:footnoteReference w:id="111"/>
      </w:r>
      <w:r w:rsidR="0064101F" w:rsidRPr="005D131A">
        <w:rPr>
          <w:sz w:val="28"/>
          <w:szCs w:val="28"/>
          <w:shd w:val="clear" w:color="auto" w:fill="FFFFFF"/>
        </w:rPr>
        <w:t>. E</w:t>
      </w:r>
      <w:r w:rsidR="0064101F" w:rsidRPr="005D131A">
        <w:rPr>
          <w:bCs/>
          <w:sz w:val="28"/>
          <w:szCs w:val="28"/>
          <w:lang w:val="es-CO"/>
        </w:rPr>
        <w:t>n el año 2008 se registró la mayor cantidad de reclamos por desconocimiento de esta garantía. Según las estadísticas de la Defensoría del Pueblo fueron presentadas 142.957 tutelas</w:t>
      </w:r>
      <w:r w:rsidR="0064101F" w:rsidRPr="005D131A">
        <w:rPr>
          <w:bCs/>
          <w:sz w:val="28"/>
          <w:szCs w:val="28"/>
          <w:vertAlign w:val="superscript"/>
          <w:lang w:val="es-CO"/>
        </w:rPr>
        <w:footnoteReference w:id="112"/>
      </w:r>
      <w:r w:rsidR="0064101F" w:rsidRPr="005D131A">
        <w:rPr>
          <w:bCs/>
          <w:sz w:val="28"/>
          <w:szCs w:val="28"/>
          <w:lang w:val="es-CO"/>
        </w:rPr>
        <w:t>.</w:t>
      </w:r>
    </w:p>
    <w:p w:rsidR="0064101F" w:rsidRPr="005D131A" w:rsidRDefault="0064101F" w:rsidP="005D131A">
      <w:pPr>
        <w:pStyle w:val="Prrafodelista"/>
        <w:ind w:left="0"/>
        <w:rPr>
          <w:bCs/>
          <w:sz w:val="28"/>
          <w:szCs w:val="28"/>
        </w:rPr>
      </w:pPr>
    </w:p>
    <w:p w:rsidR="0064101F" w:rsidRPr="005D131A" w:rsidRDefault="009163C4" w:rsidP="005D131A">
      <w:pPr>
        <w:tabs>
          <w:tab w:val="left" w:pos="567"/>
        </w:tabs>
        <w:suppressAutoHyphens/>
        <w:contextualSpacing/>
        <w:rPr>
          <w:bCs/>
          <w:sz w:val="28"/>
          <w:szCs w:val="28"/>
          <w:lang w:val="es-CO"/>
        </w:rPr>
      </w:pPr>
      <w:r w:rsidRPr="005D131A">
        <w:rPr>
          <w:bCs/>
          <w:sz w:val="28"/>
          <w:szCs w:val="28"/>
          <w:lang w:val="es-CO"/>
        </w:rPr>
        <w:t xml:space="preserve">3.2. </w:t>
      </w:r>
      <w:r w:rsidR="0064101F" w:rsidRPr="005D131A">
        <w:rPr>
          <w:bCs/>
          <w:sz w:val="28"/>
          <w:szCs w:val="28"/>
          <w:lang w:val="es-CO"/>
        </w:rPr>
        <w:t>Dentro</w:t>
      </w:r>
      <w:r w:rsidR="0064101F" w:rsidRPr="005D131A">
        <w:rPr>
          <w:bCs/>
          <w:sz w:val="28"/>
          <w:szCs w:val="28"/>
        </w:rPr>
        <w:t xml:space="preserve"> de su misión básica como garante de la integridad y supremacía de la Carta Política, el 31 de julio de 2008 este Tribunal profirió la Sentencia T-760 que, a partir de la selección de 22 casos concretos</w:t>
      </w:r>
      <w:r w:rsidR="007B793E" w:rsidRPr="005D131A">
        <w:rPr>
          <w:bCs/>
          <w:sz w:val="28"/>
          <w:szCs w:val="28"/>
        </w:rPr>
        <w:t>,</w:t>
      </w:r>
      <w:r w:rsidR="0064101F" w:rsidRPr="005D131A">
        <w:rPr>
          <w:bCs/>
          <w:sz w:val="28"/>
          <w:szCs w:val="28"/>
        </w:rPr>
        <w:t xml:space="preserve"> </w:t>
      </w:r>
      <w:r w:rsidRPr="005D131A">
        <w:rPr>
          <w:bCs/>
          <w:sz w:val="28"/>
          <w:szCs w:val="28"/>
        </w:rPr>
        <w:t xml:space="preserve">en los cuales </w:t>
      </w:r>
      <w:r w:rsidR="0064101F" w:rsidRPr="005D131A">
        <w:rPr>
          <w:bCs/>
          <w:sz w:val="28"/>
          <w:szCs w:val="28"/>
        </w:rPr>
        <w:t xml:space="preserve">constató la existencia de problemas recurrentes en materia de goce efectivo del derecho a la salud. La providencia se construyó </w:t>
      </w:r>
      <w:r w:rsidR="007F2B9B" w:rsidRPr="005D131A">
        <w:rPr>
          <w:bCs/>
          <w:sz w:val="28"/>
          <w:szCs w:val="28"/>
        </w:rPr>
        <w:t>sobre</w:t>
      </w:r>
      <w:r w:rsidR="0064101F" w:rsidRPr="005D131A">
        <w:rPr>
          <w:bCs/>
          <w:sz w:val="28"/>
          <w:szCs w:val="28"/>
        </w:rPr>
        <w:t xml:space="preserve"> la jurisprudencia en tutela vertida 15 años atrás y </w:t>
      </w:r>
      <w:r w:rsidR="0064101F" w:rsidRPr="005D131A">
        <w:rPr>
          <w:bCs/>
          <w:sz w:val="28"/>
          <w:szCs w:val="28"/>
          <w:lang w:val="es-CO"/>
        </w:rPr>
        <w:t>se soportó en una interpretación sistemática de las disposiciones constitucionales, los instrumentos internacionales de derechos humanos que hacen parte del bloque de constitucionalidad y lo dispuesto en las leyes 100 de 1993 y 1122 de 2007, vigentes para ese momento.</w:t>
      </w:r>
    </w:p>
    <w:p w:rsidR="009163C4" w:rsidRPr="005D131A" w:rsidRDefault="009163C4" w:rsidP="005D131A">
      <w:pPr>
        <w:pStyle w:val="Prrafodelista"/>
        <w:tabs>
          <w:tab w:val="left" w:pos="567"/>
        </w:tabs>
        <w:suppressAutoHyphens/>
        <w:ind w:left="0"/>
        <w:contextualSpacing/>
        <w:rPr>
          <w:bCs/>
          <w:sz w:val="28"/>
          <w:szCs w:val="28"/>
          <w:lang w:val="es-CO"/>
        </w:rPr>
      </w:pPr>
    </w:p>
    <w:p w:rsidR="0064101F" w:rsidRPr="005D131A" w:rsidRDefault="009163C4" w:rsidP="005D131A">
      <w:pPr>
        <w:pStyle w:val="Prrafodelista"/>
        <w:tabs>
          <w:tab w:val="left" w:pos="567"/>
        </w:tabs>
        <w:suppressAutoHyphens/>
        <w:ind w:left="0"/>
        <w:contextualSpacing/>
        <w:rPr>
          <w:bCs/>
          <w:sz w:val="28"/>
          <w:szCs w:val="28"/>
          <w:lang w:val="es-CO"/>
        </w:rPr>
      </w:pPr>
      <w:r w:rsidRPr="005D131A">
        <w:rPr>
          <w:bCs/>
          <w:sz w:val="28"/>
          <w:szCs w:val="28"/>
          <w:lang w:val="es-CO"/>
        </w:rPr>
        <w:t xml:space="preserve">3.3. </w:t>
      </w:r>
      <w:r w:rsidR="0064101F" w:rsidRPr="005D131A">
        <w:rPr>
          <w:bCs/>
          <w:sz w:val="28"/>
          <w:szCs w:val="28"/>
          <w:lang w:val="es-CO"/>
        </w:rPr>
        <w:t xml:space="preserve">En el análisis realizado por la Corte fueron detectadas fallas en la regulación, la inobservancia de mandatos legales que debían ser tenidos en cuenta en las acciones de </w:t>
      </w:r>
      <w:r w:rsidR="003F79B9" w:rsidRPr="005D131A">
        <w:rPr>
          <w:bCs/>
          <w:sz w:val="28"/>
          <w:szCs w:val="28"/>
          <w:lang w:val="es-CO"/>
        </w:rPr>
        <w:t>la</w:t>
      </w:r>
      <w:r w:rsidR="001E33A5" w:rsidRPr="005D131A">
        <w:rPr>
          <w:bCs/>
          <w:sz w:val="28"/>
          <w:szCs w:val="28"/>
          <w:lang w:val="es-CO"/>
        </w:rPr>
        <w:t xml:space="preserve"> </w:t>
      </w:r>
      <w:r w:rsidR="00BA5E66" w:rsidRPr="005D131A">
        <w:rPr>
          <w:bCs/>
          <w:sz w:val="28"/>
          <w:szCs w:val="28"/>
          <w:lang w:val="es-CO"/>
        </w:rPr>
        <w:t xml:space="preserve">política pública, así como </w:t>
      </w:r>
      <w:r w:rsidR="0064101F" w:rsidRPr="005D131A">
        <w:rPr>
          <w:bCs/>
          <w:sz w:val="28"/>
          <w:szCs w:val="28"/>
          <w:lang w:val="es-CO"/>
        </w:rPr>
        <w:t xml:space="preserve">graves falencias en la inspección, vigilancia y control de los diferentes actores. Todo ello incidía en el acceso oportuno, integral y de calidad a los servicios de salud por los pacientes y en la insuficiencia del flujo de recursos para que el sistema pudiera operar adecuadamente. Advirtió </w:t>
      </w:r>
      <w:r w:rsidR="0064101F" w:rsidRPr="005D131A">
        <w:rPr>
          <w:bCs/>
          <w:i/>
          <w:sz w:val="28"/>
          <w:szCs w:val="28"/>
          <w:lang w:val="es-CO"/>
        </w:rPr>
        <w:t xml:space="preserve">“un patrón de violación de los derechos” </w:t>
      </w:r>
      <w:r w:rsidR="0064101F" w:rsidRPr="005D131A">
        <w:rPr>
          <w:bCs/>
          <w:sz w:val="28"/>
          <w:szCs w:val="28"/>
          <w:lang w:val="es-CO"/>
        </w:rPr>
        <w:t xml:space="preserve">que hacía necesario dictar medidas encaminadas a que los órganos de regulación corrigieran </w:t>
      </w:r>
      <w:r w:rsidR="00100B90" w:rsidRPr="005D131A">
        <w:rPr>
          <w:bCs/>
          <w:sz w:val="28"/>
          <w:szCs w:val="28"/>
          <w:lang w:val="es-CO"/>
        </w:rPr>
        <w:t>esa</w:t>
      </w:r>
      <w:r w:rsidR="0064101F" w:rsidRPr="005D131A">
        <w:rPr>
          <w:bCs/>
          <w:sz w:val="28"/>
          <w:szCs w:val="28"/>
          <w:lang w:val="es-CO"/>
        </w:rPr>
        <w:t xml:space="preserve">s </w:t>
      </w:r>
      <w:r w:rsidR="007B793E" w:rsidRPr="005D131A">
        <w:rPr>
          <w:bCs/>
          <w:sz w:val="28"/>
          <w:szCs w:val="28"/>
          <w:lang w:val="es-CO"/>
        </w:rPr>
        <w:t>falencias</w:t>
      </w:r>
      <w:r w:rsidR="00484252" w:rsidRPr="005D131A">
        <w:rPr>
          <w:bCs/>
          <w:sz w:val="28"/>
          <w:szCs w:val="28"/>
          <w:lang w:val="es-CO"/>
        </w:rPr>
        <w:t>.</w:t>
      </w:r>
      <w:r w:rsidR="0064101F" w:rsidRPr="005D131A">
        <w:rPr>
          <w:bCs/>
          <w:sz w:val="28"/>
          <w:szCs w:val="28"/>
          <w:lang w:val="es-CO"/>
        </w:rPr>
        <w:t xml:space="preserve"> </w:t>
      </w:r>
    </w:p>
    <w:p w:rsidR="00777CD1" w:rsidRPr="005D131A" w:rsidRDefault="00777CD1" w:rsidP="005D131A">
      <w:pPr>
        <w:pStyle w:val="Prrafodelista"/>
        <w:tabs>
          <w:tab w:val="left" w:pos="567"/>
        </w:tabs>
        <w:suppressAutoHyphens/>
        <w:ind w:left="0"/>
        <w:contextualSpacing/>
        <w:rPr>
          <w:bCs/>
          <w:sz w:val="28"/>
          <w:szCs w:val="28"/>
          <w:lang w:val="es-CO"/>
        </w:rPr>
      </w:pPr>
    </w:p>
    <w:p w:rsidR="0064101F" w:rsidRPr="005D131A" w:rsidRDefault="0064101F" w:rsidP="005D131A">
      <w:pPr>
        <w:rPr>
          <w:bCs/>
          <w:sz w:val="28"/>
          <w:szCs w:val="28"/>
          <w:lang w:val="es-CO"/>
        </w:rPr>
      </w:pPr>
      <w:r w:rsidRPr="005D131A">
        <w:rPr>
          <w:bCs/>
          <w:sz w:val="28"/>
          <w:szCs w:val="28"/>
          <w:lang w:val="es-CO"/>
        </w:rPr>
        <w:t>En esa ocasión, explicó que la fundamentalidad del derecho a la salud exigía que las autoridades emprendieran acciones para eliminar las causa</w:t>
      </w:r>
      <w:r w:rsidR="000028CF" w:rsidRPr="005D131A">
        <w:rPr>
          <w:bCs/>
          <w:sz w:val="28"/>
          <w:szCs w:val="28"/>
          <w:lang w:val="es-CO"/>
        </w:rPr>
        <w:t>s estructurales de su violación</w:t>
      </w:r>
      <w:r w:rsidRPr="005D131A">
        <w:rPr>
          <w:bCs/>
          <w:sz w:val="28"/>
          <w:szCs w:val="28"/>
          <w:lang w:val="es-CO"/>
        </w:rPr>
        <w:t xml:space="preserve">. </w:t>
      </w:r>
      <w:r w:rsidR="009163C4" w:rsidRPr="005D131A">
        <w:rPr>
          <w:bCs/>
          <w:sz w:val="28"/>
          <w:szCs w:val="28"/>
          <w:lang w:val="es-CO"/>
        </w:rPr>
        <w:t>La Corte s</w:t>
      </w:r>
      <w:r w:rsidRPr="005D131A">
        <w:rPr>
          <w:bCs/>
          <w:sz w:val="28"/>
          <w:szCs w:val="28"/>
          <w:lang w:val="es-CO"/>
        </w:rPr>
        <w:t xml:space="preserve">ostuvo que a pesar de que tal prerrogativa contara con facetas prestacionales que implicaban </w:t>
      </w:r>
      <w:r w:rsidR="000028CF" w:rsidRPr="005D131A">
        <w:rPr>
          <w:bCs/>
          <w:sz w:val="28"/>
          <w:szCs w:val="28"/>
          <w:lang w:val="es-CO"/>
        </w:rPr>
        <w:t>emprender acciones</w:t>
      </w:r>
      <w:r w:rsidRPr="005D131A">
        <w:rPr>
          <w:bCs/>
          <w:sz w:val="28"/>
          <w:szCs w:val="28"/>
          <w:lang w:val="es-CO"/>
        </w:rPr>
        <w:t xml:space="preserve"> complejas que requieren gasto y cuyo cumplimiento es gradual, no e</w:t>
      </w:r>
      <w:r w:rsidR="00B369D2" w:rsidRPr="005D131A">
        <w:rPr>
          <w:bCs/>
          <w:sz w:val="28"/>
          <w:szCs w:val="28"/>
          <w:lang w:val="es-CO"/>
        </w:rPr>
        <w:t>ra</w:t>
      </w:r>
      <w:r w:rsidRPr="005D131A">
        <w:rPr>
          <w:bCs/>
          <w:sz w:val="28"/>
          <w:szCs w:val="28"/>
          <w:lang w:val="es-CO"/>
        </w:rPr>
        <w:t xml:space="preserve"> posible amparar </w:t>
      </w:r>
      <w:r w:rsidRPr="005D131A">
        <w:rPr>
          <w:bCs/>
          <w:i/>
          <w:sz w:val="28"/>
          <w:szCs w:val="28"/>
          <w:lang w:val="es-CO"/>
        </w:rPr>
        <w:t>“la inacción prolongada de la administración en la adopción de políticas públicas dirigidas a garantizar el goce efectivo del derecho”.</w:t>
      </w:r>
    </w:p>
    <w:p w:rsidR="0064101F" w:rsidRPr="005D131A" w:rsidRDefault="0064101F" w:rsidP="005D131A">
      <w:pPr>
        <w:rPr>
          <w:bCs/>
          <w:sz w:val="28"/>
          <w:szCs w:val="28"/>
          <w:lang w:val="es-CO"/>
        </w:rPr>
      </w:pPr>
    </w:p>
    <w:p w:rsidR="0064101F" w:rsidRPr="005D131A" w:rsidRDefault="0064101F" w:rsidP="005D131A">
      <w:pPr>
        <w:rPr>
          <w:bCs/>
          <w:sz w:val="28"/>
          <w:szCs w:val="28"/>
          <w:lang w:val="es-CO"/>
        </w:rPr>
      </w:pPr>
      <w:r w:rsidRPr="005D131A">
        <w:rPr>
          <w:bCs/>
          <w:sz w:val="28"/>
          <w:szCs w:val="28"/>
          <w:lang w:val="es-CO"/>
        </w:rPr>
        <w:t>Además, aclaró que “</w:t>
      </w:r>
      <w:r w:rsidRPr="005D131A">
        <w:rPr>
          <w:bCs/>
          <w:i/>
          <w:sz w:val="28"/>
          <w:szCs w:val="28"/>
          <w:lang w:val="es-CO"/>
        </w:rPr>
        <w:t>la deferencia que el juez constitucional debe al debate democrático y a las normas de rango legal como parámetro para avanzar en el cumplimiento de las obligaciones de carácter progresivo de un derecho fundamental, no justifica que dicho juez desconozca su deber de garantizar el goce efectivo de un derecho en casos concretos, […] dando aplicación a la Constitución”</w:t>
      </w:r>
      <w:r w:rsidRPr="005D131A">
        <w:rPr>
          <w:bCs/>
          <w:i/>
          <w:sz w:val="28"/>
          <w:szCs w:val="28"/>
          <w:vertAlign w:val="superscript"/>
          <w:lang w:val="es-CO"/>
        </w:rPr>
        <w:footnoteReference w:id="113"/>
      </w:r>
      <w:r w:rsidRPr="005D131A">
        <w:rPr>
          <w:bCs/>
          <w:sz w:val="28"/>
          <w:szCs w:val="28"/>
          <w:lang w:val="es-CO"/>
        </w:rPr>
        <w:t>.</w:t>
      </w:r>
    </w:p>
    <w:p w:rsidR="0064101F" w:rsidRPr="005D131A" w:rsidRDefault="0064101F" w:rsidP="005D131A">
      <w:pPr>
        <w:rPr>
          <w:bCs/>
          <w:sz w:val="28"/>
          <w:szCs w:val="28"/>
          <w:lang w:val="es-CO"/>
        </w:rPr>
      </w:pPr>
    </w:p>
    <w:p w:rsidR="00CD308A" w:rsidRPr="005D131A" w:rsidRDefault="00B369D2" w:rsidP="005D131A">
      <w:pPr>
        <w:rPr>
          <w:bCs/>
          <w:sz w:val="28"/>
          <w:szCs w:val="28"/>
          <w:lang w:val="es-CO"/>
        </w:rPr>
      </w:pPr>
      <w:r w:rsidRPr="005D131A">
        <w:rPr>
          <w:bCs/>
          <w:sz w:val="28"/>
          <w:szCs w:val="28"/>
          <w:lang w:val="es-CO"/>
        </w:rPr>
        <w:t>Por tanto, o</w:t>
      </w:r>
      <w:r w:rsidR="0064101F" w:rsidRPr="005D131A">
        <w:rPr>
          <w:bCs/>
          <w:sz w:val="28"/>
          <w:szCs w:val="28"/>
          <w:lang w:val="es-CO"/>
        </w:rPr>
        <w:t xml:space="preserve">rientada por </w:t>
      </w:r>
      <w:r w:rsidR="0064101F" w:rsidRPr="005D131A">
        <w:rPr>
          <w:bCs/>
          <w:sz w:val="28"/>
          <w:szCs w:val="28"/>
        </w:rPr>
        <w:t>los principios de colaboración armónica y de separación de poderes</w:t>
      </w:r>
      <w:r w:rsidR="0064101F" w:rsidRPr="005D131A">
        <w:rPr>
          <w:bCs/>
          <w:sz w:val="28"/>
          <w:szCs w:val="28"/>
          <w:vertAlign w:val="superscript"/>
        </w:rPr>
        <w:footnoteReference w:id="114"/>
      </w:r>
      <w:r w:rsidR="0064101F" w:rsidRPr="005D131A">
        <w:rPr>
          <w:bCs/>
          <w:sz w:val="28"/>
          <w:szCs w:val="28"/>
        </w:rPr>
        <w:t>,</w:t>
      </w:r>
      <w:r w:rsidR="00906F57" w:rsidRPr="005D131A">
        <w:rPr>
          <w:bCs/>
          <w:sz w:val="28"/>
          <w:szCs w:val="28"/>
        </w:rPr>
        <w:t xml:space="preserve"> </w:t>
      </w:r>
      <w:r w:rsidR="00BA5E66" w:rsidRPr="005D131A">
        <w:rPr>
          <w:bCs/>
          <w:sz w:val="28"/>
          <w:szCs w:val="28"/>
        </w:rPr>
        <w:t xml:space="preserve">la Corte </w:t>
      </w:r>
      <w:r w:rsidR="0064101F" w:rsidRPr="005D131A">
        <w:rPr>
          <w:bCs/>
          <w:sz w:val="28"/>
          <w:szCs w:val="28"/>
          <w:lang w:val="es-CO"/>
        </w:rPr>
        <w:t xml:space="preserve">ordenó a las autoridades de regulación del sistema de salud adoptar, en el corto y mediano plazo, medidas correctivas y eficaces tendientes a superar el déficit de protección. Así mismo, se dispuso la intervención del Ministerio Público para que en el marco de sus competencias constitucionales actuara en defensa </w:t>
      </w:r>
      <w:r w:rsidR="009163C4" w:rsidRPr="005D131A">
        <w:rPr>
          <w:bCs/>
          <w:sz w:val="28"/>
          <w:szCs w:val="28"/>
          <w:lang w:val="es-CO"/>
        </w:rPr>
        <w:t>y guarda del derecho a la salud</w:t>
      </w:r>
      <w:r w:rsidR="0064101F" w:rsidRPr="005D131A">
        <w:rPr>
          <w:bCs/>
          <w:sz w:val="28"/>
          <w:szCs w:val="28"/>
          <w:vertAlign w:val="superscript"/>
          <w:lang w:val="es-CO"/>
        </w:rPr>
        <w:footnoteReference w:id="115"/>
      </w:r>
      <w:r w:rsidR="0064101F" w:rsidRPr="005D131A">
        <w:rPr>
          <w:bCs/>
          <w:sz w:val="28"/>
          <w:szCs w:val="28"/>
          <w:lang w:val="es-CO"/>
        </w:rPr>
        <w:t>.</w:t>
      </w:r>
      <w:r w:rsidR="00546729" w:rsidRPr="005D131A">
        <w:rPr>
          <w:bCs/>
          <w:sz w:val="28"/>
          <w:szCs w:val="28"/>
          <w:lang w:val="es-CO"/>
        </w:rPr>
        <w:t xml:space="preserve"> </w:t>
      </w:r>
      <w:r w:rsidR="00546729" w:rsidRPr="005D131A">
        <w:rPr>
          <w:bCs/>
          <w:sz w:val="28"/>
          <w:szCs w:val="28"/>
        </w:rPr>
        <w:t xml:space="preserve">Los asuntos que constituyeron el marco de la decisión fueron: </w:t>
      </w:r>
      <w:r w:rsidR="00546729" w:rsidRPr="005D131A">
        <w:rPr>
          <w:bCs/>
          <w:i/>
          <w:sz w:val="28"/>
          <w:szCs w:val="28"/>
        </w:rPr>
        <w:t>i)</w:t>
      </w:r>
      <w:r w:rsidR="00546729" w:rsidRPr="005D131A">
        <w:rPr>
          <w:bCs/>
          <w:sz w:val="28"/>
          <w:szCs w:val="28"/>
        </w:rPr>
        <w:t xml:space="preserve"> la precisión, la actualización, la unificación y el acceso a </w:t>
      </w:r>
      <w:r w:rsidR="0016744B" w:rsidRPr="005D131A">
        <w:rPr>
          <w:bCs/>
          <w:sz w:val="28"/>
          <w:szCs w:val="28"/>
        </w:rPr>
        <w:t xml:space="preserve">los </w:t>
      </w:r>
      <w:r w:rsidR="00546729" w:rsidRPr="005D131A">
        <w:rPr>
          <w:bCs/>
          <w:sz w:val="28"/>
          <w:szCs w:val="28"/>
        </w:rPr>
        <w:t xml:space="preserve">planes de beneficios; </w:t>
      </w:r>
      <w:r w:rsidR="00546729" w:rsidRPr="005D131A">
        <w:rPr>
          <w:bCs/>
          <w:i/>
          <w:sz w:val="28"/>
          <w:szCs w:val="28"/>
        </w:rPr>
        <w:t>ii)</w:t>
      </w:r>
      <w:r w:rsidR="00546729" w:rsidRPr="005D131A">
        <w:rPr>
          <w:bCs/>
          <w:sz w:val="28"/>
          <w:szCs w:val="28"/>
        </w:rPr>
        <w:t xml:space="preserve"> la sostenibilidad y el flujo de recursos; </w:t>
      </w:r>
      <w:r w:rsidR="00546729" w:rsidRPr="005D131A">
        <w:rPr>
          <w:bCs/>
          <w:i/>
          <w:sz w:val="28"/>
          <w:szCs w:val="28"/>
        </w:rPr>
        <w:t>iii)</w:t>
      </w:r>
      <w:r w:rsidR="00546729" w:rsidRPr="005D131A">
        <w:rPr>
          <w:bCs/>
          <w:sz w:val="28"/>
          <w:szCs w:val="28"/>
        </w:rPr>
        <w:t xml:space="preserve"> la carta de derechos</w:t>
      </w:r>
      <w:r w:rsidR="0016744B" w:rsidRPr="005D131A">
        <w:rPr>
          <w:bCs/>
          <w:sz w:val="28"/>
          <w:szCs w:val="28"/>
        </w:rPr>
        <w:t>,</w:t>
      </w:r>
      <w:r w:rsidR="00906F57" w:rsidRPr="005D131A">
        <w:rPr>
          <w:bCs/>
          <w:sz w:val="28"/>
          <w:szCs w:val="28"/>
        </w:rPr>
        <w:t xml:space="preserve"> </w:t>
      </w:r>
      <w:r w:rsidR="00546729" w:rsidRPr="005D131A">
        <w:rPr>
          <w:bCs/>
          <w:sz w:val="28"/>
          <w:szCs w:val="28"/>
        </w:rPr>
        <w:t xml:space="preserve">deberes y de desempeño; </w:t>
      </w:r>
      <w:r w:rsidR="00546729" w:rsidRPr="005D131A">
        <w:rPr>
          <w:bCs/>
          <w:i/>
          <w:sz w:val="28"/>
          <w:szCs w:val="28"/>
        </w:rPr>
        <w:t>iv)</w:t>
      </w:r>
      <w:r w:rsidR="00546729" w:rsidRPr="005D131A">
        <w:rPr>
          <w:bCs/>
          <w:sz w:val="28"/>
          <w:szCs w:val="28"/>
        </w:rPr>
        <w:t xml:space="preserve"> la cobertura universal; </w:t>
      </w:r>
      <w:r w:rsidR="00546729" w:rsidRPr="005D131A">
        <w:rPr>
          <w:bCs/>
          <w:i/>
          <w:sz w:val="28"/>
          <w:szCs w:val="28"/>
        </w:rPr>
        <w:t>v)</w:t>
      </w:r>
      <w:r w:rsidR="00546729" w:rsidRPr="005D131A">
        <w:rPr>
          <w:bCs/>
          <w:sz w:val="28"/>
          <w:szCs w:val="28"/>
        </w:rPr>
        <w:t xml:space="preserve"> la medición de las acciones de tutela; y </w:t>
      </w:r>
      <w:r w:rsidR="00546729" w:rsidRPr="005D131A">
        <w:rPr>
          <w:bCs/>
          <w:i/>
          <w:sz w:val="28"/>
          <w:szCs w:val="28"/>
        </w:rPr>
        <w:t xml:space="preserve">vi) </w:t>
      </w:r>
      <w:r w:rsidR="00546729" w:rsidRPr="005D131A">
        <w:rPr>
          <w:bCs/>
          <w:sz w:val="28"/>
          <w:szCs w:val="28"/>
        </w:rPr>
        <w:t>la</w:t>
      </w:r>
      <w:r w:rsidR="00546729" w:rsidRPr="005D131A">
        <w:rPr>
          <w:bCs/>
          <w:i/>
          <w:sz w:val="28"/>
          <w:szCs w:val="28"/>
        </w:rPr>
        <w:t xml:space="preserve"> </w:t>
      </w:r>
      <w:r w:rsidR="00546729" w:rsidRPr="005D131A">
        <w:rPr>
          <w:bCs/>
          <w:sz w:val="28"/>
          <w:szCs w:val="28"/>
        </w:rPr>
        <w:t>divulgación de la sentencia.</w:t>
      </w:r>
    </w:p>
    <w:p w:rsidR="00B92140" w:rsidRPr="005D131A" w:rsidRDefault="00B92140" w:rsidP="005D131A">
      <w:pPr>
        <w:pStyle w:val="Prrafodelista"/>
        <w:tabs>
          <w:tab w:val="left" w:pos="426"/>
        </w:tabs>
        <w:ind w:left="0"/>
        <w:rPr>
          <w:sz w:val="28"/>
          <w:szCs w:val="28"/>
          <w:lang w:val="es-CO"/>
        </w:rPr>
      </w:pPr>
    </w:p>
    <w:p w:rsidR="00F9638A" w:rsidRPr="005D131A" w:rsidRDefault="00393006" w:rsidP="005D131A">
      <w:pPr>
        <w:tabs>
          <w:tab w:val="left" w:pos="426"/>
        </w:tabs>
        <w:rPr>
          <w:sz w:val="28"/>
          <w:szCs w:val="28"/>
          <w:lang w:val="es-CO"/>
        </w:rPr>
      </w:pPr>
      <w:r w:rsidRPr="005D131A">
        <w:rPr>
          <w:sz w:val="28"/>
          <w:szCs w:val="28"/>
          <w:lang w:val="es-CO"/>
        </w:rPr>
        <w:t>3.4</w:t>
      </w:r>
      <w:r w:rsidR="00851DC6" w:rsidRPr="005D131A">
        <w:rPr>
          <w:sz w:val="28"/>
          <w:szCs w:val="28"/>
          <w:lang w:val="es-CO"/>
        </w:rPr>
        <w:t xml:space="preserve">. </w:t>
      </w:r>
      <w:r w:rsidR="00485A3A" w:rsidRPr="005D131A">
        <w:rPr>
          <w:sz w:val="28"/>
          <w:szCs w:val="28"/>
          <w:lang w:val="es-CO"/>
        </w:rPr>
        <w:t>En tal virtud, e</w:t>
      </w:r>
      <w:r w:rsidR="0072417A" w:rsidRPr="005D131A">
        <w:rPr>
          <w:sz w:val="28"/>
          <w:szCs w:val="28"/>
          <w:lang w:val="es-CO"/>
        </w:rPr>
        <w:t xml:space="preserve">ste Tribunal </w:t>
      </w:r>
      <w:r w:rsidR="00A635A4" w:rsidRPr="005D131A">
        <w:rPr>
          <w:sz w:val="28"/>
          <w:szCs w:val="28"/>
          <w:lang w:val="es-CO"/>
        </w:rPr>
        <w:t xml:space="preserve">constató que </w:t>
      </w:r>
      <w:r w:rsidR="00F10F1B" w:rsidRPr="005D131A">
        <w:rPr>
          <w:sz w:val="28"/>
          <w:szCs w:val="28"/>
          <w:lang w:val="es-CO"/>
        </w:rPr>
        <w:t>la falta de un mecanismo para que</w:t>
      </w:r>
      <w:r w:rsidR="00F10F1B" w:rsidRPr="005D131A">
        <w:rPr>
          <w:i/>
          <w:sz w:val="28"/>
          <w:szCs w:val="28"/>
          <w:lang w:val="es-CO"/>
        </w:rPr>
        <w:t xml:space="preserve"> </w:t>
      </w:r>
      <w:r w:rsidR="00F10F1B" w:rsidRPr="005D131A">
        <w:rPr>
          <w:sz w:val="28"/>
          <w:szCs w:val="28"/>
          <w:lang w:val="es-CO"/>
        </w:rPr>
        <w:t xml:space="preserve">las EPS estudiaran solicitudes de este </w:t>
      </w:r>
      <w:r w:rsidR="00BA5E66" w:rsidRPr="005D131A">
        <w:rPr>
          <w:sz w:val="28"/>
          <w:szCs w:val="28"/>
          <w:lang w:val="es-CO"/>
        </w:rPr>
        <w:t>tipo de servicios</w:t>
      </w:r>
      <w:r w:rsidR="00F10F1B" w:rsidRPr="005D131A">
        <w:rPr>
          <w:sz w:val="28"/>
          <w:szCs w:val="28"/>
          <w:lang w:val="es-CO"/>
        </w:rPr>
        <w:t xml:space="preserve"> y recobraran su costo ante el Fosyga, así como para lograr que el médico tratante presentara efectivamente la solicitud de autorización de </w:t>
      </w:r>
      <w:r w:rsidR="00A85DCB" w:rsidRPr="005D131A">
        <w:rPr>
          <w:sz w:val="28"/>
          <w:szCs w:val="28"/>
          <w:lang w:val="es-CO"/>
        </w:rPr>
        <w:t>medicamentos</w:t>
      </w:r>
      <w:r w:rsidR="00F10F1B" w:rsidRPr="005D131A">
        <w:rPr>
          <w:sz w:val="28"/>
          <w:szCs w:val="28"/>
          <w:lang w:val="es-CO"/>
        </w:rPr>
        <w:t xml:space="preserve"> no POS ante los CTC, llev</w:t>
      </w:r>
      <w:r w:rsidR="00963623" w:rsidRPr="005D131A">
        <w:rPr>
          <w:sz w:val="28"/>
          <w:szCs w:val="28"/>
          <w:lang w:val="es-CO"/>
        </w:rPr>
        <w:t>aba</w:t>
      </w:r>
      <w:r w:rsidR="00F10F1B" w:rsidRPr="005D131A">
        <w:rPr>
          <w:sz w:val="28"/>
          <w:szCs w:val="28"/>
          <w:lang w:val="es-CO"/>
        </w:rPr>
        <w:t xml:space="preserve"> a las promotoras a exigir a los afiliados que agotaran el “trámite previo” de presentar acciones de tutela y lograr que los jueces ordenaran la prestación. </w:t>
      </w:r>
      <w:r w:rsidR="00A52116" w:rsidRPr="005D131A">
        <w:rPr>
          <w:sz w:val="28"/>
          <w:szCs w:val="28"/>
          <w:lang w:val="es-CO"/>
        </w:rPr>
        <w:t>E</w:t>
      </w:r>
      <w:r w:rsidR="00F9638A" w:rsidRPr="005D131A">
        <w:rPr>
          <w:sz w:val="28"/>
          <w:szCs w:val="28"/>
          <w:lang w:val="es-CO"/>
        </w:rPr>
        <w:t>l vacío</w:t>
      </w:r>
      <w:r w:rsidR="00953869" w:rsidRPr="005D131A">
        <w:rPr>
          <w:sz w:val="28"/>
          <w:szCs w:val="28"/>
          <w:lang w:val="es-CO"/>
        </w:rPr>
        <w:t xml:space="preserve"> </w:t>
      </w:r>
      <w:r w:rsidR="00A635A4" w:rsidRPr="005D131A">
        <w:rPr>
          <w:sz w:val="28"/>
          <w:szCs w:val="28"/>
          <w:lang w:val="es-CO"/>
        </w:rPr>
        <w:t xml:space="preserve">existente en torno al </w:t>
      </w:r>
      <w:r w:rsidR="00953869" w:rsidRPr="005D131A">
        <w:rPr>
          <w:sz w:val="28"/>
          <w:szCs w:val="28"/>
          <w:lang w:val="es-CO"/>
        </w:rPr>
        <w:t xml:space="preserve">procedimiento </w:t>
      </w:r>
      <w:r w:rsidR="00A635A4" w:rsidRPr="005D131A">
        <w:rPr>
          <w:sz w:val="28"/>
          <w:szCs w:val="28"/>
          <w:lang w:val="es-CO"/>
        </w:rPr>
        <w:t xml:space="preserve">para </w:t>
      </w:r>
      <w:r w:rsidR="00C721BC" w:rsidRPr="005D131A">
        <w:rPr>
          <w:sz w:val="28"/>
          <w:szCs w:val="28"/>
          <w:lang w:val="es-CO"/>
        </w:rPr>
        <w:t>obtener</w:t>
      </w:r>
      <w:r w:rsidR="00A635A4" w:rsidRPr="005D131A">
        <w:rPr>
          <w:sz w:val="28"/>
          <w:szCs w:val="28"/>
          <w:lang w:val="es-CO"/>
        </w:rPr>
        <w:t xml:space="preserve"> </w:t>
      </w:r>
      <w:r w:rsidR="00F9638A" w:rsidRPr="005D131A">
        <w:rPr>
          <w:sz w:val="28"/>
          <w:szCs w:val="28"/>
          <w:lang w:val="es-CO"/>
        </w:rPr>
        <w:t xml:space="preserve">las </w:t>
      </w:r>
      <w:r w:rsidR="00A635A4" w:rsidRPr="005D131A">
        <w:rPr>
          <w:sz w:val="28"/>
          <w:szCs w:val="28"/>
          <w:lang w:val="es-CO"/>
        </w:rPr>
        <w:t xml:space="preserve">prestaciones </w:t>
      </w:r>
      <w:r w:rsidR="00F9638A" w:rsidRPr="005D131A">
        <w:rPr>
          <w:sz w:val="28"/>
          <w:szCs w:val="28"/>
          <w:lang w:val="es-CO"/>
        </w:rPr>
        <w:t xml:space="preserve">no POS </w:t>
      </w:r>
      <w:r w:rsidR="00A635A4" w:rsidRPr="005D131A">
        <w:rPr>
          <w:sz w:val="28"/>
          <w:szCs w:val="28"/>
          <w:lang w:val="es-CO"/>
        </w:rPr>
        <w:t xml:space="preserve">se </w:t>
      </w:r>
      <w:r w:rsidR="00DD0970" w:rsidRPr="005D131A">
        <w:rPr>
          <w:sz w:val="28"/>
          <w:szCs w:val="28"/>
          <w:lang w:val="es-CO"/>
        </w:rPr>
        <w:t>convirtió</w:t>
      </w:r>
      <w:r w:rsidR="00A635A4" w:rsidRPr="005D131A">
        <w:rPr>
          <w:sz w:val="28"/>
          <w:szCs w:val="28"/>
          <w:lang w:val="es-CO"/>
        </w:rPr>
        <w:t xml:space="preserve"> en la principal barrera para</w:t>
      </w:r>
      <w:r w:rsidR="0072417A" w:rsidRPr="005D131A">
        <w:rPr>
          <w:sz w:val="28"/>
          <w:szCs w:val="28"/>
          <w:lang w:val="es-CO"/>
        </w:rPr>
        <w:t xml:space="preserve"> que</w:t>
      </w:r>
      <w:r w:rsidR="00A635A4" w:rsidRPr="005D131A">
        <w:rPr>
          <w:sz w:val="28"/>
          <w:szCs w:val="28"/>
          <w:lang w:val="es-CO"/>
        </w:rPr>
        <w:t xml:space="preserve"> los ciudadanos obtuvieran </w:t>
      </w:r>
      <w:r w:rsidR="00F9638A" w:rsidRPr="005D131A">
        <w:rPr>
          <w:sz w:val="28"/>
          <w:szCs w:val="28"/>
          <w:lang w:val="es-CO"/>
        </w:rPr>
        <w:t>oportunamente la</w:t>
      </w:r>
      <w:r w:rsidR="00A635A4" w:rsidRPr="005D131A">
        <w:rPr>
          <w:sz w:val="28"/>
          <w:szCs w:val="28"/>
          <w:lang w:val="es-CO"/>
        </w:rPr>
        <w:t xml:space="preserve"> asisten</w:t>
      </w:r>
      <w:r w:rsidR="00883B47" w:rsidRPr="005D131A">
        <w:rPr>
          <w:sz w:val="28"/>
          <w:szCs w:val="28"/>
          <w:lang w:val="es-CO"/>
        </w:rPr>
        <w:t>cia</w:t>
      </w:r>
      <w:r w:rsidR="0072417A" w:rsidRPr="005D131A">
        <w:rPr>
          <w:sz w:val="28"/>
          <w:szCs w:val="28"/>
          <w:lang w:val="es-CO"/>
        </w:rPr>
        <w:t xml:space="preserve">, vulnerando </w:t>
      </w:r>
      <w:r w:rsidR="006846E9" w:rsidRPr="005D131A">
        <w:rPr>
          <w:sz w:val="28"/>
          <w:szCs w:val="28"/>
          <w:lang w:val="es-CO"/>
        </w:rPr>
        <w:t xml:space="preserve">de manera sistemática </w:t>
      </w:r>
      <w:r w:rsidR="0072417A" w:rsidRPr="005D131A">
        <w:rPr>
          <w:sz w:val="28"/>
          <w:szCs w:val="28"/>
          <w:lang w:val="es-CO"/>
        </w:rPr>
        <w:t>su derecho a acceder a los servic</w:t>
      </w:r>
      <w:r w:rsidR="00BF3871" w:rsidRPr="005D131A">
        <w:rPr>
          <w:sz w:val="28"/>
          <w:szCs w:val="28"/>
          <w:lang w:val="es-CO"/>
        </w:rPr>
        <w:t xml:space="preserve">ios que </w:t>
      </w:r>
      <w:r w:rsidR="00BA5E66" w:rsidRPr="005D131A">
        <w:rPr>
          <w:sz w:val="28"/>
          <w:szCs w:val="28"/>
          <w:lang w:val="es-CO"/>
        </w:rPr>
        <w:t xml:space="preserve">se </w:t>
      </w:r>
      <w:r w:rsidR="00BF3871" w:rsidRPr="005D131A">
        <w:rPr>
          <w:sz w:val="28"/>
          <w:szCs w:val="28"/>
          <w:lang w:val="es-CO"/>
        </w:rPr>
        <w:t>requieren con necesidad</w:t>
      </w:r>
      <w:r w:rsidR="001522C5" w:rsidRPr="005D131A">
        <w:rPr>
          <w:sz w:val="28"/>
          <w:szCs w:val="28"/>
          <w:lang w:val="es-CO"/>
        </w:rPr>
        <w:t xml:space="preserve">. </w:t>
      </w:r>
    </w:p>
    <w:p w:rsidR="00375797" w:rsidRPr="005D131A" w:rsidRDefault="00375797" w:rsidP="005D131A">
      <w:pPr>
        <w:pStyle w:val="Prrafodelista"/>
        <w:tabs>
          <w:tab w:val="left" w:pos="426"/>
        </w:tabs>
        <w:ind w:left="0"/>
        <w:rPr>
          <w:sz w:val="28"/>
          <w:szCs w:val="28"/>
          <w:lang w:val="es-CO"/>
        </w:rPr>
      </w:pPr>
    </w:p>
    <w:p w:rsidR="00A85DCB" w:rsidRPr="005D131A" w:rsidRDefault="00393006" w:rsidP="005D131A">
      <w:pPr>
        <w:tabs>
          <w:tab w:val="left" w:pos="567"/>
        </w:tabs>
        <w:ind w:right="-40"/>
        <w:rPr>
          <w:sz w:val="28"/>
          <w:szCs w:val="28"/>
        </w:rPr>
      </w:pPr>
      <w:r w:rsidRPr="005D131A">
        <w:rPr>
          <w:sz w:val="28"/>
          <w:szCs w:val="28"/>
        </w:rPr>
        <w:t>3.5</w:t>
      </w:r>
      <w:r w:rsidR="00A85DCB" w:rsidRPr="005D131A">
        <w:rPr>
          <w:sz w:val="28"/>
          <w:szCs w:val="28"/>
        </w:rPr>
        <w:t xml:space="preserve">. Por ello, en la sentencia cuyo cumplimiento se supervisa, esta Corporación señaló que es deber del Estado asegurar el acceso a los servicios de salud, libre de trámites y procedimientos administrativos engorrosos e innecesarios, razón por la cual se debía establecer un sistema que garantizara la prestación con calidad, oportunidad, continuidad y suficiencia del servicio de salud. </w:t>
      </w:r>
    </w:p>
    <w:p w:rsidR="006F68ED" w:rsidRPr="005D131A" w:rsidRDefault="006F68ED" w:rsidP="005D131A">
      <w:pPr>
        <w:tabs>
          <w:tab w:val="left" w:pos="567"/>
        </w:tabs>
        <w:ind w:right="-40"/>
        <w:rPr>
          <w:sz w:val="28"/>
          <w:szCs w:val="28"/>
        </w:rPr>
      </w:pPr>
    </w:p>
    <w:p w:rsidR="00A85DCB" w:rsidRDefault="00A85DCB" w:rsidP="005D131A">
      <w:pPr>
        <w:tabs>
          <w:tab w:val="left" w:pos="567"/>
        </w:tabs>
        <w:ind w:right="-40"/>
        <w:rPr>
          <w:i/>
          <w:sz w:val="28"/>
          <w:szCs w:val="28"/>
          <w:lang w:eastAsia="es-CO"/>
        </w:rPr>
      </w:pPr>
      <w:r w:rsidRPr="005D131A">
        <w:rPr>
          <w:sz w:val="28"/>
          <w:szCs w:val="28"/>
        </w:rPr>
        <w:t>A partir de esta premisa se cuestionó sobre si ¿</w:t>
      </w:r>
      <w:r w:rsidRPr="005D131A">
        <w:rPr>
          <w:i/>
          <w:sz w:val="28"/>
          <w:szCs w:val="28"/>
          <w:lang w:eastAsia="es-CO"/>
        </w:rPr>
        <w:t>el Estado desconoce el derecho a la salud de las personas que requieren con necesidad un servicio de salud, diferente a medicamentos, al no haber fijado y regulado un procedimiento mediante el cual la entidad encargada de garantizar la prestación del servicio garantice el acceso efectivo al mismo?</w:t>
      </w:r>
      <w:r w:rsidRPr="005D131A">
        <w:rPr>
          <w:sz w:val="28"/>
          <w:szCs w:val="28"/>
          <w:vertAlign w:val="superscript"/>
          <w:lang w:eastAsia="es-CO"/>
        </w:rPr>
        <w:footnoteReference w:id="116"/>
      </w:r>
    </w:p>
    <w:p w:rsidR="005D5550" w:rsidRPr="005D131A" w:rsidRDefault="005D5550" w:rsidP="005D131A">
      <w:pPr>
        <w:tabs>
          <w:tab w:val="left" w:pos="567"/>
        </w:tabs>
        <w:ind w:right="-40"/>
        <w:rPr>
          <w:i/>
          <w:sz w:val="28"/>
          <w:szCs w:val="28"/>
        </w:rPr>
      </w:pPr>
    </w:p>
    <w:p w:rsidR="00A85DCB" w:rsidRDefault="00A85DCB" w:rsidP="005D131A">
      <w:pPr>
        <w:rPr>
          <w:i/>
          <w:sz w:val="28"/>
          <w:szCs w:val="28"/>
          <w:lang w:eastAsia="es-CO"/>
        </w:rPr>
      </w:pPr>
      <w:r w:rsidRPr="005D131A">
        <w:rPr>
          <w:sz w:val="28"/>
          <w:szCs w:val="28"/>
          <w:lang w:eastAsia="es-CO"/>
        </w:rPr>
        <w:t>Respecto a este problema jurí</w:t>
      </w:r>
      <w:r w:rsidR="00485A3A" w:rsidRPr="005D131A">
        <w:rPr>
          <w:sz w:val="28"/>
          <w:szCs w:val="28"/>
          <w:lang w:eastAsia="es-CO"/>
        </w:rPr>
        <w:t xml:space="preserve">dico la Corte </w:t>
      </w:r>
      <w:r w:rsidRPr="005D131A">
        <w:rPr>
          <w:sz w:val="28"/>
          <w:szCs w:val="28"/>
          <w:lang w:eastAsia="es-CO"/>
        </w:rPr>
        <w:t xml:space="preserve">determinó que </w:t>
      </w:r>
      <w:r w:rsidRPr="005D131A">
        <w:rPr>
          <w:i/>
          <w:sz w:val="28"/>
          <w:szCs w:val="28"/>
          <w:lang w:eastAsia="es-CO"/>
        </w:rPr>
        <w:t>“la ausencia de regulación clara que permita hacer efectivos los derechos de los usuarios cuando requieren un servicio de salud, diferente a un medicamento, no incluido en el POS, es una de las razones por las cuales la tutela se ha convertido en el mecanismo generalizado para acceder a servicios de salud no incluidos en el POS ordenados por el médico tratante, e incluso muchas veces a medicamentos cuando el médico tratante no presenta la solicitud ante el Comité Técnico Científico.”</w:t>
      </w:r>
      <w:r w:rsidRPr="005D131A">
        <w:rPr>
          <w:i/>
          <w:sz w:val="28"/>
          <w:szCs w:val="28"/>
          <w:vertAlign w:val="superscript"/>
          <w:lang w:eastAsia="es-CO"/>
        </w:rPr>
        <w:footnoteReference w:id="117"/>
      </w:r>
      <w:r w:rsidRPr="005D131A">
        <w:rPr>
          <w:i/>
          <w:sz w:val="28"/>
          <w:szCs w:val="28"/>
          <w:lang w:eastAsia="es-CO"/>
        </w:rPr>
        <w:t xml:space="preserve"> </w:t>
      </w:r>
    </w:p>
    <w:p w:rsidR="005D5550" w:rsidRPr="005D131A" w:rsidRDefault="005D5550" w:rsidP="005D131A">
      <w:pPr>
        <w:rPr>
          <w:i/>
          <w:sz w:val="28"/>
          <w:szCs w:val="28"/>
          <w:lang w:eastAsia="es-CO"/>
        </w:rPr>
      </w:pPr>
    </w:p>
    <w:p w:rsidR="00321C52" w:rsidRPr="005D131A" w:rsidRDefault="00A85DCB" w:rsidP="005D131A">
      <w:pPr>
        <w:tabs>
          <w:tab w:val="left" w:pos="426"/>
        </w:tabs>
        <w:rPr>
          <w:sz w:val="28"/>
          <w:szCs w:val="28"/>
          <w:lang w:eastAsia="es-CO"/>
        </w:rPr>
      </w:pPr>
      <w:r w:rsidRPr="005D131A">
        <w:rPr>
          <w:sz w:val="28"/>
          <w:szCs w:val="28"/>
          <w:lang w:eastAsia="es-CO"/>
        </w:rPr>
        <w:t xml:space="preserve">Como consecuencia, en su momento, se ordenó a la Comisión de Regulación en Salud que regulara el trámite interno que debe adelantar el médico tratante para que la EPS autorizara directamente: </w:t>
      </w:r>
      <w:r w:rsidRPr="005D131A">
        <w:rPr>
          <w:i/>
          <w:sz w:val="28"/>
          <w:szCs w:val="28"/>
          <w:lang w:eastAsia="es-CO"/>
        </w:rPr>
        <w:t>i)</w:t>
      </w:r>
      <w:r w:rsidRPr="005D131A">
        <w:rPr>
          <w:sz w:val="28"/>
          <w:szCs w:val="28"/>
          <w:lang w:eastAsia="es-CO"/>
        </w:rPr>
        <w:t xml:space="preserve"> los servicios de salud no incluidos en el plan obligatorio de salud (contributivo o subsidiado), diferentes al suministro de un medicamento y </w:t>
      </w:r>
      <w:r w:rsidRPr="005D131A">
        <w:rPr>
          <w:i/>
          <w:sz w:val="28"/>
          <w:szCs w:val="28"/>
          <w:lang w:eastAsia="es-CO"/>
        </w:rPr>
        <w:t>ii)</w:t>
      </w:r>
      <w:r w:rsidRPr="005D131A">
        <w:rPr>
          <w:sz w:val="28"/>
          <w:szCs w:val="28"/>
          <w:lang w:eastAsia="es-CO"/>
        </w:rPr>
        <w:t xml:space="preserve"> los medicamentos y demás insumos para la atención de las actividades, procedimientos e intervenciones explícitamente excluidas del Plan Obligatorio de Salud, de tal forma que se respetara el principio de integralidad. </w:t>
      </w:r>
    </w:p>
    <w:p w:rsidR="00321C52" w:rsidRPr="005D131A" w:rsidRDefault="00321C52" w:rsidP="005D131A">
      <w:pPr>
        <w:tabs>
          <w:tab w:val="left" w:pos="426"/>
        </w:tabs>
        <w:rPr>
          <w:sz w:val="28"/>
          <w:szCs w:val="28"/>
          <w:lang w:eastAsia="es-CO"/>
        </w:rPr>
      </w:pPr>
    </w:p>
    <w:p w:rsidR="00321C52" w:rsidRPr="005D131A" w:rsidRDefault="00321C52" w:rsidP="005D131A">
      <w:pPr>
        <w:tabs>
          <w:tab w:val="left" w:pos="426"/>
        </w:tabs>
        <w:rPr>
          <w:sz w:val="28"/>
          <w:szCs w:val="28"/>
          <w:lang w:val="es-CO"/>
        </w:rPr>
      </w:pPr>
      <w:r w:rsidRPr="005D131A">
        <w:rPr>
          <w:sz w:val="28"/>
          <w:szCs w:val="28"/>
          <w:lang w:val="es-CO"/>
        </w:rPr>
        <w:t>Se advirtió que mientras se imp</w:t>
      </w:r>
      <w:r w:rsidR="00BA5E66" w:rsidRPr="005D131A">
        <w:rPr>
          <w:sz w:val="28"/>
          <w:szCs w:val="28"/>
          <w:lang w:val="es-CO"/>
        </w:rPr>
        <w:t>lementaba el mecanismo</w:t>
      </w:r>
      <w:r w:rsidRPr="005D131A">
        <w:rPr>
          <w:sz w:val="28"/>
          <w:szCs w:val="28"/>
          <w:lang w:val="es-CO"/>
        </w:rPr>
        <w:t xml:space="preserve"> de</w:t>
      </w:r>
      <w:r w:rsidR="00BA5E66" w:rsidRPr="005D131A">
        <w:rPr>
          <w:sz w:val="28"/>
          <w:szCs w:val="28"/>
          <w:lang w:val="es-CO"/>
        </w:rPr>
        <w:t>bían extenderse las normas del C</w:t>
      </w:r>
      <w:r w:rsidRPr="005D131A">
        <w:rPr>
          <w:sz w:val="28"/>
          <w:szCs w:val="28"/>
          <w:lang w:val="es-CO"/>
        </w:rPr>
        <w:t xml:space="preserve">omité para medicamentos no incluidos en el plan de beneficios a las demás tecnologías en salud. Ello con el fin de que las personas pudieran acceder a los servicios que requirieran con necesidad, teniendo en cuenta los parámetros fijados por la jurisprudencia constitucional. </w:t>
      </w:r>
    </w:p>
    <w:p w:rsidR="00EF1587" w:rsidRPr="005D131A" w:rsidRDefault="00EF1587" w:rsidP="005D131A">
      <w:pPr>
        <w:tabs>
          <w:tab w:val="left" w:pos="426"/>
        </w:tabs>
        <w:rPr>
          <w:sz w:val="28"/>
          <w:szCs w:val="28"/>
          <w:lang w:val="es-CO"/>
        </w:rPr>
      </w:pPr>
    </w:p>
    <w:p w:rsidR="00321C52" w:rsidRPr="005D131A" w:rsidRDefault="00321C52" w:rsidP="005D131A">
      <w:pPr>
        <w:pStyle w:val="Prrafodelista"/>
        <w:tabs>
          <w:tab w:val="left" w:pos="426"/>
        </w:tabs>
        <w:ind w:left="0"/>
        <w:rPr>
          <w:sz w:val="28"/>
          <w:szCs w:val="28"/>
          <w:lang w:val="es-CO"/>
        </w:rPr>
      </w:pPr>
      <w:r w:rsidRPr="005D131A">
        <w:rPr>
          <w:sz w:val="28"/>
          <w:szCs w:val="28"/>
          <w:lang w:val="es-CO"/>
        </w:rPr>
        <w:t xml:space="preserve">Aclaró que en los casos en los que un CTC negara una prestación y esta fuera ordenada posteriormente por un juez de tutela, solo procedería el reembolso de la mitad de los costos no cubiertos. </w:t>
      </w:r>
      <w:r w:rsidRPr="005D131A">
        <w:rPr>
          <w:sz w:val="28"/>
          <w:szCs w:val="28"/>
        </w:rPr>
        <w:t xml:space="preserve">Esta decisión se fundamentó en lo resuelto en la Sentencia C-463 de 2008 que revisó la constitucionalidad del literal j del artículo 14 de la Ley 1122 de 2007. En esa oportunidad la Corte dispuso </w:t>
      </w:r>
      <w:r w:rsidRPr="005D131A">
        <w:rPr>
          <w:sz w:val="28"/>
          <w:szCs w:val="28"/>
          <w:lang w:val="es-CO"/>
        </w:rPr>
        <w:t>“</w:t>
      </w:r>
      <w:r w:rsidRPr="005D131A">
        <w:rPr>
          <w:i/>
          <w:iCs/>
          <w:sz w:val="28"/>
          <w:szCs w:val="28"/>
          <w:lang w:val="es-CO"/>
        </w:rPr>
        <w:t>siempre que una EPS sea obligada mediante acción de tutela a suministrar medicamentos y demás servicios médicos o prestaciones de salud prescritos por el médico tratante, no incluidos en el plan de beneficios de cualquiera de los regímenes legalmente vigentes</w:t>
      </w:r>
      <w:r w:rsidRPr="005D131A">
        <w:rPr>
          <w:iCs/>
          <w:sz w:val="28"/>
          <w:szCs w:val="28"/>
          <w:lang w:val="es-CO"/>
        </w:rPr>
        <w:t>”</w:t>
      </w:r>
      <w:r w:rsidRPr="005D131A">
        <w:rPr>
          <w:sz w:val="28"/>
          <w:szCs w:val="28"/>
          <w:lang w:val="es-CO"/>
        </w:rPr>
        <w:t xml:space="preserve"> se reembolsará sólo la mitad de los costos no cubiertos. Es decir, cuando el CTC niegue un servicio médico de acuerdo con la competencia</w:t>
      </w:r>
      <w:r w:rsidR="00BA5E66" w:rsidRPr="005D131A">
        <w:rPr>
          <w:sz w:val="28"/>
          <w:szCs w:val="28"/>
          <w:lang w:val="es-CO"/>
        </w:rPr>
        <w:t xml:space="preserve"> de que trata la presente orden</w:t>
      </w:r>
      <w:r w:rsidRPr="005D131A">
        <w:rPr>
          <w:sz w:val="28"/>
          <w:szCs w:val="28"/>
          <w:lang w:val="es-CO"/>
        </w:rPr>
        <w:t xml:space="preserve"> y</w:t>
      </w:r>
      <w:r w:rsidR="00BA5E66" w:rsidRPr="005D131A">
        <w:rPr>
          <w:sz w:val="28"/>
          <w:szCs w:val="28"/>
          <w:lang w:val="es-CO"/>
        </w:rPr>
        <w:t>,</w:t>
      </w:r>
      <w:r w:rsidRPr="005D131A">
        <w:rPr>
          <w:sz w:val="28"/>
          <w:szCs w:val="28"/>
          <w:lang w:val="es-CO"/>
        </w:rPr>
        <w:t xml:space="preserve"> posteriormente</w:t>
      </w:r>
      <w:r w:rsidR="00BA5E66" w:rsidRPr="005D131A">
        <w:rPr>
          <w:sz w:val="28"/>
          <w:szCs w:val="28"/>
          <w:lang w:val="es-CO"/>
        </w:rPr>
        <w:t>,</w:t>
      </w:r>
      <w:r w:rsidRPr="005D131A">
        <w:rPr>
          <w:sz w:val="28"/>
          <w:szCs w:val="28"/>
          <w:lang w:val="es-CO"/>
        </w:rPr>
        <w:t xml:space="preserve"> la EPS se obligue a su prestación mediante una acción de tutela, sólo procederá el reembolso de la mitad de los costos no cubiertos.</w:t>
      </w:r>
    </w:p>
    <w:p w:rsidR="00321C52" w:rsidRPr="005D131A" w:rsidRDefault="00321C52" w:rsidP="005D131A">
      <w:pPr>
        <w:pStyle w:val="Prrafodelista"/>
        <w:tabs>
          <w:tab w:val="left" w:pos="426"/>
        </w:tabs>
        <w:ind w:left="0"/>
        <w:rPr>
          <w:sz w:val="28"/>
          <w:szCs w:val="28"/>
          <w:lang w:val="es-CO"/>
        </w:rPr>
      </w:pPr>
    </w:p>
    <w:p w:rsidR="006F68ED" w:rsidRDefault="00321C52" w:rsidP="005D131A">
      <w:pPr>
        <w:pStyle w:val="Prrafodelista"/>
        <w:tabs>
          <w:tab w:val="left" w:pos="426"/>
        </w:tabs>
        <w:ind w:left="0"/>
        <w:rPr>
          <w:sz w:val="28"/>
          <w:szCs w:val="28"/>
          <w:lang w:val="es-CO"/>
        </w:rPr>
      </w:pPr>
      <w:r w:rsidRPr="005D131A">
        <w:rPr>
          <w:sz w:val="28"/>
          <w:szCs w:val="28"/>
          <w:lang w:val="es-CO"/>
        </w:rPr>
        <w:t>Finalmente, se indicó al Ministerio de Salud que debía presentar un informe sobre el cumplimiento del mandato antes de 15 de marzo de 2009 a la Superintendencia de Salud y a la Defensoría del Pueblo, con copia a esta Corporación.</w:t>
      </w:r>
    </w:p>
    <w:p w:rsidR="005D5550" w:rsidRPr="005D131A" w:rsidRDefault="005D5550" w:rsidP="005D131A">
      <w:pPr>
        <w:pStyle w:val="Prrafodelista"/>
        <w:tabs>
          <w:tab w:val="left" w:pos="426"/>
        </w:tabs>
        <w:ind w:left="0"/>
        <w:rPr>
          <w:sz w:val="28"/>
          <w:szCs w:val="28"/>
          <w:lang w:val="es-CO"/>
        </w:rPr>
      </w:pPr>
    </w:p>
    <w:p w:rsidR="007D7071" w:rsidRPr="005D131A" w:rsidRDefault="007D7071" w:rsidP="005D131A">
      <w:pPr>
        <w:tabs>
          <w:tab w:val="left" w:pos="426"/>
        </w:tabs>
        <w:rPr>
          <w:sz w:val="28"/>
          <w:szCs w:val="28"/>
          <w:lang w:val="es-CO"/>
        </w:rPr>
      </w:pPr>
      <w:r w:rsidRPr="005D131A">
        <w:rPr>
          <w:sz w:val="28"/>
          <w:szCs w:val="28"/>
          <w:lang w:val="es-CO"/>
        </w:rPr>
        <w:t>Ahora bien, en cuanto al alcance de este mandato estructural se requería no solo la expedición de la norma y la entrega de los informes, sino que era imperioso que todos los órganos vinculados a la misma utilizaran esos datos para adelantar las funciones que el ord</w:t>
      </w:r>
      <w:r w:rsidR="00BB567F" w:rsidRPr="005D131A">
        <w:rPr>
          <w:sz w:val="28"/>
          <w:szCs w:val="28"/>
          <w:lang w:val="es-CO"/>
        </w:rPr>
        <w:t>enamiento jurídico les atribuye</w:t>
      </w:r>
      <w:r w:rsidRPr="005D131A">
        <w:rPr>
          <w:sz w:val="28"/>
          <w:szCs w:val="28"/>
          <w:lang w:val="es-CO"/>
        </w:rPr>
        <w:t xml:space="preserve">, con la finalidad de superar el déficit de protección evidenciado en la Sentencia </w:t>
      </w:r>
      <w:r w:rsidR="00485A3A" w:rsidRPr="005D131A">
        <w:rPr>
          <w:sz w:val="28"/>
          <w:szCs w:val="28"/>
          <w:lang w:val="es-CO"/>
        </w:rPr>
        <w:t>bajo estudio</w:t>
      </w:r>
      <w:r w:rsidRPr="005D131A">
        <w:rPr>
          <w:sz w:val="28"/>
          <w:szCs w:val="28"/>
          <w:lang w:val="es-CO"/>
        </w:rPr>
        <w:t xml:space="preserve">. </w:t>
      </w:r>
    </w:p>
    <w:p w:rsidR="007D7071" w:rsidRPr="005D131A" w:rsidRDefault="007D7071" w:rsidP="005D131A">
      <w:pPr>
        <w:pStyle w:val="Prrafodelista"/>
        <w:tabs>
          <w:tab w:val="left" w:pos="426"/>
        </w:tabs>
        <w:rPr>
          <w:sz w:val="28"/>
          <w:szCs w:val="28"/>
          <w:lang w:val="es-CO"/>
        </w:rPr>
      </w:pPr>
    </w:p>
    <w:p w:rsidR="00321C52" w:rsidRPr="005D131A" w:rsidRDefault="00485A3A" w:rsidP="005D131A">
      <w:pPr>
        <w:tabs>
          <w:tab w:val="left" w:pos="567"/>
        </w:tabs>
        <w:rPr>
          <w:color w:val="000000"/>
          <w:sz w:val="28"/>
          <w:szCs w:val="28"/>
        </w:rPr>
      </w:pPr>
      <w:r w:rsidRPr="005D131A">
        <w:rPr>
          <w:sz w:val="28"/>
          <w:szCs w:val="28"/>
          <w:lang w:val="es-CO"/>
        </w:rPr>
        <w:t>3.</w:t>
      </w:r>
      <w:r w:rsidR="008A0E7E" w:rsidRPr="005D131A">
        <w:rPr>
          <w:sz w:val="28"/>
          <w:szCs w:val="28"/>
          <w:lang w:val="es-CO"/>
        </w:rPr>
        <w:t>5</w:t>
      </w:r>
      <w:r w:rsidR="00321C52" w:rsidRPr="005D131A">
        <w:rPr>
          <w:sz w:val="28"/>
          <w:szCs w:val="28"/>
          <w:lang w:val="es-CO"/>
        </w:rPr>
        <w:t xml:space="preserve">. Aunque </w:t>
      </w:r>
      <w:r w:rsidR="00183AA0" w:rsidRPr="005D131A">
        <w:rPr>
          <w:sz w:val="28"/>
          <w:szCs w:val="28"/>
          <w:lang w:val="es-CO"/>
        </w:rPr>
        <w:t>el propósito principal de la orden vigésima tercera hace referencia a que l</w:t>
      </w:r>
      <w:r w:rsidR="00183AA0" w:rsidRPr="005D131A">
        <w:rPr>
          <w:color w:val="000000"/>
          <w:sz w:val="28"/>
          <w:szCs w:val="28"/>
        </w:rPr>
        <w:t xml:space="preserve">a cartera de salud adopte las medidas necesarias para regular el trámite interno que debe adelantar el médico tratante ante la EPS, de manera que esta autorice directamente la prestación de los servicios y tecnologías en salud no incluidos o excluidos del POS, </w:t>
      </w:r>
      <w:r w:rsidR="00321C52" w:rsidRPr="005D131A">
        <w:rPr>
          <w:sz w:val="28"/>
          <w:szCs w:val="28"/>
          <w:lang w:val="es-CO"/>
        </w:rPr>
        <w:t xml:space="preserve">también contempló otras obligaciones para declarar el acatamiento del mandato. En ese sentido, se debe verificar el cumplimiento de los siguientes cuatro componentes: </w:t>
      </w:r>
    </w:p>
    <w:p w:rsidR="00321C52" w:rsidRPr="005D131A" w:rsidRDefault="00321C52" w:rsidP="005D131A">
      <w:pPr>
        <w:pStyle w:val="Prrafodelista"/>
        <w:tabs>
          <w:tab w:val="left" w:pos="426"/>
        </w:tabs>
        <w:ind w:left="0"/>
        <w:rPr>
          <w:sz w:val="28"/>
          <w:szCs w:val="28"/>
          <w:lang w:val="es-CO"/>
        </w:rPr>
      </w:pPr>
    </w:p>
    <w:p w:rsidR="005E56BD" w:rsidRPr="005D131A" w:rsidRDefault="005E56BD" w:rsidP="005D131A">
      <w:pPr>
        <w:tabs>
          <w:tab w:val="left" w:pos="426"/>
          <w:tab w:val="left" w:pos="567"/>
        </w:tabs>
        <w:contextualSpacing/>
        <w:rPr>
          <w:sz w:val="28"/>
          <w:szCs w:val="28"/>
        </w:rPr>
      </w:pPr>
      <w:r w:rsidRPr="005D131A">
        <w:rPr>
          <w:sz w:val="28"/>
          <w:szCs w:val="28"/>
        </w:rPr>
        <w:t>i) Creación de un trámite interno</w:t>
      </w:r>
      <w:r w:rsidR="00C149E4" w:rsidRPr="005D131A">
        <w:rPr>
          <w:sz w:val="28"/>
          <w:szCs w:val="28"/>
        </w:rPr>
        <w:t xml:space="preserve"> </w:t>
      </w:r>
      <w:r w:rsidRPr="005D131A">
        <w:rPr>
          <w:sz w:val="28"/>
          <w:szCs w:val="28"/>
        </w:rPr>
        <w:t>para que los usuarios</w:t>
      </w:r>
      <w:r w:rsidR="00C149E4" w:rsidRPr="005D131A">
        <w:rPr>
          <w:sz w:val="28"/>
          <w:szCs w:val="28"/>
        </w:rPr>
        <w:t xml:space="preserve"> tanto del régimen contributivo como subsidiado</w:t>
      </w:r>
      <w:r w:rsidRPr="005D131A">
        <w:rPr>
          <w:sz w:val="28"/>
          <w:szCs w:val="28"/>
        </w:rPr>
        <w:t xml:space="preserve"> accedan a todos los servicios no incluidos y explícitamente excluidos del </w:t>
      </w:r>
      <w:r w:rsidR="00C149E4" w:rsidRPr="005D131A">
        <w:rPr>
          <w:sz w:val="28"/>
          <w:szCs w:val="28"/>
        </w:rPr>
        <w:t>POS que</w:t>
      </w:r>
      <w:r w:rsidR="00BA5E66" w:rsidRPr="005D131A">
        <w:rPr>
          <w:sz w:val="28"/>
          <w:szCs w:val="28"/>
        </w:rPr>
        <w:t xml:space="preserve"> se requieran </w:t>
      </w:r>
      <w:r w:rsidR="00C149E4" w:rsidRPr="005D131A">
        <w:rPr>
          <w:sz w:val="28"/>
          <w:szCs w:val="28"/>
        </w:rPr>
        <w:t xml:space="preserve">con necesidad. </w:t>
      </w:r>
    </w:p>
    <w:p w:rsidR="005E56BD" w:rsidRPr="005D131A" w:rsidRDefault="005E56BD" w:rsidP="005D131A">
      <w:pPr>
        <w:tabs>
          <w:tab w:val="left" w:pos="426"/>
          <w:tab w:val="left" w:pos="567"/>
        </w:tabs>
        <w:contextualSpacing/>
        <w:rPr>
          <w:sz w:val="28"/>
          <w:szCs w:val="28"/>
        </w:rPr>
      </w:pPr>
    </w:p>
    <w:p w:rsidR="005E56BD" w:rsidRPr="005D131A" w:rsidRDefault="005E56BD" w:rsidP="005D131A">
      <w:pPr>
        <w:tabs>
          <w:tab w:val="left" w:pos="426"/>
          <w:tab w:val="left" w:pos="567"/>
        </w:tabs>
        <w:contextualSpacing/>
        <w:rPr>
          <w:sz w:val="28"/>
          <w:szCs w:val="28"/>
        </w:rPr>
      </w:pPr>
      <w:r w:rsidRPr="005D131A">
        <w:rPr>
          <w:sz w:val="28"/>
          <w:szCs w:val="28"/>
        </w:rPr>
        <w:t>ii) Extensión de las reglas vigentes sobre el CTC a los servicios, distintos a los medicamentos, no incluidos o explícitamente excluidos del plan de beneficios dentro de los cinco (5) días siguientes a la notificación de la sentencia.</w:t>
      </w:r>
    </w:p>
    <w:p w:rsidR="005E56BD" w:rsidRPr="005D131A" w:rsidRDefault="005E56BD" w:rsidP="005D131A">
      <w:pPr>
        <w:tabs>
          <w:tab w:val="left" w:pos="426"/>
          <w:tab w:val="left" w:pos="567"/>
        </w:tabs>
        <w:contextualSpacing/>
        <w:rPr>
          <w:sz w:val="28"/>
          <w:szCs w:val="28"/>
        </w:rPr>
      </w:pPr>
    </w:p>
    <w:p w:rsidR="005E56BD" w:rsidRPr="005D131A" w:rsidRDefault="005E56BD" w:rsidP="005D131A">
      <w:pPr>
        <w:tabs>
          <w:tab w:val="left" w:pos="426"/>
          <w:tab w:val="left" w:pos="567"/>
        </w:tabs>
        <w:contextualSpacing/>
        <w:rPr>
          <w:sz w:val="28"/>
          <w:szCs w:val="28"/>
        </w:rPr>
      </w:pPr>
      <w:r w:rsidRPr="005D131A">
        <w:rPr>
          <w:sz w:val="28"/>
          <w:szCs w:val="28"/>
        </w:rPr>
        <w:t>iii) Sanción en el recobro a las EPS cuyo CTC ha negado la prestación de un servicio de salud no POS y este fue posteriormente ordenado por un juez de tutela.</w:t>
      </w:r>
    </w:p>
    <w:p w:rsidR="005E56BD" w:rsidRPr="005D131A" w:rsidRDefault="005E56BD" w:rsidP="005D131A">
      <w:pPr>
        <w:pStyle w:val="Prrafodelista"/>
        <w:tabs>
          <w:tab w:val="left" w:pos="567"/>
          <w:tab w:val="left" w:pos="1276"/>
        </w:tabs>
        <w:ind w:left="0"/>
        <w:contextualSpacing/>
        <w:rPr>
          <w:sz w:val="28"/>
          <w:szCs w:val="28"/>
        </w:rPr>
      </w:pPr>
    </w:p>
    <w:p w:rsidR="005E56BD" w:rsidRPr="005D131A" w:rsidRDefault="005E56BD" w:rsidP="005D131A">
      <w:pPr>
        <w:pStyle w:val="Prrafodelista"/>
        <w:tabs>
          <w:tab w:val="left" w:pos="426"/>
          <w:tab w:val="left" w:pos="567"/>
        </w:tabs>
        <w:ind w:left="0"/>
        <w:contextualSpacing/>
        <w:rPr>
          <w:sz w:val="28"/>
          <w:szCs w:val="28"/>
        </w:rPr>
      </w:pPr>
      <w:r w:rsidRPr="005D131A">
        <w:rPr>
          <w:sz w:val="28"/>
          <w:szCs w:val="28"/>
        </w:rPr>
        <w:t>iv) Presentación de un informe sobre el cumplimiento de la orden ante la Defensoría del Pueblo y la Superintendencia, con copia a esta Corporación, antes del 15 de marzo de 2009.</w:t>
      </w:r>
    </w:p>
    <w:p w:rsidR="00AA584F" w:rsidRPr="005D131A" w:rsidRDefault="00AA584F" w:rsidP="005D131A">
      <w:pPr>
        <w:pStyle w:val="Prrafodelista"/>
        <w:tabs>
          <w:tab w:val="left" w:pos="426"/>
          <w:tab w:val="left" w:pos="567"/>
        </w:tabs>
        <w:ind w:left="0"/>
        <w:contextualSpacing/>
        <w:rPr>
          <w:sz w:val="28"/>
          <w:szCs w:val="28"/>
        </w:rPr>
      </w:pPr>
    </w:p>
    <w:p w:rsidR="00AA584F" w:rsidRPr="005D131A" w:rsidRDefault="00BD48C0" w:rsidP="005D131A">
      <w:pPr>
        <w:tabs>
          <w:tab w:val="left" w:pos="567"/>
        </w:tabs>
        <w:rPr>
          <w:b/>
          <w:sz w:val="28"/>
          <w:szCs w:val="28"/>
          <w:lang w:val="es-ES_tradnl"/>
        </w:rPr>
      </w:pPr>
      <w:r w:rsidRPr="005D131A">
        <w:rPr>
          <w:b/>
          <w:sz w:val="28"/>
          <w:szCs w:val="28"/>
        </w:rPr>
        <w:t>4</w:t>
      </w:r>
      <w:r w:rsidRPr="005D131A">
        <w:rPr>
          <w:sz w:val="28"/>
          <w:szCs w:val="28"/>
        </w:rPr>
        <w:t xml:space="preserve">. </w:t>
      </w:r>
      <w:r w:rsidR="00AA584F" w:rsidRPr="005D131A">
        <w:rPr>
          <w:b/>
          <w:sz w:val="28"/>
          <w:szCs w:val="28"/>
        </w:rPr>
        <w:t>Implicaciones del régimen de excusiones sobre el cual empezará a regir el plan de beneficios.</w:t>
      </w:r>
    </w:p>
    <w:p w:rsidR="00AA584F" w:rsidRPr="005D131A" w:rsidRDefault="00AA584F" w:rsidP="005D131A">
      <w:pPr>
        <w:tabs>
          <w:tab w:val="left" w:pos="567"/>
        </w:tabs>
        <w:rPr>
          <w:sz w:val="28"/>
          <w:szCs w:val="28"/>
          <w:u w:val="single"/>
        </w:rPr>
      </w:pPr>
    </w:p>
    <w:p w:rsidR="00AA584F" w:rsidRPr="005D131A" w:rsidRDefault="007534C2" w:rsidP="005D131A">
      <w:pPr>
        <w:rPr>
          <w:snapToGrid w:val="0"/>
          <w:sz w:val="28"/>
          <w:szCs w:val="28"/>
        </w:rPr>
      </w:pPr>
      <w:r w:rsidRPr="005D131A">
        <w:rPr>
          <w:sz w:val="28"/>
          <w:szCs w:val="28"/>
        </w:rPr>
        <w:t xml:space="preserve">4.1. </w:t>
      </w:r>
      <w:r w:rsidR="00AA584F" w:rsidRPr="005D131A">
        <w:rPr>
          <w:sz w:val="28"/>
          <w:szCs w:val="28"/>
        </w:rPr>
        <w:t>L</w:t>
      </w:r>
      <w:r w:rsidR="00AA584F" w:rsidRPr="005D131A">
        <w:rPr>
          <w:iCs/>
          <w:sz w:val="28"/>
          <w:szCs w:val="28"/>
          <w:bdr w:val="none" w:sz="0" w:space="0" w:color="auto" w:frame="1"/>
          <w:shd w:val="clear" w:color="auto" w:fill="FFFFFF"/>
        </w:rPr>
        <w:t xml:space="preserve">a </w:t>
      </w:r>
      <w:r w:rsidR="00AA584F" w:rsidRPr="005D131A">
        <w:rPr>
          <w:snapToGrid w:val="0"/>
          <w:sz w:val="28"/>
          <w:szCs w:val="28"/>
        </w:rPr>
        <w:t>Ley 1751 de 2015</w:t>
      </w:r>
      <w:r w:rsidR="00AA584F" w:rsidRPr="005D131A">
        <w:rPr>
          <w:snapToGrid w:val="0"/>
          <w:sz w:val="28"/>
          <w:szCs w:val="28"/>
          <w:vertAlign w:val="superscript"/>
        </w:rPr>
        <w:footnoteReference w:id="118"/>
      </w:r>
      <w:r w:rsidR="00AA584F" w:rsidRPr="005D131A">
        <w:rPr>
          <w:snapToGrid w:val="0"/>
          <w:sz w:val="28"/>
          <w:szCs w:val="28"/>
        </w:rPr>
        <w:t xml:space="preserve"> estableció una nueva forma de actualización del POS basad</w:t>
      </w:r>
      <w:r w:rsidR="00790A97" w:rsidRPr="005D131A">
        <w:rPr>
          <w:snapToGrid w:val="0"/>
          <w:sz w:val="28"/>
          <w:szCs w:val="28"/>
        </w:rPr>
        <w:t>a</w:t>
      </w:r>
      <w:r w:rsidR="00AA584F" w:rsidRPr="005D131A">
        <w:rPr>
          <w:snapToGrid w:val="0"/>
          <w:sz w:val="28"/>
          <w:szCs w:val="28"/>
        </w:rPr>
        <w:t xml:space="preserve"> en un sistema de exclusiones, esto es, que en principio el sistema cubre todos los tratamientos y tecnologías en salud que no estén expresamente exceptuados dentro del plan de beneficios, de esta manera se pretende garantizar el derecho fundamental a través de la prestación de servicios, estructurado sobre una concepción integral de la salud</w:t>
      </w:r>
      <w:r w:rsidR="00790A97" w:rsidRPr="005D131A">
        <w:rPr>
          <w:snapToGrid w:val="0"/>
          <w:sz w:val="28"/>
          <w:szCs w:val="28"/>
        </w:rPr>
        <w:t xml:space="preserve"> </w:t>
      </w:r>
      <w:r w:rsidR="00AA584F" w:rsidRPr="005D131A">
        <w:rPr>
          <w:snapToGrid w:val="0"/>
          <w:sz w:val="28"/>
          <w:szCs w:val="28"/>
        </w:rPr>
        <w:t xml:space="preserve">que incluya su promoción, la prevención, la paliación, la atención de la enfermedad y rehabilitación de </w:t>
      </w:r>
      <w:r w:rsidR="003E2A99" w:rsidRPr="005D131A">
        <w:rPr>
          <w:snapToGrid w:val="0"/>
          <w:sz w:val="28"/>
          <w:szCs w:val="28"/>
        </w:rPr>
        <w:t xml:space="preserve">las </w:t>
      </w:r>
      <w:r w:rsidR="00AA584F" w:rsidRPr="005D131A">
        <w:rPr>
          <w:snapToGrid w:val="0"/>
          <w:sz w:val="28"/>
          <w:szCs w:val="28"/>
        </w:rPr>
        <w:t>secuelas (art. 15).</w:t>
      </w:r>
    </w:p>
    <w:p w:rsidR="00AA584F" w:rsidRPr="005D131A" w:rsidRDefault="00AA584F" w:rsidP="005D131A">
      <w:pPr>
        <w:rPr>
          <w:snapToGrid w:val="0"/>
          <w:sz w:val="28"/>
          <w:szCs w:val="28"/>
        </w:rPr>
      </w:pPr>
    </w:p>
    <w:p w:rsidR="00AA584F" w:rsidRPr="005D131A" w:rsidRDefault="00AA584F" w:rsidP="005D131A">
      <w:pPr>
        <w:rPr>
          <w:snapToGrid w:val="0"/>
          <w:sz w:val="28"/>
          <w:szCs w:val="28"/>
        </w:rPr>
      </w:pPr>
      <w:r w:rsidRPr="005D131A">
        <w:rPr>
          <w:snapToGrid w:val="0"/>
          <w:sz w:val="28"/>
          <w:szCs w:val="28"/>
        </w:rPr>
        <w:t xml:space="preserve">A manera de derrotero, esta disposición normativa específicamente señala que los recursos públicos asignados a la salud no podrán destinarse a financiar servicios y tecnologías en los que se advierta alguno de los siguientes criterios: a) que tengan como finalidad principal un propósito cosmético o suntuario no relacionado con la recuperación o mantenimiento de la capacidad funcional o vital de las personas; b) que no exista evidencia científica sobre su seguridad y eficacia clínica; c) que no exista evidencia científica sobre su efectividad clínica; d) que su uso no haya sido autorizado por la autoridad competente; e) que se encuentren en fase de experimentación; y f) que tengan que ser prestados en el exterior.  Entonces, el nuevo sistema del plan de beneficios hace la transición de un programa de coberturas explicitas a uno de exclusiones explicitas. </w:t>
      </w:r>
    </w:p>
    <w:p w:rsidR="00AA584F" w:rsidRPr="005D131A" w:rsidRDefault="00AA584F" w:rsidP="005D131A">
      <w:pPr>
        <w:tabs>
          <w:tab w:val="left" w:pos="567"/>
        </w:tabs>
        <w:rPr>
          <w:sz w:val="28"/>
          <w:szCs w:val="28"/>
          <w:u w:val="single"/>
        </w:rPr>
      </w:pPr>
    </w:p>
    <w:p w:rsidR="00AA584F" w:rsidRPr="005D131A" w:rsidRDefault="00AA584F" w:rsidP="005D131A">
      <w:pPr>
        <w:rPr>
          <w:sz w:val="28"/>
          <w:szCs w:val="28"/>
          <w:lang w:val="es-ES_tradnl"/>
        </w:rPr>
      </w:pPr>
      <w:r w:rsidRPr="005D131A">
        <w:rPr>
          <w:sz w:val="28"/>
          <w:szCs w:val="28"/>
          <w:shd w:val="clear" w:color="auto" w:fill="FFFFFF"/>
        </w:rPr>
        <w:t xml:space="preserve">Al respecto </w:t>
      </w:r>
      <w:r w:rsidRPr="005D131A">
        <w:rPr>
          <w:sz w:val="28"/>
          <w:szCs w:val="28"/>
        </w:rPr>
        <w:t xml:space="preserve">la jurisprudencia de la Corte Constitucional ha establecido que el derecho fundamental a la salud tiene dos dimensiones, una positiva y otra negativa. La primera, se refiere a las acciones que debe adoptar el Estado para garantizar el acceso a servicios de salud de calidad y de forma oportuna y eficaz. La segunda se refiere a la prohibición al Estado de adoptar medidas que vulneren el derecho a la salud o interfieran de forma injustificada en el goce de este derecho. </w:t>
      </w:r>
      <w:r w:rsidRPr="005D131A">
        <w:rPr>
          <w:sz w:val="28"/>
          <w:szCs w:val="28"/>
          <w:lang w:val="es-ES_tradnl"/>
        </w:rPr>
        <w:t>Así, en la sentencia C-313 de 2014 esta Corporación determinó que una medida es regresiva “</w:t>
      </w:r>
      <w:r w:rsidRPr="005D131A">
        <w:rPr>
          <w:i/>
          <w:sz w:val="28"/>
          <w:szCs w:val="28"/>
          <w:lang w:val="es-ES_tradnl"/>
        </w:rPr>
        <w:t>i) cuando recorta o limita el ámbito sustantivo de protección del respectivo derecho; ii) cuando aumentan sustancialmente los requisitos exigidos para acceder al derecho y iii) cuando disminuye o desvía sensiblemente los recursos públicos destinados a la satisfacción del derecho</w:t>
      </w:r>
      <w:r w:rsidRPr="005D131A">
        <w:rPr>
          <w:sz w:val="28"/>
          <w:szCs w:val="28"/>
          <w:lang w:val="es-ES_tradnl"/>
        </w:rPr>
        <w:t>”.</w:t>
      </w:r>
    </w:p>
    <w:p w:rsidR="00AA584F" w:rsidRPr="005D131A" w:rsidRDefault="00AA584F" w:rsidP="005D131A">
      <w:pPr>
        <w:rPr>
          <w:sz w:val="28"/>
          <w:szCs w:val="28"/>
        </w:rPr>
      </w:pPr>
    </w:p>
    <w:p w:rsidR="00AA584F" w:rsidRPr="005D131A" w:rsidRDefault="00AA584F" w:rsidP="005D131A">
      <w:pPr>
        <w:rPr>
          <w:sz w:val="28"/>
          <w:szCs w:val="28"/>
          <w:lang w:val="es-ES_tradnl"/>
        </w:rPr>
      </w:pPr>
      <w:r w:rsidRPr="005D131A">
        <w:rPr>
          <w:sz w:val="28"/>
          <w:szCs w:val="28"/>
          <w:lang w:val="es-ES_tradnl"/>
        </w:rPr>
        <w:t>Ahora bien, en relación con el principio de progresividad y el mandato de no regresividad, este Tribunal ha hecho énfasis en la Observación General 14 del Comité DESC, según la cual le está prohibido al Estado adoptar medidas regresivas en la realización plena del derecho a la salud. Sin embargo, esta regla admite excepciones, siempre que se justifiquen a partir de la exposición de razones que demuestren la necesidad de una disminución en el nivel de protección ya alcanzado, con el exclusivo propósito de avanzar en el desarrollo de otras facetas de los derechos constitucionales, bajo parámetros de razonabilidad y proporcionalidad</w:t>
      </w:r>
      <w:r w:rsidRPr="005D131A">
        <w:rPr>
          <w:sz w:val="28"/>
          <w:szCs w:val="28"/>
          <w:vertAlign w:val="superscript"/>
          <w:lang w:val="es-ES_tradnl"/>
        </w:rPr>
        <w:footnoteReference w:id="119"/>
      </w:r>
      <w:r w:rsidRPr="005D131A">
        <w:rPr>
          <w:sz w:val="28"/>
          <w:szCs w:val="28"/>
          <w:lang w:val="es-ES_tradnl"/>
        </w:rPr>
        <w:t xml:space="preserve">. Así las cosas, es evidente que </w:t>
      </w:r>
      <w:r w:rsidRPr="005D131A">
        <w:rPr>
          <w:color w:val="000000"/>
          <w:sz w:val="28"/>
          <w:szCs w:val="28"/>
        </w:rPr>
        <w:t>el derecho a la salud no tiene un carácter absoluto, por lo que admite algunas limitaciones al mismo, como por ejemplo ocurre con la exclusión del plan de beneficios de distintas tecnologías, prestaciones, insumos o servicios.</w:t>
      </w:r>
      <w:r w:rsidRPr="005D131A">
        <w:rPr>
          <w:sz w:val="28"/>
          <w:szCs w:val="28"/>
          <w:lang w:val="es-ES_tradnl"/>
        </w:rPr>
        <w:t xml:space="preserve"> </w:t>
      </w:r>
    </w:p>
    <w:p w:rsidR="00AA584F" w:rsidRPr="005D131A" w:rsidRDefault="00AA584F" w:rsidP="005D131A">
      <w:pPr>
        <w:rPr>
          <w:sz w:val="28"/>
          <w:szCs w:val="28"/>
          <w:lang w:val="es-ES_tradnl"/>
        </w:rPr>
      </w:pPr>
    </w:p>
    <w:p w:rsidR="00AA584F" w:rsidRPr="005D131A" w:rsidRDefault="00AA584F" w:rsidP="005D131A">
      <w:pPr>
        <w:rPr>
          <w:iCs/>
          <w:sz w:val="28"/>
          <w:szCs w:val="28"/>
          <w:bdr w:val="none" w:sz="0" w:space="0" w:color="auto" w:frame="1"/>
          <w:lang w:val="es-ES_tradnl"/>
        </w:rPr>
      </w:pPr>
      <w:r w:rsidRPr="005D131A">
        <w:rPr>
          <w:sz w:val="28"/>
          <w:szCs w:val="28"/>
          <w:lang w:val="es-ES_tradnl"/>
        </w:rPr>
        <w:t xml:space="preserve">En este contexto, cuando se excluye un tratamiento, procedimiento o medicamento del plan de beneficios debe tener una justificación, a partir de criterios técnicos, de priorización en el servicio de salud o de la evaluación del impacto social. </w:t>
      </w:r>
      <w:r w:rsidRPr="005D131A">
        <w:rPr>
          <w:sz w:val="28"/>
          <w:szCs w:val="28"/>
          <w:shd w:val="clear" w:color="auto" w:fill="FFFFFF"/>
          <w:lang w:val="es-ES_tradnl"/>
        </w:rPr>
        <w:t xml:space="preserve">Así, en la citada sentencia C-313 de 2014, al referirse al deber del Estado de establecer la estructura del sistema de salud, la Corporación puntualizó que las autoridades competentes deben tomar como punto de partida los elementos existentes en la actualidad, es decir, que no pueden partir de </w:t>
      </w:r>
      <w:r w:rsidRPr="005D131A">
        <w:rPr>
          <w:i/>
          <w:sz w:val="28"/>
          <w:szCs w:val="28"/>
          <w:shd w:val="clear" w:color="auto" w:fill="FFFFFF"/>
          <w:lang w:val="es-ES_tradnl"/>
        </w:rPr>
        <w:t>“cero”</w:t>
      </w:r>
      <w:r w:rsidRPr="005D131A">
        <w:rPr>
          <w:sz w:val="28"/>
          <w:szCs w:val="28"/>
          <w:shd w:val="clear" w:color="auto" w:fill="FFFFFF"/>
          <w:lang w:val="es-ES_tradnl"/>
        </w:rPr>
        <w:t>, toda vez que “</w:t>
      </w:r>
      <w:r w:rsidRPr="005D131A">
        <w:rPr>
          <w:i/>
          <w:sz w:val="28"/>
          <w:szCs w:val="28"/>
          <w:shd w:val="clear" w:color="auto" w:fill="FFFFFF"/>
          <w:lang w:val="es-ES_tradnl"/>
        </w:rPr>
        <w:t>[u]n entendimiento de la definición del sistema en términos de disminución de cualquiera de los factores que lo configuran es inaceptable constitucionalmente”</w:t>
      </w:r>
      <w:r w:rsidRPr="005D131A">
        <w:rPr>
          <w:sz w:val="28"/>
          <w:szCs w:val="28"/>
          <w:shd w:val="clear" w:color="auto" w:fill="FFFFFF"/>
          <w:lang w:val="es-ES_tradnl"/>
        </w:rPr>
        <w:t xml:space="preserve">. Ello adquiere relevancia si se tiene en cuenta que </w:t>
      </w:r>
      <w:r w:rsidRPr="005D131A">
        <w:rPr>
          <w:iCs/>
          <w:sz w:val="28"/>
          <w:szCs w:val="28"/>
          <w:bdr w:val="none" w:sz="0" w:space="0" w:color="auto" w:frame="1"/>
          <w:lang w:val="es-ES_tradnl"/>
        </w:rPr>
        <w:t xml:space="preserve">el mandato de progresividad implica que una vez alcanzado un determinado nivel de protección, la amplia libertad de configuración del legislador en materia de derechos sociales se ve menguada, al menos en un aspecto: </w:t>
      </w:r>
      <w:r w:rsidRPr="005D131A">
        <w:rPr>
          <w:i/>
          <w:iCs/>
          <w:sz w:val="28"/>
          <w:szCs w:val="28"/>
          <w:bdr w:val="none" w:sz="0" w:space="0" w:color="auto" w:frame="1"/>
          <w:lang w:val="es-ES_tradnl"/>
        </w:rPr>
        <w:t>“todo retroceso respecto al nivel de protección alcanzado debe presumirse en principio inconstitucional, y por ello está sometido a un control judicial estricto”</w:t>
      </w:r>
      <w:r w:rsidRPr="005D131A">
        <w:rPr>
          <w:iCs/>
          <w:sz w:val="28"/>
          <w:szCs w:val="28"/>
          <w:bdr w:val="none" w:sz="0" w:space="0" w:color="auto" w:frame="1"/>
          <w:vertAlign w:val="superscript"/>
          <w:lang w:val="es-ES_tradnl"/>
        </w:rPr>
        <w:footnoteReference w:id="120"/>
      </w:r>
      <w:r w:rsidRPr="005D131A">
        <w:rPr>
          <w:iCs/>
          <w:sz w:val="28"/>
          <w:szCs w:val="28"/>
          <w:bdr w:val="none" w:sz="0" w:space="0" w:color="auto" w:frame="1"/>
          <w:lang w:val="es-ES_tradnl"/>
        </w:rPr>
        <w:t>.</w:t>
      </w:r>
    </w:p>
    <w:p w:rsidR="006F68ED" w:rsidRPr="005D131A" w:rsidRDefault="006F68ED" w:rsidP="005D131A">
      <w:pPr>
        <w:rPr>
          <w:sz w:val="28"/>
          <w:szCs w:val="28"/>
          <w:shd w:val="clear" w:color="auto" w:fill="FFFFFF"/>
          <w:lang w:val="es-ES_tradnl"/>
        </w:rPr>
      </w:pPr>
    </w:p>
    <w:p w:rsidR="00AA584F" w:rsidRPr="005D131A" w:rsidRDefault="00AA584F" w:rsidP="005D131A">
      <w:pPr>
        <w:rPr>
          <w:bCs/>
          <w:color w:val="FF0000"/>
          <w:sz w:val="28"/>
          <w:szCs w:val="28"/>
          <w:lang w:val="es-ES_tradnl"/>
        </w:rPr>
      </w:pPr>
      <w:r w:rsidRPr="005D131A">
        <w:rPr>
          <w:color w:val="000000"/>
          <w:sz w:val="28"/>
          <w:szCs w:val="28"/>
        </w:rPr>
        <w:t xml:space="preserve">En este contexto, el Estado debe ampliar cada vez más el ámbito de garantía del derecho hacía el más alto nivel de salud posible y no puede disminuirlo, siendo indispensable avanzar y no retroceder en el estándar de protección alcanzado. </w:t>
      </w:r>
      <w:r w:rsidR="00E11D44" w:rsidRPr="005D131A">
        <w:rPr>
          <w:color w:val="000000"/>
          <w:sz w:val="28"/>
          <w:szCs w:val="28"/>
        </w:rPr>
        <w:t xml:space="preserve">En tal sentido, </w:t>
      </w:r>
      <w:r w:rsidRPr="005D131A">
        <w:rPr>
          <w:sz w:val="28"/>
          <w:szCs w:val="28"/>
        </w:rPr>
        <w:t>con el nuevo esquema la actualización integral cambia de un proceso de inclusiones a uno de exclusiones específicas, no obstante estas no pueden llevar a un margen de ambigüedad ni a limitar la prestación de servicios médicos por interpretaciones subjetivas por parte de las entidades prestadoras de salud.</w:t>
      </w:r>
    </w:p>
    <w:p w:rsidR="00AA584F" w:rsidRPr="005D131A" w:rsidRDefault="00AA584F" w:rsidP="005D131A">
      <w:pPr>
        <w:rPr>
          <w:color w:val="000000"/>
          <w:sz w:val="28"/>
          <w:szCs w:val="28"/>
        </w:rPr>
      </w:pPr>
    </w:p>
    <w:p w:rsidR="00AA584F" w:rsidRPr="005D131A" w:rsidRDefault="00AA584F" w:rsidP="005D131A">
      <w:pPr>
        <w:rPr>
          <w:bCs/>
          <w:color w:val="000000"/>
          <w:sz w:val="28"/>
          <w:szCs w:val="28"/>
          <w:u w:val="single"/>
        </w:rPr>
      </w:pPr>
      <w:r w:rsidRPr="005D131A">
        <w:rPr>
          <w:bCs/>
          <w:color w:val="000000"/>
          <w:sz w:val="28"/>
          <w:szCs w:val="28"/>
        </w:rPr>
        <w:t>Como se puede observar, existe la necesidad de garantizar el derecho a la salud de tal manera que los afiliados al sistema puedan acceder a las prestaciones que requieran de manera efectiva, es decir, que se les otorgue una protección completa en relación con todo aquello que sea necesario para mantener su calidad de vida.  En esa medida, el derecho fundamental a la salud tiene como punto de partida la inclusión de todos los servicios y tecnologías y que las limitaciones al derecho deben estar plenamente determinadas, de lo contrario, se hace nugatoria la realización efectiva del mismo.</w:t>
      </w:r>
    </w:p>
    <w:p w:rsidR="00AA584F" w:rsidRPr="005D131A" w:rsidRDefault="00AA584F" w:rsidP="005D131A">
      <w:pPr>
        <w:rPr>
          <w:bCs/>
          <w:color w:val="000000"/>
          <w:sz w:val="28"/>
          <w:szCs w:val="28"/>
        </w:rPr>
      </w:pPr>
    </w:p>
    <w:p w:rsidR="00AA584F" w:rsidRPr="005D131A" w:rsidRDefault="00AA584F" w:rsidP="005D131A">
      <w:pPr>
        <w:rPr>
          <w:sz w:val="28"/>
          <w:szCs w:val="28"/>
        </w:rPr>
      </w:pPr>
      <w:r w:rsidRPr="005D131A">
        <w:rPr>
          <w:bCs/>
          <w:color w:val="000000"/>
          <w:sz w:val="28"/>
          <w:szCs w:val="28"/>
        </w:rPr>
        <w:t>En este contexto, el esquema del nuevo plan de beneficios hace alusión a</w:t>
      </w:r>
      <w:r w:rsidRPr="005D131A">
        <w:rPr>
          <w:i/>
          <w:color w:val="222222"/>
          <w:sz w:val="28"/>
          <w:szCs w:val="28"/>
        </w:rPr>
        <w:t xml:space="preserve"> </w:t>
      </w:r>
      <w:r w:rsidRPr="005D131A">
        <w:rPr>
          <w:sz w:val="28"/>
          <w:szCs w:val="28"/>
        </w:rPr>
        <w:t xml:space="preserve">la inclusión indirecta de todos los servicios, tecnologías y demás que se constituye en regla y las exclusiones en la excepción, en procura de alcanzar el más alto nivel de salud posible, por lo que las limitaciones al derecho a la salud deben ser expresas y taxativas. Proceso que en todo caso debe atender, propender y garantizar la participación ciudadana que es una fuente insoslayable del modelo actual del Estado colombiano, no solo en su construcción u organización, sino en su comprensión a partir de principios, valores y derechos constitucionales.  </w:t>
      </w:r>
    </w:p>
    <w:p w:rsidR="00AA584F" w:rsidRPr="005D131A" w:rsidRDefault="00AA584F" w:rsidP="005D131A">
      <w:pPr>
        <w:tabs>
          <w:tab w:val="left" w:pos="567"/>
        </w:tabs>
        <w:rPr>
          <w:sz w:val="28"/>
          <w:szCs w:val="28"/>
          <w:u w:val="single"/>
        </w:rPr>
      </w:pPr>
    </w:p>
    <w:p w:rsidR="00AA584F" w:rsidRPr="005D131A" w:rsidRDefault="007534C2" w:rsidP="005D131A">
      <w:pPr>
        <w:pStyle w:val="Prrafodelista"/>
        <w:tabs>
          <w:tab w:val="left" w:pos="426"/>
          <w:tab w:val="left" w:pos="567"/>
        </w:tabs>
        <w:ind w:left="0"/>
        <w:contextualSpacing/>
        <w:rPr>
          <w:sz w:val="28"/>
          <w:szCs w:val="28"/>
        </w:rPr>
      </w:pPr>
      <w:r w:rsidRPr="005D131A">
        <w:rPr>
          <w:sz w:val="28"/>
          <w:szCs w:val="28"/>
        </w:rPr>
        <w:t>4.2.</w:t>
      </w:r>
      <w:r w:rsidRPr="005D131A">
        <w:rPr>
          <w:b/>
          <w:sz w:val="28"/>
          <w:szCs w:val="28"/>
        </w:rPr>
        <w:t xml:space="preserve"> </w:t>
      </w:r>
      <w:r w:rsidR="00AA584F" w:rsidRPr="005D131A">
        <w:rPr>
          <w:sz w:val="28"/>
          <w:szCs w:val="28"/>
        </w:rPr>
        <w:t>En este punto, la Sala considera importante</w:t>
      </w:r>
      <w:r w:rsidR="003E2A99" w:rsidRPr="005D131A">
        <w:rPr>
          <w:sz w:val="28"/>
          <w:szCs w:val="28"/>
        </w:rPr>
        <w:t xml:space="preserve"> aclarar que </w:t>
      </w:r>
      <w:r w:rsidR="00E11D44" w:rsidRPr="005D131A">
        <w:rPr>
          <w:sz w:val="28"/>
          <w:szCs w:val="28"/>
        </w:rPr>
        <w:t xml:space="preserve">en lo concerniente a la </w:t>
      </w:r>
      <w:r w:rsidR="00AA584F" w:rsidRPr="005D131A">
        <w:rPr>
          <w:sz w:val="28"/>
          <w:szCs w:val="28"/>
        </w:rPr>
        <w:t>orden 23</w:t>
      </w:r>
      <w:r w:rsidR="00790A97" w:rsidRPr="005D131A">
        <w:rPr>
          <w:sz w:val="28"/>
          <w:szCs w:val="28"/>
        </w:rPr>
        <w:t xml:space="preserve"> </w:t>
      </w:r>
      <w:r w:rsidR="00AA584F" w:rsidRPr="005D131A">
        <w:rPr>
          <w:sz w:val="28"/>
          <w:szCs w:val="28"/>
        </w:rPr>
        <w:t>el parámetro de análisis</w:t>
      </w:r>
      <w:r w:rsidR="00E11D44" w:rsidRPr="005D131A">
        <w:rPr>
          <w:sz w:val="28"/>
          <w:szCs w:val="28"/>
        </w:rPr>
        <w:t xml:space="preserve"> debe cambiar en atención a la </w:t>
      </w:r>
      <w:r w:rsidR="00AA584F" w:rsidRPr="005D131A">
        <w:rPr>
          <w:sz w:val="28"/>
          <w:szCs w:val="28"/>
        </w:rPr>
        <w:t xml:space="preserve">nueva regulación estatutaria antes mencionada, de forma que en adelante </w:t>
      </w:r>
      <w:r w:rsidR="003E2A99" w:rsidRPr="005D131A">
        <w:rPr>
          <w:sz w:val="28"/>
          <w:szCs w:val="28"/>
        </w:rPr>
        <w:t xml:space="preserve">el mandato </w:t>
      </w:r>
      <w:r w:rsidR="00E11D44" w:rsidRPr="005D131A">
        <w:rPr>
          <w:sz w:val="28"/>
          <w:szCs w:val="28"/>
        </w:rPr>
        <w:t>n</w:t>
      </w:r>
      <w:r w:rsidR="00AA584F" w:rsidRPr="005D131A">
        <w:rPr>
          <w:sz w:val="28"/>
          <w:szCs w:val="28"/>
        </w:rPr>
        <w:t xml:space="preserve">o se deberá </w:t>
      </w:r>
      <w:r w:rsidR="003E2A99" w:rsidRPr="005D131A">
        <w:rPr>
          <w:sz w:val="28"/>
          <w:szCs w:val="28"/>
        </w:rPr>
        <w:t>encaminar</w:t>
      </w:r>
      <w:r w:rsidR="00790A97" w:rsidRPr="005D131A">
        <w:rPr>
          <w:sz w:val="28"/>
          <w:szCs w:val="28"/>
        </w:rPr>
        <w:t xml:space="preserve"> al</w:t>
      </w:r>
      <w:r w:rsidR="00AA584F" w:rsidRPr="005D131A">
        <w:rPr>
          <w:sz w:val="28"/>
          <w:szCs w:val="28"/>
        </w:rPr>
        <w:t xml:space="preserve"> procedimiento de </w:t>
      </w:r>
      <w:r w:rsidR="00E11D44" w:rsidRPr="005D131A">
        <w:rPr>
          <w:sz w:val="28"/>
          <w:szCs w:val="28"/>
        </w:rPr>
        <w:t xml:space="preserve">autorización directa para </w:t>
      </w:r>
      <w:r w:rsidR="00E11D44" w:rsidRPr="005D131A">
        <w:rPr>
          <w:i/>
          <w:sz w:val="28"/>
          <w:szCs w:val="28"/>
        </w:rPr>
        <w:t>los servicio</w:t>
      </w:r>
      <w:r w:rsidRPr="005D131A">
        <w:rPr>
          <w:i/>
          <w:sz w:val="28"/>
          <w:szCs w:val="28"/>
        </w:rPr>
        <w:t>s</w:t>
      </w:r>
      <w:r w:rsidR="00E11D44" w:rsidRPr="005D131A">
        <w:rPr>
          <w:i/>
          <w:sz w:val="28"/>
          <w:szCs w:val="28"/>
        </w:rPr>
        <w:t xml:space="preserve"> de salud no</w:t>
      </w:r>
      <w:r w:rsidRPr="005D131A">
        <w:rPr>
          <w:i/>
          <w:sz w:val="28"/>
          <w:szCs w:val="28"/>
        </w:rPr>
        <w:t xml:space="preserve"> incluidos</w:t>
      </w:r>
      <w:r w:rsidR="00E11D44" w:rsidRPr="005D131A">
        <w:rPr>
          <w:sz w:val="28"/>
          <w:szCs w:val="28"/>
        </w:rPr>
        <w:t xml:space="preserve"> y </w:t>
      </w:r>
      <w:r w:rsidR="00E11D44" w:rsidRPr="005D131A">
        <w:rPr>
          <w:i/>
          <w:sz w:val="28"/>
          <w:szCs w:val="28"/>
        </w:rPr>
        <w:t xml:space="preserve">procedimientos e intervenciones explícitamente </w:t>
      </w:r>
      <w:r w:rsidRPr="005D131A">
        <w:rPr>
          <w:i/>
          <w:sz w:val="28"/>
          <w:szCs w:val="28"/>
        </w:rPr>
        <w:t>excluidas</w:t>
      </w:r>
      <w:r w:rsidR="00E11D44" w:rsidRPr="005D131A">
        <w:rPr>
          <w:i/>
          <w:sz w:val="28"/>
          <w:szCs w:val="28"/>
        </w:rPr>
        <w:t xml:space="preserve"> </w:t>
      </w:r>
      <w:r w:rsidRPr="005D131A">
        <w:rPr>
          <w:sz w:val="28"/>
          <w:szCs w:val="28"/>
        </w:rPr>
        <w:t xml:space="preserve">sino que </w:t>
      </w:r>
      <w:r w:rsidR="004963F8" w:rsidRPr="005D131A">
        <w:rPr>
          <w:sz w:val="28"/>
          <w:szCs w:val="28"/>
        </w:rPr>
        <w:t xml:space="preserve">el mandato </w:t>
      </w:r>
      <w:r w:rsidRPr="005D131A">
        <w:rPr>
          <w:sz w:val="28"/>
          <w:szCs w:val="28"/>
        </w:rPr>
        <w:t>se</w:t>
      </w:r>
      <w:r w:rsidR="00AA584F" w:rsidRPr="005D131A">
        <w:rPr>
          <w:sz w:val="28"/>
          <w:szCs w:val="28"/>
        </w:rPr>
        <w:t xml:space="preserve"> deberá </w:t>
      </w:r>
      <w:r w:rsidRPr="005D131A">
        <w:rPr>
          <w:sz w:val="28"/>
          <w:szCs w:val="28"/>
        </w:rPr>
        <w:t>enfocar</w:t>
      </w:r>
      <w:r w:rsidR="00AA584F" w:rsidRPr="005D131A">
        <w:rPr>
          <w:sz w:val="28"/>
          <w:szCs w:val="28"/>
        </w:rPr>
        <w:t xml:space="preserve"> exclusivamente hacia la </w:t>
      </w:r>
      <w:r w:rsidRPr="005D131A">
        <w:rPr>
          <w:sz w:val="28"/>
          <w:szCs w:val="28"/>
        </w:rPr>
        <w:t>autorización de los servicios de salud excluidos</w:t>
      </w:r>
      <w:r w:rsidR="00790A97" w:rsidRPr="005D131A">
        <w:rPr>
          <w:sz w:val="28"/>
          <w:szCs w:val="28"/>
        </w:rPr>
        <w:t xml:space="preserve"> del nuevo plan de beneficios</w:t>
      </w:r>
      <w:r w:rsidRPr="005D131A">
        <w:rPr>
          <w:sz w:val="28"/>
          <w:szCs w:val="28"/>
        </w:rPr>
        <w:t xml:space="preserve">. </w:t>
      </w:r>
      <w:r w:rsidR="00AA584F" w:rsidRPr="005D131A">
        <w:rPr>
          <w:sz w:val="28"/>
          <w:szCs w:val="28"/>
        </w:rPr>
        <w:t xml:space="preserve"> </w:t>
      </w:r>
    </w:p>
    <w:p w:rsidR="003E2A99" w:rsidRPr="005D131A" w:rsidRDefault="003E2A99" w:rsidP="005D131A">
      <w:pPr>
        <w:pStyle w:val="Prrafodelista"/>
        <w:tabs>
          <w:tab w:val="left" w:pos="426"/>
          <w:tab w:val="left" w:pos="567"/>
        </w:tabs>
        <w:ind w:left="0"/>
        <w:contextualSpacing/>
        <w:rPr>
          <w:sz w:val="28"/>
          <w:szCs w:val="28"/>
        </w:rPr>
      </w:pPr>
    </w:p>
    <w:p w:rsidR="003E2A99" w:rsidRPr="005D131A" w:rsidRDefault="003E2A99" w:rsidP="005D131A">
      <w:pPr>
        <w:pStyle w:val="Prrafodelista"/>
        <w:tabs>
          <w:tab w:val="left" w:pos="426"/>
          <w:tab w:val="left" w:pos="567"/>
        </w:tabs>
        <w:ind w:left="0"/>
        <w:contextualSpacing/>
        <w:rPr>
          <w:sz w:val="28"/>
          <w:szCs w:val="28"/>
        </w:rPr>
      </w:pPr>
      <w:r w:rsidRPr="005D131A">
        <w:rPr>
          <w:sz w:val="28"/>
          <w:szCs w:val="28"/>
        </w:rPr>
        <w:t xml:space="preserve">Ello bajo el entendido que pese a la existencia de un nuevo </w:t>
      </w:r>
      <w:r w:rsidR="004963F8" w:rsidRPr="005D131A">
        <w:rPr>
          <w:sz w:val="28"/>
          <w:szCs w:val="28"/>
        </w:rPr>
        <w:t>catálogo</w:t>
      </w:r>
      <w:r w:rsidRPr="005D131A">
        <w:rPr>
          <w:sz w:val="28"/>
          <w:szCs w:val="28"/>
        </w:rPr>
        <w:t xml:space="preserve"> que cubre todas las prestaciones a excepción de las explícitamente excluidas, persistirán situaciones en las que </w:t>
      </w:r>
      <w:r w:rsidR="004963F8" w:rsidRPr="005D131A">
        <w:rPr>
          <w:sz w:val="28"/>
          <w:szCs w:val="28"/>
        </w:rPr>
        <w:t xml:space="preserve">según </w:t>
      </w:r>
      <w:r w:rsidR="00D97898" w:rsidRPr="005D131A">
        <w:rPr>
          <w:sz w:val="28"/>
          <w:szCs w:val="28"/>
        </w:rPr>
        <w:t xml:space="preserve">el </w:t>
      </w:r>
      <w:r w:rsidR="004963F8" w:rsidRPr="005D131A">
        <w:rPr>
          <w:sz w:val="28"/>
          <w:szCs w:val="28"/>
        </w:rPr>
        <w:t xml:space="preserve">criterio del médico tratante, los pacientes requerirán </w:t>
      </w:r>
      <w:r w:rsidRPr="005D131A">
        <w:rPr>
          <w:sz w:val="28"/>
          <w:szCs w:val="28"/>
        </w:rPr>
        <w:t xml:space="preserve">de estas últimas tecnologías </w:t>
      </w:r>
      <w:r w:rsidR="004963F8" w:rsidRPr="005D131A">
        <w:rPr>
          <w:sz w:val="28"/>
          <w:szCs w:val="28"/>
        </w:rPr>
        <w:t>y se debe contar con un trámite para su autorización.</w:t>
      </w:r>
    </w:p>
    <w:p w:rsidR="006F68ED" w:rsidRPr="005D131A" w:rsidRDefault="006F68ED" w:rsidP="005D131A">
      <w:pPr>
        <w:tabs>
          <w:tab w:val="left" w:pos="567"/>
        </w:tabs>
        <w:rPr>
          <w:b/>
          <w:sz w:val="28"/>
          <w:szCs w:val="28"/>
          <w:lang w:val="es-CO"/>
        </w:rPr>
      </w:pPr>
    </w:p>
    <w:p w:rsidR="00A85DCB" w:rsidRPr="005D131A" w:rsidRDefault="007534C2" w:rsidP="005D131A">
      <w:pPr>
        <w:tabs>
          <w:tab w:val="left" w:pos="567"/>
        </w:tabs>
        <w:rPr>
          <w:color w:val="000000"/>
          <w:sz w:val="28"/>
          <w:szCs w:val="28"/>
        </w:rPr>
      </w:pPr>
      <w:r w:rsidRPr="005D131A">
        <w:rPr>
          <w:b/>
          <w:sz w:val="28"/>
          <w:szCs w:val="28"/>
          <w:lang w:val="es-CO"/>
        </w:rPr>
        <w:t>5</w:t>
      </w:r>
      <w:r w:rsidR="00A85DCB" w:rsidRPr="005D131A">
        <w:rPr>
          <w:b/>
          <w:sz w:val="28"/>
          <w:szCs w:val="28"/>
          <w:lang w:val="es-CO"/>
        </w:rPr>
        <w:t>. Valoración del grado de cumplimiento de los componentes de la orden vigésimo tercera</w:t>
      </w:r>
    </w:p>
    <w:p w:rsidR="00E24C5A" w:rsidRPr="005D131A" w:rsidRDefault="00E24C5A" w:rsidP="005D131A">
      <w:pPr>
        <w:pStyle w:val="Prrafodelista"/>
        <w:tabs>
          <w:tab w:val="left" w:pos="567"/>
          <w:tab w:val="left" w:pos="1276"/>
        </w:tabs>
        <w:ind w:left="0"/>
        <w:contextualSpacing/>
        <w:rPr>
          <w:sz w:val="28"/>
          <w:szCs w:val="28"/>
          <w:lang w:val="es-CO"/>
        </w:rPr>
      </w:pPr>
    </w:p>
    <w:p w:rsidR="00723025" w:rsidRDefault="00723025" w:rsidP="005D131A">
      <w:pPr>
        <w:pStyle w:val="Prrafodelista"/>
        <w:ind w:left="0"/>
        <w:rPr>
          <w:sz w:val="28"/>
          <w:szCs w:val="28"/>
          <w:lang w:val="es-CO"/>
        </w:rPr>
      </w:pPr>
      <w:r w:rsidRPr="005D131A">
        <w:rPr>
          <w:sz w:val="28"/>
          <w:szCs w:val="28"/>
          <w:lang w:val="es-CO"/>
        </w:rPr>
        <w:t xml:space="preserve">Para evaluar cada uno de los cuatro componentes de la orden antes enunciados, la Sala </w:t>
      </w:r>
      <w:r w:rsidRPr="005D131A">
        <w:rPr>
          <w:i/>
          <w:sz w:val="28"/>
          <w:szCs w:val="28"/>
          <w:lang w:val="es-CO"/>
        </w:rPr>
        <w:t>i)</w:t>
      </w:r>
      <w:r w:rsidRPr="005D131A">
        <w:rPr>
          <w:sz w:val="28"/>
          <w:szCs w:val="28"/>
          <w:lang w:val="es-CO"/>
        </w:rPr>
        <w:t xml:space="preserve"> estudiará las medidas adoptadas por los entes rectores de la política pública en salud para su cumplimiento, </w:t>
      </w:r>
      <w:r w:rsidRPr="005D131A">
        <w:rPr>
          <w:i/>
          <w:sz w:val="28"/>
          <w:szCs w:val="28"/>
          <w:lang w:val="es-CO"/>
        </w:rPr>
        <w:t>ii)</w:t>
      </w:r>
      <w:r w:rsidRPr="005D131A">
        <w:rPr>
          <w:sz w:val="28"/>
          <w:szCs w:val="28"/>
          <w:lang w:val="es-CO"/>
        </w:rPr>
        <w:t xml:space="preserve"> recordará </w:t>
      </w:r>
      <w:r w:rsidR="004C04FA" w:rsidRPr="005D131A">
        <w:rPr>
          <w:sz w:val="28"/>
          <w:szCs w:val="28"/>
          <w:lang w:val="es-CO"/>
        </w:rPr>
        <w:t xml:space="preserve">algunas de las </w:t>
      </w:r>
      <w:r w:rsidRPr="005D131A">
        <w:rPr>
          <w:sz w:val="28"/>
          <w:szCs w:val="28"/>
          <w:lang w:val="es-CO"/>
        </w:rPr>
        <w:t xml:space="preserve"> consideraciones propuestas por las entidades, las organizaciones y los peritos constitucionales adscritos al seguimiento y, </w:t>
      </w:r>
      <w:r w:rsidRPr="005D131A">
        <w:rPr>
          <w:i/>
          <w:sz w:val="28"/>
          <w:szCs w:val="28"/>
          <w:lang w:val="es-CO"/>
        </w:rPr>
        <w:t>iii)</w:t>
      </w:r>
      <w:r w:rsidRPr="005D131A">
        <w:rPr>
          <w:sz w:val="28"/>
          <w:szCs w:val="28"/>
          <w:lang w:val="es-CO"/>
        </w:rPr>
        <w:t xml:space="preserve"> con base en ello, determinará el grado de cumplimiento de cada faceta del mandato. </w:t>
      </w:r>
    </w:p>
    <w:p w:rsidR="00942A79" w:rsidRPr="005D131A" w:rsidRDefault="00942A79" w:rsidP="005D131A">
      <w:pPr>
        <w:pStyle w:val="Prrafodelista"/>
        <w:ind w:left="0"/>
        <w:rPr>
          <w:sz w:val="28"/>
          <w:szCs w:val="28"/>
          <w:lang w:val="es-CO"/>
        </w:rPr>
      </w:pPr>
    </w:p>
    <w:p w:rsidR="00723025" w:rsidRPr="005D131A" w:rsidRDefault="009132A0" w:rsidP="005D131A">
      <w:pPr>
        <w:pStyle w:val="Prrafodelista"/>
        <w:ind w:left="0"/>
        <w:rPr>
          <w:sz w:val="28"/>
          <w:szCs w:val="28"/>
          <w:lang w:val="es-CO"/>
        </w:rPr>
      </w:pPr>
      <w:r w:rsidRPr="005D131A">
        <w:rPr>
          <w:sz w:val="28"/>
          <w:szCs w:val="28"/>
          <w:lang w:val="es-CO"/>
        </w:rPr>
        <w:t xml:space="preserve">La Corte </w:t>
      </w:r>
      <w:r w:rsidR="00C149E4" w:rsidRPr="005D131A">
        <w:rPr>
          <w:sz w:val="28"/>
          <w:szCs w:val="28"/>
          <w:lang w:val="es-CO"/>
        </w:rPr>
        <w:t xml:space="preserve">precisa </w:t>
      </w:r>
      <w:r w:rsidR="00723025" w:rsidRPr="005D131A">
        <w:rPr>
          <w:sz w:val="28"/>
          <w:szCs w:val="28"/>
          <w:lang w:val="es-CO"/>
        </w:rPr>
        <w:t xml:space="preserve">que por </w:t>
      </w:r>
      <w:r w:rsidR="00C149E4" w:rsidRPr="005D131A">
        <w:rPr>
          <w:sz w:val="28"/>
          <w:szCs w:val="28"/>
          <w:lang w:val="es-CO"/>
        </w:rPr>
        <w:t>efectos</w:t>
      </w:r>
      <w:r w:rsidR="00723025" w:rsidRPr="005D131A">
        <w:rPr>
          <w:sz w:val="28"/>
          <w:szCs w:val="28"/>
          <w:lang w:val="es-CO"/>
        </w:rPr>
        <w:t xml:space="preserve"> metodo</w:t>
      </w:r>
      <w:r w:rsidR="00C149E4" w:rsidRPr="005D131A">
        <w:rPr>
          <w:sz w:val="28"/>
          <w:szCs w:val="28"/>
          <w:lang w:val="es-CO"/>
        </w:rPr>
        <w:t>lógico</w:t>
      </w:r>
      <w:r w:rsidR="00723025" w:rsidRPr="005D131A">
        <w:rPr>
          <w:sz w:val="28"/>
          <w:szCs w:val="28"/>
          <w:lang w:val="es-CO"/>
        </w:rPr>
        <w:t>s</w:t>
      </w:r>
      <w:r w:rsidR="00C149E4" w:rsidRPr="005D131A">
        <w:rPr>
          <w:sz w:val="28"/>
          <w:szCs w:val="28"/>
          <w:lang w:val="es-CO"/>
        </w:rPr>
        <w:t xml:space="preserve"> y para mayor claridad en el análisis del mandato,</w:t>
      </w:r>
      <w:r w:rsidR="00723025" w:rsidRPr="005D131A">
        <w:rPr>
          <w:sz w:val="28"/>
          <w:szCs w:val="28"/>
          <w:lang w:val="es-CO"/>
        </w:rPr>
        <w:t xml:space="preserve"> los cuatro </w:t>
      </w:r>
      <w:r w:rsidRPr="005D131A">
        <w:rPr>
          <w:sz w:val="28"/>
          <w:szCs w:val="28"/>
          <w:lang w:val="es-CO"/>
        </w:rPr>
        <w:t>presu</w:t>
      </w:r>
      <w:r w:rsidR="00565394" w:rsidRPr="005D131A">
        <w:rPr>
          <w:sz w:val="28"/>
          <w:szCs w:val="28"/>
          <w:lang w:val="es-CO"/>
        </w:rPr>
        <w:t xml:space="preserve">puestos contemplados en </w:t>
      </w:r>
      <w:r w:rsidR="00C149E4" w:rsidRPr="005D131A">
        <w:rPr>
          <w:sz w:val="28"/>
          <w:szCs w:val="28"/>
          <w:lang w:val="es-CO"/>
        </w:rPr>
        <w:t>la orden vigésima tercera</w:t>
      </w:r>
      <w:r w:rsidRPr="005D131A">
        <w:rPr>
          <w:sz w:val="28"/>
          <w:szCs w:val="28"/>
          <w:lang w:val="es-CO"/>
        </w:rPr>
        <w:t xml:space="preserve"> </w:t>
      </w:r>
      <w:r w:rsidR="00723025" w:rsidRPr="005D131A">
        <w:rPr>
          <w:sz w:val="28"/>
          <w:szCs w:val="28"/>
          <w:lang w:val="es-CO"/>
        </w:rPr>
        <w:t xml:space="preserve">no serán analizados conforme al orden </w:t>
      </w:r>
      <w:r w:rsidR="00565394" w:rsidRPr="005D131A">
        <w:rPr>
          <w:sz w:val="28"/>
          <w:szCs w:val="28"/>
          <w:lang w:val="es-CO"/>
        </w:rPr>
        <w:t xml:space="preserve">allí </w:t>
      </w:r>
      <w:r w:rsidR="00723025" w:rsidRPr="005D131A">
        <w:rPr>
          <w:sz w:val="28"/>
          <w:szCs w:val="28"/>
          <w:lang w:val="es-CO"/>
        </w:rPr>
        <w:t>dispuesto sino que</w:t>
      </w:r>
      <w:r w:rsidR="00565394" w:rsidRPr="005D131A">
        <w:rPr>
          <w:sz w:val="28"/>
          <w:szCs w:val="28"/>
          <w:lang w:val="es-CO"/>
        </w:rPr>
        <w:t xml:space="preserve"> se</w:t>
      </w:r>
      <w:r w:rsidR="00723025" w:rsidRPr="005D131A">
        <w:rPr>
          <w:sz w:val="28"/>
          <w:szCs w:val="28"/>
          <w:lang w:val="es-CO"/>
        </w:rPr>
        <w:t xml:space="preserve"> realizará su estudio del último</w:t>
      </w:r>
      <w:r w:rsidR="00676919" w:rsidRPr="005D131A">
        <w:rPr>
          <w:sz w:val="28"/>
          <w:szCs w:val="28"/>
          <w:lang w:val="es-CO"/>
        </w:rPr>
        <w:t xml:space="preserve"> al primer aspecto</w:t>
      </w:r>
      <w:r w:rsidR="00723025" w:rsidRPr="005D131A">
        <w:rPr>
          <w:sz w:val="28"/>
          <w:szCs w:val="28"/>
          <w:lang w:val="es-CO"/>
        </w:rPr>
        <w:t xml:space="preserve">, de la siguiente manera: </w:t>
      </w:r>
    </w:p>
    <w:p w:rsidR="00E95275" w:rsidRPr="005D131A" w:rsidRDefault="00E95275" w:rsidP="005D131A">
      <w:pPr>
        <w:pStyle w:val="Prrafodelista"/>
        <w:ind w:left="0"/>
        <w:rPr>
          <w:sz w:val="28"/>
          <w:szCs w:val="28"/>
          <w:lang w:val="es-CO"/>
        </w:rPr>
      </w:pPr>
    </w:p>
    <w:p w:rsidR="00723025" w:rsidRPr="005D131A" w:rsidRDefault="007534C2" w:rsidP="005D131A">
      <w:pPr>
        <w:pStyle w:val="Prrafodelista"/>
        <w:tabs>
          <w:tab w:val="left" w:pos="567"/>
          <w:tab w:val="left" w:pos="1276"/>
        </w:tabs>
        <w:ind w:left="0"/>
        <w:contextualSpacing/>
        <w:rPr>
          <w:b/>
          <w:sz w:val="28"/>
          <w:szCs w:val="28"/>
        </w:rPr>
      </w:pPr>
      <w:r w:rsidRPr="005D131A">
        <w:rPr>
          <w:b/>
          <w:sz w:val="28"/>
          <w:szCs w:val="28"/>
        </w:rPr>
        <w:t>5</w:t>
      </w:r>
      <w:r w:rsidR="009132A0" w:rsidRPr="005D131A">
        <w:rPr>
          <w:b/>
          <w:sz w:val="28"/>
          <w:szCs w:val="28"/>
        </w:rPr>
        <w:t xml:space="preserve">.1. </w:t>
      </w:r>
      <w:r w:rsidR="00723025" w:rsidRPr="005D131A">
        <w:rPr>
          <w:b/>
          <w:sz w:val="28"/>
          <w:szCs w:val="28"/>
        </w:rPr>
        <w:t>Presentación de un informe sobre el cumplimiento de la orden</w:t>
      </w:r>
      <w:r w:rsidR="00750AE4" w:rsidRPr="005D131A">
        <w:rPr>
          <w:b/>
          <w:sz w:val="28"/>
          <w:szCs w:val="28"/>
        </w:rPr>
        <w:t>, antes del 15 de marzo de 2009</w:t>
      </w:r>
    </w:p>
    <w:p w:rsidR="00723025" w:rsidRPr="005D131A" w:rsidRDefault="00723025" w:rsidP="005D131A">
      <w:pPr>
        <w:pStyle w:val="Prrafodelista"/>
        <w:tabs>
          <w:tab w:val="left" w:pos="851"/>
        </w:tabs>
        <w:ind w:left="0"/>
        <w:rPr>
          <w:rStyle w:val="apple-converted-space"/>
          <w:sz w:val="28"/>
          <w:szCs w:val="28"/>
          <w:shd w:val="clear" w:color="auto" w:fill="FFFFFF"/>
        </w:rPr>
      </w:pPr>
    </w:p>
    <w:p w:rsidR="00723025" w:rsidRPr="005D131A" w:rsidRDefault="009132A0" w:rsidP="005D131A">
      <w:pPr>
        <w:pStyle w:val="Prrafodelista"/>
        <w:tabs>
          <w:tab w:val="left" w:pos="851"/>
        </w:tabs>
        <w:ind w:left="0"/>
        <w:rPr>
          <w:rStyle w:val="apple-converted-space"/>
          <w:sz w:val="28"/>
          <w:szCs w:val="28"/>
          <w:shd w:val="clear" w:color="auto" w:fill="FFFFFF"/>
        </w:rPr>
      </w:pPr>
      <w:r w:rsidRPr="005D131A">
        <w:rPr>
          <w:rStyle w:val="apple-converted-space"/>
          <w:sz w:val="28"/>
          <w:szCs w:val="28"/>
          <w:shd w:val="clear" w:color="auto" w:fill="FFFFFF"/>
        </w:rPr>
        <w:t>4</w:t>
      </w:r>
      <w:r w:rsidR="00723025" w:rsidRPr="005D131A">
        <w:rPr>
          <w:rStyle w:val="apple-converted-space"/>
          <w:sz w:val="28"/>
          <w:szCs w:val="28"/>
          <w:shd w:val="clear" w:color="auto" w:fill="FFFFFF"/>
        </w:rPr>
        <w:t>.1.</w:t>
      </w:r>
      <w:r w:rsidRPr="005D131A">
        <w:rPr>
          <w:rStyle w:val="apple-converted-space"/>
          <w:sz w:val="28"/>
          <w:szCs w:val="28"/>
          <w:shd w:val="clear" w:color="auto" w:fill="FFFFFF"/>
        </w:rPr>
        <w:t>1.</w:t>
      </w:r>
      <w:r w:rsidR="00723025" w:rsidRPr="005D131A">
        <w:rPr>
          <w:rStyle w:val="apple-converted-space"/>
          <w:sz w:val="28"/>
          <w:szCs w:val="28"/>
          <w:shd w:val="clear" w:color="auto" w:fill="FFFFFF"/>
        </w:rPr>
        <w:t xml:space="preserve"> El mandato bajo examen consagró que la cartera </w:t>
      </w:r>
      <w:r w:rsidR="008A0E7E" w:rsidRPr="005D131A">
        <w:rPr>
          <w:rStyle w:val="apple-converted-space"/>
          <w:sz w:val="28"/>
          <w:szCs w:val="28"/>
          <w:shd w:val="clear" w:color="auto" w:fill="FFFFFF"/>
        </w:rPr>
        <w:t xml:space="preserve">de </w:t>
      </w:r>
      <w:r w:rsidR="00565394" w:rsidRPr="005D131A">
        <w:rPr>
          <w:rStyle w:val="apple-converted-space"/>
          <w:sz w:val="28"/>
          <w:szCs w:val="28"/>
          <w:shd w:val="clear" w:color="auto" w:fill="FFFFFF"/>
        </w:rPr>
        <w:t xml:space="preserve">salud debía presentar </w:t>
      </w:r>
      <w:r w:rsidR="00723025" w:rsidRPr="005D131A">
        <w:rPr>
          <w:rStyle w:val="apple-converted-space"/>
          <w:sz w:val="28"/>
          <w:szCs w:val="28"/>
          <w:shd w:val="clear" w:color="auto" w:fill="FFFFFF"/>
        </w:rPr>
        <w:t xml:space="preserve">un informe sobre el cumplimiento de la orden 23 a la Superintendencia de Salud, </w:t>
      </w:r>
      <w:r w:rsidRPr="005D131A">
        <w:rPr>
          <w:rStyle w:val="apple-converted-space"/>
          <w:sz w:val="28"/>
          <w:szCs w:val="28"/>
          <w:shd w:val="clear" w:color="auto" w:fill="FFFFFF"/>
        </w:rPr>
        <w:t xml:space="preserve">a </w:t>
      </w:r>
      <w:r w:rsidR="00723025" w:rsidRPr="005D131A">
        <w:rPr>
          <w:rStyle w:val="apple-converted-space"/>
          <w:sz w:val="28"/>
          <w:szCs w:val="28"/>
          <w:shd w:val="clear" w:color="auto" w:fill="FFFFFF"/>
        </w:rPr>
        <w:t>la Defensoría del Pueblo y a esta Corporación</w:t>
      </w:r>
      <w:r w:rsidR="00C149E4" w:rsidRPr="005D131A">
        <w:rPr>
          <w:rStyle w:val="apple-converted-space"/>
          <w:sz w:val="28"/>
          <w:szCs w:val="28"/>
          <w:shd w:val="clear" w:color="auto" w:fill="FFFFFF"/>
        </w:rPr>
        <w:t xml:space="preserve"> </w:t>
      </w:r>
      <w:r w:rsidR="002638C2" w:rsidRPr="005D131A">
        <w:rPr>
          <w:rStyle w:val="apple-converted-space"/>
          <w:sz w:val="28"/>
          <w:szCs w:val="28"/>
          <w:shd w:val="clear" w:color="auto" w:fill="FFFFFF"/>
        </w:rPr>
        <w:t xml:space="preserve">(copia) </w:t>
      </w:r>
      <w:r w:rsidR="00C149E4" w:rsidRPr="005D131A">
        <w:rPr>
          <w:rStyle w:val="apple-converted-space"/>
          <w:sz w:val="28"/>
          <w:szCs w:val="28"/>
          <w:shd w:val="clear" w:color="auto" w:fill="FFFFFF"/>
        </w:rPr>
        <w:t>antes del 15 de marzo de 2009</w:t>
      </w:r>
      <w:r w:rsidR="00723025" w:rsidRPr="005D131A">
        <w:rPr>
          <w:rStyle w:val="apple-converted-space"/>
          <w:sz w:val="28"/>
          <w:szCs w:val="28"/>
          <w:shd w:val="clear" w:color="auto" w:fill="FFFFFF"/>
        </w:rPr>
        <w:t xml:space="preserve">. </w:t>
      </w:r>
      <w:r w:rsidR="00565394" w:rsidRPr="005D131A">
        <w:rPr>
          <w:rStyle w:val="apple-converted-space"/>
          <w:sz w:val="28"/>
          <w:szCs w:val="28"/>
          <w:shd w:val="clear" w:color="auto" w:fill="FFFFFF"/>
        </w:rPr>
        <w:t>Al respecto, es</w:t>
      </w:r>
      <w:r w:rsidR="002638C2" w:rsidRPr="005D131A">
        <w:rPr>
          <w:rStyle w:val="apple-converted-space"/>
          <w:sz w:val="28"/>
          <w:szCs w:val="28"/>
          <w:shd w:val="clear" w:color="auto" w:fill="FFFFFF"/>
        </w:rPr>
        <w:t>ta Sala Especial de Seguimiento precisa</w:t>
      </w:r>
      <w:r w:rsidR="00565394" w:rsidRPr="005D131A">
        <w:rPr>
          <w:rStyle w:val="apple-converted-space"/>
          <w:sz w:val="28"/>
          <w:szCs w:val="28"/>
          <w:shd w:val="clear" w:color="auto" w:fill="FFFFFF"/>
        </w:rPr>
        <w:t xml:space="preserve">: </w:t>
      </w:r>
    </w:p>
    <w:p w:rsidR="00565394" w:rsidRPr="005D131A" w:rsidRDefault="00565394" w:rsidP="005D131A">
      <w:pPr>
        <w:pStyle w:val="Prrafodelista"/>
        <w:tabs>
          <w:tab w:val="left" w:pos="851"/>
        </w:tabs>
        <w:ind w:left="0"/>
        <w:rPr>
          <w:rStyle w:val="apple-converted-space"/>
          <w:sz w:val="28"/>
          <w:szCs w:val="28"/>
          <w:shd w:val="clear" w:color="auto" w:fill="FFFFFF"/>
        </w:rPr>
      </w:pPr>
    </w:p>
    <w:p w:rsidR="00565394" w:rsidRPr="005D131A" w:rsidRDefault="00C149E4" w:rsidP="005D131A">
      <w:pPr>
        <w:tabs>
          <w:tab w:val="left" w:pos="851"/>
        </w:tabs>
        <w:rPr>
          <w:sz w:val="28"/>
          <w:szCs w:val="28"/>
        </w:rPr>
      </w:pPr>
      <w:r w:rsidRPr="005D131A">
        <w:rPr>
          <w:sz w:val="28"/>
          <w:szCs w:val="28"/>
        </w:rPr>
        <w:t xml:space="preserve">a) </w:t>
      </w:r>
      <w:r w:rsidRPr="005D131A">
        <w:rPr>
          <w:sz w:val="28"/>
          <w:szCs w:val="28"/>
          <w:u w:val="single"/>
        </w:rPr>
        <w:t>El informe fue</w:t>
      </w:r>
      <w:r w:rsidR="00E96439" w:rsidRPr="005D131A">
        <w:rPr>
          <w:sz w:val="28"/>
          <w:szCs w:val="28"/>
          <w:u w:val="single"/>
        </w:rPr>
        <w:t xml:space="preserve"> entregado oportunamente</w:t>
      </w:r>
      <w:r w:rsidR="00E96439" w:rsidRPr="005D131A">
        <w:rPr>
          <w:sz w:val="28"/>
          <w:szCs w:val="28"/>
          <w:vertAlign w:val="superscript"/>
        </w:rPr>
        <w:footnoteReference w:id="121"/>
      </w:r>
      <w:r w:rsidR="00E96439" w:rsidRPr="005D131A">
        <w:rPr>
          <w:sz w:val="28"/>
          <w:szCs w:val="28"/>
        </w:rPr>
        <w:t xml:space="preserve">. De conformidad con las documentales que obran en el expediente, </w:t>
      </w:r>
      <w:r w:rsidRPr="005D131A">
        <w:rPr>
          <w:sz w:val="28"/>
          <w:szCs w:val="28"/>
        </w:rPr>
        <w:t xml:space="preserve">el Ministerio de Salud lo presentó </w:t>
      </w:r>
      <w:r w:rsidR="00565394" w:rsidRPr="005D131A">
        <w:rPr>
          <w:sz w:val="28"/>
          <w:szCs w:val="28"/>
        </w:rPr>
        <w:t xml:space="preserve">dos días antes de vencerse tal plazo, esto es, el 13 de marzo de </w:t>
      </w:r>
      <w:r w:rsidRPr="005D131A">
        <w:rPr>
          <w:sz w:val="28"/>
          <w:szCs w:val="28"/>
        </w:rPr>
        <w:t>2009</w:t>
      </w:r>
      <w:r w:rsidR="00565394" w:rsidRPr="005D131A">
        <w:rPr>
          <w:sz w:val="28"/>
          <w:szCs w:val="28"/>
          <w:vertAlign w:val="superscript"/>
        </w:rPr>
        <w:footnoteReference w:id="122"/>
      </w:r>
      <w:r w:rsidR="00565394" w:rsidRPr="005D131A">
        <w:rPr>
          <w:sz w:val="28"/>
          <w:szCs w:val="28"/>
        </w:rPr>
        <w:t xml:space="preserve">. </w:t>
      </w:r>
    </w:p>
    <w:p w:rsidR="00565394" w:rsidRPr="005D131A" w:rsidRDefault="00565394" w:rsidP="005D131A">
      <w:pPr>
        <w:tabs>
          <w:tab w:val="left" w:pos="567"/>
          <w:tab w:val="left" w:pos="1276"/>
        </w:tabs>
        <w:contextualSpacing/>
        <w:rPr>
          <w:sz w:val="28"/>
          <w:szCs w:val="28"/>
        </w:rPr>
      </w:pPr>
    </w:p>
    <w:p w:rsidR="00565394" w:rsidRPr="005D131A" w:rsidRDefault="00E96439" w:rsidP="005D131A">
      <w:pPr>
        <w:tabs>
          <w:tab w:val="left" w:pos="851"/>
        </w:tabs>
        <w:rPr>
          <w:rStyle w:val="apple-converted-space"/>
          <w:sz w:val="28"/>
          <w:szCs w:val="28"/>
        </w:rPr>
      </w:pPr>
      <w:r w:rsidRPr="005D131A">
        <w:rPr>
          <w:sz w:val="28"/>
          <w:szCs w:val="28"/>
        </w:rPr>
        <w:t xml:space="preserve">b) </w:t>
      </w:r>
      <w:r w:rsidRPr="005D131A">
        <w:rPr>
          <w:sz w:val="28"/>
          <w:szCs w:val="28"/>
          <w:u w:val="single"/>
        </w:rPr>
        <w:t>El informe fue remitido a todos</w:t>
      </w:r>
      <w:r w:rsidR="00565394" w:rsidRPr="005D131A">
        <w:rPr>
          <w:sz w:val="28"/>
          <w:szCs w:val="28"/>
          <w:u w:val="single"/>
        </w:rPr>
        <w:t xml:space="preserve"> </w:t>
      </w:r>
      <w:r w:rsidR="002638C2" w:rsidRPr="005D131A">
        <w:rPr>
          <w:sz w:val="28"/>
          <w:szCs w:val="28"/>
          <w:u w:val="single"/>
        </w:rPr>
        <w:t xml:space="preserve">los </w:t>
      </w:r>
      <w:r w:rsidR="00565394" w:rsidRPr="005D131A">
        <w:rPr>
          <w:sz w:val="28"/>
          <w:szCs w:val="28"/>
          <w:u w:val="single"/>
        </w:rPr>
        <w:t>destinatarios indicados</w:t>
      </w:r>
      <w:r w:rsidR="00565394" w:rsidRPr="005D131A">
        <w:rPr>
          <w:sz w:val="28"/>
          <w:szCs w:val="28"/>
        </w:rPr>
        <w:t>.</w:t>
      </w:r>
      <w:r w:rsidRPr="005D131A">
        <w:rPr>
          <w:sz w:val="28"/>
          <w:szCs w:val="28"/>
        </w:rPr>
        <w:t xml:space="preserve"> </w:t>
      </w:r>
      <w:r w:rsidR="00565394" w:rsidRPr="005D131A">
        <w:rPr>
          <w:rStyle w:val="apple-converted-space"/>
          <w:sz w:val="28"/>
          <w:szCs w:val="28"/>
          <w:shd w:val="clear" w:color="auto" w:fill="FFFFFF"/>
        </w:rPr>
        <w:t>Aunque no existe constancia de entrega a la Defensoría del Pueblo ni a la Superintendencia de Salud, lo cierto es que en los reportes presentados posteriormente por dichas entidades el 25 de junio</w:t>
      </w:r>
      <w:r w:rsidR="00565394" w:rsidRPr="005D131A">
        <w:rPr>
          <w:sz w:val="28"/>
          <w:szCs w:val="28"/>
          <w:shd w:val="clear" w:color="auto" w:fill="FFFFFF"/>
          <w:vertAlign w:val="superscript"/>
        </w:rPr>
        <w:footnoteReference w:id="123"/>
      </w:r>
      <w:r w:rsidR="00565394" w:rsidRPr="005D131A">
        <w:rPr>
          <w:rStyle w:val="apple-converted-space"/>
          <w:sz w:val="28"/>
          <w:szCs w:val="28"/>
          <w:shd w:val="clear" w:color="auto" w:fill="FFFFFF"/>
        </w:rPr>
        <w:t xml:space="preserve"> y el 30 de julio de 2009</w:t>
      </w:r>
      <w:r w:rsidR="00565394" w:rsidRPr="005D131A">
        <w:rPr>
          <w:sz w:val="28"/>
          <w:szCs w:val="28"/>
          <w:shd w:val="clear" w:color="auto" w:fill="FFFFFF"/>
          <w:vertAlign w:val="superscript"/>
        </w:rPr>
        <w:footnoteReference w:id="124"/>
      </w:r>
      <w:r w:rsidR="00565394" w:rsidRPr="005D131A">
        <w:rPr>
          <w:rStyle w:val="apple-converted-space"/>
          <w:sz w:val="28"/>
          <w:szCs w:val="28"/>
          <w:shd w:val="clear" w:color="auto" w:fill="FFFFFF"/>
        </w:rPr>
        <w:t xml:space="preserve">, respectivamente, manifestaron conocerlo. </w:t>
      </w:r>
    </w:p>
    <w:p w:rsidR="00723025" w:rsidRPr="005D131A" w:rsidRDefault="00723025" w:rsidP="005D131A">
      <w:pPr>
        <w:pStyle w:val="Prrafodelista"/>
        <w:tabs>
          <w:tab w:val="left" w:pos="851"/>
        </w:tabs>
        <w:ind w:left="0"/>
        <w:rPr>
          <w:sz w:val="28"/>
          <w:szCs w:val="28"/>
        </w:rPr>
      </w:pPr>
    </w:p>
    <w:p w:rsidR="00825344" w:rsidRPr="005D131A" w:rsidRDefault="00E96439" w:rsidP="005D131A">
      <w:pPr>
        <w:tabs>
          <w:tab w:val="left" w:pos="851"/>
        </w:tabs>
        <w:rPr>
          <w:sz w:val="28"/>
          <w:szCs w:val="28"/>
        </w:rPr>
      </w:pPr>
      <w:r w:rsidRPr="005D131A">
        <w:rPr>
          <w:rStyle w:val="apple-converted-space"/>
          <w:sz w:val="28"/>
          <w:szCs w:val="28"/>
          <w:shd w:val="clear" w:color="auto" w:fill="FFFFFF"/>
        </w:rPr>
        <w:t xml:space="preserve">c) </w:t>
      </w:r>
      <w:r w:rsidR="00723025" w:rsidRPr="005D131A">
        <w:rPr>
          <w:rStyle w:val="apple-converted-space"/>
          <w:sz w:val="28"/>
          <w:szCs w:val="28"/>
          <w:u w:val="single"/>
          <w:shd w:val="clear" w:color="auto" w:fill="FFFFFF"/>
        </w:rPr>
        <w:t>El</w:t>
      </w:r>
      <w:r w:rsidR="00723025" w:rsidRPr="005D131A">
        <w:rPr>
          <w:sz w:val="28"/>
          <w:szCs w:val="28"/>
          <w:u w:val="single"/>
        </w:rPr>
        <w:t xml:space="preserve"> </w:t>
      </w:r>
      <w:r w:rsidR="00825344" w:rsidRPr="005D131A">
        <w:rPr>
          <w:sz w:val="28"/>
          <w:szCs w:val="28"/>
          <w:u w:val="single"/>
        </w:rPr>
        <w:t xml:space="preserve">informe debe fundamentarse en información </w:t>
      </w:r>
      <w:r w:rsidR="00723025" w:rsidRPr="005D131A">
        <w:rPr>
          <w:sz w:val="28"/>
          <w:szCs w:val="28"/>
          <w:u w:val="single"/>
        </w:rPr>
        <w:t>fiable, actualiza</w:t>
      </w:r>
      <w:r w:rsidR="00565394" w:rsidRPr="005D131A">
        <w:rPr>
          <w:sz w:val="28"/>
          <w:szCs w:val="28"/>
          <w:u w:val="single"/>
        </w:rPr>
        <w:t xml:space="preserve">da y completa, así como </w:t>
      </w:r>
      <w:r w:rsidR="00825344" w:rsidRPr="005D131A">
        <w:rPr>
          <w:sz w:val="28"/>
          <w:szCs w:val="28"/>
          <w:u w:val="single"/>
        </w:rPr>
        <w:t>contener un análisis de los datos recolectados</w:t>
      </w:r>
      <w:r w:rsidR="00825344" w:rsidRPr="005D131A">
        <w:rPr>
          <w:sz w:val="28"/>
          <w:szCs w:val="28"/>
        </w:rPr>
        <w:t>.</w:t>
      </w:r>
      <w:r w:rsidRPr="005D131A">
        <w:rPr>
          <w:sz w:val="28"/>
          <w:szCs w:val="28"/>
        </w:rPr>
        <w:t xml:space="preserve"> En ese documento el ente ministerial en salud</w:t>
      </w:r>
      <w:r w:rsidR="00E10A80" w:rsidRPr="005D131A">
        <w:rPr>
          <w:sz w:val="28"/>
          <w:szCs w:val="28"/>
        </w:rPr>
        <w:t xml:space="preserve">, señaló que con anterioridad a la </w:t>
      </w:r>
      <w:r w:rsidR="00274931" w:rsidRPr="005D131A">
        <w:rPr>
          <w:sz w:val="28"/>
          <w:szCs w:val="28"/>
        </w:rPr>
        <w:t xml:space="preserve">notificación de la </w:t>
      </w:r>
      <w:r w:rsidR="00E10A80" w:rsidRPr="005D131A">
        <w:rPr>
          <w:sz w:val="28"/>
          <w:szCs w:val="28"/>
        </w:rPr>
        <w:t xml:space="preserve">Sentencia T-760 de 2008 había expedido la Resolución 3099 de </w:t>
      </w:r>
      <w:r w:rsidR="006F45E2" w:rsidRPr="005D131A">
        <w:rPr>
          <w:sz w:val="28"/>
          <w:szCs w:val="28"/>
        </w:rPr>
        <w:t xml:space="preserve">2008, </w:t>
      </w:r>
      <w:r w:rsidR="00274931" w:rsidRPr="005D131A">
        <w:rPr>
          <w:sz w:val="28"/>
          <w:szCs w:val="28"/>
        </w:rPr>
        <w:t xml:space="preserve">empero </w:t>
      </w:r>
      <w:r w:rsidR="00274931" w:rsidRPr="005D131A">
        <w:rPr>
          <w:sz w:val="28"/>
          <w:szCs w:val="28"/>
          <w:lang w:val="es-CO"/>
        </w:rPr>
        <w:t>una vez conoció su texto definitivo</w:t>
      </w:r>
      <w:r w:rsidR="002638C2" w:rsidRPr="005D131A">
        <w:rPr>
          <w:sz w:val="28"/>
          <w:szCs w:val="28"/>
          <w:lang w:val="es-CO"/>
        </w:rPr>
        <w:t xml:space="preserve"> </w:t>
      </w:r>
      <w:r w:rsidR="00274931" w:rsidRPr="005D131A">
        <w:rPr>
          <w:sz w:val="28"/>
          <w:szCs w:val="28"/>
          <w:lang w:val="es-CO"/>
        </w:rPr>
        <w:t>la ajustó conforme a los requerimientos del fallo de tutela, mediante las resoluciones 3754 y 5334 de 20</w:t>
      </w:r>
      <w:r w:rsidR="008A0E7E" w:rsidRPr="005D131A">
        <w:rPr>
          <w:sz w:val="28"/>
          <w:szCs w:val="28"/>
          <w:lang w:val="es-CO"/>
        </w:rPr>
        <w:t xml:space="preserve">08. Lo anterior, solo constituye una referencia a la vigencia de la información, más no implica una valoración de los mecanismos creadores en dichas </w:t>
      </w:r>
      <w:r w:rsidR="00BB4B36" w:rsidRPr="005D131A">
        <w:rPr>
          <w:sz w:val="28"/>
          <w:szCs w:val="28"/>
          <w:lang w:val="es-CO"/>
        </w:rPr>
        <w:t>disposiciones</w:t>
      </w:r>
      <w:r w:rsidR="008A0E7E" w:rsidRPr="005D131A">
        <w:rPr>
          <w:sz w:val="28"/>
          <w:szCs w:val="28"/>
          <w:lang w:val="es-CO"/>
        </w:rPr>
        <w:t xml:space="preserve">. </w:t>
      </w:r>
    </w:p>
    <w:p w:rsidR="00274931" w:rsidRPr="005D131A" w:rsidRDefault="00274931" w:rsidP="005D131A">
      <w:pPr>
        <w:pStyle w:val="Prrafodelista"/>
        <w:tabs>
          <w:tab w:val="left" w:pos="567"/>
          <w:tab w:val="left" w:pos="851"/>
        </w:tabs>
        <w:ind w:left="0"/>
        <w:contextualSpacing/>
        <w:rPr>
          <w:sz w:val="28"/>
          <w:szCs w:val="28"/>
        </w:rPr>
      </w:pPr>
    </w:p>
    <w:p w:rsidR="00723025" w:rsidRPr="005D131A" w:rsidRDefault="006F45E2" w:rsidP="005D131A">
      <w:pPr>
        <w:pStyle w:val="Prrafodelista"/>
        <w:tabs>
          <w:tab w:val="left" w:pos="567"/>
          <w:tab w:val="left" w:pos="1276"/>
        </w:tabs>
        <w:ind w:left="0"/>
        <w:contextualSpacing/>
        <w:rPr>
          <w:sz w:val="28"/>
          <w:szCs w:val="28"/>
        </w:rPr>
      </w:pPr>
      <w:r w:rsidRPr="005D131A">
        <w:rPr>
          <w:sz w:val="28"/>
          <w:szCs w:val="28"/>
        </w:rPr>
        <w:t>Por su parte, l</w:t>
      </w:r>
      <w:r w:rsidR="00723025" w:rsidRPr="005D131A">
        <w:rPr>
          <w:sz w:val="28"/>
          <w:szCs w:val="28"/>
        </w:rPr>
        <w:t>a Defensoría del Pueblo adujo como reparo del informe el hecho de que los comités no pudieran estudiar solicitudes provenientes de médicos t</w:t>
      </w:r>
      <w:r w:rsidR="0008776C" w:rsidRPr="005D131A">
        <w:rPr>
          <w:sz w:val="28"/>
          <w:szCs w:val="28"/>
        </w:rPr>
        <w:t>ratantes no adscritos a las EPS</w:t>
      </w:r>
      <w:r w:rsidRPr="005D131A">
        <w:rPr>
          <w:sz w:val="28"/>
          <w:szCs w:val="28"/>
        </w:rPr>
        <w:t xml:space="preserve"> y </w:t>
      </w:r>
      <w:r w:rsidR="00723025" w:rsidRPr="005D131A">
        <w:rPr>
          <w:sz w:val="28"/>
          <w:szCs w:val="28"/>
        </w:rPr>
        <w:t xml:space="preserve">que la propuesta de crear un </w:t>
      </w:r>
      <w:r w:rsidR="00723025" w:rsidRPr="005D131A">
        <w:rPr>
          <w:i/>
          <w:sz w:val="28"/>
          <w:szCs w:val="28"/>
        </w:rPr>
        <w:t>“CTC virtual”</w:t>
      </w:r>
      <w:r w:rsidR="00723025" w:rsidRPr="005D131A">
        <w:rPr>
          <w:sz w:val="28"/>
          <w:szCs w:val="28"/>
        </w:rPr>
        <w:t xml:space="preserve"> no constituía un desarrollo de la orden bajo análisis.</w:t>
      </w:r>
    </w:p>
    <w:p w:rsidR="00276887" w:rsidRPr="005D131A" w:rsidRDefault="00276887" w:rsidP="005D131A">
      <w:pPr>
        <w:pStyle w:val="Prrafodelista"/>
        <w:tabs>
          <w:tab w:val="left" w:pos="567"/>
          <w:tab w:val="left" w:pos="1276"/>
        </w:tabs>
        <w:ind w:left="0"/>
        <w:contextualSpacing/>
        <w:rPr>
          <w:sz w:val="28"/>
          <w:szCs w:val="28"/>
        </w:rPr>
      </w:pPr>
    </w:p>
    <w:p w:rsidR="006F45E2" w:rsidRPr="005D131A" w:rsidRDefault="00723025" w:rsidP="005D131A">
      <w:pPr>
        <w:tabs>
          <w:tab w:val="left" w:pos="567"/>
          <w:tab w:val="left" w:pos="1276"/>
        </w:tabs>
        <w:contextualSpacing/>
        <w:rPr>
          <w:sz w:val="28"/>
          <w:szCs w:val="28"/>
        </w:rPr>
      </w:pPr>
      <w:r w:rsidRPr="005D131A">
        <w:rPr>
          <w:sz w:val="28"/>
          <w:szCs w:val="28"/>
        </w:rPr>
        <w:t xml:space="preserve">De conformidad con lo anterior, </w:t>
      </w:r>
      <w:r w:rsidR="00E96439" w:rsidRPr="005D131A">
        <w:rPr>
          <w:sz w:val="28"/>
          <w:szCs w:val="28"/>
        </w:rPr>
        <w:t xml:space="preserve">la Sala </w:t>
      </w:r>
      <w:r w:rsidR="0023019F" w:rsidRPr="005D131A">
        <w:rPr>
          <w:sz w:val="28"/>
          <w:szCs w:val="28"/>
        </w:rPr>
        <w:t>observa que el documento presentado</w:t>
      </w:r>
      <w:r w:rsidRPr="005D131A">
        <w:rPr>
          <w:sz w:val="28"/>
          <w:szCs w:val="28"/>
        </w:rPr>
        <w:t xml:space="preserve"> </w:t>
      </w:r>
      <w:r w:rsidR="006F45E2" w:rsidRPr="005D131A">
        <w:rPr>
          <w:sz w:val="28"/>
          <w:szCs w:val="28"/>
        </w:rPr>
        <w:t xml:space="preserve">por el </w:t>
      </w:r>
      <w:r w:rsidRPr="005D131A">
        <w:rPr>
          <w:sz w:val="28"/>
          <w:szCs w:val="28"/>
        </w:rPr>
        <w:t>Ministerio no explicó la</w:t>
      </w:r>
      <w:r w:rsidR="006F45E2" w:rsidRPr="005D131A">
        <w:rPr>
          <w:sz w:val="28"/>
          <w:szCs w:val="28"/>
        </w:rPr>
        <w:t xml:space="preserve">s razones por las cuales </w:t>
      </w:r>
      <w:r w:rsidRPr="005D131A">
        <w:rPr>
          <w:sz w:val="28"/>
          <w:szCs w:val="28"/>
        </w:rPr>
        <w:t>la Resolución 3099 de 2008</w:t>
      </w:r>
      <w:r w:rsidR="00274931" w:rsidRPr="005D131A">
        <w:rPr>
          <w:sz w:val="28"/>
          <w:szCs w:val="28"/>
        </w:rPr>
        <w:t>, junto con sus modificaciones</w:t>
      </w:r>
      <w:r w:rsidR="002638C2" w:rsidRPr="005D131A">
        <w:rPr>
          <w:sz w:val="28"/>
          <w:szCs w:val="28"/>
        </w:rPr>
        <w:t>,</w:t>
      </w:r>
      <w:r w:rsidR="00274931" w:rsidRPr="005D131A">
        <w:rPr>
          <w:sz w:val="28"/>
          <w:szCs w:val="28"/>
        </w:rPr>
        <w:t xml:space="preserve"> </w:t>
      </w:r>
      <w:r w:rsidR="006F45E2" w:rsidRPr="005D131A">
        <w:rPr>
          <w:sz w:val="28"/>
          <w:szCs w:val="28"/>
        </w:rPr>
        <w:t>daban cabal cumplimiento a la orden, máxime si</w:t>
      </w:r>
      <w:r w:rsidR="00274931" w:rsidRPr="005D131A">
        <w:rPr>
          <w:sz w:val="28"/>
          <w:szCs w:val="28"/>
        </w:rPr>
        <w:t xml:space="preserve"> se tiene en cuenta que</w:t>
      </w:r>
      <w:r w:rsidR="006F45E2" w:rsidRPr="005D131A">
        <w:rPr>
          <w:sz w:val="28"/>
          <w:szCs w:val="28"/>
        </w:rPr>
        <w:t xml:space="preserve"> el informe hizo énfasis en el sistema de recobros ante el</w:t>
      </w:r>
      <w:r w:rsidR="00D75D28" w:rsidRPr="005D131A">
        <w:rPr>
          <w:sz w:val="28"/>
          <w:szCs w:val="28"/>
        </w:rPr>
        <w:t xml:space="preserve"> Fosyga </w:t>
      </w:r>
      <w:r w:rsidR="006F45E2" w:rsidRPr="005D131A">
        <w:rPr>
          <w:sz w:val="28"/>
          <w:szCs w:val="28"/>
        </w:rPr>
        <w:t>y no en la implementación de un trámite interno para la autorizaci</w:t>
      </w:r>
      <w:r w:rsidR="00274931" w:rsidRPr="005D131A">
        <w:rPr>
          <w:sz w:val="28"/>
          <w:szCs w:val="28"/>
        </w:rPr>
        <w:t xml:space="preserve">ón de servicios no POS. </w:t>
      </w:r>
      <w:r w:rsidR="00E96439" w:rsidRPr="005D131A">
        <w:rPr>
          <w:sz w:val="28"/>
          <w:szCs w:val="28"/>
        </w:rPr>
        <w:t xml:space="preserve">En esa oportunidad, la cartera de salud, </w:t>
      </w:r>
      <w:r w:rsidR="006F45E2" w:rsidRPr="005D131A">
        <w:rPr>
          <w:sz w:val="28"/>
          <w:szCs w:val="28"/>
        </w:rPr>
        <w:t xml:space="preserve">sostuvo: </w:t>
      </w:r>
    </w:p>
    <w:p w:rsidR="006F45E2" w:rsidRPr="005D131A" w:rsidRDefault="006F45E2" w:rsidP="005D131A">
      <w:pPr>
        <w:tabs>
          <w:tab w:val="left" w:pos="567"/>
          <w:tab w:val="left" w:pos="1276"/>
        </w:tabs>
        <w:contextualSpacing/>
        <w:rPr>
          <w:sz w:val="28"/>
          <w:szCs w:val="28"/>
        </w:rPr>
      </w:pPr>
    </w:p>
    <w:p w:rsidR="006F45E2" w:rsidRPr="005D131A" w:rsidRDefault="006F45E2" w:rsidP="005D131A">
      <w:pPr>
        <w:tabs>
          <w:tab w:val="left" w:pos="567"/>
          <w:tab w:val="left" w:pos="1276"/>
        </w:tabs>
        <w:ind w:left="567"/>
        <w:contextualSpacing/>
        <w:rPr>
          <w:i/>
          <w:sz w:val="28"/>
          <w:szCs w:val="28"/>
        </w:rPr>
      </w:pPr>
      <w:r w:rsidRPr="005D131A">
        <w:rPr>
          <w:i/>
          <w:sz w:val="28"/>
          <w:szCs w:val="28"/>
        </w:rPr>
        <w:t>“Por lo anterior, el tema en consideración fue regulado con la expedición de la Resolución 3099 de 2008 que es anterior a la notificación de la Sentencia</w:t>
      </w:r>
      <w:r w:rsidR="00FB30B6" w:rsidRPr="005D131A">
        <w:rPr>
          <w:i/>
          <w:sz w:val="28"/>
          <w:szCs w:val="28"/>
        </w:rPr>
        <w:t xml:space="preserve"> T-760  del mismo año, lo ordenado en la orden vigésimo tercera con el propósito de permitir recobros al Fondo de Solidaridad y Garantía FOSYGA con ocasión de prestaciones aprobadas por el Comité Técnico Científico, distitas </w:t>
      </w:r>
      <w:r w:rsidR="00FB30B6" w:rsidRPr="005D131A">
        <w:rPr>
          <w:sz w:val="28"/>
          <w:szCs w:val="28"/>
        </w:rPr>
        <w:t>(sic)</w:t>
      </w:r>
      <w:r w:rsidR="00FB30B6" w:rsidRPr="005D131A">
        <w:rPr>
          <w:i/>
          <w:sz w:val="28"/>
          <w:szCs w:val="28"/>
        </w:rPr>
        <w:t xml:space="preserve"> a medicamentos, se cumplió”. </w:t>
      </w:r>
    </w:p>
    <w:p w:rsidR="006F45E2" w:rsidRPr="005D131A" w:rsidRDefault="006F45E2" w:rsidP="005D131A">
      <w:pPr>
        <w:tabs>
          <w:tab w:val="left" w:pos="567"/>
          <w:tab w:val="left" w:pos="1276"/>
        </w:tabs>
        <w:contextualSpacing/>
        <w:rPr>
          <w:sz w:val="28"/>
          <w:szCs w:val="28"/>
        </w:rPr>
      </w:pPr>
    </w:p>
    <w:p w:rsidR="00FB30B6" w:rsidRPr="005D131A" w:rsidRDefault="002638C2" w:rsidP="005D131A">
      <w:pPr>
        <w:pStyle w:val="Sangradetextonormal"/>
        <w:ind w:left="0"/>
      </w:pPr>
      <w:r w:rsidRPr="005D131A">
        <w:t xml:space="preserve">Y </w:t>
      </w:r>
      <w:r w:rsidR="00FB30B6" w:rsidRPr="005D131A">
        <w:t xml:space="preserve">agregó lo siguiente: </w:t>
      </w:r>
    </w:p>
    <w:p w:rsidR="00FB30B6" w:rsidRPr="005D131A" w:rsidRDefault="00FB30B6" w:rsidP="005D131A">
      <w:pPr>
        <w:pStyle w:val="Sangradetextonormal"/>
      </w:pPr>
    </w:p>
    <w:p w:rsidR="008B3485" w:rsidRPr="005D131A" w:rsidRDefault="00FB30B6" w:rsidP="005D131A">
      <w:pPr>
        <w:tabs>
          <w:tab w:val="left" w:pos="567"/>
          <w:tab w:val="left" w:pos="1276"/>
        </w:tabs>
        <w:ind w:left="567"/>
        <w:contextualSpacing/>
        <w:rPr>
          <w:i/>
          <w:sz w:val="28"/>
          <w:szCs w:val="28"/>
        </w:rPr>
      </w:pPr>
      <w:r w:rsidRPr="005D131A">
        <w:rPr>
          <w:i/>
          <w:sz w:val="28"/>
          <w:szCs w:val="28"/>
        </w:rPr>
        <w:t>“Así las cosas, con base en las estadísticas anteriores, se ha hecho evidente a los actores involucrados la necesidad de encontrar mecanismos más adecuados para regular el CTC, es decir la forma en la cual el médico tratante pueda allegar a la EPS o a la entidad ante la cual se defina tramitar las solicitudes de prestaciones NO POS, los elementos técnicos y científicos en virtud de los cuales el médico tratante ha considerado necesario</w:t>
      </w:r>
      <w:r w:rsidR="001D2358" w:rsidRPr="005D131A">
        <w:rPr>
          <w:i/>
          <w:sz w:val="28"/>
          <w:szCs w:val="28"/>
        </w:rPr>
        <w:t xml:space="preserve"> la prestación de un servicio. </w:t>
      </w:r>
    </w:p>
    <w:p w:rsidR="002638C2" w:rsidRPr="005D131A" w:rsidRDefault="002638C2" w:rsidP="005D131A">
      <w:pPr>
        <w:tabs>
          <w:tab w:val="left" w:pos="567"/>
          <w:tab w:val="left" w:pos="1276"/>
        </w:tabs>
        <w:ind w:left="567"/>
        <w:contextualSpacing/>
        <w:rPr>
          <w:i/>
          <w:sz w:val="28"/>
          <w:szCs w:val="28"/>
        </w:rPr>
      </w:pPr>
    </w:p>
    <w:p w:rsidR="008B3485" w:rsidRPr="005D131A" w:rsidRDefault="008B3485" w:rsidP="005D131A">
      <w:pPr>
        <w:tabs>
          <w:tab w:val="left" w:pos="567"/>
          <w:tab w:val="left" w:pos="1276"/>
        </w:tabs>
        <w:ind w:left="567"/>
        <w:contextualSpacing/>
        <w:rPr>
          <w:i/>
          <w:sz w:val="28"/>
          <w:szCs w:val="28"/>
        </w:rPr>
      </w:pPr>
      <w:r w:rsidRPr="005D131A">
        <w:rPr>
          <w:i/>
          <w:sz w:val="28"/>
          <w:szCs w:val="28"/>
        </w:rPr>
        <w:t xml:space="preserve">Para el efecto se han venido analizando diversos modelos institucionales o interoperativos como serían la creación de una entidad pública, por ejemplo, trámite que requeriría un proyecto de ley; en área constituida al interior del Ministerio de la Protección Social o de la Superintendencia Nacional de Salud, la posibilidad de un Comité Técnico Científico ´virtual´ constituido por especialistas y/o pares incluso de índole internacional para que se pronuncien de manera conceptual y general en la pertinencia de ciertos y determinados procedimientos, y particularmente medicamentos…”. </w:t>
      </w:r>
    </w:p>
    <w:p w:rsidR="006F45E2" w:rsidRPr="005D131A" w:rsidRDefault="006F45E2" w:rsidP="005D131A">
      <w:pPr>
        <w:tabs>
          <w:tab w:val="left" w:pos="567"/>
          <w:tab w:val="left" w:pos="1276"/>
        </w:tabs>
        <w:contextualSpacing/>
        <w:rPr>
          <w:i/>
          <w:sz w:val="28"/>
          <w:szCs w:val="28"/>
        </w:rPr>
      </w:pPr>
    </w:p>
    <w:p w:rsidR="008B3485" w:rsidRPr="005D131A" w:rsidRDefault="00676919" w:rsidP="005D131A">
      <w:pPr>
        <w:pStyle w:val="Prrafodelista"/>
        <w:tabs>
          <w:tab w:val="left" w:pos="567"/>
          <w:tab w:val="left" w:pos="851"/>
        </w:tabs>
        <w:ind w:left="0"/>
        <w:rPr>
          <w:sz w:val="28"/>
          <w:szCs w:val="28"/>
        </w:rPr>
      </w:pPr>
      <w:r w:rsidRPr="005D131A">
        <w:rPr>
          <w:sz w:val="28"/>
          <w:szCs w:val="28"/>
        </w:rPr>
        <w:t>En suma</w:t>
      </w:r>
      <w:r w:rsidR="008B3485" w:rsidRPr="005D131A">
        <w:rPr>
          <w:sz w:val="28"/>
          <w:szCs w:val="28"/>
        </w:rPr>
        <w:t xml:space="preserve">, la Sala considera que el </w:t>
      </w:r>
      <w:r w:rsidR="008B3485" w:rsidRPr="005D131A">
        <w:rPr>
          <w:sz w:val="28"/>
          <w:szCs w:val="28"/>
          <w:lang w:val="es-CO"/>
        </w:rPr>
        <w:t>informe no señaló las medidas que fueron adoptadas para regular el trámite interno que debe adelantar el médico tratante para</w:t>
      </w:r>
      <w:r w:rsidR="00E96439" w:rsidRPr="005D131A">
        <w:rPr>
          <w:sz w:val="28"/>
          <w:szCs w:val="28"/>
          <w:lang w:val="es-CO"/>
        </w:rPr>
        <w:t xml:space="preserve"> que la respectiva EPS autorice </w:t>
      </w:r>
      <w:r w:rsidR="008B3485" w:rsidRPr="005D131A">
        <w:rPr>
          <w:sz w:val="28"/>
          <w:szCs w:val="28"/>
          <w:lang w:val="es-CO"/>
        </w:rPr>
        <w:t xml:space="preserve">de manera directa los servicios no incluidos o excluidos del POS, ya que, se reitera, el </w:t>
      </w:r>
      <w:r w:rsidR="008A0E7E" w:rsidRPr="005D131A">
        <w:rPr>
          <w:sz w:val="28"/>
          <w:szCs w:val="28"/>
          <w:lang w:val="es-CO"/>
        </w:rPr>
        <w:t>ente ministerial</w:t>
      </w:r>
      <w:r w:rsidR="008B3485" w:rsidRPr="005D131A">
        <w:rPr>
          <w:sz w:val="28"/>
          <w:szCs w:val="28"/>
          <w:lang w:val="es-CO"/>
        </w:rPr>
        <w:t xml:space="preserve"> centró</w:t>
      </w:r>
      <w:r w:rsidR="008B3485" w:rsidRPr="005D131A">
        <w:rPr>
          <w:sz w:val="28"/>
          <w:szCs w:val="28"/>
        </w:rPr>
        <w:t xml:space="preserve"> su análisis en el sistema de recobros, aspecto </w:t>
      </w:r>
      <w:r w:rsidRPr="005D131A">
        <w:rPr>
          <w:sz w:val="28"/>
          <w:szCs w:val="28"/>
        </w:rPr>
        <w:t xml:space="preserve">no contemplado en la </w:t>
      </w:r>
      <w:r w:rsidR="008B3485" w:rsidRPr="005D131A">
        <w:rPr>
          <w:sz w:val="28"/>
          <w:szCs w:val="28"/>
        </w:rPr>
        <w:t xml:space="preserve">orden 23. </w:t>
      </w:r>
    </w:p>
    <w:p w:rsidR="00E96439" w:rsidRPr="005D131A" w:rsidRDefault="00E96439" w:rsidP="005D131A">
      <w:pPr>
        <w:pStyle w:val="Prrafodelista"/>
        <w:tabs>
          <w:tab w:val="left" w:pos="567"/>
          <w:tab w:val="left" w:pos="851"/>
        </w:tabs>
        <w:ind w:left="0"/>
        <w:rPr>
          <w:sz w:val="28"/>
          <w:szCs w:val="28"/>
        </w:rPr>
      </w:pPr>
    </w:p>
    <w:p w:rsidR="004E3454" w:rsidRPr="005D131A" w:rsidRDefault="00B847FB" w:rsidP="005D131A">
      <w:pPr>
        <w:tabs>
          <w:tab w:val="left" w:pos="567"/>
          <w:tab w:val="left" w:pos="1276"/>
        </w:tabs>
        <w:contextualSpacing/>
        <w:rPr>
          <w:sz w:val="28"/>
          <w:szCs w:val="28"/>
        </w:rPr>
      </w:pPr>
      <w:r w:rsidRPr="005D131A">
        <w:rPr>
          <w:sz w:val="28"/>
          <w:szCs w:val="28"/>
        </w:rPr>
        <w:t>Ahora bien</w:t>
      </w:r>
      <w:r w:rsidR="00475782" w:rsidRPr="005D131A">
        <w:rPr>
          <w:sz w:val="28"/>
          <w:szCs w:val="28"/>
        </w:rPr>
        <w:t xml:space="preserve">, si </w:t>
      </w:r>
      <w:r w:rsidR="003C6C0A" w:rsidRPr="005D131A">
        <w:rPr>
          <w:sz w:val="28"/>
          <w:szCs w:val="28"/>
        </w:rPr>
        <w:t>lo p</w:t>
      </w:r>
      <w:r w:rsidR="008A0E7E" w:rsidRPr="005D131A">
        <w:rPr>
          <w:sz w:val="28"/>
          <w:szCs w:val="28"/>
        </w:rPr>
        <w:t xml:space="preserve">retendido por la entidad </w:t>
      </w:r>
      <w:r w:rsidR="00676919" w:rsidRPr="005D131A">
        <w:rPr>
          <w:sz w:val="28"/>
          <w:szCs w:val="28"/>
        </w:rPr>
        <w:t>era evidenciar</w:t>
      </w:r>
      <w:r w:rsidR="00A91CB3" w:rsidRPr="005D131A">
        <w:rPr>
          <w:sz w:val="28"/>
          <w:szCs w:val="28"/>
        </w:rPr>
        <w:t xml:space="preserve"> a través de las cifras de recobros</w:t>
      </w:r>
      <w:r w:rsidR="003C6C0A" w:rsidRPr="005D131A">
        <w:rPr>
          <w:sz w:val="28"/>
          <w:szCs w:val="28"/>
        </w:rPr>
        <w:t xml:space="preserve"> </w:t>
      </w:r>
      <w:r w:rsidR="004E3454" w:rsidRPr="005D131A">
        <w:rPr>
          <w:sz w:val="28"/>
          <w:szCs w:val="28"/>
        </w:rPr>
        <w:t>las medidas adoptadas para garantizar la ampli</w:t>
      </w:r>
      <w:r w:rsidR="00A91CB3" w:rsidRPr="005D131A">
        <w:rPr>
          <w:sz w:val="28"/>
          <w:szCs w:val="28"/>
        </w:rPr>
        <w:t>ación de las reglas vigentes de los</w:t>
      </w:r>
      <w:r w:rsidR="004E3454" w:rsidRPr="005D131A">
        <w:rPr>
          <w:sz w:val="28"/>
          <w:szCs w:val="28"/>
        </w:rPr>
        <w:t xml:space="preserve"> CTC</w:t>
      </w:r>
      <w:r w:rsidR="00A91CB3" w:rsidRPr="005D131A">
        <w:rPr>
          <w:sz w:val="28"/>
          <w:szCs w:val="28"/>
        </w:rPr>
        <w:t>;</w:t>
      </w:r>
      <w:r w:rsidR="004E3454" w:rsidRPr="005D131A">
        <w:rPr>
          <w:sz w:val="28"/>
          <w:szCs w:val="28"/>
        </w:rPr>
        <w:t xml:space="preserve"> la información presentada no fue completa </w:t>
      </w:r>
      <w:r w:rsidRPr="005D131A">
        <w:rPr>
          <w:sz w:val="28"/>
          <w:szCs w:val="28"/>
        </w:rPr>
        <w:t>dado que aunque los datos consignados resultan ilustrativos para determinar que la labor de los comités se concretó en la aprobaci</w:t>
      </w:r>
      <w:r w:rsidR="007C21BB" w:rsidRPr="005D131A">
        <w:rPr>
          <w:sz w:val="28"/>
          <w:szCs w:val="28"/>
        </w:rPr>
        <w:t>ón de medicamentos y no en el resto de tecnologías, lo cierto es que por sí solos no demuestran un avance en el mecanismo para acceder a los servicios no POS. Para ello</w:t>
      </w:r>
      <w:r w:rsidR="00A91CB3" w:rsidRPr="005D131A">
        <w:rPr>
          <w:sz w:val="28"/>
          <w:szCs w:val="28"/>
        </w:rPr>
        <w:t xml:space="preserve">, hubiera sido deseable </w:t>
      </w:r>
      <w:r w:rsidR="007C21BB" w:rsidRPr="005D131A">
        <w:rPr>
          <w:sz w:val="28"/>
          <w:szCs w:val="28"/>
        </w:rPr>
        <w:t xml:space="preserve"> por lo menos, una comparación con los recobros presentados en el mismo periodo del año anterior, esto es, cuando no se habían ampliado las funciones de esos organismos. </w:t>
      </w:r>
    </w:p>
    <w:p w:rsidR="004E3454" w:rsidRPr="005D131A" w:rsidRDefault="004E3454" w:rsidP="005D131A">
      <w:pPr>
        <w:tabs>
          <w:tab w:val="left" w:pos="567"/>
          <w:tab w:val="left" w:pos="1276"/>
        </w:tabs>
        <w:contextualSpacing/>
        <w:rPr>
          <w:sz w:val="28"/>
          <w:szCs w:val="28"/>
        </w:rPr>
      </w:pPr>
    </w:p>
    <w:p w:rsidR="006F68ED" w:rsidRPr="005D131A" w:rsidRDefault="008A0E7E" w:rsidP="005D131A">
      <w:pPr>
        <w:tabs>
          <w:tab w:val="left" w:pos="567"/>
          <w:tab w:val="left" w:pos="1276"/>
        </w:tabs>
        <w:contextualSpacing/>
        <w:rPr>
          <w:sz w:val="28"/>
          <w:szCs w:val="28"/>
        </w:rPr>
      </w:pPr>
      <w:r w:rsidRPr="005D131A">
        <w:rPr>
          <w:sz w:val="28"/>
          <w:szCs w:val="28"/>
        </w:rPr>
        <w:t>Adicionalmente</w:t>
      </w:r>
      <w:r w:rsidR="008B3485" w:rsidRPr="005D131A">
        <w:rPr>
          <w:sz w:val="28"/>
          <w:szCs w:val="28"/>
        </w:rPr>
        <w:t>, habría sido recomendable una comparación con el regi</w:t>
      </w:r>
      <w:r w:rsidRPr="005D131A">
        <w:rPr>
          <w:sz w:val="28"/>
          <w:szCs w:val="28"/>
        </w:rPr>
        <w:t xml:space="preserve">stro de servicios negados, esto </w:t>
      </w:r>
      <w:r w:rsidR="008B3485" w:rsidRPr="005D131A">
        <w:rPr>
          <w:sz w:val="28"/>
          <w:szCs w:val="28"/>
        </w:rPr>
        <w:t>con el fin de verificar que con la ampli</w:t>
      </w:r>
      <w:r w:rsidR="002638C2" w:rsidRPr="005D131A">
        <w:rPr>
          <w:sz w:val="28"/>
          <w:szCs w:val="28"/>
        </w:rPr>
        <w:t>ación del ámbito de acción del C</w:t>
      </w:r>
      <w:r w:rsidR="008B3485" w:rsidRPr="005D131A">
        <w:rPr>
          <w:sz w:val="28"/>
          <w:szCs w:val="28"/>
        </w:rPr>
        <w:t xml:space="preserve">omité habrían disminuido las negaciones de tecnologías no POS diferentes a medicamentos. </w:t>
      </w:r>
    </w:p>
    <w:p w:rsidR="00276887" w:rsidRPr="005D131A" w:rsidRDefault="00276887" w:rsidP="005D131A">
      <w:pPr>
        <w:tabs>
          <w:tab w:val="left" w:pos="567"/>
          <w:tab w:val="left" w:pos="1276"/>
        </w:tabs>
        <w:contextualSpacing/>
        <w:rPr>
          <w:sz w:val="28"/>
          <w:szCs w:val="28"/>
          <w:lang w:val="es-CO"/>
        </w:rPr>
      </w:pPr>
    </w:p>
    <w:p w:rsidR="00E028C2" w:rsidRPr="005D131A" w:rsidRDefault="00A91CB3" w:rsidP="005D131A">
      <w:pPr>
        <w:rPr>
          <w:sz w:val="28"/>
          <w:szCs w:val="28"/>
        </w:rPr>
      </w:pPr>
      <w:r w:rsidRPr="005D131A">
        <w:rPr>
          <w:sz w:val="28"/>
          <w:szCs w:val="28"/>
        </w:rPr>
        <w:t>Se concluye</w:t>
      </w:r>
      <w:r w:rsidR="002638C2" w:rsidRPr="005D131A">
        <w:rPr>
          <w:sz w:val="28"/>
          <w:szCs w:val="28"/>
        </w:rPr>
        <w:t>,</w:t>
      </w:r>
      <w:r w:rsidRPr="005D131A">
        <w:rPr>
          <w:sz w:val="28"/>
          <w:szCs w:val="28"/>
        </w:rPr>
        <w:t xml:space="preserve"> entonces</w:t>
      </w:r>
      <w:r w:rsidR="002638C2" w:rsidRPr="005D131A">
        <w:rPr>
          <w:sz w:val="28"/>
          <w:szCs w:val="28"/>
        </w:rPr>
        <w:t>,</w:t>
      </w:r>
      <w:r w:rsidRPr="005D131A">
        <w:rPr>
          <w:sz w:val="28"/>
          <w:szCs w:val="28"/>
        </w:rPr>
        <w:t xml:space="preserve"> que </w:t>
      </w:r>
      <w:r w:rsidR="00B847FB" w:rsidRPr="005D131A">
        <w:rPr>
          <w:sz w:val="28"/>
          <w:szCs w:val="28"/>
        </w:rPr>
        <w:t xml:space="preserve">si bien es cierto que el Ministerio allegó el informe a la Corte antes del plazo estipulado, también lo es que ese documento no refleja de </w:t>
      </w:r>
      <w:r w:rsidR="007C21BB" w:rsidRPr="005D131A">
        <w:rPr>
          <w:sz w:val="28"/>
          <w:szCs w:val="28"/>
        </w:rPr>
        <w:t>qué</w:t>
      </w:r>
      <w:r w:rsidR="00B847FB" w:rsidRPr="005D131A">
        <w:rPr>
          <w:sz w:val="28"/>
          <w:szCs w:val="28"/>
        </w:rPr>
        <w:t xml:space="preserve"> forma las normas proferidas </w:t>
      </w:r>
      <w:r w:rsidR="007C2E73" w:rsidRPr="005D131A">
        <w:rPr>
          <w:sz w:val="28"/>
          <w:szCs w:val="28"/>
        </w:rPr>
        <w:t>hasta esa</w:t>
      </w:r>
      <w:r w:rsidR="00B847FB" w:rsidRPr="005D131A">
        <w:rPr>
          <w:sz w:val="28"/>
          <w:szCs w:val="28"/>
        </w:rPr>
        <w:t xml:space="preserve"> fecha daban cumplimiento</w:t>
      </w:r>
      <w:r w:rsidR="00E028C2" w:rsidRPr="005D131A">
        <w:rPr>
          <w:sz w:val="28"/>
          <w:szCs w:val="28"/>
        </w:rPr>
        <w:t xml:space="preserve"> al mandato bajo estudio, más aú</w:t>
      </w:r>
      <w:r w:rsidR="00B847FB" w:rsidRPr="005D131A">
        <w:rPr>
          <w:sz w:val="28"/>
          <w:szCs w:val="28"/>
        </w:rPr>
        <w:t xml:space="preserve">n si esa normativa </w:t>
      </w:r>
      <w:r w:rsidR="00E028C2" w:rsidRPr="005D131A">
        <w:rPr>
          <w:sz w:val="28"/>
          <w:szCs w:val="28"/>
        </w:rPr>
        <w:t xml:space="preserve">hizo énfasis en el procedimiento de recobros al Fosyga y no en los CTC. </w:t>
      </w:r>
    </w:p>
    <w:p w:rsidR="007C2E73" w:rsidRPr="005D131A" w:rsidRDefault="007C2E73" w:rsidP="005D131A">
      <w:pPr>
        <w:rPr>
          <w:sz w:val="28"/>
          <w:szCs w:val="28"/>
        </w:rPr>
      </w:pPr>
    </w:p>
    <w:p w:rsidR="00086EB1" w:rsidRPr="005D131A" w:rsidRDefault="00E028C2" w:rsidP="005D131A">
      <w:pPr>
        <w:rPr>
          <w:sz w:val="28"/>
          <w:szCs w:val="28"/>
          <w:lang w:val="es-CO"/>
        </w:rPr>
      </w:pPr>
      <w:r w:rsidRPr="005D131A">
        <w:rPr>
          <w:sz w:val="28"/>
          <w:szCs w:val="28"/>
        </w:rPr>
        <w:t>Sumado a ello,</w:t>
      </w:r>
      <w:r w:rsidR="007C2E73" w:rsidRPr="005D131A">
        <w:rPr>
          <w:sz w:val="28"/>
          <w:szCs w:val="28"/>
        </w:rPr>
        <w:t xml:space="preserve"> el informe se limitó a proponer</w:t>
      </w:r>
      <w:r w:rsidR="00B847FB" w:rsidRPr="005D131A">
        <w:rPr>
          <w:sz w:val="28"/>
          <w:szCs w:val="28"/>
        </w:rPr>
        <w:t xml:space="preserve"> como alternativas: i) la</w:t>
      </w:r>
      <w:r w:rsidR="00B847FB" w:rsidRPr="005D131A">
        <w:rPr>
          <w:sz w:val="28"/>
          <w:szCs w:val="28"/>
          <w:lang w:val="es-CO"/>
        </w:rPr>
        <w:t xml:space="preserve"> creación de una entidad pública al interior del Ministerio o de la Superintendencia de Salud y; ii) la posibilidad de conformar un CTC</w:t>
      </w:r>
      <w:r w:rsidR="007C2E73" w:rsidRPr="005D131A">
        <w:rPr>
          <w:sz w:val="28"/>
          <w:szCs w:val="28"/>
          <w:lang w:val="es-CO"/>
        </w:rPr>
        <w:t xml:space="preserve"> </w:t>
      </w:r>
      <w:r w:rsidR="00B847FB" w:rsidRPr="005D131A">
        <w:rPr>
          <w:i/>
          <w:sz w:val="28"/>
          <w:szCs w:val="28"/>
          <w:lang w:val="es-CO"/>
        </w:rPr>
        <w:t>“virtual”</w:t>
      </w:r>
      <w:r w:rsidR="007C2E73" w:rsidRPr="005D131A">
        <w:rPr>
          <w:sz w:val="28"/>
          <w:szCs w:val="28"/>
          <w:lang w:val="es-CO"/>
        </w:rPr>
        <w:t>; circunstancia que</w:t>
      </w:r>
      <w:r w:rsidR="00B847FB" w:rsidRPr="005D131A">
        <w:rPr>
          <w:sz w:val="28"/>
          <w:szCs w:val="28"/>
          <w:lang w:val="es-CO"/>
        </w:rPr>
        <w:t xml:space="preserve"> evidencia que para el año 2009 el ente regulador no hab</w:t>
      </w:r>
      <w:r w:rsidR="007C2E73" w:rsidRPr="005D131A">
        <w:rPr>
          <w:sz w:val="28"/>
          <w:szCs w:val="28"/>
          <w:lang w:val="es-CO"/>
        </w:rPr>
        <w:t>ía definido ni</w:t>
      </w:r>
      <w:r w:rsidR="00B847FB" w:rsidRPr="005D131A">
        <w:rPr>
          <w:sz w:val="28"/>
          <w:szCs w:val="28"/>
          <w:lang w:val="es-CO"/>
        </w:rPr>
        <w:t xml:space="preserve"> implementado las medidas necesarias para cumplir con el mandato, razón por la cual esta Corporación en aras de que la orden fuera cumplida </w:t>
      </w:r>
      <w:r w:rsidR="007C2E73" w:rsidRPr="005D131A">
        <w:rPr>
          <w:sz w:val="28"/>
          <w:szCs w:val="28"/>
          <w:lang w:val="es-CO"/>
        </w:rPr>
        <w:t>continuó con su</w:t>
      </w:r>
      <w:r w:rsidR="00B847FB" w:rsidRPr="005D131A">
        <w:rPr>
          <w:sz w:val="28"/>
          <w:szCs w:val="28"/>
          <w:lang w:val="es-CO"/>
        </w:rPr>
        <w:t xml:space="preserve"> seguimiento y profirió un sin número de actuaciones encaminadas a tal fin. </w:t>
      </w:r>
    </w:p>
    <w:p w:rsidR="002638C2" w:rsidRPr="005D131A" w:rsidRDefault="002638C2" w:rsidP="005D131A">
      <w:pPr>
        <w:rPr>
          <w:sz w:val="28"/>
          <w:szCs w:val="28"/>
        </w:rPr>
      </w:pPr>
    </w:p>
    <w:p w:rsidR="00723025" w:rsidRPr="005D131A" w:rsidRDefault="007534C2" w:rsidP="005D131A">
      <w:pPr>
        <w:tabs>
          <w:tab w:val="left" w:pos="567"/>
          <w:tab w:val="left" w:pos="1276"/>
        </w:tabs>
        <w:contextualSpacing/>
        <w:rPr>
          <w:b/>
          <w:sz w:val="28"/>
          <w:szCs w:val="28"/>
        </w:rPr>
      </w:pPr>
      <w:r w:rsidRPr="005D131A">
        <w:rPr>
          <w:b/>
          <w:sz w:val="28"/>
          <w:szCs w:val="28"/>
        </w:rPr>
        <w:t>5</w:t>
      </w:r>
      <w:r w:rsidR="009132A0" w:rsidRPr="005D131A">
        <w:rPr>
          <w:b/>
          <w:sz w:val="28"/>
          <w:szCs w:val="28"/>
        </w:rPr>
        <w:t xml:space="preserve">.2. </w:t>
      </w:r>
      <w:r w:rsidR="00723025" w:rsidRPr="005D131A">
        <w:rPr>
          <w:b/>
          <w:sz w:val="28"/>
          <w:szCs w:val="28"/>
        </w:rPr>
        <w:t>Sanción en el recobro a las EPS cuyo CTC ha</w:t>
      </w:r>
      <w:r w:rsidR="00E028C2" w:rsidRPr="005D131A">
        <w:rPr>
          <w:b/>
          <w:sz w:val="28"/>
          <w:szCs w:val="28"/>
        </w:rPr>
        <w:t>bía</w:t>
      </w:r>
      <w:r w:rsidR="00723025" w:rsidRPr="005D131A">
        <w:rPr>
          <w:b/>
          <w:sz w:val="28"/>
          <w:szCs w:val="28"/>
        </w:rPr>
        <w:t xml:space="preserve"> negado la prestación de un servicio de salud no POS y este fue posteriormente</w:t>
      </w:r>
      <w:r w:rsidR="009132A0" w:rsidRPr="005D131A">
        <w:rPr>
          <w:b/>
          <w:sz w:val="28"/>
          <w:szCs w:val="28"/>
        </w:rPr>
        <w:t xml:space="preserve"> ordenado por un juez de tutela</w:t>
      </w:r>
    </w:p>
    <w:p w:rsidR="00723025" w:rsidRPr="005D131A" w:rsidRDefault="00723025" w:rsidP="005D131A">
      <w:pPr>
        <w:pStyle w:val="Prrafodelista"/>
        <w:tabs>
          <w:tab w:val="left" w:pos="567"/>
          <w:tab w:val="left" w:pos="1276"/>
        </w:tabs>
        <w:ind w:left="0"/>
        <w:contextualSpacing/>
        <w:rPr>
          <w:sz w:val="28"/>
          <w:szCs w:val="28"/>
        </w:rPr>
      </w:pPr>
    </w:p>
    <w:p w:rsidR="00442B04" w:rsidRPr="005D131A" w:rsidRDefault="007534C2" w:rsidP="005D131A">
      <w:pPr>
        <w:tabs>
          <w:tab w:val="left" w:pos="567"/>
          <w:tab w:val="left" w:pos="993"/>
        </w:tabs>
        <w:contextualSpacing/>
        <w:rPr>
          <w:sz w:val="28"/>
          <w:szCs w:val="28"/>
        </w:rPr>
      </w:pPr>
      <w:r w:rsidRPr="005D131A">
        <w:rPr>
          <w:sz w:val="28"/>
          <w:szCs w:val="28"/>
        </w:rPr>
        <w:t>5</w:t>
      </w:r>
      <w:r w:rsidR="00442B04" w:rsidRPr="005D131A">
        <w:rPr>
          <w:sz w:val="28"/>
          <w:szCs w:val="28"/>
        </w:rPr>
        <w:t xml:space="preserve">.2.1. </w:t>
      </w:r>
      <w:r w:rsidR="00180660" w:rsidRPr="005D131A">
        <w:rPr>
          <w:sz w:val="28"/>
          <w:szCs w:val="28"/>
        </w:rPr>
        <w:t>E</w:t>
      </w:r>
      <w:r w:rsidR="00723025" w:rsidRPr="005D131A">
        <w:rPr>
          <w:sz w:val="28"/>
          <w:szCs w:val="28"/>
        </w:rPr>
        <w:t>l literal j del artículo 14 de la Ley 1122 de 2007</w:t>
      </w:r>
      <w:r w:rsidR="00B87EC8" w:rsidRPr="005D131A">
        <w:rPr>
          <w:sz w:val="28"/>
          <w:szCs w:val="28"/>
          <w:vertAlign w:val="superscript"/>
        </w:rPr>
        <w:footnoteReference w:id="125"/>
      </w:r>
      <w:r w:rsidR="00723025" w:rsidRPr="005D131A">
        <w:rPr>
          <w:sz w:val="28"/>
          <w:szCs w:val="28"/>
        </w:rPr>
        <w:t xml:space="preserve"> reiteraba la competencia de los CTC para conocer sobre las solicitudes de medicamentos no incluidos en el plan de beneficios del régimen contributivo en casos de enfermedad de alto costo. Así mismo, consagraba una sanción cuando las EPS no estudiaran oportunamente esas peticiones y un juez de tutela </w:t>
      </w:r>
      <w:r w:rsidR="00DC6089" w:rsidRPr="005D131A">
        <w:rPr>
          <w:sz w:val="28"/>
          <w:szCs w:val="28"/>
        </w:rPr>
        <w:t xml:space="preserve">ordenara </w:t>
      </w:r>
      <w:r w:rsidR="00723025" w:rsidRPr="005D131A">
        <w:rPr>
          <w:sz w:val="28"/>
          <w:szCs w:val="28"/>
        </w:rPr>
        <w:t xml:space="preserve">su prestación, </w:t>
      </w:r>
      <w:r w:rsidR="00DC6089" w:rsidRPr="005D131A">
        <w:rPr>
          <w:sz w:val="28"/>
          <w:szCs w:val="28"/>
        </w:rPr>
        <w:t>la cual consistía en que su costo sería cubierto en</w:t>
      </w:r>
      <w:r w:rsidR="00723025" w:rsidRPr="005D131A">
        <w:rPr>
          <w:sz w:val="28"/>
          <w:szCs w:val="28"/>
        </w:rPr>
        <w:t xml:space="preserve"> partes iguales por la promotora y el Fosyga.</w:t>
      </w:r>
      <w:r w:rsidR="008E0682" w:rsidRPr="005D131A">
        <w:rPr>
          <w:sz w:val="28"/>
          <w:szCs w:val="28"/>
        </w:rPr>
        <w:t xml:space="preserve"> </w:t>
      </w:r>
      <w:r w:rsidR="00B87EC8" w:rsidRPr="005D131A">
        <w:rPr>
          <w:sz w:val="28"/>
          <w:szCs w:val="28"/>
        </w:rPr>
        <w:t xml:space="preserve">La norma </w:t>
      </w:r>
      <w:r w:rsidR="00A91CB3" w:rsidRPr="005D131A">
        <w:rPr>
          <w:sz w:val="28"/>
          <w:szCs w:val="28"/>
        </w:rPr>
        <w:t xml:space="preserve">en mención </w:t>
      </w:r>
      <w:r w:rsidR="00E028C2" w:rsidRPr="005D131A">
        <w:rPr>
          <w:sz w:val="28"/>
          <w:szCs w:val="28"/>
        </w:rPr>
        <w:t>establecía</w:t>
      </w:r>
      <w:r w:rsidR="008E0682" w:rsidRPr="005D131A">
        <w:rPr>
          <w:sz w:val="28"/>
          <w:szCs w:val="28"/>
        </w:rPr>
        <w:t xml:space="preserve"> lo siguiente: </w:t>
      </w:r>
    </w:p>
    <w:p w:rsidR="00DC6089" w:rsidRPr="005D131A" w:rsidRDefault="00DC6089" w:rsidP="005D131A">
      <w:pPr>
        <w:pStyle w:val="Prrafodelista"/>
        <w:tabs>
          <w:tab w:val="left" w:pos="567"/>
          <w:tab w:val="left" w:pos="1276"/>
        </w:tabs>
        <w:ind w:left="0"/>
        <w:contextualSpacing/>
        <w:rPr>
          <w:sz w:val="28"/>
          <w:szCs w:val="28"/>
        </w:rPr>
      </w:pPr>
    </w:p>
    <w:p w:rsidR="00D93F51" w:rsidRPr="005D131A" w:rsidRDefault="00B87EC8" w:rsidP="005D131A">
      <w:pPr>
        <w:tabs>
          <w:tab w:val="left" w:pos="567"/>
          <w:tab w:val="left" w:pos="1276"/>
        </w:tabs>
        <w:ind w:left="567"/>
        <w:contextualSpacing/>
        <w:rPr>
          <w:i/>
          <w:sz w:val="28"/>
          <w:szCs w:val="28"/>
          <w:lang w:val="es-CO"/>
        </w:rPr>
      </w:pPr>
      <w:r w:rsidRPr="005D131A">
        <w:rPr>
          <w:i/>
          <w:sz w:val="28"/>
          <w:szCs w:val="28"/>
        </w:rPr>
        <w:t>“</w:t>
      </w:r>
      <w:r w:rsidR="00D93F51" w:rsidRPr="005D131A">
        <w:rPr>
          <w:i/>
          <w:sz w:val="28"/>
          <w:szCs w:val="28"/>
        </w:rPr>
        <w:t>j) En aquellos casos de enfermedad de alto costo en los que se soliciten medicamentos no incluidos en el plan de beneficios del régimen contributivo, las EPS llevarán a consideración del Comité Técnico Científico dichos requerimientos. Si la EPS no estudia oportunamente tales solicitudes ni las tramita ante el respectivo Comité y se obliga a la prestación de los mismos mediante acción de tutela, los costos serán cubiertos por partes iguales entre las EPS y el Fosyga. El Ministerio de la Protección Social reglamentará el presente artículo, dentro de los seis (6) meses posteriores a la entrada en vigencia de la presente ley. En todo caso, cuando el Fosyga haga el reconocimiento, el pago se hará sobre la base de las tarifas mínimas definidas por la C</w:t>
      </w:r>
      <w:r w:rsidRPr="005D131A">
        <w:rPr>
          <w:i/>
          <w:sz w:val="28"/>
          <w:szCs w:val="28"/>
        </w:rPr>
        <w:t xml:space="preserve">omisión de Regulación en Salud”. </w:t>
      </w:r>
      <w:r w:rsidR="00D93F51" w:rsidRPr="005D131A">
        <w:rPr>
          <w:i/>
          <w:sz w:val="28"/>
          <w:szCs w:val="28"/>
        </w:rPr>
        <w:t xml:space="preserve"> </w:t>
      </w:r>
    </w:p>
    <w:p w:rsidR="00D93F51" w:rsidRPr="005D131A" w:rsidRDefault="00D93F51" w:rsidP="005D131A">
      <w:pPr>
        <w:tabs>
          <w:tab w:val="left" w:pos="567"/>
          <w:tab w:val="left" w:pos="1276"/>
        </w:tabs>
        <w:contextualSpacing/>
        <w:rPr>
          <w:sz w:val="28"/>
          <w:szCs w:val="28"/>
        </w:rPr>
      </w:pPr>
    </w:p>
    <w:p w:rsidR="00180660" w:rsidRPr="005D131A" w:rsidRDefault="00B87EC8" w:rsidP="005D131A">
      <w:pPr>
        <w:pStyle w:val="Prrafodelista"/>
        <w:tabs>
          <w:tab w:val="left" w:pos="567"/>
          <w:tab w:val="left" w:pos="1276"/>
        </w:tabs>
        <w:ind w:left="0"/>
        <w:contextualSpacing/>
        <w:rPr>
          <w:sz w:val="28"/>
          <w:szCs w:val="28"/>
        </w:rPr>
      </w:pPr>
      <w:r w:rsidRPr="005D131A">
        <w:rPr>
          <w:sz w:val="28"/>
          <w:szCs w:val="28"/>
        </w:rPr>
        <w:t xml:space="preserve">En </w:t>
      </w:r>
      <w:r w:rsidR="00723025" w:rsidRPr="005D131A">
        <w:rPr>
          <w:sz w:val="28"/>
          <w:szCs w:val="28"/>
        </w:rPr>
        <w:t xml:space="preserve">Sentencia C-463 de 2008, la Corte Constitucional declaró exequible tal disposición </w:t>
      </w:r>
      <w:r w:rsidR="00180660" w:rsidRPr="005D131A">
        <w:rPr>
          <w:sz w:val="28"/>
          <w:szCs w:val="28"/>
        </w:rPr>
        <w:t>en el entendido de que la regla sobre el reembolso de la mitad de los costos no cubiertos, también se aplica</w:t>
      </w:r>
      <w:r w:rsidR="00E028C2" w:rsidRPr="005D131A">
        <w:rPr>
          <w:sz w:val="28"/>
          <w:szCs w:val="28"/>
        </w:rPr>
        <w:t xml:space="preserve">ba, siempre que una EPS era </w:t>
      </w:r>
      <w:r w:rsidR="00180660" w:rsidRPr="005D131A">
        <w:rPr>
          <w:sz w:val="28"/>
          <w:szCs w:val="28"/>
        </w:rPr>
        <w:t>obligada mediante acción de tutela a suministrar medicamentos y demás servicios médicos o prestaciones de salud prescritos por el médico tratante, no incluidos en el plan de beneficios de cualquiera de los regímenes legalmente vigentes.</w:t>
      </w:r>
    </w:p>
    <w:p w:rsidR="00180660" w:rsidRPr="005D131A" w:rsidRDefault="00180660" w:rsidP="005D131A">
      <w:pPr>
        <w:pStyle w:val="Prrafodelista"/>
        <w:tabs>
          <w:tab w:val="left" w:pos="567"/>
          <w:tab w:val="left" w:pos="1276"/>
        </w:tabs>
        <w:ind w:left="0"/>
        <w:contextualSpacing/>
        <w:rPr>
          <w:sz w:val="28"/>
          <w:szCs w:val="28"/>
        </w:rPr>
      </w:pPr>
    </w:p>
    <w:p w:rsidR="00E028C2" w:rsidRPr="005D131A" w:rsidRDefault="00723025" w:rsidP="005D131A">
      <w:pPr>
        <w:rPr>
          <w:sz w:val="28"/>
          <w:szCs w:val="28"/>
          <w:lang w:val="es-CO"/>
        </w:rPr>
      </w:pPr>
      <w:r w:rsidRPr="005D131A">
        <w:rPr>
          <w:sz w:val="28"/>
          <w:szCs w:val="28"/>
        </w:rPr>
        <w:t xml:space="preserve">Con fundamento en esa norma y la interpretación realizada por </w:t>
      </w:r>
      <w:r w:rsidR="00180660" w:rsidRPr="005D131A">
        <w:rPr>
          <w:sz w:val="28"/>
          <w:szCs w:val="28"/>
        </w:rPr>
        <w:t>este Tribunal, la orden vigésima</w:t>
      </w:r>
      <w:r w:rsidRPr="005D131A">
        <w:rPr>
          <w:sz w:val="28"/>
          <w:szCs w:val="28"/>
        </w:rPr>
        <w:t xml:space="preserve"> tercera replicó la sanción para las EPS obligadas a prestar servicios a raíz de una acción de </w:t>
      </w:r>
      <w:r w:rsidR="006F107B" w:rsidRPr="005D131A">
        <w:rPr>
          <w:sz w:val="28"/>
          <w:szCs w:val="28"/>
        </w:rPr>
        <w:t>tutela</w:t>
      </w:r>
      <w:r w:rsidR="002638C2" w:rsidRPr="005D131A">
        <w:rPr>
          <w:sz w:val="28"/>
          <w:szCs w:val="28"/>
        </w:rPr>
        <w:t>, cuando el C</w:t>
      </w:r>
      <w:r w:rsidRPr="005D131A">
        <w:rPr>
          <w:sz w:val="28"/>
          <w:szCs w:val="28"/>
        </w:rPr>
        <w:t>omité</w:t>
      </w:r>
      <w:r w:rsidR="00F55447" w:rsidRPr="005D131A">
        <w:rPr>
          <w:sz w:val="28"/>
          <w:szCs w:val="28"/>
        </w:rPr>
        <w:t xml:space="preserve"> la hubiere negado previamente por</w:t>
      </w:r>
      <w:r w:rsidR="00766931" w:rsidRPr="005D131A">
        <w:rPr>
          <w:sz w:val="28"/>
          <w:szCs w:val="28"/>
        </w:rPr>
        <w:t xml:space="preserve">que </w:t>
      </w:r>
      <w:r w:rsidR="00766931" w:rsidRPr="005D131A">
        <w:rPr>
          <w:i/>
          <w:sz w:val="28"/>
          <w:szCs w:val="28"/>
        </w:rPr>
        <w:t>“</w:t>
      </w:r>
      <w:r w:rsidR="00766931" w:rsidRPr="005D131A">
        <w:rPr>
          <w:i/>
          <w:sz w:val="28"/>
          <w:szCs w:val="28"/>
          <w:lang w:val="es-CO"/>
        </w:rPr>
        <w:t xml:space="preserve">el legislador reiteró la competencia del Comité Técnico Científico para considerar medicamentos no incluidos en el plan de beneficios del régimen contributivo, en aquellos </w:t>
      </w:r>
      <w:r w:rsidR="00766931" w:rsidRPr="005D131A">
        <w:rPr>
          <w:i/>
          <w:iCs/>
          <w:sz w:val="28"/>
          <w:szCs w:val="28"/>
          <w:lang w:val="es-CO"/>
        </w:rPr>
        <w:t>casos de enfermedad de alto costo, advirtiendo que ‘si la EPS no estudia oportunamente tales solicitudes ni las tramita ante el respectivo Comité y se obliga a la prestación de los mismos mediante acción de tutela, los costos serán cubiertos por partes iguales entre las EPS y el Fosyga</w:t>
      </w:r>
      <w:r w:rsidR="00766931" w:rsidRPr="005D131A">
        <w:rPr>
          <w:i/>
          <w:sz w:val="28"/>
          <w:szCs w:val="28"/>
          <w:lang w:val="es-CO"/>
        </w:rPr>
        <w:t xml:space="preserve">’ (art. 14, lit. j, Ley 1122 de 2007). Teniendo en cuenta que el derecho a la salud de toda persona es fundamental y que dentro de éste se contemplan la garantía de poder acceder a los servicios de salud que se requieran, en especial, con necesidad, </w:t>
      </w:r>
      <w:r w:rsidR="00F55447" w:rsidRPr="005D131A">
        <w:rPr>
          <w:i/>
          <w:sz w:val="28"/>
          <w:szCs w:val="28"/>
          <w:lang w:val="es-CO"/>
        </w:rPr>
        <w:t xml:space="preserve">(…). </w:t>
      </w:r>
      <w:r w:rsidR="00766931" w:rsidRPr="005D131A">
        <w:rPr>
          <w:i/>
          <w:sz w:val="28"/>
          <w:szCs w:val="28"/>
          <w:lang w:val="es-CO"/>
        </w:rPr>
        <w:t>Esta regla de recobro parcial se constituye pues, en una medida que estimula a las entidades encargadas de asegurar la prestación de los servicios de salud a que tramiten adecuadamente las solicitudes de servicios de salud no incluidos en el plan obligatorio de servicios, y las desestimula a que esperen a ser eventualmente demandadas, puesto que en tal caso le implicaría asumir parte del costo del servicio no cubierto por la UPC”</w:t>
      </w:r>
      <w:r w:rsidR="00F55447" w:rsidRPr="005D131A">
        <w:rPr>
          <w:sz w:val="28"/>
          <w:szCs w:val="28"/>
          <w:vertAlign w:val="superscript"/>
          <w:lang w:val="es-CO"/>
        </w:rPr>
        <w:footnoteReference w:id="126"/>
      </w:r>
      <w:r w:rsidR="00F55447" w:rsidRPr="005D131A">
        <w:rPr>
          <w:sz w:val="28"/>
          <w:szCs w:val="28"/>
          <w:lang w:val="es-CO"/>
        </w:rPr>
        <w:t>.</w:t>
      </w:r>
    </w:p>
    <w:p w:rsidR="00E028C2" w:rsidRPr="005D131A" w:rsidRDefault="00E028C2" w:rsidP="005D131A">
      <w:pPr>
        <w:rPr>
          <w:sz w:val="28"/>
          <w:szCs w:val="28"/>
          <w:lang w:val="es-CO"/>
        </w:rPr>
      </w:pPr>
    </w:p>
    <w:p w:rsidR="00C04BCB" w:rsidRPr="005D131A" w:rsidRDefault="007534C2" w:rsidP="005D131A">
      <w:pPr>
        <w:rPr>
          <w:sz w:val="28"/>
          <w:szCs w:val="28"/>
          <w:lang w:val="es-CO"/>
        </w:rPr>
      </w:pPr>
      <w:r w:rsidRPr="005D131A">
        <w:rPr>
          <w:sz w:val="28"/>
          <w:szCs w:val="28"/>
          <w:lang w:val="es-CO"/>
        </w:rPr>
        <w:t>5</w:t>
      </w:r>
      <w:r w:rsidR="00E028C2" w:rsidRPr="005D131A">
        <w:rPr>
          <w:sz w:val="28"/>
          <w:szCs w:val="28"/>
          <w:lang w:val="es-CO"/>
        </w:rPr>
        <w:t xml:space="preserve">.2.2. </w:t>
      </w:r>
      <w:r w:rsidR="00723025" w:rsidRPr="005D131A">
        <w:rPr>
          <w:sz w:val="28"/>
          <w:szCs w:val="28"/>
        </w:rPr>
        <w:t>No obstante, el literal</w:t>
      </w:r>
      <w:r w:rsidR="00E028C2" w:rsidRPr="005D131A">
        <w:rPr>
          <w:sz w:val="28"/>
          <w:szCs w:val="28"/>
        </w:rPr>
        <w:t xml:space="preserve"> j</w:t>
      </w:r>
      <w:r w:rsidR="00A91CB3" w:rsidRPr="005D131A">
        <w:rPr>
          <w:sz w:val="28"/>
          <w:szCs w:val="28"/>
        </w:rPr>
        <w:t xml:space="preserve"> del artículo 14 de la Ley 11</w:t>
      </w:r>
      <w:r w:rsidR="00E028C2" w:rsidRPr="005D131A">
        <w:rPr>
          <w:sz w:val="28"/>
          <w:szCs w:val="28"/>
        </w:rPr>
        <w:t>2</w:t>
      </w:r>
      <w:r w:rsidR="00A91CB3" w:rsidRPr="005D131A">
        <w:rPr>
          <w:sz w:val="28"/>
          <w:szCs w:val="28"/>
        </w:rPr>
        <w:t>2 de 2007</w:t>
      </w:r>
      <w:r w:rsidR="00723025" w:rsidRPr="005D131A">
        <w:rPr>
          <w:sz w:val="28"/>
          <w:szCs w:val="28"/>
        </w:rPr>
        <w:t xml:space="preserve"> fue derogado de manera expresa por el artículo 145 de la Ley 1438 de 2011</w:t>
      </w:r>
      <w:r w:rsidR="00723025" w:rsidRPr="005D131A">
        <w:rPr>
          <w:sz w:val="28"/>
          <w:szCs w:val="28"/>
          <w:vertAlign w:val="superscript"/>
        </w:rPr>
        <w:footnoteReference w:id="127"/>
      </w:r>
      <w:r w:rsidR="00BB4B36" w:rsidRPr="005D131A">
        <w:rPr>
          <w:sz w:val="28"/>
          <w:szCs w:val="28"/>
        </w:rPr>
        <w:t xml:space="preserve">, norma que entró </w:t>
      </w:r>
      <w:r w:rsidR="00E028C2" w:rsidRPr="005D131A">
        <w:rPr>
          <w:sz w:val="28"/>
          <w:szCs w:val="28"/>
        </w:rPr>
        <w:t>en vigencia el 19 de enero de 2011.</w:t>
      </w:r>
      <w:r w:rsidR="00C04BCB" w:rsidRPr="005D131A">
        <w:rPr>
          <w:sz w:val="28"/>
          <w:szCs w:val="28"/>
        </w:rPr>
        <w:t xml:space="preserve"> Si bien</w:t>
      </w:r>
      <w:r w:rsidR="00BF4793" w:rsidRPr="005D131A">
        <w:rPr>
          <w:sz w:val="28"/>
          <w:szCs w:val="28"/>
        </w:rPr>
        <w:t xml:space="preserve">, </w:t>
      </w:r>
      <w:r w:rsidR="00BF4793" w:rsidRPr="005D131A">
        <w:rPr>
          <w:sz w:val="28"/>
          <w:szCs w:val="28"/>
          <w:lang w:val="es-CO"/>
        </w:rPr>
        <w:t xml:space="preserve">la providencia objeto de </w:t>
      </w:r>
      <w:r w:rsidR="00BF4793" w:rsidRPr="005D131A">
        <w:rPr>
          <w:sz w:val="28"/>
          <w:szCs w:val="28"/>
        </w:rPr>
        <w:t>seguimiento</w:t>
      </w:r>
      <w:r w:rsidR="00BF4793" w:rsidRPr="005D131A">
        <w:rPr>
          <w:sz w:val="28"/>
          <w:szCs w:val="28"/>
          <w:lang w:val="es-CO"/>
        </w:rPr>
        <w:t xml:space="preserve"> se fundó en una norma </w:t>
      </w:r>
      <w:r w:rsidR="00C04BCB" w:rsidRPr="005D131A">
        <w:rPr>
          <w:sz w:val="28"/>
          <w:szCs w:val="28"/>
          <w:lang w:val="es-CO"/>
        </w:rPr>
        <w:t xml:space="preserve">que ahora se </w:t>
      </w:r>
      <w:r w:rsidR="00BF4793" w:rsidRPr="005D131A">
        <w:rPr>
          <w:sz w:val="28"/>
          <w:szCs w:val="28"/>
          <w:lang w:val="es-CO"/>
        </w:rPr>
        <w:t>encuentra fuera del ordenamiento</w:t>
      </w:r>
      <w:r w:rsidR="00C04BCB" w:rsidRPr="005D131A">
        <w:rPr>
          <w:sz w:val="28"/>
          <w:szCs w:val="28"/>
          <w:lang w:val="es-CO"/>
        </w:rPr>
        <w:t xml:space="preserve"> jurídico, ello no es óbice para que las situaciones consolidadas con anterioridad a la derogatoria se tramiten con base en lo establecido en esa normatividad y en lo ordenado por esta Corporación en la Sentencia T-760 de 2008. </w:t>
      </w:r>
      <w:r w:rsidR="00E426D6" w:rsidRPr="005D131A">
        <w:rPr>
          <w:sz w:val="28"/>
          <w:szCs w:val="28"/>
          <w:lang w:val="es-CO"/>
        </w:rPr>
        <w:t>En otras palabras, los recobros presentados ante el Fosyga en vigencia de la norma legal referida, en cuyo resultado se fuere a aplicar la sanción equivalente al 50%, deben surtirse ante las autoridades competentes y de conformidad con las reglas vigentes en el momento de su radicación.</w:t>
      </w:r>
      <w:r w:rsidR="00F12E0E" w:rsidRPr="005D131A">
        <w:rPr>
          <w:sz w:val="28"/>
          <w:szCs w:val="28"/>
          <w:lang w:val="es-CO"/>
        </w:rPr>
        <w:t xml:space="preserve"> </w:t>
      </w:r>
    </w:p>
    <w:p w:rsidR="00C04BCB" w:rsidRPr="005D131A" w:rsidRDefault="00C04BCB" w:rsidP="005D131A">
      <w:pPr>
        <w:rPr>
          <w:sz w:val="28"/>
          <w:szCs w:val="28"/>
          <w:lang w:val="es-CO"/>
        </w:rPr>
      </w:pPr>
    </w:p>
    <w:p w:rsidR="0078141C" w:rsidRPr="005D131A" w:rsidRDefault="00C04BCB" w:rsidP="005D131A">
      <w:pPr>
        <w:rPr>
          <w:sz w:val="28"/>
          <w:szCs w:val="28"/>
        </w:rPr>
      </w:pPr>
      <w:r w:rsidRPr="005D131A">
        <w:rPr>
          <w:sz w:val="28"/>
          <w:szCs w:val="28"/>
          <w:lang w:val="es-CO"/>
        </w:rPr>
        <w:t xml:space="preserve">Ahora bien, </w:t>
      </w:r>
      <w:r w:rsidR="0078141C" w:rsidRPr="005D131A">
        <w:rPr>
          <w:sz w:val="28"/>
          <w:szCs w:val="28"/>
          <w:lang w:val="es-CO"/>
        </w:rPr>
        <w:t>e</w:t>
      </w:r>
      <w:r w:rsidR="00BF4793" w:rsidRPr="005D131A">
        <w:rPr>
          <w:sz w:val="28"/>
          <w:szCs w:val="28"/>
          <w:lang w:val="es-CO"/>
        </w:rPr>
        <w:t xml:space="preserve">l Congreso de la República en virtud de la potestad de configuración legislativa (artículo 150-1 Superior), puede derogar aquellas disposiciones que considere no deben continuar en el ordenamiento jurídico. </w:t>
      </w:r>
      <w:r w:rsidRPr="005D131A">
        <w:rPr>
          <w:sz w:val="28"/>
          <w:szCs w:val="28"/>
          <w:lang w:val="es-CO"/>
        </w:rPr>
        <w:t xml:space="preserve">Sin embargo, es preciso advertir, que tal potestad no puede ni debe ir en contra de las órdenes que emite </w:t>
      </w:r>
      <w:r w:rsidR="00FD4838" w:rsidRPr="005D131A">
        <w:rPr>
          <w:sz w:val="28"/>
          <w:szCs w:val="28"/>
          <w:lang w:val="es-CO"/>
        </w:rPr>
        <w:t xml:space="preserve">esta Corporación </w:t>
      </w:r>
      <w:r w:rsidRPr="005D131A">
        <w:rPr>
          <w:sz w:val="28"/>
          <w:szCs w:val="28"/>
        </w:rPr>
        <w:t>como intérprete y guardiana de la supremacía e integridad de la Carta Política</w:t>
      </w:r>
      <w:r w:rsidR="00FD4838" w:rsidRPr="005D131A">
        <w:rPr>
          <w:sz w:val="28"/>
          <w:szCs w:val="28"/>
        </w:rPr>
        <w:t xml:space="preserve"> </w:t>
      </w:r>
      <w:r w:rsidR="0078141C" w:rsidRPr="005D131A">
        <w:rPr>
          <w:sz w:val="28"/>
          <w:szCs w:val="28"/>
        </w:rPr>
        <w:t xml:space="preserve">a fin </w:t>
      </w:r>
      <w:r w:rsidR="00FD4838" w:rsidRPr="005D131A">
        <w:rPr>
          <w:sz w:val="28"/>
          <w:szCs w:val="28"/>
        </w:rPr>
        <w:t xml:space="preserve">de salvaguardar derechos fundamentales conculcados. </w:t>
      </w:r>
    </w:p>
    <w:p w:rsidR="0078141C" w:rsidRPr="005D131A" w:rsidRDefault="0078141C" w:rsidP="005D131A">
      <w:pPr>
        <w:rPr>
          <w:sz w:val="28"/>
          <w:szCs w:val="28"/>
        </w:rPr>
      </w:pPr>
    </w:p>
    <w:p w:rsidR="006F68ED" w:rsidRPr="005D131A" w:rsidRDefault="00FD4838" w:rsidP="005D131A">
      <w:pPr>
        <w:rPr>
          <w:sz w:val="28"/>
          <w:szCs w:val="28"/>
        </w:rPr>
      </w:pPr>
      <w:r w:rsidRPr="005D131A">
        <w:rPr>
          <w:sz w:val="28"/>
          <w:szCs w:val="28"/>
        </w:rPr>
        <w:t xml:space="preserve">En el sub examine, se observa que con la derogatoria del literal j del artículo 14 de la Ley 1122 de 2007 la sanción de </w:t>
      </w:r>
      <w:r w:rsidR="00517438" w:rsidRPr="005D131A">
        <w:rPr>
          <w:sz w:val="28"/>
          <w:szCs w:val="28"/>
        </w:rPr>
        <w:t>reembolsar solo la mitad de los costos por parte del Fosyga a las ESP</w:t>
      </w:r>
      <w:r w:rsidR="0078141C" w:rsidRPr="005D131A">
        <w:rPr>
          <w:sz w:val="28"/>
          <w:szCs w:val="28"/>
        </w:rPr>
        <w:t xml:space="preserve"> es imposible de e</w:t>
      </w:r>
      <w:r w:rsidR="00517438" w:rsidRPr="005D131A">
        <w:rPr>
          <w:sz w:val="28"/>
          <w:szCs w:val="28"/>
        </w:rPr>
        <w:t xml:space="preserve">jecutar, lo cual repercute en la supervisión constitucional al cambiar o dejar sin efectos jurídicos uno de los parámetros establecidos en la orden 23. Empero, como el Ministerio de Salud, mediante Resolución </w:t>
      </w:r>
      <w:r w:rsidR="0078141C" w:rsidRPr="005D131A">
        <w:rPr>
          <w:sz w:val="28"/>
          <w:szCs w:val="28"/>
        </w:rPr>
        <w:t>1328 de 2016 eli</w:t>
      </w:r>
      <w:r w:rsidR="00F41B72" w:rsidRPr="005D131A">
        <w:rPr>
          <w:sz w:val="28"/>
          <w:szCs w:val="28"/>
        </w:rPr>
        <w:t>minó los CTC, este aspecto del</w:t>
      </w:r>
      <w:r w:rsidR="0078141C" w:rsidRPr="005D131A">
        <w:rPr>
          <w:sz w:val="28"/>
          <w:szCs w:val="28"/>
        </w:rPr>
        <w:t xml:space="preserve"> mandato bajo estudio podría superarse con esa nueva normativa, aspecto que se  explicará más adelante.</w:t>
      </w:r>
    </w:p>
    <w:p w:rsidR="00C3109B" w:rsidRPr="005D131A" w:rsidRDefault="00C3109B" w:rsidP="005D131A">
      <w:pPr>
        <w:rPr>
          <w:sz w:val="28"/>
          <w:szCs w:val="28"/>
        </w:rPr>
      </w:pPr>
    </w:p>
    <w:p w:rsidR="00FB231B" w:rsidRPr="005D131A" w:rsidRDefault="007534C2" w:rsidP="005D131A">
      <w:pPr>
        <w:pStyle w:val="Prrafodelista"/>
        <w:tabs>
          <w:tab w:val="left" w:pos="567"/>
          <w:tab w:val="left" w:pos="1276"/>
        </w:tabs>
        <w:ind w:left="0"/>
        <w:contextualSpacing/>
        <w:rPr>
          <w:b/>
          <w:sz w:val="28"/>
          <w:szCs w:val="28"/>
        </w:rPr>
      </w:pPr>
      <w:r w:rsidRPr="005D131A">
        <w:rPr>
          <w:b/>
          <w:sz w:val="28"/>
          <w:szCs w:val="28"/>
          <w:lang w:val="es-CO"/>
        </w:rPr>
        <w:t>5</w:t>
      </w:r>
      <w:r w:rsidR="00FB231B" w:rsidRPr="005D131A">
        <w:rPr>
          <w:b/>
          <w:sz w:val="28"/>
          <w:szCs w:val="28"/>
          <w:lang w:val="es-CO"/>
        </w:rPr>
        <w:t xml:space="preserve">.3. </w:t>
      </w:r>
      <w:r w:rsidR="00FB231B" w:rsidRPr="005D131A">
        <w:rPr>
          <w:b/>
          <w:sz w:val="28"/>
          <w:szCs w:val="28"/>
        </w:rPr>
        <w:t>Extensión de</w:t>
      </w:r>
      <w:r w:rsidR="005851AC" w:rsidRPr="005D131A">
        <w:rPr>
          <w:b/>
          <w:sz w:val="28"/>
          <w:szCs w:val="28"/>
        </w:rPr>
        <w:t xml:space="preserve"> manera temporal</w:t>
      </w:r>
      <w:r w:rsidR="00FB231B" w:rsidRPr="005D131A">
        <w:rPr>
          <w:b/>
          <w:sz w:val="28"/>
          <w:szCs w:val="28"/>
        </w:rPr>
        <w:t xml:space="preserve"> </w:t>
      </w:r>
      <w:r w:rsidR="00B6770B" w:rsidRPr="005D131A">
        <w:rPr>
          <w:b/>
          <w:sz w:val="28"/>
          <w:szCs w:val="28"/>
        </w:rPr>
        <w:t xml:space="preserve">de </w:t>
      </w:r>
      <w:r w:rsidR="00FB231B" w:rsidRPr="005D131A">
        <w:rPr>
          <w:b/>
          <w:sz w:val="28"/>
          <w:szCs w:val="28"/>
        </w:rPr>
        <w:t>las reglas vigentes sobre el CTC a</w:t>
      </w:r>
      <w:r w:rsidR="0054345D" w:rsidRPr="005D131A">
        <w:rPr>
          <w:b/>
          <w:sz w:val="28"/>
          <w:szCs w:val="28"/>
        </w:rPr>
        <w:t xml:space="preserve"> los servicios, distintos a </w:t>
      </w:r>
      <w:r w:rsidR="00FB231B" w:rsidRPr="005D131A">
        <w:rPr>
          <w:b/>
          <w:sz w:val="28"/>
          <w:szCs w:val="28"/>
        </w:rPr>
        <w:t>medicamen</w:t>
      </w:r>
      <w:r w:rsidR="005851AC" w:rsidRPr="005D131A">
        <w:rPr>
          <w:b/>
          <w:sz w:val="28"/>
          <w:szCs w:val="28"/>
        </w:rPr>
        <w:t>tos</w:t>
      </w:r>
      <w:r w:rsidR="00FB231B" w:rsidRPr="005D131A">
        <w:rPr>
          <w:b/>
          <w:sz w:val="28"/>
          <w:szCs w:val="28"/>
        </w:rPr>
        <w:t xml:space="preserve"> no incluidos o explícitamente excluidos </w:t>
      </w:r>
      <w:r w:rsidR="00F12E0E" w:rsidRPr="005D131A">
        <w:rPr>
          <w:b/>
          <w:sz w:val="28"/>
          <w:szCs w:val="28"/>
        </w:rPr>
        <w:t xml:space="preserve">del Plan Obligatorio de Salud, </w:t>
      </w:r>
      <w:r w:rsidR="00FB231B" w:rsidRPr="005D131A">
        <w:rPr>
          <w:b/>
          <w:sz w:val="28"/>
          <w:szCs w:val="28"/>
        </w:rPr>
        <w:t>dentro de los cinco (5) días siguientes a la notificación de la sentencia</w:t>
      </w:r>
    </w:p>
    <w:p w:rsidR="00075024" w:rsidRPr="005D131A" w:rsidRDefault="00075024" w:rsidP="005D131A">
      <w:pPr>
        <w:pStyle w:val="Prrafodelista"/>
        <w:ind w:left="0"/>
        <w:rPr>
          <w:b/>
          <w:sz w:val="28"/>
          <w:szCs w:val="28"/>
          <w:lang w:val="es-CO"/>
        </w:rPr>
      </w:pPr>
    </w:p>
    <w:p w:rsidR="004E5A63" w:rsidRPr="005D131A" w:rsidRDefault="009D160F" w:rsidP="005D131A">
      <w:pPr>
        <w:pStyle w:val="Prrafodelista"/>
        <w:ind w:left="0"/>
        <w:rPr>
          <w:sz w:val="28"/>
          <w:szCs w:val="28"/>
          <w:lang w:val="es-CO"/>
        </w:rPr>
      </w:pPr>
      <w:r w:rsidRPr="005D131A">
        <w:rPr>
          <w:sz w:val="28"/>
          <w:szCs w:val="28"/>
          <w:lang w:val="es-CO"/>
        </w:rPr>
        <w:t>Ten</w:t>
      </w:r>
      <w:r w:rsidR="00E028C2" w:rsidRPr="005D131A">
        <w:rPr>
          <w:sz w:val="28"/>
          <w:szCs w:val="28"/>
          <w:lang w:val="es-CO"/>
        </w:rPr>
        <w:t>iendo en cuenta que la decisión</w:t>
      </w:r>
      <w:r w:rsidRPr="005D131A">
        <w:rPr>
          <w:sz w:val="28"/>
          <w:szCs w:val="28"/>
          <w:lang w:val="es-CO"/>
        </w:rPr>
        <w:t xml:space="preserve"> cuyo cumpli</w:t>
      </w:r>
      <w:r w:rsidR="00075024" w:rsidRPr="005D131A">
        <w:rPr>
          <w:sz w:val="28"/>
          <w:szCs w:val="28"/>
          <w:lang w:val="es-CO"/>
        </w:rPr>
        <w:t>miento se supervisa señaló que</w:t>
      </w:r>
      <w:r w:rsidRPr="005D131A">
        <w:rPr>
          <w:sz w:val="28"/>
          <w:szCs w:val="28"/>
          <w:lang w:val="es-CO"/>
        </w:rPr>
        <w:t xml:space="preserve"> </w:t>
      </w:r>
      <w:r w:rsidR="007D2D77" w:rsidRPr="005D131A">
        <w:rPr>
          <w:sz w:val="28"/>
          <w:szCs w:val="28"/>
          <w:lang w:val="es-CO"/>
        </w:rPr>
        <w:t xml:space="preserve">existía </w:t>
      </w:r>
      <w:r w:rsidR="004E5A63" w:rsidRPr="005D131A">
        <w:rPr>
          <w:sz w:val="28"/>
          <w:szCs w:val="28"/>
          <w:lang w:val="es-CO"/>
        </w:rPr>
        <w:t>un vacío en la regulación</w:t>
      </w:r>
      <w:r w:rsidR="00075024" w:rsidRPr="005D131A">
        <w:rPr>
          <w:sz w:val="28"/>
          <w:szCs w:val="28"/>
          <w:lang w:val="es-CO"/>
        </w:rPr>
        <w:t>, por cuan</w:t>
      </w:r>
      <w:r w:rsidR="007D2D77" w:rsidRPr="005D131A">
        <w:rPr>
          <w:sz w:val="28"/>
          <w:szCs w:val="28"/>
          <w:lang w:val="es-CO"/>
        </w:rPr>
        <w:t xml:space="preserve">to si el servicio de salud era </w:t>
      </w:r>
      <w:r w:rsidR="00075024" w:rsidRPr="005D131A">
        <w:rPr>
          <w:sz w:val="28"/>
          <w:szCs w:val="28"/>
          <w:lang w:val="es-CO"/>
        </w:rPr>
        <w:t xml:space="preserve">distinto a </w:t>
      </w:r>
      <w:r w:rsidR="007D2D77" w:rsidRPr="005D131A">
        <w:rPr>
          <w:sz w:val="28"/>
          <w:szCs w:val="28"/>
          <w:lang w:val="es-CO"/>
        </w:rPr>
        <w:t xml:space="preserve">un medicamento, el CTC no tenía </w:t>
      </w:r>
      <w:r w:rsidR="00075024" w:rsidRPr="005D131A">
        <w:rPr>
          <w:sz w:val="28"/>
          <w:szCs w:val="28"/>
          <w:lang w:val="es-CO"/>
        </w:rPr>
        <w:t>competencia para autorizar</w:t>
      </w:r>
      <w:r w:rsidR="007D2D77" w:rsidRPr="005D131A">
        <w:rPr>
          <w:sz w:val="28"/>
          <w:szCs w:val="28"/>
          <w:lang w:val="es-CO"/>
        </w:rPr>
        <w:t>lo</w:t>
      </w:r>
      <w:r w:rsidR="00477C48" w:rsidRPr="005D131A">
        <w:rPr>
          <w:sz w:val="28"/>
          <w:szCs w:val="28"/>
          <w:lang w:val="es-CO"/>
        </w:rPr>
        <w:t xml:space="preserve"> </w:t>
      </w:r>
      <w:r w:rsidR="00075024" w:rsidRPr="005D131A">
        <w:rPr>
          <w:sz w:val="28"/>
          <w:szCs w:val="28"/>
          <w:lang w:val="es-CO"/>
        </w:rPr>
        <w:t>y</w:t>
      </w:r>
      <w:r w:rsidR="00477C48" w:rsidRPr="005D131A">
        <w:rPr>
          <w:sz w:val="28"/>
          <w:szCs w:val="28"/>
          <w:lang w:val="es-CO"/>
        </w:rPr>
        <w:t>,</w:t>
      </w:r>
      <w:r w:rsidR="00075024" w:rsidRPr="005D131A">
        <w:rPr>
          <w:sz w:val="28"/>
          <w:szCs w:val="28"/>
          <w:lang w:val="es-CO"/>
        </w:rPr>
        <w:t xml:space="preserve"> por tanto, la entidad promotora tampoco</w:t>
      </w:r>
      <w:r w:rsidR="007D2D77" w:rsidRPr="005D131A">
        <w:rPr>
          <w:sz w:val="28"/>
          <w:szCs w:val="28"/>
          <w:lang w:val="es-CO"/>
        </w:rPr>
        <w:t xml:space="preserve"> podía hacerlo</w:t>
      </w:r>
      <w:r w:rsidR="00075024" w:rsidRPr="005D131A">
        <w:rPr>
          <w:sz w:val="28"/>
          <w:szCs w:val="28"/>
          <w:lang w:val="es-CO"/>
        </w:rPr>
        <w:t>, quedando como único</w:t>
      </w:r>
      <w:r w:rsidR="007D2D77" w:rsidRPr="005D131A">
        <w:rPr>
          <w:sz w:val="28"/>
          <w:szCs w:val="28"/>
          <w:lang w:val="es-CO"/>
        </w:rPr>
        <w:t xml:space="preserve"> mecanismo la acción de tutela, es preciso señalar lo siguiente: </w:t>
      </w:r>
    </w:p>
    <w:p w:rsidR="004E5A63" w:rsidRPr="005D131A" w:rsidRDefault="004E5A63" w:rsidP="005D131A">
      <w:pPr>
        <w:pStyle w:val="Prrafodelista"/>
        <w:ind w:left="0"/>
        <w:rPr>
          <w:sz w:val="28"/>
          <w:szCs w:val="28"/>
          <w:lang w:val="es-CO"/>
        </w:rPr>
      </w:pPr>
    </w:p>
    <w:p w:rsidR="00884B8A" w:rsidRPr="005D131A" w:rsidRDefault="007D2D77" w:rsidP="005D131A">
      <w:pPr>
        <w:pStyle w:val="Prrafodelista"/>
        <w:ind w:left="0"/>
        <w:rPr>
          <w:sz w:val="28"/>
          <w:szCs w:val="28"/>
          <w:lang w:val="es-CO"/>
        </w:rPr>
      </w:pPr>
      <w:r w:rsidRPr="005D131A">
        <w:rPr>
          <w:sz w:val="28"/>
          <w:szCs w:val="28"/>
          <w:lang w:val="es-CO"/>
        </w:rPr>
        <w:t>En l</w:t>
      </w:r>
      <w:r w:rsidR="00075024" w:rsidRPr="005D131A">
        <w:rPr>
          <w:sz w:val="28"/>
          <w:szCs w:val="28"/>
          <w:lang w:val="es-CO"/>
        </w:rPr>
        <w:t xml:space="preserve">a </w:t>
      </w:r>
      <w:r w:rsidR="00884B8A" w:rsidRPr="005D131A">
        <w:rPr>
          <w:sz w:val="28"/>
          <w:szCs w:val="28"/>
          <w:lang w:val="es-CO"/>
        </w:rPr>
        <w:t xml:space="preserve">Sentencia T-760 de 2008, la Corte Constitucional determinó que el Ministerio de Salud debía </w:t>
      </w:r>
      <w:r w:rsidR="00884B8A" w:rsidRPr="005D131A">
        <w:rPr>
          <w:sz w:val="28"/>
          <w:szCs w:val="28"/>
          <w:u w:val="single"/>
          <w:lang w:val="es-CO"/>
        </w:rPr>
        <w:t>extender</w:t>
      </w:r>
      <w:r w:rsidR="00884B8A" w:rsidRPr="005D131A">
        <w:rPr>
          <w:sz w:val="28"/>
          <w:szCs w:val="28"/>
          <w:lang w:val="es-CO"/>
        </w:rPr>
        <w:t xml:space="preserve"> las reglas vigentes para someter a consideración de los CTC la aprobación de actividades, p</w:t>
      </w:r>
      <w:r w:rsidR="00075024" w:rsidRPr="005D131A">
        <w:rPr>
          <w:sz w:val="28"/>
          <w:szCs w:val="28"/>
          <w:lang w:val="es-CO"/>
        </w:rPr>
        <w:t>rocedimientos e intervenciones n</w:t>
      </w:r>
      <w:r w:rsidR="00884B8A" w:rsidRPr="005D131A">
        <w:rPr>
          <w:sz w:val="28"/>
          <w:szCs w:val="28"/>
          <w:lang w:val="es-CO"/>
        </w:rPr>
        <w:t>o POS, mientras el t</w:t>
      </w:r>
      <w:r w:rsidR="00AE7398" w:rsidRPr="005D131A">
        <w:rPr>
          <w:sz w:val="28"/>
          <w:szCs w:val="28"/>
          <w:lang w:val="es-CO"/>
        </w:rPr>
        <w:t xml:space="preserve">rámite interno de las EPS fuera </w:t>
      </w:r>
      <w:r w:rsidR="00884B8A" w:rsidRPr="005D131A">
        <w:rPr>
          <w:sz w:val="28"/>
          <w:szCs w:val="28"/>
          <w:lang w:val="es-CO"/>
        </w:rPr>
        <w:t>regulado de manera defin</w:t>
      </w:r>
      <w:r w:rsidR="007A374E" w:rsidRPr="005D131A">
        <w:rPr>
          <w:sz w:val="28"/>
          <w:szCs w:val="28"/>
          <w:lang w:val="es-CO"/>
        </w:rPr>
        <w:t>itiva y dispuso que e</w:t>
      </w:r>
      <w:r w:rsidR="00AE7398" w:rsidRPr="005D131A">
        <w:rPr>
          <w:sz w:val="28"/>
          <w:szCs w:val="28"/>
          <w:lang w:val="es-CO"/>
        </w:rPr>
        <w:t xml:space="preserve">sa directriz </w:t>
      </w:r>
      <w:r w:rsidR="00884B8A" w:rsidRPr="005D131A">
        <w:rPr>
          <w:sz w:val="28"/>
          <w:szCs w:val="28"/>
          <w:lang w:val="es-CO"/>
        </w:rPr>
        <w:t xml:space="preserve">debía ser cumplida dentro de los cinco (5) días siguientes a la notificación de la sentencia. </w:t>
      </w:r>
    </w:p>
    <w:p w:rsidR="000C60D6" w:rsidRPr="005D131A" w:rsidRDefault="000C60D6" w:rsidP="005D131A">
      <w:pPr>
        <w:pStyle w:val="Prrafodelista"/>
        <w:ind w:left="0"/>
        <w:rPr>
          <w:sz w:val="28"/>
          <w:szCs w:val="28"/>
          <w:lang w:val="es-CO"/>
        </w:rPr>
      </w:pPr>
    </w:p>
    <w:p w:rsidR="000C60D6" w:rsidRPr="005D131A" w:rsidRDefault="0070514B" w:rsidP="005D131A">
      <w:pPr>
        <w:pStyle w:val="Prrafodelista"/>
        <w:tabs>
          <w:tab w:val="left" w:pos="567"/>
        </w:tabs>
        <w:ind w:left="0"/>
        <w:rPr>
          <w:sz w:val="28"/>
          <w:szCs w:val="28"/>
          <w:lang w:val="es-CO"/>
        </w:rPr>
      </w:pPr>
      <w:r w:rsidRPr="005D131A">
        <w:rPr>
          <w:sz w:val="28"/>
          <w:szCs w:val="28"/>
          <w:shd w:val="clear" w:color="auto" w:fill="FFFFFF"/>
        </w:rPr>
        <w:t>S</w:t>
      </w:r>
      <w:r w:rsidR="00557C42" w:rsidRPr="005D131A">
        <w:rPr>
          <w:sz w:val="28"/>
          <w:szCs w:val="28"/>
          <w:shd w:val="clear" w:color="auto" w:fill="FFFFFF"/>
        </w:rPr>
        <w:t xml:space="preserve">obre la extensión temporal </w:t>
      </w:r>
      <w:r w:rsidR="000C60D6" w:rsidRPr="005D131A">
        <w:rPr>
          <w:sz w:val="28"/>
          <w:szCs w:val="28"/>
          <w:shd w:val="clear" w:color="auto" w:fill="FFFFFF"/>
        </w:rPr>
        <w:t>d</w:t>
      </w:r>
      <w:r w:rsidR="007D2D77" w:rsidRPr="005D131A">
        <w:rPr>
          <w:sz w:val="28"/>
          <w:szCs w:val="28"/>
          <w:shd w:val="clear" w:color="auto" w:fill="FFFFFF"/>
        </w:rPr>
        <w:t xml:space="preserve">el ámbito de acción de los CTC </w:t>
      </w:r>
      <w:r w:rsidR="000C60D6" w:rsidRPr="005D131A">
        <w:rPr>
          <w:sz w:val="28"/>
          <w:szCs w:val="28"/>
          <w:shd w:val="clear" w:color="auto" w:fill="FFFFFF"/>
        </w:rPr>
        <w:t>que obedece a la ausencia de un trámite para a</w:t>
      </w:r>
      <w:r w:rsidR="00075024" w:rsidRPr="005D131A">
        <w:rPr>
          <w:sz w:val="28"/>
          <w:szCs w:val="28"/>
          <w:shd w:val="clear" w:color="auto" w:fill="FFFFFF"/>
        </w:rPr>
        <w:t>cceder a los procedimientos, insumos y</w:t>
      </w:r>
      <w:r w:rsidR="000C60D6" w:rsidRPr="005D131A">
        <w:rPr>
          <w:sz w:val="28"/>
          <w:szCs w:val="28"/>
          <w:shd w:val="clear" w:color="auto" w:fill="FFFFFF"/>
        </w:rPr>
        <w:t xml:space="preserve"> dispositivos no contempla</w:t>
      </w:r>
      <w:r w:rsidR="00F12E0E" w:rsidRPr="005D131A">
        <w:rPr>
          <w:sz w:val="28"/>
          <w:szCs w:val="28"/>
          <w:shd w:val="clear" w:color="auto" w:fill="FFFFFF"/>
        </w:rPr>
        <w:t xml:space="preserve">dos en los planes de beneficios, </w:t>
      </w:r>
      <w:r w:rsidR="000C60D6" w:rsidRPr="005D131A">
        <w:rPr>
          <w:sz w:val="28"/>
          <w:szCs w:val="28"/>
          <w:shd w:val="clear" w:color="auto" w:fill="FFFFFF"/>
        </w:rPr>
        <w:t xml:space="preserve">se valorará si: </w:t>
      </w:r>
      <w:r w:rsidR="000C60D6" w:rsidRPr="005D131A">
        <w:rPr>
          <w:i/>
          <w:sz w:val="28"/>
          <w:szCs w:val="28"/>
          <w:lang w:val="es-CO"/>
        </w:rPr>
        <w:t>i)</w:t>
      </w:r>
      <w:r w:rsidR="000C60D6" w:rsidRPr="005D131A">
        <w:rPr>
          <w:sz w:val="28"/>
          <w:szCs w:val="28"/>
          <w:lang w:val="es-CO"/>
        </w:rPr>
        <w:t xml:space="preserve"> la regulación fue emitida dentro de los cinco (5) días siguientes a la</w:t>
      </w:r>
      <w:r w:rsidR="00557C42" w:rsidRPr="005D131A">
        <w:rPr>
          <w:sz w:val="28"/>
          <w:szCs w:val="28"/>
          <w:lang w:val="es-CO"/>
        </w:rPr>
        <w:t xml:space="preserve"> notificación de la sentencia;</w:t>
      </w:r>
      <w:r w:rsidR="000C60D6" w:rsidRPr="005D131A">
        <w:rPr>
          <w:sz w:val="28"/>
          <w:szCs w:val="28"/>
          <w:lang w:val="es-CO"/>
        </w:rPr>
        <w:t xml:space="preserve"> </w:t>
      </w:r>
      <w:r w:rsidR="000C60D6" w:rsidRPr="005D131A">
        <w:rPr>
          <w:i/>
          <w:sz w:val="28"/>
          <w:szCs w:val="28"/>
          <w:lang w:val="es-CO"/>
        </w:rPr>
        <w:t>ii)</w:t>
      </w:r>
      <w:r w:rsidR="000C60D6" w:rsidRPr="005D131A">
        <w:rPr>
          <w:sz w:val="28"/>
          <w:szCs w:val="28"/>
          <w:lang w:val="es-CO"/>
        </w:rPr>
        <w:t xml:space="preserve"> se profirió una regulación clara y precisa que </w:t>
      </w:r>
      <w:r w:rsidR="007D2D77" w:rsidRPr="005D131A">
        <w:rPr>
          <w:sz w:val="28"/>
          <w:szCs w:val="28"/>
          <w:lang w:val="es-CO"/>
        </w:rPr>
        <w:t>ampliara</w:t>
      </w:r>
      <w:r w:rsidR="00F12E0E" w:rsidRPr="005D131A">
        <w:rPr>
          <w:sz w:val="28"/>
          <w:szCs w:val="28"/>
          <w:lang w:val="es-CO"/>
        </w:rPr>
        <w:t xml:space="preserve"> las facultades del C</w:t>
      </w:r>
      <w:r w:rsidR="000C60D6" w:rsidRPr="005D131A">
        <w:rPr>
          <w:sz w:val="28"/>
          <w:szCs w:val="28"/>
          <w:lang w:val="es-CO"/>
        </w:rPr>
        <w:t>omité al estudio de los servicios distintos a medicamentos no incluidos en el plan de beneficios, así como a las prestaciones ex</w:t>
      </w:r>
      <w:r w:rsidR="00557C42" w:rsidRPr="005D131A">
        <w:rPr>
          <w:sz w:val="28"/>
          <w:szCs w:val="28"/>
          <w:lang w:val="es-CO"/>
        </w:rPr>
        <w:t xml:space="preserve">presamente excluidas del mismo y ii) si esa extensión fue temporal o si por el contrario se mantuvo en el tiempo. </w:t>
      </w:r>
    </w:p>
    <w:p w:rsidR="007A374E" w:rsidRPr="005D131A" w:rsidRDefault="007A374E" w:rsidP="005D131A">
      <w:pPr>
        <w:pStyle w:val="Prrafodelista"/>
        <w:tabs>
          <w:tab w:val="left" w:pos="567"/>
        </w:tabs>
        <w:ind w:left="0"/>
        <w:rPr>
          <w:sz w:val="28"/>
          <w:szCs w:val="28"/>
          <w:lang w:val="es-CO"/>
        </w:rPr>
      </w:pPr>
    </w:p>
    <w:p w:rsidR="00B95328" w:rsidRPr="005D131A" w:rsidRDefault="00075024" w:rsidP="005D131A">
      <w:pPr>
        <w:tabs>
          <w:tab w:val="left" w:pos="567"/>
        </w:tabs>
        <w:rPr>
          <w:rStyle w:val="apple-converted-space"/>
          <w:sz w:val="28"/>
          <w:szCs w:val="28"/>
          <w:lang w:val="es-ES_tradnl"/>
        </w:rPr>
      </w:pPr>
      <w:r w:rsidRPr="005D131A">
        <w:rPr>
          <w:sz w:val="28"/>
          <w:szCs w:val="28"/>
          <w:lang w:val="es-CO"/>
        </w:rPr>
        <w:t xml:space="preserve">En primer lugar, </w:t>
      </w:r>
      <w:r w:rsidR="00B87DD7" w:rsidRPr="005D131A">
        <w:rPr>
          <w:sz w:val="28"/>
          <w:szCs w:val="28"/>
          <w:lang w:val="es-ES_tradnl"/>
        </w:rPr>
        <w:t xml:space="preserve">es pertinente aclarar que si bien la sentencia T-760 de 2008 fue expedida el 31 de julio </w:t>
      </w:r>
      <w:r w:rsidR="007D2D77" w:rsidRPr="005D131A">
        <w:rPr>
          <w:sz w:val="28"/>
          <w:szCs w:val="28"/>
          <w:lang w:val="es-ES_tradnl"/>
        </w:rPr>
        <w:t>de 2008</w:t>
      </w:r>
      <w:r w:rsidR="00AF6AFE" w:rsidRPr="005D131A">
        <w:rPr>
          <w:sz w:val="28"/>
          <w:szCs w:val="28"/>
          <w:lang w:val="es-ES_tradnl"/>
        </w:rPr>
        <w:t xml:space="preserve"> la misma fue comunicada</w:t>
      </w:r>
      <w:r w:rsidR="00B87DD7" w:rsidRPr="005D131A">
        <w:rPr>
          <w:sz w:val="28"/>
          <w:szCs w:val="28"/>
          <w:lang w:val="es-ES_tradnl"/>
        </w:rPr>
        <w:t xml:space="preserve"> por la Secretaría General de esta Corporación el 27 de agosto del mismo año. Por consiguiente, la Resolución 3099 del 19 de agosto de 2008</w:t>
      </w:r>
      <w:r w:rsidR="00AF6AFE" w:rsidRPr="005D131A">
        <w:rPr>
          <w:sz w:val="28"/>
          <w:szCs w:val="28"/>
          <w:lang w:val="es-ES_tradnl"/>
        </w:rPr>
        <w:t xml:space="preserve"> que reglamentó los CTC</w:t>
      </w:r>
      <w:r w:rsidR="00AF6AFE" w:rsidRPr="005D131A">
        <w:rPr>
          <w:sz w:val="28"/>
          <w:szCs w:val="28"/>
          <w:vertAlign w:val="superscript"/>
        </w:rPr>
        <w:footnoteReference w:id="128"/>
      </w:r>
      <w:r w:rsidR="00AF6AFE" w:rsidRPr="005D131A">
        <w:rPr>
          <w:sz w:val="28"/>
          <w:szCs w:val="28"/>
          <w:lang w:val="es-ES_tradnl"/>
        </w:rPr>
        <w:t>,</w:t>
      </w:r>
      <w:r w:rsidR="00B87DD7" w:rsidRPr="005D131A">
        <w:rPr>
          <w:sz w:val="28"/>
          <w:szCs w:val="28"/>
          <w:lang w:val="es-ES_tradnl"/>
        </w:rPr>
        <w:t xml:space="preserve"> no fue expedida en cumplimiento del fallo en mención, toda vez que para esa fecha ni su contenido ni sus órdenes se conocían</w:t>
      </w:r>
      <w:r w:rsidR="00AF6AFE" w:rsidRPr="005D131A">
        <w:rPr>
          <w:sz w:val="28"/>
          <w:szCs w:val="28"/>
          <w:lang w:val="es-ES_tradnl"/>
        </w:rPr>
        <w:t xml:space="preserve"> aún</w:t>
      </w:r>
      <w:r w:rsidR="007D2D77" w:rsidRPr="005D131A">
        <w:rPr>
          <w:sz w:val="28"/>
          <w:szCs w:val="28"/>
          <w:vertAlign w:val="superscript"/>
          <w:lang w:val="es-ES_tradnl"/>
        </w:rPr>
        <w:footnoteReference w:id="129"/>
      </w:r>
      <w:r w:rsidR="00AF6AFE" w:rsidRPr="005D131A">
        <w:rPr>
          <w:sz w:val="28"/>
          <w:szCs w:val="28"/>
          <w:lang w:val="es-ES_tradnl"/>
        </w:rPr>
        <w:t xml:space="preserve">. </w:t>
      </w:r>
      <w:r w:rsidR="00884B8A" w:rsidRPr="005D131A">
        <w:rPr>
          <w:rStyle w:val="apple-converted-space"/>
          <w:sz w:val="28"/>
          <w:szCs w:val="28"/>
          <w:shd w:val="clear" w:color="auto" w:fill="FFFFFF"/>
        </w:rPr>
        <w:t>No obstante, el Ministerio de Salud adujo que las modificaciones consagradas en las resoluciones 3754</w:t>
      </w:r>
      <w:r w:rsidR="00884B8A" w:rsidRPr="005D131A">
        <w:rPr>
          <w:sz w:val="28"/>
          <w:szCs w:val="28"/>
          <w:shd w:val="clear" w:color="auto" w:fill="FFFFFF"/>
          <w:vertAlign w:val="superscript"/>
        </w:rPr>
        <w:footnoteReference w:id="130"/>
      </w:r>
      <w:r w:rsidR="00884B8A" w:rsidRPr="005D131A">
        <w:rPr>
          <w:rStyle w:val="apple-converted-space"/>
          <w:sz w:val="28"/>
          <w:szCs w:val="28"/>
          <w:shd w:val="clear" w:color="auto" w:fill="FFFFFF"/>
        </w:rPr>
        <w:t xml:space="preserve"> y 5334</w:t>
      </w:r>
      <w:r w:rsidR="00884B8A" w:rsidRPr="005D131A">
        <w:rPr>
          <w:sz w:val="28"/>
          <w:szCs w:val="28"/>
          <w:shd w:val="clear" w:color="auto" w:fill="FFFFFF"/>
          <w:vertAlign w:val="superscript"/>
        </w:rPr>
        <w:footnoteReference w:id="131"/>
      </w:r>
      <w:r w:rsidR="00884B8A" w:rsidRPr="005D131A">
        <w:rPr>
          <w:rStyle w:val="apple-converted-space"/>
          <w:sz w:val="28"/>
          <w:szCs w:val="28"/>
          <w:shd w:val="clear" w:color="auto" w:fill="FFFFFF"/>
        </w:rPr>
        <w:t xml:space="preserve"> del mismo año ajustaron la regulación a lo pedido por el fallo estructural</w:t>
      </w:r>
      <w:r w:rsidR="00884B8A" w:rsidRPr="005D131A">
        <w:rPr>
          <w:sz w:val="28"/>
          <w:szCs w:val="28"/>
          <w:shd w:val="clear" w:color="auto" w:fill="FFFFFF"/>
          <w:vertAlign w:val="superscript"/>
        </w:rPr>
        <w:footnoteReference w:id="132"/>
      </w:r>
      <w:r w:rsidR="008A5074" w:rsidRPr="005D131A">
        <w:rPr>
          <w:rStyle w:val="apple-converted-space"/>
          <w:sz w:val="28"/>
          <w:szCs w:val="28"/>
          <w:shd w:val="clear" w:color="auto" w:fill="FFFFFF"/>
        </w:rPr>
        <w:t xml:space="preserve">, aspecto que esta Sala analizará en páginas subsiguientes. </w:t>
      </w:r>
    </w:p>
    <w:p w:rsidR="00B95328" w:rsidRPr="005D131A" w:rsidRDefault="00B95328" w:rsidP="005D131A">
      <w:pPr>
        <w:tabs>
          <w:tab w:val="left" w:pos="426"/>
        </w:tabs>
        <w:rPr>
          <w:rStyle w:val="apple-converted-space"/>
          <w:sz w:val="28"/>
          <w:szCs w:val="28"/>
          <w:shd w:val="clear" w:color="auto" w:fill="FFFFFF"/>
        </w:rPr>
      </w:pPr>
    </w:p>
    <w:p w:rsidR="00B95328" w:rsidRPr="005D131A" w:rsidRDefault="00EE7B55" w:rsidP="005D131A">
      <w:pPr>
        <w:tabs>
          <w:tab w:val="left" w:pos="426"/>
        </w:tabs>
        <w:rPr>
          <w:sz w:val="28"/>
          <w:szCs w:val="28"/>
          <w:shd w:val="clear" w:color="auto" w:fill="FFFFFF"/>
        </w:rPr>
      </w:pPr>
      <w:r w:rsidRPr="005D131A">
        <w:rPr>
          <w:sz w:val="28"/>
          <w:szCs w:val="28"/>
          <w:lang w:val="es-ES_tradnl"/>
        </w:rPr>
        <w:t>En segundo lugar</w:t>
      </w:r>
      <w:r w:rsidR="00B87DD7" w:rsidRPr="005D131A">
        <w:rPr>
          <w:sz w:val="28"/>
          <w:szCs w:val="28"/>
          <w:lang w:val="es-ES_tradnl"/>
        </w:rPr>
        <w:t xml:space="preserve">, </w:t>
      </w:r>
      <w:r w:rsidR="00B95328" w:rsidRPr="005D131A">
        <w:rPr>
          <w:sz w:val="28"/>
          <w:szCs w:val="28"/>
          <w:lang w:val="es-ES_tradnl"/>
        </w:rPr>
        <w:t>la Sala aclara que en virtud de la declaratoria</w:t>
      </w:r>
      <w:r w:rsidR="00B87DD7" w:rsidRPr="005D131A">
        <w:rPr>
          <w:sz w:val="28"/>
          <w:szCs w:val="28"/>
          <w:lang w:val="es-ES_tradnl"/>
        </w:rPr>
        <w:t xml:space="preserve"> de emergencia social en salud fueron proferidos el </w:t>
      </w:r>
      <w:r w:rsidR="00B95328" w:rsidRPr="005D131A">
        <w:rPr>
          <w:sz w:val="28"/>
          <w:szCs w:val="28"/>
          <w:lang w:val="es-ES_tradnl"/>
        </w:rPr>
        <w:t>Decreto Legislativo 128 de 2010 y la Resolución 548 de 2010,</w:t>
      </w:r>
      <w:r w:rsidR="00B87DD7" w:rsidRPr="005D131A">
        <w:rPr>
          <w:sz w:val="28"/>
          <w:szCs w:val="28"/>
          <w:lang w:val="es-ES_tradnl"/>
        </w:rPr>
        <w:t xml:space="preserve"> que modificó la Resolución 3099 de 2008,</w:t>
      </w:r>
      <w:r w:rsidR="00B95328" w:rsidRPr="005D131A">
        <w:rPr>
          <w:sz w:val="28"/>
          <w:szCs w:val="28"/>
          <w:lang w:val="es-ES_tradnl"/>
        </w:rPr>
        <w:t xml:space="preserve"> </w:t>
      </w:r>
      <w:r w:rsidR="00B87DD7" w:rsidRPr="005D131A">
        <w:rPr>
          <w:sz w:val="28"/>
          <w:szCs w:val="28"/>
          <w:lang w:val="es-ES_tradnl"/>
        </w:rPr>
        <w:t xml:space="preserve">sin embargo, esa </w:t>
      </w:r>
      <w:r w:rsidR="00B95328" w:rsidRPr="005D131A">
        <w:rPr>
          <w:sz w:val="28"/>
          <w:szCs w:val="28"/>
          <w:lang w:val="es-ES_tradnl"/>
        </w:rPr>
        <w:t>norma no se anali</w:t>
      </w:r>
      <w:r w:rsidR="00B87DD7" w:rsidRPr="005D131A">
        <w:rPr>
          <w:sz w:val="28"/>
          <w:szCs w:val="28"/>
          <w:lang w:val="es-ES_tradnl"/>
        </w:rPr>
        <w:t>zará en la presente providencia</w:t>
      </w:r>
      <w:r w:rsidR="00B95328" w:rsidRPr="005D131A">
        <w:rPr>
          <w:sz w:val="28"/>
          <w:szCs w:val="28"/>
          <w:lang w:val="es-ES_tradnl"/>
        </w:rPr>
        <w:t xml:space="preserve"> como quiera que fue objeto del fenómeno del decaimiento del acto administrativo</w:t>
      </w:r>
      <w:r w:rsidR="00B95328" w:rsidRPr="005D131A">
        <w:rPr>
          <w:sz w:val="28"/>
          <w:szCs w:val="28"/>
          <w:vertAlign w:val="superscript"/>
          <w:lang w:val="es-ES_tradnl"/>
        </w:rPr>
        <w:footnoteReference w:id="133"/>
      </w:r>
      <w:r w:rsidR="00B95328" w:rsidRPr="005D131A">
        <w:rPr>
          <w:sz w:val="28"/>
          <w:szCs w:val="28"/>
          <w:lang w:val="es-ES_tradnl"/>
        </w:rPr>
        <w:t>, en cuanto la Corte Constitucional declaró la inexequibilidad del decreto legislativo que le dio origen mediante la sentencia C-288 de 2010.</w:t>
      </w:r>
    </w:p>
    <w:p w:rsidR="00B95328" w:rsidRPr="005D131A" w:rsidRDefault="00B95328" w:rsidP="005D131A">
      <w:pPr>
        <w:tabs>
          <w:tab w:val="left" w:pos="567"/>
        </w:tabs>
        <w:rPr>
          <w:sz w:val="28"/>
          <w:szCs w:val="28"/>
          <w:lang w:val="es-ES_tradnl"/>
        </w:rPr>
      </w:pPr>
    </w:p>
    <w:p w:rsidR="00AF6AFE" w:rsidRPr="005D131A" w:rsidRDefault="00AF6AFE" w:rsidP="005D131A">
      <w:pPr>
        <w:tabs>
          <w:tab w:val="left" w:pos="567"/>
        </w:tabs>
        <w:rPr>
          <w:sz w:val="28"/>
          <w:szCs w:val="28"/>
          <w:lang w:val="es-CO"/>
        </w:rPr>
      </w:pPr>
      <w:r w:rsidRPr="005D131A">
        <w:rPr>
          <w:sz w:val="28"/>
          <w:szCs w:val="28"/>
          <w:lang w:val="es-CO"/>
        </w:rPr>
        <w:t xml:space="preserve">Teniendo en cuenta lo anterior, </w:t>
      </w:r>
      <w:r w:rsidRPr="005D131A">
        <w:rPr>
          <w:sz w:val="28"/>
          <w:szCs w:val="28"/>
          <w:lang w:val="es-ES_tradnl"/>
        </w:rPr>
        <w:t>la Sala procederá a estudiar la Resolución 3099 de 2008 y las normas que le</w:t>
      </w:r>
      <w:r w:rsidR="008A5074" w:rsidRPr="005D131A">
        <w:rPr>
          <w:sz w:val="28"/>
          <w:szCs w:val="28"/>
          <w:lang w:val="es-ES_tradnl"/>
        </w:rPr>
        <w:t xml:space="preserve"> hayan modificado o adicionado por tratarse del único cuerpo normativo vigente a través del cual se reguló el procedimiento de los CTC, en el siguiente orden:</w:t>
      </w:r>
    </w:p>
    <w:p w:rsidR="00F83BAB" w:rsidRPr="005D131A" w:rsidRDefault="00F83BAB" w:rsidP="005D131A">
      <w:pPr>
        <w:rPr>
          <w:b/>
          <w:sz w:val="28"/>
          <w:szCs w:val="28"/>
          <w:lang w:val="es-CO"/>
        </w:rPr>
      </w:pPr>
    </w:p>
    <w:p w:rsidR="00CC0EC0" w:rsidRPr="005D131A" w:rsidRDefault="00CC0EC0" w:rsidP="005D131A">
      <w:pPr>
        <w:rPr>
          <w:b/>
          <w:sz w:val="28"/>
          <w:szCs w:val="28"/>
          <w:lang w:val="es-CO"/>
        </w:rPr>
      </w:pPr>
      <w:r w:rsidRPr="005D131A">
        <w:rPr>
          <w:b/>
          <w:sz w:val="28"/>
          <w:szCs w:val="28"/>
          <w:lang w:val="es-CO"/>
        </w:rPr>
        <w:t xml:space="preserve">Marco </w:t>
      </w:r>
      <w:r w:rsidR="00583350" w:rsidRPr="005D131A">
        <w:rPr>
          <w:b/>
          <w:sz w:val="28"/>
          <w:szCs w:val="28"/>
          <w:lang w:val="es-CO"/>
        </w:rPr>
        <w:t>n</w:t>
      </w:r>
      <w:r w:rsidR="002239FA" w:rsidRPr="005D131A">
        <w:rPr>
          <w:b/>
          <w:sz w:val="28"/>
          <w:szCs w:val="28"/>
          <w:lang w:val="es-CO"/>
        </w:rPr>
        <w:t>ormativo – m</w:t>
      </w:r>
      <w:r w:rsidRPr="005D131A">
        <w:rPr>
          <w:b/>
          <w:sz w:val="28"/>
          <w:szCs w:val="28"/>
          <w:lang w:val="es-CO"/>
        </w:rPr>
        <w:t xml:space="preserve">edidas aplicadas </w:t>
      </w:r>
    </w:p>
    <w:p w:rsidR="00D0203B" w:rsidRPr="005D131A" w:rsidRDefault="00D0203B" w:rsidP="005D131A">
      <w:pPr>
        <w:pStyle w:val="Prrafodelista"/>
        <w:tabs>
          <w:tab w:val="left" w:pos="6112"/>
        </w:tabs>
        <w:ind w:left="0"/>
        <w:rPr>
          <w:b/>
          <w:sz w:val="28"/>
          <w:szCs w:val="28"/>
          <w:shd w:val="clear" w:color="auto" w:fill="FFFFFF"/>
        </w:rPr>
      </w:pPr>
    </w:p>
    <w:p w:rsidR="00137EB0" w:rsidRPr="005D131A" w:rsidRDefault="007534C2" w:rsidP="005D131A">
      <w:pPr>
        <w:pStyle w:val="Prrafodelista"/>
        <w:tabs>
          <w:tab w:val="left" w:pos="6112"/>
        </w:tabs>
        <w:ind w:left="0"/>
        <w:rPr>
          <w:sz w:val="28"/>
          <w:szCs w:val="28"/>
          <w:lang w:val="es-CO"/>
        </w:rPr>
      </w:pPr>
      <w:r w:rsidRPr="005D131A">
        <w:rPr>
          <w:sz w:val="28"/>
          <w:szCs w:val="28"/>
          <w:shd w:val="clear" w:color="auto" w:fill="FFFFFF"/>
        </w:rPr>
        <w:t>5</w:t>
      </w:r>
      <w:r w:rsidR="002239FA" w:rsidRPr="005D131A">
        <w:rPr>
          <w:sz w:val="28"/>
          <w:szCs w:val="28"/>
          <w:shd w:val="clear" w:color="auto" w:fill="FFFFFF"/>
        </w:rPr>
        <w:t>.3</w:t>
      </w:r>
      <w:r w:rsidR="0010081E" w:rsidRPr="005D131A">
        <w:rPr>
          <w:sz w:val="28"/>
          <w:szCs w:val="28"/>
          <w:shd w:val="clear" w:color="auto" w:fill="FFFFFF"/>
        </w:rPr>
        <w:t>.</w:t>
      </w:r>
      <w:r w:rsidR="002239FA" w:rsidRPr="005D131A">
        <w:rPr>
          <w:sz w:val="28"/>
          <w:szCs w:val="28"/>
          <w:shd w:val="clear" w:color="auto" w:fill="FFFFFF"/>
        </w:rPr>
        <w:t xml:space="preserve">1. </w:t>
      </w:r>
      <w:r w:rsidR="00230724" w:rsidRPr="005D131A">
        <w:rPr>
          <w:sz w:val="28"/>
          <w:szCs w:val="28"/>
          <w:shd w:val="clear" w:color="auto" w:fill="FFFFFF"/>
        </w:rPr>
        <w:t>Según el Ministerio</w:t>
      </w:r>
      <w:r w:rsidR="00C344AB" w:rsidRPr="005D131A">
        <w:rPr>
          <w:sz w:val="28"/>
          <w:szCs w:val="28"/>
          <w:shd w:val="clear" w:color="auto" w:fill="FFFFFF"/>
        </w:rPr>
        <w:t xml:space="preserve"> l</w:t>
      </w:r>
      <w:r w:rsidR="000C5C02" w:rsidRPr="005D131A">
        <w:rPr>
          <w:sz w:val="28"/>
          <w:szCs w:val="28"/>
          <w:lang w:val="es-CO"/>
        </w:rPr>
        <w:t>a Resolución 3099 de 2008</w:t>
      </w:r>
      <w:r w:rsidR="00EE7B55" w:rsidRPr="005D131A">
        <w:rPr>
          <w:sz w:val="28"/>
          <w:szCs w:val="28"/>
          <w:lang w:val="es-CO"/>
        </w:rPr>
        <w:t>, a pesar de que fue proferida con anterioridad a la sentencia T-760 de 2008</w:t>
      </w:r>
      <w:r w:rsidR="00C344AB" w:rsidRPr="005D131A">
        <w:rPr>
          <w:sz w:val="28"/>
          <w:szCs w:val="28"/>
          <w:lang w:val="es-CO"/>
        </w:rPr>
        <w:t>,</w:t>
      </w:r>
      <w:r w:rsidR="000C5C02" w:rsidRPr="005D131A">
        <w:rPr>
          <w:sz w:val="28"/>
          <w:szCs w:val="28"/>
          <w:lang w:val="es-CO"/>
        </w:rPr>
        <w:t xml:space="preserve"> </w:t>
      </w:r>
      <w:r w:rsidR="008D2FB3" w:rsidRPr="005D131A">
        <w:rPr>
          <w:sz w:val="28"/>
          <w:szCs w:val="28"/>
          <w:lang w:val="es-CO"/>
        </w:rPr>
        <w:t>cumplió lo ordenado</w:t>
      </w:r>
      <w:r w:rsidR="00EE7B55" w:rsidRPr="005D131A">
        <w:rPr>
          <w:sz w:val="28"/>
          <w:szCs w:val="28"/>
          <w:lang w:val="es-CO"/>
        </w:rPr>
        <w:t xml:space="preserve"> por la Corte</w:t>
      </w:r>
      <w:r w:rsidR="00C344AB" w:rsidRPr="005D131A">
        <w:rPr>
          <w:sz w:val="28"/>
          <w:szCs w:val="28"/>
          <w:lang w:val="es-CO"/>
        </w:rPr>
        <w:t xml:space="preserve"> porque</w:t>
      </w:r>
      <w:r w:rsidR="0010081E" w:rsidRPr="005D131A">
        <w:rPr>
          <w:sz w:val="28"/>
          <w:szCs w:val="28"/>
          <w:lang w:val="es-CO"/>
        </w:rPr>
        <w:t xml:space="preserve"> amplió las funciones del C</w:t>
      </w:r>
      <w:r w:rsidR="008D2FB3" w:rsidRPr="005D131A">
        <w:rPr>
          <w:sz w:val="28"/>
          <w:szCs w:val="28"/>
          <w:lang w:val="es-CO"/>
        </w:rPr>
        <w:t>omité a la aprobación de todas las tecnologías en salud por fuera del plan d</w:t>
      </w:r>
      <w:r w:rsidR="00EE7B55" w:rsidRPr="005D131A">
        <w:rPr>
          <w:sz w:val="28"/>
          <w:szCs w:val="28"/>
          <w:lang w:val="es-CO"/>
        </w:rPr>
        <w:t>e beneficios</w:t>
      </w:r>
      <w:r w:rsidR="00F338B5" w:rsidRPr="005D131A">
        <w:rPr>
          <w:sz w:val="28"/>
          <w:szCs w:val="28"/>
          <w:lang w:val="es-CO"/>
        </w:rPr>
        <w:t xml:space="preserve"> para ambos regímenes (contributivo y subsidiado). Además, a juicio de la cartera de salud, esa norma </w:t>
      </w:r>
      <w:r w:rsidR="000C5C02" w:rsidRPr="005D131A">
        <w:rPr>
          <w:sz w:val="28"/>
          <w:szCs w:val="28"/>
          <w:lang w:val="es-CO"/>
        </w:rPr>
        <w:t>fue ajustada a los requerimientos del fallo mediante las resoluciones</w:t>
      </w:r>
      <w:r w:rsidR="00571022" w:rsidRPr="005D131A">
        <w:rPr>
          <w:sz w:val="28"/>
          <w:szCs w:val="28"/>
          <w:lang w:val="es-CO"/>
        </w:rPr>
        <w:t xml:space="preserve"> 5334 y</w:t>
      </w:r>
      <w:r w:rsidR="000C5C02" w:rsidRPr="005D131A">
        <w:rPr>
          <w:sz w:val="28"/>
          <w:szCs w:val="28"/>
          <w:lang w:val="es-CO"/>
        </w:rPr>
        <w:t xml:space="preserve"> 3754 de 2008</w:t>
      </w:r>
      <w:r w:rsidR="00137EB0" w:rsidRPr="005D131A">
        <w:rPr>
          <w:sz w:val="28"/>
          <w:szCs w:val="28"/>
          <w:lang w:val="es-CO"/>
        </w:rPr>
        <w:t>.</w:t>
      </w:r>
      <w:r w:rsidR="00F14C55" w:rsidRPr="005D131A">
        <w:rPr>
          <w:sz w:val="28"/>
          <w:szCs w:val="28"/>
          <w:lang w:val="es-CO"/>
        </w:rPr>
        <w:t xml:space="preserve"> Sobre este asunto, la Corte advierte lo siguiente: </w:t>
      </w:r>
    </w:p>
    <w:p w:rsidR="00583350" w:rsidRPr="005D131A" w:rsidRDefault="00583350" w:rsidP="005D131A">
      <w:pPr>
        <w:pStyle w:val="Prrafodelista"/>
        <w:tabs>
          <w:tab w:val="left" w:pos="6112"/>
        </w:tabs>
        <w:ind w:left="0"/>
        <w:rPr>
          <w:b/>
          <w:sz w:val="28"/>
          <w:szCs w:val="28"/>
          <w:shd w:val="clear" w:color="auto" w:fill="FFFFFF"/>
        </w:rPr>
      </w:pPr>
    </w:p>
    <w:p w:rsidR="00F14C55" w:rsidRPr="005D131A" w:rsidRDefault="00F14C55" w:rsidP="005D131A">
      <w:pPr>
        <w:pStyle w:val="Prrafodelista"/>
        <w:tabs>
          <w:tab w:val="left" w:pos="6112"/>
        </w:tabs>
        <w:ind w:left="0"/>
        <w:rPr>
          <w:sz w:val="28"/>
          <w:szCs w:val="28"/>
          <w:lang w:val="es-CO"/>
        </w:rPr>
      </w:pPr>
      <w:r w:rsidRPr="005D131A">
        <w:rPr>
          <w:sz w:val="28"/>
          <w:szCs w:val="28"/>
          <w:shd w:val="clear" w:color="auto" w:fill="FFFFFF"/>
        </w:rPr>
        <w:t xml:space="preserve">De manera preliminar, </w:t>
      </w:r>
      <w:r w:rsidR="00F6414E" w:rsidRPr="005D131A">
        <w:rPr>
          <w:sz w:val="28"/>
          <w:szCs w:val="28"/>
          <w:shd w:val="clear" w:color="auto" w:fill="FFFFFF"/>
        </w:rPr>
        <w:t xml:space="preserve">se </w:t>
      </w:r>
      <w:r w:rsidRPr="005D131A">
        <w:rPr>
          <w:sz w:val="28"/>
          <w:szCs w:val="28"/>
          <w:shd w:val="clear" w:color="auto" w:fill="FFFFFF"/>
        </w:rPr>
        <w:t xml:space="preserve">observa que la Resolución 3754 de 2008 en efecto  modificó parcialmente la Resolución 3099 de 2008 pero solo en lo referente al sistema de recobros, </w:t>
      </w:r>
      <w:r w:rsidRPr="005D131A">
        <w:rPr>
          <w:sz w:val="28"/>
          <w:szCs w:val="28"/>
          <w:lang w:val="es-CO"/>
        </w:rPr>
        <w:t>asunto no contemplado en la orden 23</w:t>
      </w:r>
      <w:r w:rsidR="002239FA" w:rsidRPr="005D131A">
        <w:rPr>
          <w:sz w:val="28"/>
          <w:szCs w:val="28"/>
          <w:lang w:val="es-CO"/>
        </w:rPr>
        <w:t xml:space="preserve"> sino en las órdenes 24 a 27</w:t>
      </w:r>
      <w:r w:rsidRPr="005D131A">
        <w:rPr>
          <w:sz w:val="28"/>
          <w:szCs w:val="28"/>
          <w:lang w:val="es-CO"/>
        </w:rPr>
        <w:t>, razón por la cual la Sala no se pronunciar</w:t>
      </w:r>
      <w:r w:rsidR="002239FA" w:rsidRPr="005D131A">
        <w:rPr>
          <w:sz w:val="28"/>
          <w:szCs w:val="28"/>
          <w:lang w:val="es-CO"/>
        </w:rPr>
        <w:t>á al respecto en el presente proveído.</w:t>
      </w:r>
    </w:p>
    <w:p w:rsidR="00F83BAB" w:rsidRPr="005D131A" w:rsidRDefault="00F83BAB" w:rsidP="005D131A">
      <w:pPr>
        <w:pStyle w:val="Prrafodelista"/>
        <w:tabs>
          <w:tab w:val="left" w:pos="6112"/>
        </w:tabs>
        <w:ind w:left="0"/>
        <w:rPr>
          <w:b/>
          <w:sz w:val="28"/>
          <w:szCs w:val="28"/>
          <w:shd w:val="clear" w:color="auto" w:fill="FFFFFF"/>
        </w:rPr>
      </w:pPr>
    </w:p>
    <w:p w:rsidR="0074403D" w:rsidRPr="005D131A" w:rsidRDefault="007534C2" w:rsidP="005D131A">
      <w:pPr>
        <w:pStyle w:val="Prrafodelista"/>
        <w:tabs>
          <w:tab w:val="left" w:pos="6112"/>
        </w:tabs>
        <w:ind w:left="0"/>
        <w:rPr>
          <w:rStyle w:val="apple-converted-space"/>
          <w:sz w:val="28"/>
          <w:szCs w:val="28"/>
        </w:rPr>
      </w:pPr>
      <w:r w:rsidRPr="005D131A">
        <w:rPr>
          <w:sz w:val="28"/>
          <w:szCs w:val="28"/>
          <w:shd w:val="clear" w:color="auto" w:fill="FFFFFF"/>
        </w:rPr>
        <w:t>5</w:t>
      </w:r>
      <w:r w:rsidR="00075088" w:rsidRPr="005D131A">
        <w:rPr>
          <w:sz w:val="28"/>
          <w:szCs w:val="28"/>
          <w:shd w:val="clear" w:color="auto" w:fill="FFFFFF"/>
        </w:rPr>
        <w:t xml:space="preserve">.3.2. </w:t>
      </w:r>
      <w:r w:rsidR="00F14C55" w:rsidRPr="005D131A">
        <w:rPr>
          <w:sz w:val="28"/>
          <w:szCs w:val="28"/>
          <w:shd w:val="clear" w:color="auto" w:fill="FFFFFF"/>
        </w:rPr>
        <w:t>Aclarado lo anterior, la Corte observa que l</w:t>
      </w:r>
      <w:r w:rsidR="008D2FB3" w:rsidRPr="005D131A">
        <w:rPr>
          <w:sz w:val="28"/>
          <w:szCs w:val="28"/>
          <w:shd w:val="clear" w:color="auto" w:fill="FFFFFF"/>
        </w:rPr>
        <w:t xml:space="preserve">a </w:t>
      </w:r>
      <w:r w:rsidR="00F84871" w:rsidRPr="005D131A">
        <w:rPr>
          <w:sz w:val="28"/>
          <w:szCs w:val="28"/>
          <w:shd w:val="clear" w:color="auto" w:fill="FFFFFF"/>
        </w:rPr>
        <w:t>Resolución 3099 de 2008</w:t>
      </w:r>
      <w:r w:rsidR="00134554" w:rsidRPr="005D131A">
        <w:rPr>
          <w:bCs/>
          <w:color w:val="000000"/>
          <w:sz w:val="28"/>
          <w:szCs w:val="28"/>
          <w:shd w:val="clear" w:color="auto" w:fill="FFFFFF"/>
          <w:vertAlign w:val="superscript"/>
        </w:rPr>
        <w:footnoteReference w:id="134"/>
      </w:r>
      <w:r w:rsidR="00134554" w:rsidRPr="005D131A">
        <w:rPr>
          <w:rStyle w:val="Textoennegrita"/>
          <w:b w:val="0"/>
          <w:bCs/>
          <w:color w:val="000000"/>
          <w:sz w:val="28"/>
          <w:szCs w:val="28"/>
          <w:shd w:val="clear" w:color="auto" w:fill="FFFFFF"/>
        </w:rPr>
        <w:t xml:space="preserve">, </w:t>
      </w:r>
      <w:r w:rsidR="00BD364E" w:rsidRPr="005D131A">
        <w:rPr>
          <w:rStyle w:val="Textoennegrita"/>
          <w:b w:val="0"/>
          <w:bCs/>
          <w:color w:val="000000"/>
          <w:sz w:val="28"/>
          <w:szCs w:val="28"/>
          <w:shd w:val="clear" w:color="auto" w:fill="FFFFFF"/>
        </w:rPr>
        <w:t xml:space="preserve">dispuso </w:t>
      </w:r>
      <w:r w:rsidR="00134554" w:rsidRPr="005D131A">
        <w:rPr>
          <w:rStyle w:val="Textoennegrita"/>
          <w:b w:val="0"/>
          <w:bCs/>
          <w:color w:val="000000"/>
          <w:sz w:val="28"/>
          <w:szCs w:val="28"/>
          <w:shd w:val="clear" w:color="auto" w:fill="FFFFFF"/>
        </w:rPr>
        <w:t>la integración</w:t>
      </w:r>
      <w:r w:rsidR="00075088" w:rsidRPr="005D131A">
        <w:rPr>
          <w:bCs/>
          <w:color w:val="000000"/>
          <w:sz w:val="28"/>
          <w:szCs w:val="28"/>
          <w:shd w:val="clear" w:color="auto" w:fill="FFFFFF"/>
          <w:vertAlign w:val="superscript"/>
        </w:rPr>
        <w:footnoteReference w:id="135"/>
      </w:r>
      <w:r w:rsidR="00134554" w:rsidRPr="005D131A">
        <w:rPr>
          <w:rStyle w:val="Textoennegrita"/>
          <w:b w:val="0"/>
          <w:bCs/>
          <w:color w:val="000000"/>
          <w:sz w:val="28"/>
          <w:szCs w:val="28"/>
          <w:shd w:val="clear" w:color="auto" w:fill="FFFFFF"/>
        </w:rPr>
        <w:t>, requisitos</w:t>
      </w:r>
      <w:r w:rsidR="00075088" w:rsidRPr="005D131A">
        <w:rPr>
          <w:bCs/>
          <w:color w:val="000000"/>
          <w:sz w:val="28"/>
          <w:szCs w:val="28"/>
          <w:shd w:val="clear" w:color="auto" w:fill="FFFFFF"/>
          <w:vertAlign w:val="superscript"/>
        </w:rPr>
        <w:footnoteReference w:id="136"/>
      </w:r>
      <w:r w:rsidR="00134554" w:rsidRPr="005D131A">
        <w:rPr>
          <w:rStyle w:val="Textoennegrita"/>
          <w:b w:val="0"/>
          <w:bCs/>
          <w:color w:val="000000"/>
          <w:sz w:val="28"/>
          <w:szCs w:val="28"/>
          <w:shd w:val="clear" w:color="auto" w:fill="FFFFFF"/>
        </w:rPr>
        <w:t>, elección</w:t>
      </w:r>
      <w:r w:rsidR="00075088" w:rsidRPr="005D131A">
        <w:rPr>
          <w:bCs/>
          <w:color w:val="000000"/>
          <w:sz w:val="28"/>
          <w:szCs w:val="28"/>
          <w:shd w:val="clear" w:color="auto" w:fill="FFFFFF"/>
          <w:vertAlign w:val="superscript"/>
        </w:rPr>
        <w:footnoteReference w:id="137"/>
      </w:r>
      <w:r w:rsidR="00134554" w:rsidRPr="005D131A">
        <w:rPr>
          <w:rStyle w:val="Textoennegrita"/>
          <w:b w:val="0"/>
          <w:bCs/>
          <w:color w:val="000000"/>
          <w:sz w:val="28"/>
          <w:szCs w:val="28"/>
          <w:shd w:val="clear" w:color="auto" w:fill="FFFFFF"/>
        </w:rPr>
        <w:t xml:space="preserve">, </w:t>
      </w:r>
      <w:r w:rsidR="007D2BE7" w:rsidRPr="005D131A">
        <w:rPr>
          <w:rStyle w:val="Textoennegrita"/>
          <w:b w:val="0"/>
          <w:bCs/>
          <w:color w:val="000000"/>
          <w:sz w:val="28"/>
          <w:szCs w:val="28"/>
          <w:shd w:val="clear" w:color="auto" w:fill="FFFFFF"/>
        </w:rPr>
        <w:t>funciones</w:t>
      </w:r>
      <w:r w:rsidR="007D2BE7" w:rsidRPr="005D131A">
        <w:rPr>
          <w:bCs/>
          <w:color w:val="000000"/>
          <w:sz w:val="28"/>
          <w:szCs w:val="28"/>
          <w:shd w:val="clear" w:color="auto" w:fill="FFFFFF"/>
          <w:vertAlign w:val="superscript"/>
        </w:rPr>
        <w:footnoteReference w:id="138"/>
      </w:r>
      <w:r w:rsidR="007D2BE7" w:rsidRPr="005D131A">
        <w:rPr>
          <w:rStyle w:val="Textoennegrita"/>
          <w:b w:val="0"/>
          <w:bCs/>
          <w:color w:val="000000"/>
          <w:sz w:val="28"/>
          <w:szCs w:val="28"/>
          <w:shd w:val="clear" w:color="auto" w:fill="FFFFFF"/>
        </w:rPr>
        <w:t xml:space="preserve">, </w:t>
      </w:r>
      <w:r w:rsidR="00134554" w:rsidRPr="005D131A">
        <w:rPr>
          <w:rStyle w:val="Textoennegrita"/>
          <w:b w:val="0"/>
          <w:bCs/>
          <w:color w:val="000000"/>
          <w:sz w:val="28"/>
          <w:szCs w:val="28"/>
          <w:shd w:val="clear" w:color="auto" w:fill="FFFFFF"/>
        </w:rPr>
        <w:t>reuniones</w:t>
      </w:r>
      <w:r w:rsidR="007D2BE7" w:rsidRPr="005D131A">
        <w:rPr>
          <w:bCs/>
          <w:color w:val="000000"/>
          <w:sz w:val="28"/>
          <w:szCs w:val="28"/>
          <w:shd w:val="clear" w:color="auto" w:fill="FFFFFF"/>
          <w:vertAlign w:val="superscript"/>
        </w:rPr>
        <w:footnoteReference w:id="139"/>
      </w:r>
      <w:r w:rsidR="00134554" w:rsidRPr="005D131A">
        <w:rPr>
          <w:rStyle w:val="Textoennegrita"/>
          <w:b w:val="0"/>
          <w:bCs/>
          <w:color w:val="000000"/>
          <w:sz w:val="28"/>
          <w:szCs w:val="28"/>
          <w:shd w:val="clear" w:color="auto" w:fill="FFFFFF"/>
        </w:rPr>
        <w:t>, criterios</w:t>
      </w:r>
      <w:r w:rsidR="007D2BE7" w:rsidRPr="005D131A">
        <w:rPr>
          <w:bCs/>
          <w:color w:val="000000"/>
          <w:sz w:val="28"/>
          <w:szCs w:val="28"/>
          <w:shd w:val="clear" w:color="auto" w:fill="FFFFFF"/>
          <w:vertAlign w:val="superscript"/>
        </w:rPr>
        <w:footnoteReference w:id="140"/>
      </w:r>
      <w:r w:rsidR="00134554" w:rsidRPr="005D131A">
        <w:rPr>
          <w:rStyle w:val="Textoennegrita"/>
          <w:b w:val="0"/>
          <w:bCs/>
          <w:color w:val="000000"/>
          <w:sz w:val="28"/>
          <w:szCs w:val="28"/>
          <w:shd w:val="clear" w:color="auto" w:fill="FFFFFF"/>
        </w:rPr>
        <w:t xml:space="preserve"> y procedimiento</w:t>
      </w:r>
      <w:r w:rsidR="007D2BE7" w:rsidRPr="005D131A">
        <w:rPr>
          <w:bCs/>
          <w:color w:val="000000"/>
          <w:sz w:val="28"/>
          <w:szCs w:val="28"/>
          <w:shd w:val="clear" w:color="auto" w:fill="FFFFFF"/>
          <w:vertAlign w:val="superscript"/>
        </w:rPr>
        <w:footnoteReference w:id="141"/>
      </w:r>
      <w:r w:rsidR="00134554" w:rsidRPr="005D131A">
        <w:rPr>
          <w:rStyle w:val="Textoennegrita"/>
          <w:b w:val="0"/>
          <w:bCs/>
          <w:color w:val="000000"/>
          <w:sz w:val="28"/>
          <w:szCs w:val="28"/>
          <w:shd w:val="clear" w:color="auto" w:fill="FFFFFF"/>
        </w:rPr>
        <w:t xml:space="preserve"> </w:t>
      </w:r>
      <w:r w:rsidR="0074403D" w:rsidRPr="005D131A">
        <w:rPr>
          <w:sz w:val="28"/>
          <w:szCs w:val="28"/>
        </w:rPr>
        <w:t xml:space="preserve">para </w:t>
      </w:r>
      <w:r w:rsidR="00BD364E" w:rsidRPr="005D131A">
        <w:rPr>
          <w:sz w:val="28"/>
          <w:szCs w:val="28"/>
        </w:rPr>
        <w:t xml:space="preserve">que los CTC de cada EPS evaluaran, aprobaran y desaprobaran </w:t>
      </w:r>
      <w:r w:rsidR="0074403D" w:rsidRPr="005D131A">
        <w:rPr>
          <w:sz w:val="28"/>
          <w:szCs w:val="28"/>
        </w:rPr>
        <w:t xml:space="preserve">las tecnologías </w:t>
      </w:r>
      <w:r w:rsidR="0074403D" w:rsidRPr="005D131A">
        <w:rPr>
          <w:i/>
          <w:sz w:val="28"/>
          <w:szCs w:val="28"/>
        </w:rPr>
        <w:t>“no incluidas”</w:t>
      </w:r>
      <w:r w:rsidR="0074403D" w:rsidRPr="005D131A">
        <w:rPr>
          <w:sz w:val="28"/>
          <w:szCs w:val="28"/>
        </w:rPr>
        <w:t xml:space="preserve"> en el plan de beneficios.</w:t>
      </w:r>
      <w:r w:rsidR="00BD364E" w:rsidRPr="005D131A">
        <w:rPr>
          <w:sz w:val="28"/>
          <w:szCs w:val="28"/>
        </w:rPr>
        <w:t xml:space="preserve"> Por ejemplo, el</w:t>
      </w:r>
      <w:r w:rsidR="0074403D" w:rsidRPr="005D131A">
        <w:rPr>
          <w:sz w:val="28"/>
          <w:szCs w:val="28"/>
        </w:rPr>
        <w:t xml:space="preserve"> parágrafo del artículo 6º </w:t>
      </w:r>
      <w:r w:rsidR="00BB4B36" w:rsidRPr="005D131A">
        <w:rPr>
          <w:sz w:val="28"/>
          <w:szCs w:val="28"/>
        </w:rPr>
        <w:t xml:space="preserve">de la mencionada norma </w:t>
      </w:r>
      <w:r w:rsidR="0074403D" w:rsidRPr="005D131A">
        <w:rPr>
          <w:sz w:val="28"/>
          <w:szCs w:val="28"/>
        </w:rPr>
        <w:t>consagra</w:t>
      </w:r>
      <w:r w:rsidR="00B95328" w:rsidRPr="005D131A">
        <w:rPr>
          <w:sz w:val="28"/>
          <w:szCs w:val="28"/>
        </w:rPr>
        <w:t>ba que este órgano no podía</w:t>
      </w:r>
      <w:r w:rsidR="0074403D" w:rsidRPr="005D131A">
        <w:rPr>
          <w:sz w:val="28"/>
          <w:szCs w:val="28"/>
        </w:rPr>
        <w:t xml:space="preserve"> autorizar ni tratamientos experimentales ni los medicamentos necesarios para la atención de procedimientos expresamente excluidos en el POS, </w:t>
      </w:r>
      <w:r w:rsidR="00B95328" w:rsidRPr="005D131A">
        <w:rPr>
          <w:sz w:val="28"/>
          <w:szCs w:val="28"/>
        </w:rPr>
        <w:t>razón por la cual m</w:t>
      </w:r>
      <w:r w:rsidR="0074403D" w:rsidRPr="005D131A">
        <w:rPr>
          <w:rStyle w:val="apple-converted-space"/>
          <w:sz w:val="28"/>
          <w:szCs w:val="28"/>
          <w:shd w:val="clear" w:color="auto" w:fill="FFFFFF"/>
        </w:rPr>
        <w:t xml:space="preserve">ediante providencia de 5 de marzo de 2009, el Consejo de Estado suspendió provisionalmente el </w:t>
      </w:r>
      <w:r w:rsidR="00B95328" w:rsidRPr="005D131A">
        <w:rPr>
          <w:rStyle w:val="apple-converted-space"/>
          <w:sz w:val="28"/>
          <w:szCs w:val="28"/>
          <w:shd w:val="clear" w:color="auto" w:fill="FFFFFF"/>
        </w:rPr>
        <w:t xml:space="preserve">mencionado </w:t>
      </w:r>
      <w:r w:rsidR="0074403D" w:rsidRPr="005D131A">
        <w:rPr>
          <w:rStyle w:val="apple-converted-space"/>
          <w:sz w:val="28"/>
          <w:szCs w:val="28"/>
          <w:shd w:val="clear" w:color="auto" w:fill="FFFFFF"/>
        </w:rPr>
        <w:t>parágrafo al considerar que impedía la aprobación por parte del CTC de los tratamientos excluidos del</w:t>
      </w:r>
      <w:r w:rsidR="00B95328" w:rsidRPr="005D131A">
        <w:rPr>
          <w:rStyle w:val="apple-converted-space"/>
          <w:sz w:val="28"/>
          <w:szCs w:val="28"/>
          <w:shd w:val="clear" w:color="auto" w:fill="FFFFFF"/>
        </w:rPr>
        <w:t xml:space="preserve"> POS</w:t>
      </w:r>
      <w:r w:rsidR="0074403D" w:rsidRPr="005D131A">
        <w:rPr>
          <w:rStyle w:val="apple-converted-space"/>
          <w:sz w:val="28"/>
          <w:szCs w:val="28"/>
          <w:shd w:val="clear" w:color="auto" w:fill="FFFFFF"/>
        </w:rPr>
        <w:t>, en desconocimiento de los derechos fundamentales a la vida, a la salud y a la seguridad social</w:t>
      </w:r>
      <w:r w:rsidR="0074403D" w:rsidRPr="005D131A">
        <w:rPr>
          <w:rStyle w:val="apple-converted-space"/>
          <w:sz w:val="28"/>
          <w:szCs w:val="28"/>
          <w:shd w:val="clear" w:color="auto" w:fill="FFFFFF"/>
          <w:vertAlign w:val="superscript"/>
        </w:rPr>
        <w:footnoteReference w:id="142"/>
      </w:r>
      <w:r w:rsidR="0074403D" w:rsidRPr="005D131A">
        <w:rPr>
          <w:rStyle w:val="apple-converted-space"/>
          <w:sz w:val="28"/>
          <w:szCs w:val="28"/>
          <w:shd w:val="clear" w:color="auto" w:fill="FFFFFF"/>
        </w:rPr>
        <w:t xml:space="preserve">. </w:t>
      </w:r>
    </w:p>
    <w:p w:rsidR="00193CB1" w:rsidRPr="005D131A" w:rsidRDefault="00193CB1" w:rsidP="005D131A">
      <w:pPr>
        <w:tabs>
          <w:tab w:val="left" w:pos="567"/>
          <w:tab w:val="left" w:pos="1276"/>
        </w:tabs>
        <w:contextualSpacing/>
        <w:rPr>
          <w:rStyle w:val="apple-converted-space"/>
          <w:sz w:val="28"/>
          <w:szCs w:val="28"/>
          <w:shd w:val="clear" w:color="auto" w:fill="FFFFFF"/>
        </w:rPr>
      </w:pPr>
    </w:p>
    <w:p w:rsidR="00291764" w:rsidRPr="005D131A" w:rsidRDefault="00291764" w:rsidP="005D131A">
      <w:pPr>
        <w:pStyle w:val="Prrafodelista"/>
        <w:tabs>
          <w:tab w:val="left" w:pos="567"/>
          <w:tab w:val="left" w:pos="993"/>
        </w:tabs>
        <w:ind w:left="0"/>
        <w:rPr>
          <w:sz w:val="28"/>
          <w:szCs w:val="28"/>
          <w:lang w:val="es-CO"/>
        </w:rPr>
      </w:pPr>
      <w:r w:rsidRPr="005D131A">
        <w:rPr>
          <w:sz w:val="28"/>
          <w:szCs w:val="28"/>
          <w:lang w:val="es-CO"/>
        </w:rPr>
        <w:t>El órgano rector de la política pública en salud profirió varios actos administrativos que regularon la forma de acceder a las prestaciones no POS, algunas de las cuales establecieron diferencias entre ambos regímenes. La citada Resolución 5334 de 2008 consagró los mecanismos para agilizar los trámites para la atención de las prestaciones no contempladas por el plan de beneficios del régimen subsidiado</w:t>
      </w:r>
      <w:r w:rsidRPr="005D131A">
        <w:rPr>
          <w:sz w:val="28"/>
          <w:szCs w:val="28"/>
          <w:vertAlign w:val="superscript"/>
          <w:lang w:val="es-CO"/>
        </w:rPr>
        <w:footnoteReference w:id="143"/>
      </w:r>
      <w:r w:rsidRPr="005D131A">
        <w:rPr>
          <w:sz w:val="28"/>
          <w:szCs w:val="28"/>
          <w:lang w:val="es-CO"/>
        </w:rPr>
        <w:t xml:space="preserve"> por parte de las entidades territoriales. </w:t>
      </w:r>
      <w:r w:rsidRPr="005D131A">
        <w:rPr>
          <w:color w:val="000000"/>
          <w:sz w:val="28"/>
          <w:szCs w:val="28"/>
        </w:rPr>
        <w:t>Aunque su cometido principal era regular la relación entre las IPS y los entes responsables del pago, lo cierto es que su articulado indicó las obligaciones del prestador, el pagador y el usuario para el suministro de servicios.</w:t>
      </w:r>
    </w:p>
    <w:p w:rsidR="00291764" w:rsidRPr="005D131A" w:rsidRDefault="00291764" w:rsidP="005D131A">
      <w:pPr>
        <w:pStyle w:val="Prrafodelista"/>
        <w:tabs>
          <w:tab w:val="left" w:pos="567"/>
          <w:tab w:val="left" w:pos="993"/>
        </w:tabs>
        <w:ind w:left="0"/>
        <w:rPr>
          <w:color w:val="000000"/>
          <w:sz w:val="28"/>
          <w:szCs w:val="28"/>
        </w:rPr>
      </w:pPr>
    </w:p>
    <w:p w:rsidR="00BD364E" w:rsidRPr="005D131A" w:rsidRDefault="00291764" w:rsidP="005D131A">
      <w:pPr>
        <w:rPr>
          <w:sz w:val="28"/>
          <w:szCs w:val="28"/>
          <w:lang w:val="es-CO"/>
        </w:rPr>
      </w:pPr>
      <w:r w:rsidRPr="005D131A">
        <w:rPr>
          <w:sz w:val="28"/>
          <w:szCs w:val="28"/>
          <w:lang w:val="es-CO"/>
        </w:rPr>
        <w:t>Esa norma fue derogada por la Resolución 5073 de 2013</w:t>
      </w:r>
      <w:r w:rsidRPr="005D131A">
        <w:rPr>
          <w:sz w:val="28"/>
          <w:szCs w:val="28"/>
          <w:vertAlign w:val="superscript"/>
          <w:lang w:val="es-CO"/>
        </w:rPr>
        <w:footnoteReference w:id="144"/>
      </w:r>
      <w:r w:rsidRPr="005D131A">
        <w:rPr>
          <w:sz w:val="28"/>
          <w:szCs w:val="28"/>
          <w:lang w:val="es-CO"/>
        </w:rPr>
        <w:t>, que sostuvo que el procedimiento</w:t>
      </w:r>
      <w:r w:rsidR="00E36185" w:rsidRPr="005D131A">
        <w:rPr>
          <w:sz w:val="28"/>
          <w:szCs w:val="28"/>
          <w:lang w:val="es-CO"/>
        </w:rPr>
        <w:t xml:space="preserve"> de autorización en el régimen s</w:t>
      </w:r>
      <w:r w:rsidRPr="005D131A">
        <w:rPr>
          <w:sz w:val="28"/>
          <w:szCs w:val="28"/>
          <w:lang w:val="es-CO"/>
        </w:rPr>
        <w:t xml:space="preserve">ubsidiado debía regirse por la Resolución 3099 de 2008. </w:t>
      </w:r>
    </w:p>
    <w:p w:rsidR="00BD364E" w:rsidRPr="005D131A" w:rsidRDefault="00BD364E" w:rsidP="005D131A">
      <w:pPr>
        <w:rPr>
          <w:sz w:val="28"/>
          <w:szCs w:val="28"/>
          <w:lang w:val="es-CO"/>
        </w:rPr>
      </w:pPr>
    </w:p>
    <w:p w:rsidR="00E36185" w:rsidRPr="005D131A" w:rsidRDefault="00BD364E" w:rsidP="005D131A">
      <w:pPr>
        <w:rPr>
          <w:sz w:val="28"/>
          <w:szCs w:val="28"/>
          <w:lang w:val="es-CO"/>
        </w:rPr>
      </w:pPr>
      <w:r w:rsidRPr="005D131A">
        <w:rPr>
          <w:sz w:val="28"/>
          <w:szCs w:val="28"/>
          <w:lang w:val="es-CO"/>
        </w:rPr>
        <w:t>Por su parte, l</w:t>
      </w:r>
      <w:r w:rsidR="00291764" w:rsidRPr="005D131A">
        <w:rPr>
          <w:sz w:val="28"/>
          <w:szCs w:val="28"/>
          <w:lang w:val="es-CO"/>
        </w:rPr>
        <w:t>a Resolución 5395 de 2013</w:t>
      </w:r>
      <w:r w:rsidR="00291764" w:rsidRPr="005D131A">
        <w:rPr>
          <w:sz w:val="28"/>
          <w:szCs w:val="28"/>
          <w:vertAlign w:val="superscript"/>
          <w:lang w:val="es-CO"/>
        </w:rPr>
        <w:footnoteReference w:id="145"/>
      </w:r>
      <w:r w:rsidR="00291764" w:rsidRPr="005D131A">
        <w:rPr>
          <w:sz w:val="28"/>
          <w:szCs w:val="28"/>
          <w:lang w:val="es-CO"/>
        </w:rPr>
        <w:t xml:space="preserve">, a su vez, derogó la Resolución 3099 de 2008 y reguló nuevamente las funciones y el trámite a cargo de los CTC para ambos regímenes. </w:t>
      </w:r>
    </w:p>
    <w:p w:rsidR="00E36185" w:rsidRPr="005D131A" w:rsidRDefault="00E36185" w:rsidP="005D131A">
      <w:pPr>
        <w:rPr>
          <w:sz w:val="28"/>
          <w:szCs w:val="28"/>
          <w:lang w:val="es-CO"/>
        </w:rPr>
      </w:pPr>
    </w:p>
    <w:p w:rsidR="00291764" w:rsidRPr="005D131A" w:rsidRDefault="00E36185" w:rsidP="005D131A">
      <w:pPr>
        <w:rPr>
          <w:sz w:val="28"/>
          <w:szCs w:val="28"/>
          <w:lang w:val="es-CO"/>
        </w:rPr>
      </w:pPr>
      <w:r w:rsidRPr="005D131A">
        <w:rPr>
          <w:sz w:val="28"/>
          <w:szCs w:val="28"/>
          <w:lang w:val="es-CO"/>
        </w:rPr>
        <w:t>Posteriormente</w:t>
      </w:r>
      <w:r w:rsidR="00291764" w:rsidRPr="005D131A">
        <w:rPr>
          <w:sz w:val="28"/>
          <w:szCs w:val="28"/>
          <w:lang w:val="es-CO"/>
        </w:rPr>
        <w:t>, la Resolución 1479 de 2015</w:t>
      </w:r>
      <w:r w:rsidR="00291764" w:rsidRPr="005D131A">
        <w:rPr>
          <w:sz w:val="28"/>
          <w:szCs w:val="28"/>
          <w:vertAlign w:val="superscript"/>
          <w:lang w:val="es-CO"/>
        </w:rPr>
        <w:footnoteReference w:id="146"/>
      </w:r>
      <w:r w:rsidR="00291764" w:rsidRPr="005D131A">
        <w:rPr>
          <w:sz w:val="28"/>
          <w:szCs w:val="28"/>
          <w:lang w:val="es-CO"/>
        </w:rPr>
        <w:t xml:space="preserve"> estableció tres modelos bajo los cuales los departamentos y distritos podrían garantizar la prestación de tecn</w:t>
      </w:r>
      <w:r w:rsidR="00005F43" w:rsidRPr="005D131A">
        <w:rPr>
          <w:sz w:val="28"/>
          <w:szCs w:val="28"/>
          <w:lang w:val="es-CO"/>
        </w:rPr>
        <w:t>ol</w:t>
      </w:r>
      <w:r w:rsidR="004F2695" w:rsidRPr="005D131A">
        <w:rPr>
          <w:sz w:val="28"/>
          <w:szCs w:val="28"/>
          <w:lang w:val="es-CO"/>
        </w:rPr>
        <w:t>ogías sin cobertura en el POS-S.</w:t>
      </w:r>
    </w:p>
    <w:p w:rsidR="00BA6D81" w:rsidRPr="005D131A" w:rsidRDefault="00BA6D81" w:rsidP="005D131A">
      <w:pPr>
        <w:rPr>
          <w:sz w:val="28"/>
          <w:szCs w:val="28"/>
          <w:lang w:val="es-CO"/>
        </w:rPr>
      </w:pPr>
    </w:p>
    <w:p w:rsidR="00BA6D81" w:rsidRPr="005D131A" w:rsidRDefault="007534C2" w:rsidP="005D131A">
      <w:pPr>
        <w:pStyle w:val="Prrafodelista"/>
        <w:tabs>
          <w:tab w:val="left" w:pos="6112"/>
        </w:tabs>
        <w:ind w:left="0"/>
        <w:rPr>
          <w:sz w:val="28"/>
          <w:szCs w:val="28"/>
          <w:shd w:val="clear" w:color="auto" w:fill="FFFFFF"/>
        </w:rPr>
      </w:pPr>
      <w:r w:rsidRPr="005D131A">
        <w:rPr>
          <w:sz w:val="28"/>
          <w:szCs w:val="28"/>
          <w:lang w:val="es-CO"/>
        </w:rPr>
        <w:t>5</w:t>
      </w:r>
      <w:r w:rsidR="00BA6D81" w:rsidRPr="005D131A">
        <w:rPr>
          <w:sz w:val="28"/>
          <w:szCs w:val="28"/>
          <w:lang w:val="es-CO"/>
        </w:rPr>
        <w:t xml:space="preserve">.3.3. </w:t>
      </w:r>
      <w:r w:rsidR="00BA6D81" w:rsidRPr="005D131A">
        <w:rPr>
          <w:sz w:val="28"/>
          <w:szCs w:val="28"/>
          <w:shd w:val="clear" w:color="auto" w:fill="FFFFFF"/>
        </w:rPr>
        <w:t>En cuanto a las funciones de los CTC, la Sala observa que el entonces Ministerio de la Protección Social las amplió en relación con las establecidas en la normativa anterior (Resolución 2933 de 2006</w:t>
      </w:r>
      <w:r w:rsidR="00BA6D81" w:rsidRPr="005D131A">
        <w:rPr>
          <w:sz w:val="28"/>
          <w:szCs w:val="28"/>
          <w:shd w:val="clear" w:color="auto" w:fill="FFFFFF"/>
          <w:vertAlign w:val="superscript"/>
        </w:rPr>
        <w:footnoteReference w:id="147"/>
      </w:r>
      <w:r w:rsidR="00BA6D81" w:rsidRPr="005D131A">
        <w:rPr>
          <w:sz w:val="28"/>
          <w:szCs w:val="28"/>
          <w:shd w:val="clear" w:color="auto" w:fill="FFFFFF"/>
        </w:rPr>
        <w:t>), ya que no solo tuvo en cuenta el suministro de medicamentos no POS sino que incluyó los “</w:t>
      </w:r>
      <w:r w:rsidR="00BA6D81" w:rsidRPr="005D131A">
        <w:rPr>
          <w:i/>
          <w:sz w:val="28"/>
          <w:szCs w:val="28"/>
          <w:shd w:val="clear" w:color="auto" w:fill="FFFFFF"/>
        </w:rPr>
        <w:t>medicamentos y demás servicios médicos y prestaciones en salud por fuera del Manual Vigente de Actividades, Intervenciones y Procedimientos del Sistema General de Seguridad Social en Salud”</w:t>
      </w:r>
      <w:r w:rsidR="00BA6D81" w:rsidRPr="005D131A">
        <w:rPr>
          <w:i/>
          <w:sz w:val="28"/>
          <w:szCs w:val="28"/>
          <w:shd w:val="clear" w:color="auto" w:fill="FFFFFF"/>
          <w:vertAlign w:val="superscript"/>
        </w:rPr>
        <w:footnoteReference w:id="148"/>
      </w:r>
      <w:r w:rsidR="00BA6D81" w:rsidRPr="005D131A">
        <w:rPr>
          <w:sz w:val="28"/>
          <w:szCs w:val="28"/>
          <w:shd w:val="clear" w:color="auto" w:fill="FFFFFF"/>
        </w:rPr>
        <w:t xml:space="preserve">. </w:t>
      </w:r>
    </w:p>
    <w:p w:rsidR="00BA6D81" w:rsidRPr="005D131A" w:rsidRDefault="00BA6D81" w:rsidP="005D131A">
      <w:pPr>
        <w:pStyle w:val="Prrafodelista"/>
        <w:tabs>
          <w:tab w:val="left" w:pos="993"/>
        </w:tabs>
        <w:ind w:left="0"/>
        <w:rPr>
          <w:sz w:val="28"/>
          <w:szCs w:val="28"/>
          <w:lang w:val="es-CO"/>
        </w:rPr>
      </w:pPr>
    </w:p>
    <w:p w:rsidR="00BA6D81" w:rsidRPr="005D131A" w:rsidRDefault="00BA6D81" w:rsidP="005D131A">
      <w:pPr>
        <w:pStyle w:val="Prrafodelista"/>
        <w:tabs>
          <w:tab w:val="left" w:pos="993"/>
        </w:tabs>
        <w:ind w:left="0"/>
        <w:rPr>
          <w:rStyle w:val="apple-converted-space"/>
          <w:sz w:val="28"/>
          <w:szCs w:val="28"/>
          <w:shd w:val="clear" w:color="auto" w:fill="FFFFFF"/>
        </w:rPr>
      </w:pPr>
      <w:r w:rsidRPr="005D131A">
        <w:rPr>
          <w:rStyle w:val="apple-converted-space"/>
          <w:sz w:val="28"/>
          <w:szCs w:val="28"/>
          <w:shd w:val="clear" w:color="auto" w:fill="FFFFFF"/>
        </w:rPr>
        <w:t xml:space="preserve">Para la Corte es claro que las funciones asignadas al Comité a partir de la Resolución 3099 de 2008 incluyeron de manera manifiesta la de aprobar los servicios no POS diferentes a medicamentos. En esa norma se les encomendó el estudio de las órdenes médicas </w:t>
      </w:r>
      <w:r w:rsidRPr="005D131A">
        <w:rPr>
          <w:rStyle w:val="apple-converted-space"/>
          <w:i/>
          <w:sz w:val="28"/>
          <w:szCs w:val="28"/>
          <w:shd w:val="clear" w:color="auto" w:fill="FFFFFF"/>
        </w:rPr>
        <w:t>“de los medicamentos y demás servicios médicos y prestaciones de salud”</w:t>
      </w:r>
      <w:r w:rsidRPr="005D131A">
        <w:rPr>
          <w:rStyle w:val="apple-converted-space"/>
          <w:sz w:val="28"/>
          <w:szCs w:val="28"/>
          <w:shd w:val="clear" w:color="auto" w:fill="FFFFFF"/>
        </w:rPr>
        <w:t xml:space="preserve">.  </w:t>
      </w:r>
    </w:p>
    <w:p w:rsidR="00BA6D81" w:rsidRPr="005D131A" w:rsidRDefault="00BA6D81" w:rsidP="005D131A">
      <w:pPr>
        <w:pStyle w:val="Prrafodelista"/>
        <w:tabs>
          <w:tab w:val="left" w:pos="993"/>
        </w:tabs>
        <w:ind w:left="0"/>
        <w:rPr>
          <w:rStyle w:val="apple-converted-space"/>
          <w:sz w:val="28"/>
          <w:szCs w:val="28"/>
          <w:shd w:val="clear" w:color="auto" w:fill="FFFFFF"/>
        </w:rPr>
      </w:pPr>
    </w:p>
    <w:p w:rsidR="00BA6D81" w:rsidRPr="005D131A" w:rsidRDefault="00BA6D81" w:rsidP="005D131A">
      <w:pPr>
        <w:pStyle w:val="Prrafodelista"/>
        <w:tabs>
          <w:tab w:val="left" w:pos="993"/>
        </w:tabs>
        <w:ind w:left="0"/>
        <w:rPr>
          <w:rStyle w:val="apple-converted-space"/>
          <w:sz w:val="28"/>
          <w:szCs w:val="28"/>
          <w:shd w:val="clear" w:color="auto" w:fill="FFFFFF"/>
        </w:rPr>
      </w:pPr>
      <w:r w:rsidRPr="005D131A">
        <w:rPr>
          <w:rStyle w:val="apple-converted-space"/>
          <w:sz w:val="28"/>
          <w:szCs w:val="28"/>
          <w:shd w:val="clear" w:color="auto" w:fill="FFFFFF"/>
        </w:rPr>
        <w:t xml:space="preserve">En la Resolución 5334 de 2008 que trata sobre los mecanismos para agilizar los trámites requeridos para la autorización de eventos no incluidos en el Plan Obligatorio de Salud del Régimen Subsidiado, no hace diferenciación alguna </w:t>
      </w:r>
      <w:r w:rsidR="001C4CA9" w:rsidRPr="005D131A">
        <w:rPr>
          <w:rStyle w:val="apple-converted-space"/>
          <w:sz w:val="28"/>
          <w:szCs w:val="28"/>
          <w:shd w:val="clear" w:color="auto" w:fill="FFFFFF"/>
        </w:rPr>
        <w:t>a</w:t>
      </w:r>
      <w:r w:rsidRPr="005D131A">
        <w:rPr>
          <w:rStyle w:val="apple-converted-space"/>
          <w:sz w:val="28"/>
          <w:szCs w:val="28"/>
          <w:shd w:val="clear" w:color="auto" w:fill="FFFFFF"/>
        </w:rPr>
        <w:t xml:space="preserve"> los medicamentos y las clases de servicios. En igual sentido, la Resolución 5395 de 2013 dispone como su labor la aceptación de las tecnologías en salud </w:t>
      </w:r>
      <w:r w:rsidR="000C10EE" w:rsidRPr="005D131A">
        <w:rPr>
          <w:rStyle w:val="apple-converted-space"/>
          <w:i/>
          <w:sz w:val="28"/>
          <w:szCs w:val="28"/>
          <w:shd w:val="clear" w:color="auto" w:fill="FFFFFF"/>
        </w:rPr>
        <w:t>“</w:t>
      </w:r>
      <w:r w:rsidRPr="005D131A">
        <w:rPr>
          <w:rStyle w:val="apple-converted-space"/>
          <w:i/>
          <w:sz w:val="28"/>
          <w:szCs w:val="28"/>
          <w:shd w:val="clear" w:color="auto" w:fill="FFFFFF"/>
        </w:rPr>
        <w:t>no incluidas</w:t>
      </w:r>
      <w:r w:rsidR="000C10EE" w:rsidRPr="005D131A">
        <w:rPr>
          <w:rStyle w:val="apple-converted-space"/>
          <w:i/>
          <w:sz w:val="28"/>
          <w:szCs w:val="28"/>
          <w:shd w:val="clear" w:color="auto" w:fill="FFFFFF"/>
        </w:rPr>
        <w:t>”</w:t>
      </w:r>
      <w:r w:rsidRPr="005D131A">
        <w:rPr>
          <w:rStyle w:val="apple-converted-space"/>
          <w:sz w:val="28"/>
          <w:szCs w:val="28"/>
          <w:shd w:val="clear" w:color="auto" w:fill="FFFFFF"/>
        </w:rPr>
        <w:t xml:space="preserve"> en el POS y la Resolución 1479 de 2015 hace referencia a los </w:t>
      </w:r>
      <w:r w:rsidRPr="005D131A">
        <w:rPr>
          <w:rStyle w:val="apple-converted-space"/>
          <w:i/>
          <w:sz w:val="28"/>
          <w:szCs w:val="28"/>
          <w:shd w:val="clear" w:color="auto" w:fill="FFFFFF"/>
        </w:rPr>
        <w:t>“servicios y tecnologías sin cobertura”</w:t>
      </w:r>
      <w:r w:rsidRPr="005D131A">
        <w:rPr>
          <w:rStyle w:val="apple-converted-space"/>
          <w:sz w:val="28"/>
          <w:szCs w:val="28"/>
          <w:shd w:val="clear" w:color="auto" w:fill="FFFFFF"/>
        </w:rPr>
        <w:t>.</w:t>
      </w:r>
      <w:r w:rsidRPr="005D131A">
        <w:rPr>
          <w:rStyle w:val="apple-converted-space"/>
          <w:i/>
          <w:sz w:val="28"/>
          <w:szCs w:val="28"/>
          <w:shd w:val="clear" w:color="auto" w:fill="FFFFFF"/>
        </w:rPr>
        <w:t xml:space="preserve"> </w:t>
      </w:r>
    </w:p>
    <w:p w:rsidR="00BA6D81" w:rsidRPr="005D131A" w:rsidRDefault="00BA6D81" w:rsidP="005D131A">
      <w:pPr>
        <w:rPr>
          <w:sz w:val="28"/>
          <w:szCs w:val="28"/>
          <w:lang w:val="es-CO"/>
        </w:rPr>
      </w:pPr>
    </w:p>
    <w:p w:rsidR="00076B35" w:rsidRPr="005D131A" w:rsidRDefault="00076B35" w:rsidP="005D131A">
      <w:pPr>
        <w:pStyle w:val="Prrafodelista"/>
        <w:tabs>
          <w:tab w:val="left" w:pos="1134"/>
        </w:tabs>
        <w:ind w:left="0"/>
        <w:rPr>
          <w:rStyle w:val="apple-converted-space"/>
          <w:sz w:val="28"/>
          <w:szCs w:val="28"/>
          <w:shd w:val="clear" w:color="auto" w:fill="FFFFFF"/>
        </w:rPr>
      </w:pPr>
      <w:r w:rsidRPr="005D131A">
        <w:rPr>
          <w:rStyle w:val="apple-converted-space"/>
          <w:sz w:val="28"/>
          <w:szCs w:val="28"/>
          <w:shd w:val="clear" w:color="auto" w:fill="FFFFFF"/>
        </w:rPr>
        <w:t xml:space="preserve">En lugar de tomar como una voz de alerta la decisión de esa alta Corte, la Resolución 5395 de 2013 reprodujo la inexactitud y a lo largo de su texto se refiere a la aprobación de tecnologías </w:t>
      </w:r>
      <w:r w:rsidRPr="005D131A">
        <w:rPr>
          <w:rStyle w:val="apple-converted-space"/>
          <w:i/>
          <w:sz w:val="28"/>
          <w:szCs w:val="28"/>
          <w:shd w:val="clear" w:color="auto" w:fill="FFFFFF"/>
        </w:rPr>
        <w:t>“no incluidas”</w:t>
      </w:r>
      <w:r w:rsidRPr="005D131A">
        <w:rPr>
          <w:rStyle w:val="apple-converted-space"/>
          <w:sz w:val="28"/>
          <w:szCs w:val="28"/>
          <w:shd w:val="clear" w:color="auto" w:fill="FFFFFF"/>
        </w:rPr>
        <w:t xml:space="preserve">. Las normas del régimen subsidiado, resoluciones 5334 de 2008 y 1479 de 2015, tampoco fueron claras al respecto, ya que prescriben los mecanismos para agilizar los trámites requeridos para la atención en salud de los eventos no incluidos en el plan de beneficios. </w:t>
      </w:r>
    </w:p>
    <w:p w:rsidR="00076B35" w:rsidRPr="005D131A" w:rsidRDefault="00076B35" w:rsidP="005D131A">
      <w:pPr>
        <w:pStyle w:val="Prrafodelista"/>
        <w:tabs>
          <w:tab w:val="left" w:pos="1134"/>
        </w:tabs>
        <w:ind w:left="0"/>
        <w:rPr>
          <w:rStyle w:val="apple-converted-space"/>
          <w:sz w:val="28"/>
          <w:szCs w:val="28"/>
          <w:shd w:val="clear" w:color="auto" w:fill="FFFFFF"/>
        </w:rPr>
      </w:pPr>
    </w:p>
    <w:p w:rsidR="00076B35" w:rsidRPr="005D131A" w:rsidRDefault="00076B35" w:rsidP="005D131A">
      <w:pPr>
        <w:pStyle w:val="Prrafodelista"/>
        <w:tabs>
          <w:tab w:val="left" w:pos="1134"/>
        </w:tabs>
        <w:ind w:left="0"/>
        <w:rPr>
          <w:rStyle w:val="apple-converted-space"/>
          <w:sz w:val="28"/>
          <w:szCs w:val="28"/>
          <w:shd w:val="clear" w:color="auto" w:fill="FFFFFF"/>
        </w:rPr>
      </w:pPr>
      <w:r w:rsidRPr="005D131A">
        <w:rPr>
          <w:rStyle w:val="apple-converted-space"/>
          <w:sz w:val="28"/>
          <w:szCs w:val="28"/>
          <w:shd w:val="clear" w:color="auto" w:fill="FFFFFF"/>
        </w:rPr>
        <w:t xml:space="preserve">Ahora bien, en noviembre de 2014 el Comité </w:t>
      </w:r>
      <w:r w:rsidRPr="005D131A">
        <w:rPr>
          <w:sz w:val="28"/>
          <w:szCs w:val="28"/>
          <w:lang w:val="es-CO"/>
        </w:rPr>
        <w:t xml:space="preserve">de Criterios y Lineamientos Técnicos para el Reconocimiento de Tecnologías en Salud no POS del Ministerio </w:t>
      </w:r>
      <w:r w:rsidRPr="005D131A">
        <w:rPr>
          <w:rStyle w:val="apple-converted-space"/>
          <w:sz w:val="28"/>
          <w:szCs w:val="28"/>
          <w:shd w:val="clear" w:color="auto" w:fill="FFFFFF"/>
        </w:rPr>
        <w:t xml:space="preserve">expidió una nota externa en la que explicaba los requisitos para que los comités aprobaran dichos servicios y las EPS obtuvieran el consiguiente recobro. No obstante, no es claro que tal acto administrativo tenga la capacidad de zanjar la contradicción de la Resolución 5395 de 2013, ya que esta última sigue consagrando el procedimiento para estudiar las prestaciones </w:t>
      </w:r>
      <w:r w:rsidRPr="005D131A">
        <w:rPr>
          <w:rStyle w:val="apple-converted-space"/>
          <w:i/>
          <w:sz w:val="28"/>
          <w:szCs w:val="28"/>
          <w:shd w:val="clear" w:color="auto" w:fill="FFFFFF"/>
        </w:rPr>
        <w:t xml:space="preserve">“no incluidas”. </w:t>
      </w:r>
    </w:p>
    <w:p w:rsidR="00035594" w:rsidRPr="005D131A" w:rsidRDefault="00035594" w:rsidP="005D131A">
      <w:pPr>
        <w:pStyle w:val="Prrafodelista"/>
        <w:tabs>
          <w:tab w:val="left" w:pos="6112"/>
        </w:tabs>
        <w:ind w:left="0"/>
        <w:rPr>
          <w:sz w:val="28"/>
          <w:szCs w:val="28"/>
          <w:shd w:val="clear" w:color="auto" w:fill="FFFFFF"/>
        </w:rPr>
      </w:pPr>
    </w:p>
    <w:p w:rsidR="00076B35" w:rsidRPr="005D131A" w:rsidRDefault="00076B35" w:rsidP="005D131A">
      <w:pPr>
        <w:pStyle w:val="Prrafodelista"/>
        <w:tabs>
          <w:tab w:val="left" w:pos="1276"/>
        </w:tabs>
        <w:ind w:left="0"/>
        <w:rPr>
          <w:sz w:val="28"/>
          <w:szCs w:val="28"/>
        </w:rPr>
      </w:pPr>
      <w:r w:rsidRPr="005D131A">
        <w:rPr>
          <w:sz w:val="28"/>
          <w:szCs w:val="28"/>
        </w:rPr>
        <w:t xml:space="preserve">El Ministerio acreditó como resultados de la extensión del mecanismo del CTC a tecnologías no POS diferentes a medicamentos, el incremento de los valores recobrados por las EPS ante el Fosyga por ellas. Para el efecto, allegó las cifras discriminándolas por tipos de servicio en los siguientes términos: </w:t>
      </w:r>
    </w:p>
    <w:p w:rsidR="000C10EE" w:rsidRPr="005D131A" w:rsidRDefault="000C10EE" w:rsidP="005D131A">
      <w:pPr>
        <w:pStyle w:val="Prrafodelista"/>
        <w:tabs>
          <w:tab w:val="left" w:pos="1276"/>
        </w:tabs>
        <w:ind w:left="0"/>
        <w:rPr>
          <w:sz w:val="28"/>
          <w:szCs w:val="28"/>
        </w:rPr>
      </w:pPr>
    </w:p>
    <w:p w:rsidR="00447B14" w:rsidRPr="005D131A" w:rsidRDefault="00076B35" w:rsidP="005D131A">
      <w:pPr>
        <w:pStyle w:val="Descripcin"/>
        <w:keepNext/>
        <w:spacing w:line="240" w:lineRule="auto"/>
        <w:rPr>
          <w:b w:val="0"/>
          <w:szCs w:val="28"/>
        </w:rPr>
      </w:pPr>
      <w:r w:rsidRPr="005D131A">
        <w:rPr>
          <w:b w:val="0"/>
          <w:szCs w:val="28"/>
        </w:rPr>
        <w:t xml:space="preserve">Figura núm. </w:t>
      </w:r>
      <w:r w:rsidRPr="005D131A">
        <w:rPr>
          <w:b w:val="0"/>
          <w:szCs w:val="28"/>
        </w:rPr>
        <w:fldChar w:fldCharType="begin"/>
      </w:r>
      <w:r w:rsidRPr="005D131A">
        <w:rPr>
          <w:b w:val="0"/>
          <w:szCs w:val="28"/>
        </w:rPr>
        <w:instrText xml:space="preserve"> SEQ Figura \* ARABIC </w:instrText>
      </w:r>
      <w:r w:rsidRPr="005D131A">
        <w:rPr>
          <w:b w:val="0"/>
          <w:szCs w:val="28"/>
        </w:rPr>
        <w:fldChar w:fldCharType="separate"/>
      </w:r>
      <w:r w:rsidR="00181F55" w:rsidRPr="005D131A">
        <w:rPr>
          <w:b w:val="0"/>
          <w:noProof/>
          <w:szCs w:val="28"/>
        </w:rPr>
        <w:t>1</w:t>
      </w:r>
      <w:r w:rsidRPr="005D131A">
        <w:rPr>
          <w:b w:val="0"/>
          <w:szCs w:val="28"/>
        </w:rPr>
        <w:fldChar w:fldCharType="end"/>
      </w:r>
    </w:p>
    <w:p w:rsidR="00076B35" w:rsidRPr="005D131A" w:rsidRDefault="00076B35" w:rsidP="005D131A">
      <w:pPr>
        <w:jc w:val="center"/>
        <w:rPr>
          <w:sz w:val="28"/>
          <w:szCs w:val="28"/>
          <w:lang w:val="es-ES_tradnl"/>
        </w:rPr>
      </w:pPr>
      <w:r w:rsidRPr="005D131A">
        <w:rPr>
          <w:sz w:val="28"/>
          <w:szCs w:val="28"/>
          <w:lang w:val="es-ES_tradnl"/>
        </w:rPr>
        <w:t>Composición de los recobros por tipo de tecnología, en millones de pesos</w:t>
      </w:r>
      <w:r w:rsidRPr="005D131A">
        <w:rPr>
          <w:sz w:val="28"/>
          <w:szCs w:val="28"/>
          <w:vertAlign w:val="superscript"/>
          <w:lang w:val="es-ES_tradnl"/>
        </w:rPr>
        <w:footnoteReference w:id="149"/>
      </w:r>
    </w:p>
    <w:p w:rsidR="00447B14" w:rsidRPr="005D131A" w:rsidRDefault="00447B14" w:rsidP="005D131A">
      <w:pPr>
        <w:jc w:val="center"/>
        <w:rPr>
          <w:sz w:val="28"/>
          <w:szCs w:val="28"/>
          <w:lang w:val="es-ES_tradnl"/>
        </w:rPr>
      </w:pPr>
    </w:p>
    <w:p w:rsidR="00447B14" w:rsidRPr="005D131A" w:rsidRDefault="00447B14" w:rsidP="005D131A">
      <w:pPr>
        <w:jc w:val="center"/>
        <w:rPr>
          <w:sz w:val="28"/>
          <w:szCs w:val="28"/>
          <w:lang w:val="es-ES_tradnl"/>
        </w:rPr>
      </w:pPr>
    </w:p>
    <w:p w:rsidR="00076B35" w:rsidRPr="005D131A" w:rsidRDefault="00076B35" w:rsidP="005D131A">
      <w:pPr>
        <w:jc w:val="center"/>
        <w:rPr>
          <w:sz w:val="28"/>
          <w:szCs w:val="28"/>
          <w:lang w:val="es-ES_tradnl"/>
        </w:rPr>
      </w:pPr>
    </w:p>
    <w:p w:rsidR="00076B35" w:rsidRPr="005D131A" w:rsidRDefault="008A0E09" w:rsidP="005D131A">
      <w:pPr>
        <w:pStyle w:val="Prrafodelista"/>
        <w:tabs>
          <w:tab w:val="left" w:pos="1276"/>
        </w:tabs>
        <w:ind w:left="0"/>
        <w:jc w:val="center"/>
        <w:rPr>
          <w:sz w:val="28"/>
          <w:szCs w:val="28"/>
        </w:rPr>
      </w:pPr>
      <w:r w:rsidRPr="008A0E09">
        <w:rPr>
          <w:noProof/>
          <w:sz w:val="28"/>
          <w:szCs w:val="28"/>
          <w:shd w:val="clear" w:color="auto" w:fill="FFFFFF"/>
        </w:rPr>
        <w:drawing>
          <wp:inline distT="0" distB="0" distL="0" distR="0">
            <wp:extent cx="4752975" cy="2514600"/>
            <wp:effectExtent l="0" t="0" r="0" b="0"/>
            <wp:docPr id="2" name="Gráfico 79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6B35" w:rsidRPr="005D131A" w:rsidRDefault="00076B35" w:rsidP="005D131A">
      <w:pPr>
        <w:pStyle w:val="Prrafodelista"/>
        <w:tabs>
          <w:tab w:val="left" w:pos="1276"/>
        </w:tabs>
        <w:ind w:left="0"/>
        <w:rPr>
          <w:sz w:val="28"/>
          <w:szCs w:val="28"/>
        </w:rPr>
      </w:pPr>
    </w:p>
    <w:p w:rsidR="00447B14" w:rsidRPr="005D131A" w:rsidRDefault="00447B14" w:rsidP="005D131A">
      <w:pPr>
        <w:pStyle w:val="Prrafodelista"/>
        <w:tabs>
          <w:tab w:val="left" w:pos="1276"/>
        </w:tabs>
        <w:ind w:left="0"/>
        <w:rPr>
          <w:sz w:val="28"/>
          <w:szCs w:val="28"/>
        </w:rPr>
      </w:pPr>
    </w:p>
    <w:p w:rsidR="000C10EE" w:rsidRPr="005D131A" w:rsidRDefault="00076B35" w:rsidP="005D131A">
      <w:pPr>
        <w:pStyle w:val="Prrafodelista"/>
        <w:tabs>
          <w:tab w:val="left" w:pos="1276"/>
        </w:tabs>
        <w:ind w:left="0"/>
        <w:rPr>
          <w:sz w:val="28"/>
          <w:szCs w:val="28"/>
          <w:shd w:val="clear" w:color="auto" w:fill="FFFFFF"/>
        </w:rPr>
      </w:pPr>
      <w:r w:rsidRPr="005D131A">
        <w:rPr>
          <w:sz w:val="28"/>
          <w:szCs w:val="28"/>
        </w:rPr>
        <w:t>Respecto de las tecnologías explícitamente excluidas del plan, sostuvo que el CTC se había consolidado como la herramienta técnica para obtenerlas. Presentó la evolución de los recobros</w:t>
      </w:r>
      <w:r w:rsidRPr="005D131A">
        <w:rPr>
          <w:sz w:val="28"/>
          <w:szCs w:val="28"/>
          <w:shd w:val="clear" w:color="auto" w:fill="FFFFFF"/>
        </w:rPr>
        <w:t xml:space="preserve"> entre 2010 y 2015, así:</w:t>
      </w:r>
    </w:p>
    <w:p w:rsidR="000C10EE" w:rsidRPr="005D131A" w:rsidRDefault="000C10EE" w:rsidP="005D131A">
      <w:pPr>
        <w:pStyle w:val="Prrafodelista"/>
        <w:tabs>
          <w:tab w:val="left" w:pos="1276"/>
        </w:tabs>
        <w:ind w:left="0"/>
        <w:rPr>
          <w:sz w:val="28"/>
          <w:szCs w:val="28"/>
          <w:shd w:val="clear" w:color="auto" w:fill="FFFFFF"/>
        </w:rPr>
      </w:pPr>
    </w:p>
    <w:p w:rsidR="00076B35" w:rsidRPr="005D131A" w:rsidRDefault="00076B35" w:rsidP="005D131A">
      <w:pPr>
        <w:jc w:val="center"/>
        <w:rPr>
          <w:b/>
          <w:sz w:val="28"/>
          <w:szCs w:val="28"/>
        </w:rPr>
      </w:pPr>
      <w:r w:rsidRPr="005D131A">
        <w:rPr>
          <w:sz w:val="28"/>
          <w:szCs w:val="28"/>
        </w:rPr>
        <w:t xml:space="preserve">Figura núm. </w:t>
      </w:r>
      <w:r w:rsidRPr="005D131A">
        <w:rPr>
          <w:sz w:val="28"/>
          <w:szCs w:val="28"/>
        </w:rPr>
        <w:fldChar w:fldCharType="begin"/>
      </w:r>
      <w:r w:rsidRPr="005D131A">
        <w:rPr>
          <w:sz w:val="28"/>
          <w:szCs w:val="28"/>
        </w:rPr>
        <w:instrText xml:space="preserve"> SEQ Figura \* ARABIC </w:instrText>
      </w:r>
      <w:r w:rsidRPr="005D131A">
        <w:rPr>
          <w:sz w:val="28"/>
          <w:szCs w:val="28"/>
        </w:rPr>
        <w:fldChar w:fldCharType="separate"/>
      </w:r>
      <w:r w:rsidR="00181F55" w:rsidRPr="005D131A">
        <w:rPr>
          <w:noProof/>
          <w:sz w:val="28"/>
          <w:szCs w:val="28"/>
        </w:rPr>
        <w:t>2</w:t>
      </w:r>
      <w:r w:rsidRPr="005D131A">
        <w:rPr>
          <w:sz w:val="28"/>
          <w:szCs w:val="28"/>
        </w:rPr>
        <w:fldChar w:fldCharType="end"/>
      </w:r>
    </w:p>
    <w:p w:rsidR="00076B35" w:rsidRPr="005D131A" w:rsidRDefault="00076B35" w:rsidP="005D131A">
      <w:pPr>
        <w:jc w:val="center"/>
        <w:rPr>
          <w:sz w:val="28"/>
          <w:szCs w:val="28"/>
          <w:lang w:val="es-ES_tradnl"/>
        </w:rPr>
      </w:pPr>
      <w:r w:rsidRPr="005D131A">
        <w:rPr>
          <w:sz w:val="28"/>
          <w:szCs w:val="28"/>
          <w:lang w:val="es-ES_tradnl"/>
        </w:rPr>
        <w:t>Recobros por servicios excluidos del plan de beneficios reconocidos (aprobados) por el Fosyga, en millones de pesos</w:t>
      </w:r>
    </w:p>
    <w:p w:rsidR="00076B35" w:rsidRPr="005D131A" w:rsidRDefault="008A0E09" w:rsidP="005D131A">
      <w:pPr>
        <w:pStyle w:val="Prrafodelista"/>
        <w:tabs>
          <w:tab w:val="left" w:pos="1276"/>
        </w:tabs>
        <w:ind w:left="0"/>
        <w:jc w:val="center"/>
        <w:rPr>
          <w:sz w:val="28"/>
          <w:szCs w:val="28"/>
          <w:shd w:val="clear" w:color="auto" w:fill="FFFFFF"/>
        </w:rPr>
      </w:pPr>
      <w:r w:rsidRPr="008A0E09">
        <w:rPr>
          <w:noProof/>
          <w:sz w:val="28"/>
          <w:szCs w:val="28"/>
        </w:rPr>
        <w:drawing>
          <wp:inline distT="0" distB="0" distL="0" distR="0">
            <wp:extent cx="3857625" cy="2352675"/>
            <wp:effectExtent l="0" t="0" r="0" b="0"/>
            <wp:docPr id="3" name="Gráfico 4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6B35" w:rsidRPr="005D131A" w:rsidRDefault="00076B35" w:rsidP="005D131A">
      <w:pPr>
        <w:pStyle w:val="Prrafodelista"/>
        <w:tabs>
          <w:tab w:val="left" w:pos="1276"/>
        </w:tabs>
        <w:ind w:left="0"/>
        <w:rPr>
          <w:sz w:val="28"/>
          <w:szCs w:val="28"/>
        </w:rPr>
      </w:pPr>
    </w:p>
    <w:p w:rsidR="00076B35" w:rsidRPr="005D131A" w:rsidRDefault="00076B35" w:rsidP="005D131A">
      <w:pPr>
        <w:pStyle w:val="Prrafodelista"/>
        <w:tabs>
          <w:tab w:val="left" w:pos="1276"/>
        </w:tabs>
        <w:ind w:left="0"/>
        <w:rPr>
          <w:sz w:val="28"/>
          <w:szCs w:val="28"/>
        </w:rPr>
      </w:pPr>
      <w:r w:rsidRPr="005D131A">
        <w:rPr>
          <w:sz w:val="28"/>
          <w:szCs w:val="28"/>
        </w:rPr>
        <w:t>Detalló la evolución de las cifras por tipo de servicios, a partir de la cual se puede extraer el comportamiento respecto de las cinco clases de tecnologías por las que se realizaron mayores recobros</w:t>
      </w:r>
      <w:r w:rsidRPr="005D131A">
        <w:rPr>
          <w:sz w:val="28"/>
          <w:szCs w:val="28"/>
          <w:vertAlign w:val="superscript"/>
        </w:rPr>
        <w:footnoteReference w:id="150"/>
      </w:r>
      <w:r w:rsidRPr="005D131A">
        <w:rPr>
          <w:sz w:val="28"/>
          <w:szCs w:val="28"/>
        </w:rPr>
        <w:t>, a saber:</w:t>
      </w:r>
    </w:p>
    <w:p w:rsidR="00076B35" w:rsidRPr="005D131A" w:rsidRDefault="00076B35" w:rsidP="005D131A">
      <w:pPr>
        <w:pStyle w:val="Prrafodelista"/>
        <w:tabs>
          <w:tab w:val="left" w:pos="1276"/>
        </w:tabs>
        <w:ind w:left="0"/>
        <w:rPr>
          <w:sz w:val="28"/>
          <w:szCs w:val="28"/>
        </w:rPr>
      </w:pPr>
    </w:p>
    <w:p w:rsidR="00076B35" w:rsidRPr="005D131A" w:rsidRDefault="00076B35" w:rsidP="005D131A">
      <w:pPr>
        <w:pStyle w:val="Descripcin"/>
        <w:keepNext/>
        <w:spacing w:line="240" w:lineRule="auto"/>
        <w:rPr>
          <w:b w:val="0"/>
          <w:szCs w:val="28"/>
        </w:rPr>
      </w:pPr>
      <w:r w:rsidRPr="005D131A">
        <w:rPr>
          <w:b w:val="0"/>
          <w:szCs w:val="28"/>
        </w:rPr>
        <w:t xml:space="preserve">Figura núm. </w:t>
      </w:r>
      <w:r w:rsidRPr="005D131A">
        <w:rPr>
          <w:b w:val="0"/>
          <w:szCs w:val="28"/>
        </w:rPr>
        <w:fldChar w:fldCharType="begin"/>
      </w:r>
      <w:r w:rsidRPr="005D131A">
        <w:rPr>
          <w:b w:val="0"/>
          <w:szCs w:val="28"/>
        </w:rPr>
        <w:instrText xml:space="preserve"> SEQ Figura \* ARABIC </w:instrText>
      </w:r>
      <w:r w:rsidRPr="005D131A">
        <w:rPr>
          <w:b w:val="0"/>
          <w:szCs w:val="28"/>
        </w:rPr>
        <w:fldChar w:fldCharType="separate"/>
      </w:r>
      <w:r w:rsidR="00181F55" w:rsidRPr="005D131A">
        <w:rPr>
          <w:b w:val="0"/>
          <w:noProof/>
          <w:szCs w:val="28"/>
        </w:rPr>
        <w:t>3</w:t>
      </w:r>
      <w:r w:rsidRPr="005D131A">
        <w:rPr>
          <w:b w:val="0"/>
          <w:szCs w:val="28"/>
        </w:rPr>
        <w:fldChar w:fldCharType="end"/>
      </w:r>
    </w:p>
    <w:p w:rsidR="00076B35" w:rsidRPr="005D131A" w:rsidRDefault="00076B35" w:rsidP="005D131A">
      <w:pPr>
        <w:jc w:val="center"/>
        <w:rPr>
          <w:sz w:val="28"/>
          <w:szCs w:val="28"/>
          <w:lang w:val="es-ES_tradnl"/>
        </w:rPr>
      </w:pPr>
      <w:r w:rsidRPr="005D131A">
        <w:rPr>
          <w:sz w:val="28"/>
          <w:szCs w:val="28"/>
          <w:lang w:val="es-ES_tradnl"/>
        </w:rPr>
        <w:t>Recobros por las cinco clases de tecnologías excluidas del POS más recobradas entre 2010 y 2015, en millones de pesos</w:t>
      </w:r>
    </w:p>
    <w:p w:rsidR="00076B35" w:rsidRPr="005D131A" w:rsidRDefault="00076B35" w:rsidP="005D131A">
      <w:pPr>
        <w:jc w:val="center"/>
        <w:rPr>
          <w:sz w:val="28"/>
          <w:szCs w:val="28"/>
          <w:lang w:val="es-ES_tradnl"/>
        </w:rPr>
      </w:pPr>
    </w:p>
    <w:p w:rsidR="00076B35" w:rsidRPr="005D131A" w:rsidRDefault="008A0E09" w:rsidP="005D131A">
      <w:pPr>
        <w:jc w:val="center"/>
        <w:rPr>
          <w:sz w:val="28"/>
          <w:szCs w:val="28"/>
          <w:shd w:val="clear" w:color="auto" w:fill="FFFFFF"/>
        </w:rPr>
      </w:pPr>
      <w:r w:rsidRPr="008A0E09">
        <w:rPr>
          <w:noProof/>
          <w:sz w:val="28"/>
          <w:szCs w:val="28"/>
          <w:shd w:val="clear" w:color="auto" w:fill="FFFFFF"/>
        </w:rPr>
        <w:drawing>
          <wp:inline distT="0" distB="0" distL="0" distR="0">
            <wp:extent cx="4933950" cy="3438525"/>
            <wp:effectExtent l="0" t="0" r="0" b="0"/>
            <wp:docPr id="4" name="Gráfico 4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6B35" w:rsidRPr="005D131A" w:rsidRDefault="00076B35" w:rsidP="005D131A">
      <w:pPr>
        <w:pStyle w:val="Prrafodelista"/>
        <w:tabs>
          <w:tab w:val="left" w:pos="1276"/>
        </w:tabs>
        <w:ind w:left="0"/>
        <w:rPr>
          <w:sz w:val="28"/>
          <w:szCs w:val="28"/>
        </w:rPr>
      </w:pPr>
    </w:p>
    <w:p w:rsidR="00076B35" w:rsidRPr="005D131A" w:rsidRDefault="00076B35" w:rsidP="005D131A">
      <w:pPr>
        <w:pStyle w:val="Prrafodelista"/>
        <w:tabs>
          <w:tab w:val="left" w:pos="1276"/>
        </w:tabs>
        <w:ind w:left="0"/>
        <w:rPr>
          <w:sz w:val="28"/>
          <w:szCs w:val="28"/>
        </w:rPr>
      </w:pPr>
    </w:p>
    <w:p w:rsidR="009B1745" w:rsidRPr="005D131A" w:rsidRDefault="00076B35" w:rsidP="005D131A">
      <w:pPr>
        <w:pStyle w:val="Prrafodelista"/>
        <w:tabs>
          <w:tab w:val="left" w:pos="1276"/>
        </w:tabs>
        <w:ind w:left="0"/>
        <w:rPr>
          <w:rStyle w:val="apple-converted-space"/>
          <w:sz w:val="28"/>
          <w:szCs w:val="28"/>
        </w:rPr>
      </w:pPr>
      <w:r w:rsidRPr="005D131A">
        <w:rPr>
          <w:sz w:val="28"/>
          <w:szCs w:val="28"/>
        </w:rPr>
        <w:t>Con fundamento en esos valores, se puede concluir que a partir de 2009</w:t>
      </w:r>
      <w:r w:rsidRPr="005D131A">
        <w:rPr>
          <w:sz w:val="28"/>
          <w:szCs w:val="28"/>
          <w:vertAlign w:val="superscript"/>
        </w:rPr>
        <w:footnoteReference w:id="151"/>
      </w:r>
      <w:r w:rsidRPr="005D131A">
        <w:rPr>
          <w:sz w:val="28"/>
          <w:szCs w:val="28"/>
        </w:rPr>
        <w:t xml:space="preserve"> el suministro de prestaciones no POS ha permanecido estable, además que se han aprobado reembolsos para los distintos tipos de tecnologías, sin circunscribirse únicamente a medicamentos. En suma, los resultados de la extensión de las funciones del CTC</w:t>
      </w:r>
      <w:r w:rsidR="009D21C8" w:rsidRPr="005D131A">
        <w:rPr>
          <w:sz w:val="28"/>
          <w:szCs w:val="28"/>
        </w:rPr>
        <w:t>, en principio,</w:t>
      </w:r>
      <w:r w:rsidRPr="005D131A">
        <w:rPr>
          <w:sz w:val="28"/>
          <w:szCs w:val="28"/>
        </w:rPr>
        <w:t xml:space="preserve"> son positivos y las medidas adoptadas por el Gobierno Nacional suponen un avance significativo</w:t>
      </w:r>
      <w:r w:rsidRPr="005D131A">
        <w:rPr>
          <w:sz w:val="28"/>
          <w:szCs w:val="28"/>
          <w:vertAlign w:val="superscript"/>
        </w:rPr>
        <w:footnoteReference w:id="152"/>
      </w:r>
      <w:r w:rsidRPr="005D131A">
        <w:rPr>
          <w:sz w:val="28"/>
          <w:szCs w:val="28"/>
        </w:rPr>
        <w:t xml:space="preserve"> en </w:t>
      </w:r>
      <w:r w:rsidR="0010081E" w:rsidRPr="005D131A">
        <w:rPr>
          <w:sz w:val="28"/>
          <w:szCs w:val="28"/>
        </w:rPr>
        <w:t xml:space="preserve">este </w:t>
      </w:r>
      <w:r w:rsidRPr="005D131A">
        <w:rPr>
          <w:sz w:val="28"/>
          <w:szCs w:val="28"/>
        </w:rPr>
        <w:t>aspecto</w:t>
      </w:r>
      <w:r w:rsidR="0010081E" w:rsidRPr="005D131A">
        <w:rPr>
          <w:sz w:val="28"/>
          <w:szCs w:val="28"/>
        </w:rPr>
        <w:t xml:space="preserve"> concerniente</w:t>
      </w:r>
      <w:r w:rsidRPr="005D131A">
        <w:rPr>
          <w:sz w:val="28"/>
          <w:szCs w:val="28"/>
        </w:rPr>
        <w:t xml:space="preserve"> de la orden vigésima tercera bajo estudio. </w:t>
      </w:r>
      <w:r w:rsidR="000C10EE" w:rsidRPr="005D131A">
        <w:rPr>
          <w:sz w:val="28"/>
          <w:szCs w:val="28"/>
        </w:rPr>
        <w:t>Sin embargo, como a</w:t>
      </w:r>
      <w:r w:rsidR="009642DF" w:rsidRPr="005D131A">
        <w:rPr>
          <w:rStyle w:val="apple-converted-space"/>
          <w:sz w:val="28"/>
          <w:szCs w:val="28"/>
          <w:shd w:val="clear" w:color="auto" w:fill="FFFFFF"/>
        </w:rPr>
        <w:t>lguna</w:t>
      </w:r>
      <w:r w:rsidR="009B1745" w:rsidRPr="005D131A">
        <w:rPr>
          <w:rStyle w:val="apple-converted-space"/>
          <w:sz w:val="28"/>
          <w:szCs w:val="28"/>
          <w:shd w:val="clear" w:color="auto" w:fill="FFFFFF"/>
        </w:rPr>
        <w:t>s de las entidades que participaron en el seguimiento manifestaron</w:t>
      </w:r>
      <w:r w:rsidR="009642DF" w:rsidRPr="005D131A">
        <w:rPr>
          <w:rStyle w:val="apple-converted-space"/>
          <w:sz w:val="28"/>
          <w:szCs w:val="28"/>
          <w:shd w:val="clear" w:color="auto" w:fill="FFFFFF"/>
        </w:rPr>
        <w:t xml:space="preserve"> su inconformidad </w:t>
      </w:r>
      <w:r w:rsidR="009438BB" w:rsidRPr="005D131A">
        <w:rPr>
          <w:rStyle w:val="apple-converted-space"/>
          <w:sz w:val="28"/>
          <w:szCs w:val="28"/>
          <w:shd w:val="clear" w:color="auto" w:fill="FFFFFF"/>
        </w:rPr>
        <w:t xml:space="preserve">respecto </w:t>
      </w:r>
      <w:r w:rsidR="0010081E" w:rsidRPr="005D131A">
        <w:rPr>
          <w:rStyle w:val="apple-converted-space"/>
          <w:sz w:val="28"/>
          <w:szCs w:val="28"/>
          <w:shd w:val="clear" w:color="auto" w:fill="FFFFFF"/>
        </w:rPr>
        <w:t>a la norma</w:t>
      </w:r>
      <w:r w:rsidR="009642DF" w:rsidRPr="005D131A">
        <w:rPr>
          <w:rStyle w:val="apple-converted-space"/>
          <w:sz w:val="28"/>
          <w:szCs w:val="28"/>
          <w:shd w:val="clear" w:color="auto" w:fill="FFFFFF"/>
        </w:rPr>
        <w:t xml:space="preserve"> </w:t>
      </w:r>
      <w:r w:rsidR="009D21C8" w:rsidRPr="005D131A">
        <w:rPr>
          <w:rStyle w:val="apple-converted-space"/>
          <w:sz w:val="28"/>
          <w:szCs w:val="28"/>
          <w:shd w:val="clear" w:color="auto" w:fill="FFFFFF"/>
        </w:rPr>
        <w:t xml:space="preserve">se hace imperioso resaltar y analizar los argumentos expuestos por dichos entes. </w:t>
      </w:r>
    </w:p>
    <w:p w:rsidR="009438BB" w:rsidRPr="005D131A" w:rsidRDefault="009438BB" w:rsidP="005D131A">
      <w:pPr>
        <w:tabs>
          <w:tab w:val="left" w:pos="567"/>
          <w:tab w:val="left" w:pos="1276"/>
        </w:tabs>
        <w:contextualSpacing/>
        <w:rPr>
          <w:sz w:val="28"/>
          <w:szCs w:val="28"/>
          <w:lang w:val="es-CO"/>
        </w:rPr>
      </w:pPr>
    </w:p>
    <w:p w:rsidR="009438BB" w:rsidRPr="005D131A" w:rsidRDefault="009438BB" w:rsidP="005D131A">
      <w:pPr>
        <w:shd w:val="clear" w:color="auto" w:fill="FFFFFF"/>
        <w:rPr>
          <w:sz w:val="28"/>
          <w:szCs w:val="28"/>
          <w:lang w:val="es-CO"/>
        </w:rPr>
      </w:pPr>
      <w:r w:rsidRPr="005D131A">
        <w:rPr>
          <w:sz w:val="28"/>
          <w:szCs w:val="28"/>
          <w:lang w:val="es-CO"/>
        </w:rPr>
        <w:t>i) La Superintendencia de Salud</w:t>
      </w:r>
      <w:r w:rsidRPr="005D131A">
        <w:rPr>
          <w:sz w:val="28"/>
          <w:szCs w:val="28"/>
          <w:vertAlign w:val="superscript"/>
          <w:lang w:val="es-CO"/>
        </w:rPr>
        <w:footnoteReference w:id="153"/>
      </w:r>
      <w:r w:rsidRPr="005D131A">
        <w:rPr>
          <w:sz w:val="28"/>
          <w:szCs w:val="28"/>
          <w:lang w:val="es-CO"/>
        </w:rPr>
        <w:t xml:space="preserve"> sostuvo que existe un vacío normativo en cuanto a qué casos o bajo qué condiciones pueden ser sometidos aquellos servicios que son exclusiones explícitas del POS al trámite ante CTC. Como sustento, trascribió el parágrafo del artículo 6 de la Resolución 3099 de 2008</w:t>
      </w:r>
      <w:r w:rsidRPr="005D131A">
        <w:rPr>
          <w:sz w:val="28"/>
          <w:szCs w:val="28"/>
          <w:vertAlign w:val="superscript"/>
          <w:lang w:val="es-CO"/>
        </w:rPr>
        <w:footnoteReference w:id="154"/>
      </w:r>
      <w:r w:rsidRPr="005D131A">
        <w:rPr>
          <w:sz w:val="28"/>
          <w:szCs w:val="28"/>
          <w:lang w:val="es-CO"/>
        </w:rPr>
        <w:t>.</w:t>
      </w:r>
    </w:p>
    <w:p w:rsidR="00777CD1" w:rsidRPr="005D131A" w:rsidRDefault="00777CD1" w:rsidP="005D131A">
      <w:pPr>
        <w:shd w:val="clear" w:color="auto" w:fill="FFFFFF"/>
        <w:rPr>
          <w:sz w:val="28"/>
          <w:szCs w:val="28"/>
          <w:lang w:val="es-CO"/>
        </w:rPr>
      </w:pPr>
    </w:p>
    <w:p w:rsidR="009438BB" w:rsidRPr="005D131A" w:rsidRDefault="009438BB" w:rsidP="005D131A">
      <w:pPr>
        <w:pStyle w:val="Prrafodelista"/>
        <w:tabs>
          <w:tab w:val="left" w:pos="851"/>
        </w:tabs>
        <w:ind w:left="0"/>
        <w:rPr>
          <w:sz w:val="28"/>
          <w:szCs w:val="28"/>
          <w:lang w:val="es-CO"/>
        </w:rPr>
      </w:pPr>
      <w:r w:rsidRPr="005D131A">
        <w:rPr>
          <w:sz w:val="28"/>
          <w:szCs w:val="28"/>
          <w:lang w:val="es-CO"/>
        </w:rPr>
        <w:t>ii) La Defensoría del Pueblo cuestionó que la Resolución 3099 de 2008 contribuyera al goce efectivo del derecho, debido a que su finalidad principal era la regulación de las condiciones del recobro de prestaciones no POS y no que los ciudadanos pudieran acceder a ellas. Sostuvo que la norma no daba solución a la falla de regulación evidenciada puesto que el CTC no puede revisar dictámenes de médicos particulares, se exige que esté en peligro la vida y/o la salud del paciente para obtener una decisión favorable y la falta de periodicidad de las reuniones impide que el suministro sea oportuno</w:t>
      </w:r>
      <w:r w:rsidRPr="005D131A">
        <w:rPr>
          <w:sz w:val="28"/>
          <w:szCs w:val="28"/>
          <w:vertAlign w:val="superscript"/>
          <w:lang w:val="es-CO"/>
        </w:rPr>
        <w:footnoteReference w:id="155"/>
      </w:r>
      <w:r w:rsidRPr="005D131A">
        <w:rPr>
          <w:sz w:val="28"/>
          <w:szCs w:val="28"/>
          <w:lang w:val="es-CO"/>
        </w:rPr>
        <w:t>.</w:t>
      </w:r>
    </w:p>
    <w:p w:rsidR="009438BB" w:rsidRPr="005D131A" w:rsidRDefault="009438BB" w:rsidP="005D131A">
      <w:pPr>
        <w:pStyle w:val="Prrafodelista"/>
        <w:tabs>
          <w:tab w:val="left" w:pos="567"/>
          <w:tab w:val="left" w:pos="993"/>
        </w:tabs>
        <w:ind w:left="0"/>
        <w:contextualSpacing/>
        <w:rPr>
          <w:sz w:val="28"/>
          <w:szCs w:val="28"/>
          <w:lang w:val="es-CO"/>
        </w:rPr>
      </w:pPr>
    </w:p>
    <w:p w:rsidR="009438BB" w:rsidRPr="005D131A" w:rsidRDefault="009438BB" w:rsidP="005D131A">
      <w:pPr>
        <w:pStyle w:val="Prrafodelista"/>
        <w:tabs>
          <w:tab w:val="left" w:pos="567"/>
          <w:tab w:val="left" w:pos="993"/>
        </w:tabs>
        <w:ind w:left="0"/>
        <w:contextualSpacing/>
        <w:rPr>
          <w:sz w:val="28"/>
          <w:szCs w:val="28"/>
          <w:lang w:val="es-CO"/>
        </w:rPr>
      </w:pPr>
      <w:r w:rsidRPr="005D131A">
        <w:rPr>
          <w:sz w:val="28"/>
          <w:szCs w:val="28"/>
          <w:lang w:val="es-CO"/>
        </w:rPr>
        <w:t xml:space="preserve">En el mismo sentido, las EPS de ambos regímenes adujeron como una de las principales dificultades de la normatividad la falta de delimitación de los planes y servicios </w:t>
      </w:r>
      <w:r w:rsidR="00490D15" w:rsidRPr="005D131A">
        <w:rPr>
          <w:sz w:val="28"/>
          <w:szCs w:val="28"/>
          <w:lang w:val="es-CO"/>
        </w:rPr>
        <w:t>sometidos a consideración y aprobación por parte de los CTC. Tal reparo se refleja</w:t>
      </w:r>
      <w:r w:rsidR="0010081E" w:rsidRPr="005D131A">
        <w:rPr>
          <w:sz w:val="28"/>
          <w:szCs w:val="28"/>
          <w:lang w:val="es-CO"/>
        </w:rPr>
        <w:t>, por ejemplo, en que el motivo de negación más usual es</w:t>
      </w:r>
      <w:r w:rsidR="00490D15" w:rsidRPr="005D131A">
        <w:rPr>
          <w:sz w:val="28"/>
          <w:szCs w:val="28"/>
          <w:lang w:val="es-CO"/>
        </w:rPr>
        <w:t xml:space="preserve"> que </w:t>
      </w:r>
      <w:r w:rsidRPr="005D131A">
        <w:rPr>
          <w:sz w:val="28"/>
          <w:szCs w:val="28"/>
          <w:lang w:val="es-CO"/>
        </w:rPr>
        <w:t xml:space="preserve">el servicio: </w:t>
      </w:r>
      <w:r w:rsidRPr="005D131A">
        <w:rPr>
          <w:i/>
          <w:sz w:val="28"/>
          <w:szCs w:val="28"/>
          <w:lang w:val="es-CO"/>
        </w:rPr>
        <w:t>i)</w:t>
      </w:r>
      <w:r w:rsidRPr="005D131A">
        <w:rPr>
          <w:sz w:val="28"/>
          <w:szCs w:val="28"/>
          <w:lang w:val="es-CO"/>
        </w:rPr>
        <w:t xml:space="preserve"> no se enmarque en el concepto de salud o </w:t>
      </w:r>
      <w:r w:rsidRPr="005D131A">
        <w:rPr>
          <w:i/>
          <w:sz w:val="28"/>
          <w:szCs w:val="28"/>
          <w:lang w:val="es-CO"/>
        </w:rPr>
        <w:t>ii)</w:t>
      </w:r>
      <w:r w:rsidRPr="005D131A">
        <w:rPr>
          <w:sz w:val="28"/>
          <w:szCs w:val="28"/>
          <w:lang w:val="es-CO"/>
        </w:rPr>
        <w:t xml:space="preserve"> que este sea de aquellos que han sido expresamente excluidos del plan</w:t>
      </w:r>
      <w:r w:rsidRPr="005D131A">
        <w:rPr>
          <w:sz w:val="28"/>
          <w:szCs w:val="28"/>
          <w:vertAlign w:val="superscript"/>
          <w:lang w:val="es-CO"/>
        </w:rPr>
        <w:footnoteReference w:id="156"/>
      </w:r>
      <w:r w:rsidRPr="005D131A">
        <w:rPr>
          <w:sz w:val="28"/>
          <w:szCs w:val="28"/>
          <w:lang w:val="es-CO"/>
        </w:rPr>
        <w:t>.</w:t>
      </w:r>
    </w:p>
    <w:p w:rsidR="009438BB" w:rsidRPr="005D131A" w:rsidRDefault="009438BB" w:rsidP="005D131A">
      <w:pPr>
        <w:pStyle w:val="Prrafodelista"/>
        <w:tabs>
          <w:tab w:val="left" w:pos="567"/>
          <w:tab w:val="left" w:pos="993"/>
        </w:tabs>
        <w:ind w:left="0"/>
        <w:contextualSpacing/>
        <w:rPr>
          <w:sz w:val="28"/>
          <w:szCs w:val="28"/>
          <w:lang w:val="es-CO"/>
        </w:rPr>
      </w:pPr>
    </w:p>
    <w:p w:rsidR="009B1745" w:rsidRPr="005D131A" w:rsidRDefault="009B1745" w:rsidP="005D131A">
      <w:pPr>
        <w:pStyle w:val="Prrafodelista"/>
        <w:tabs>
          <w:tab w:val="left" w:pos="567"/>
          <w:tab w:val="left" w:pos="993"/>
        </w:tabs>
        <w:ind w:left="0"/>
        <w:contextualSpacing/>
        <w:rPr>
          <w:sz w:val="28"/>
          <w:szCs w:val="28"/>
          <w:lang w:val="es-CO"/>
        </w:rPr>
      </w:pPr>
      <w:r w:rsidRPr="005D131A">
        <w:rPr>
          <w:sz w:val="28"/>
          <w:szCs w:val="28"/>
          <w:lang w:val="es-CO"/>
        </w:rPr>
        <w:t>Para Acemi, a la luz</w:t>
      </w:r>
      <w:r w:rsidR="00490D15" w:rsidRPr="005D131A">
        <w:rPr>
          <w:sz w:val="28"/>
          <w:szCs w:val="28"/>
          <w:lang w:val="es-CO"/>
        </w:rPr>
        <w:t xml:space="preserve"> de la Resolución 3099 de 2008 </w:t>
      </w:r>
      <w:r w:rsidRPr="005D131A">
        <w:rPr>
          <w:sz w:val="28"/>
          <w:szCs w:val="28"/>
          <w:lang w:val="es-CO"/>
        </w:rPr>
        <w:t>no resultaba claro el alcance de la facultad de los CTC para autorizar las prestaciones explícitamente excluidas del POS, como el transporte no medicalizado fuera de las zonas especiales, los viáticos para el afiliado y su acompañante, los pañales, las cremas y las lociones, los colegios especiales y las terapias recreacionales, el servicio de grúa para traslado de pacientes con obesidad, las monturas de gafas, las medias para várices, los suplementos dietarios y las prestaciones en el exterior</w:t>
      </w:r>
      <w:r w:rsidRPr="005D131A">
        <w:rPr>
          <w:sz w:val="28"/>
          <w:szCs w:val="28"/>
          <w:vertAlign w:val="superscript"/>
          <w:lang w:val="es-CO"/>
        </w:rPr>
        <w:footnoteReference w:id="157"/>
      </w:r>
      <w:r w:rsidRPr="005D131A">
        <w:rPr>
          <w:sz w:val="28"/>
          <w:szCs w:val="28"/>
          <w:lang w:val="es-CO"/>
        </w:rPr>
        <w:t>. Por ello, solicitó</w:t>
      </w:r>
      <w:r w:rsidR="004346E0" w:rsidRPr="005D131A">
        <w:rPr>
          <w:sz w:val="28"/>
          <w:szCs w:val="28"/>
          <w:lang w:val="es-CO"/>
        </w:rPr>
        <w:t xml:space="preserve"> la creación de</w:t>
      </w:r>
      <w:r w:rsidRPr="005D131A">
        <w:rPr>
          <w:sz w:val="28"/>
          <w:szCs w:val="28"/>
          <w:lang w:val="es-CO"/>
        </w:rPr>
        <w:t xml:space="preserve"> un mecanismo</w:t>
      </w:r>
      <w:r w:rsidR="00490D15" w:rsidRPr="005D131A">
        <w:rPr>
          <w:sz w:val="28"/>
          <w:szCs w:val="28"/>
          <w:lang w:val="es-CO"/>
        </w:rPr>
        <w:t xml:space="preserve"> ágil y claro que permitiera</w:t>
      </w:r>
      <w:r w:rsidRPr="005D131A">
        <w:rPr>
          <w:sz w:val="28"/>
          <w:szCs w:val="28"/>
          <w:lang w:val="es-CO"/>
        </w:rPr>
        <w:t xml:space="preserve"> autorizar de manera excepcional y en equidad esos servicios</w:t>
      </w:r>
      <w:r w:rsidRPr="005D131A">
        <w:rPr>
          <w:sz w:val="28"/>
          <w:szCs w:val="28"/>
          <w:vertAlign w:val="superscript"/>
          <w:lang w:val="es-CO"/>
        </w:rPr>
        <w:footnoteReference w:id="158"/>
      </w:r>
      <w:r w:rsidRPr="005D131A">
        <w:rPr>
          <w:sz w:val="28"/>
          <w:szCs w:val="28"/>
          <w:lang w:val="es-CO"/>
        </w:rPr>
        <w:t>.</w:t>
      </w:r>
    </w:p>
    <w:p w:rsidR="00E36185" w:rsidRPr="005D131A" w:rsidRDefault="00E36185" w:rsidP="005D131A">
      <w:pPr>
        <w:pStyle w:val="Prrafodelista"/>
        <w:tabs>
          <w:tab w:val="left" w:pos="567"/>
          <w:tab w:val="left" w:pos="993"/>
        </w:tabs>
        <w:ind w:left="0"/>
        <w:contextualSpacing/>
        <w:rPr>
          <w:sz w:val="28"/>
          <w:szCs w:val="28"/>
          <w:lang w:val="es-CO"/>
        </w:rPr>
      </w:pPr>
    </w:p>
    <w:p w:rsidR="00400493" w:rsidRPr="005D131A" w:rsidRDefault="00490D15" w:rsidP="005D131A">
      <w:pPr>
        <w:pStyle w:val="Prrafodelista"/>
        <w:tabs>
          <w:tab w:val="left" w:pos="851"/>
        </w:tabs>
        <w:ind w:left="0"/>
        <w:rPr>
          <w:sz w:val="28"/>
          <w:szCs w:val="28"/>
          <w:lang w:val="es-CO"/>
        </w:rPr>
      </w:pPr>
      <w:r w:rsidRPr="005D131A">
        <w:rPr>
          <w:sz w:val="28"/>
          <w:szCs w:val="28"/>
          <w:lang w:val="es-CO"/>
        </w:rPr>
        <w:t xml:space="preserve">v) </w:t>
      </w:r>
      <w:r w:rsidR="00400493" w:rsidRPr="005D131A">
        <w:rPr>
          <w:sz w:val="28"/>
          <w:szCs w:val="28"/>
          <w:lang w:val="es-CO"/>
        </w:rPr>
        <w:t>Algunos Grupos de Seguimiento</w:t>
      </w:r>
      <w:r w:rsidR="00400493" w:rsidRPr="005D131A">
        <w:rPr>
          <w:sz w:val="28"/>
          <w:szCs w:val="28"/>
          <w:vertAlign w:val="superscript"/>
          <w:lang w:val="es-CO"/>
        </w:rPr>
        <w:footnoteReference w:id="159"/>
      </w:r>
      <w:r w:rsidR="00A22AFF" w:rsidRPr="005D131A">
        <w:rPr>
          <w:sz w:val="28"/>
          <w:szCs w:val="28"/>
          <w:lang w:val="es-CO"/>
        </w:rPr>
        <w:t xml:space="preserve"> pusieron en duda</w:t>
      </w:r>
      <w:r w:rsidR="00400493" w:rsidRPr="005D131A">
        <w:rPr>
          <w:sz w:val="28"/>
          <w:szCs w:val="28"/>
          <w:lang w:val="es-CO"/>
        </w:rPr>
        <w:t xml:space="preserve"> la independencia de los comités, por cuanto sus miembros son elegidos por las EPS y la figura del representante de los usuarios no es sólida, debido a la baja organización social alrededor del sistema de salud. Esta circunstancia sumada a la desconfianza y el desconocimiento del mecanismo por parte de los afiliados y de los médicos facilitan la manipulación de los conceptos de los CTC. Llamaron la atención sobre los riesgos que corren los pacientes cuando deben agotar el trámite en situaciones de urgencia que no son evidentes, así como que la falta de uniformidad de la información remitida por las promotoras, que impide evaluar el avance en el goce efectivo del derecho. </w:t>
      </w:r>
      <w:r w:rsidR="00A22AFF" w:rsidRPr="005D131A">
        <w:rPr>
          <w:sz w:val="28"/>
          <w:szCs w:val="28"/>
          <w:lang w:val="es-CO"/>
        </w:rPr>
        <w:t>Finalmente</w:t>
      </w:r>
      <w:r w:rsidR="0010081E" w:rsidRPr="005D131A">
        <w:rPr>
          <w:sz w:val="28"/>
          <w:szCs w:val="28"/>
          <w:lang w:val="es-CO"/>
        </w:rPr>
        <w:t>,</w:t>
      </w:r>
      <w:r w:rsidR="00A22AFF" w:rsidRPr="005D131A">
        <w:rPr>
          <w:sz w:val="28"/>
          <w:szCs w:val="28"/>
          <w:lang w:val="es-CO"/>
        </w:rPr>
        <w:t xml:space="preserve"> señalaron que el elevado número de casos que deben analizar los CTC implica que quienes lo integran dediquen un importante porcentaje de su tiempo laboral o personal, por lo que su labor debería ser remunerada. </w:t>
      </w:r>
    </w:p>
    <w:p w:rsidR="00400493" w:rsidRPr="005D131A" w:rsidRDefault="00400493" w:rsidP="005D131A">
      <w:pPr>
        <w:shd w:val="clear" w:color="auto" w:fill="FFFFFF"/>
        <w:rPr>
          <w:sz w:val="28"/>
          <w:szCs w:val="28"/>
          <w:lang w:val="es-CO"/>
        </w:rPr>
      </w:pPr>
    </w:p>
    <w:p w:rsidR="0074403D" w:rsidRPr="005D131A" w:rsidRDefault="007534C2" w:rsidP="005D131A">
      <w:pPr>
        <w:pStyle w:val="Prrafodelista"/>
        <w:tabs>
          <w:tab w:val="left" w:pos="1134"/>
        </w:tabs>
        <w:ind w:left="0"/>
        <w:rPr>
          <w:rStyle w:val="apple-converted-space"/>
          <w:sz w:val="28"/>
          <w:szCs w:val="28"/>
          <w:shd w:val="clear" w:color="auto" w:fill="FFFFFF"/>
        </w:rPr>
      </w:pPr>
      <w:r w:rsidRPr="005D131A">
        <w:rPr>
          <w:sz w:val="28"/>
          <w:szCs w:val="28"/>
          <w:shd w:val="clear" w:color="auto" w:fill="FFFFFF"/>
        </w:rPr>
        <w:t>5</w:t>
      </w:r>
      <w:r w:rsidR="00F11294" w:rsidRPr="005D131A">
        <w:rPr>
          <w:sz w:val="28"/>
          <w:szCs w:val="28"/>
          <w:shd w:val="clear" w:color="auto" w:fill="FFFFFF"/>
        </w:rPr>
        <w:t xml:space="preserve">.3.4. </w:t>
      </w:r>
      <w:r w:rsidR="0014764D" w:rsidRPr="005D131A">
        <w:rPr>
          <w:rStyle w:val="apple-converted-space"/>
          <w:sz w:val="28"/>
          <w:szCs w:val="28"/>
          <w:shd w:val="clear" w:color="auto" w:fill="FFFFFF"/>
        </w:rPr>
        <w:t>Sobre el particular</w:t>
      </w:r>
      <w:r w:rsidR="0074403D" w:rsidRPr="005D131A">
        <w:rPr>
          <w:rStyle w:val="apple-converted-space"/>
          <w:sz w:val="28"/>
          <w:szCs w:val="28"/>
          <w:shd w:val="clear" w:color="auto" w:fill="FFFFFF"/>
        </w:rPr>
        <w:t xml:space="preserve">, </w:t>
      </w:r>
      <w:r w:rsidR="007D0C33" w:rsidRPr="005D131A">
        <w:rPr>
          <w:rStyle w:val="apple-converted-space"/>
          <w:sz w:val="28"/>
          <w:szCs w:val="28"/>
          <w:shd w:val="clear" w:color="auto" w:fill="FFFFFF"/>
        </w:rPr>
        <w:t>no</w:t>
      </w:r>
      <w:r w:rsidR="0074403D" w:rsidRPr="005D131A">
        <w:rPr>
          <w:rStyle w:val="apple-converted-space"/>
          <w:sz w:val="28"/>
          <w:szCs w:val="28"/>
          <w:shd w:val="clear" w:color="auto" w:fill="FFFFFF"/>
        </w:rPr>
        <w:t xml:space="preserve"> resulta claro </w:t>
      </w:r>
      <w:r w:rsidR="007D0C33" w:rsidRPr="005D131A">
        <w:rPr>
          <w:rStyle w:val="apple-converted-space"/>
          <w:sz w:val="28"/>
          <w:szCs w:val="28"/>
          <w:shd w:val="clear" w:color="auto" w:fill="FFFFFF"/>
        </w:rPr>
        <w:t xml:space="preserve">para la Sala de Seguimiento </w:t>
      </w:r>
      <w:r w:rsidR="0074403D" w:rsidRPr="005D131A">
        <w:rPr>
          <w:rStyle w:val="apple-converted-space"/>
          <w:sz w:val="28"/>
          <w:szCs w:val="28"/>
          <w:shd w:val="clear" w:color="auto" w:fill="FFFFFF"/>
        </w:rPr>
        <w:t xml:space="preserve">si la expresión </w:t>
      </w:r>
      <w:r w:rsidR="0074403D" w:rsidRPr="005D131A">
        <w:rPr>
          <w:rStyle w:val="apple-converted-space"/>
          <w:i/>
          <w:sz w:val="28"/>
          <w:szCs w:val="28"/>
          <w:shd w:val="clear" w:color="auto" w:fill="FFFFFF"/>
        </w:rPr>
        <w:t>“por fuera”</w:t>
      </w:r>
      <w:r w:rsidR="0074403D" w:rsidRPr="005D131A">
        <w:rPr>
          <w:rStyle w:val="apple-converted-space"/>
          <w:sz w:val="28"/>
          <w:szCs w:val="28"/>
          <w:shd w:val="clear" w:color="auto" w:fill="FFFFFF"/>
        </w:rPr>
        <w:t xml:space="preserve"> cobijaba los servicios no incluidos y los explícitamente excluidos, tal y como pidió la orden vigésimo tercera. A tal indeterminación se suma </w:t>
      </w:r>
      <w:r w:rsidR="0014764D" w:rsidRPr="005D131A">
        <w:rPr>
          <w:rStyle w:val="apple-converted-space"/>
          <w:sz w:val="28"/>
          <w:szCs w:val="28"/>
          <w:shd w:val="clear" w:color="auto" w:fill="FFFFFF"/>
        </w:rPr>
        <w:t xml:space="preserve">que </w:t>
      </w:r>
      <w:r w:rsidR="009F33F4" w:rsidRPr="005D131A">
        <w:rPr>
          <w:rStyle w:val="apple-converted-space"/>
          <w:sz w:val="28"/>
          <w:szCs w:val="28"/>
          <w:shd w:val="clear" w:color="auto" w:fill="FFFFFF"/>
        </w:rPr>
        <w:t xml:space="preserve">la norma </w:t>
      </w:r>
      <w:r w:rsidR="0014764D" w:rsidRPr="005D131A">
        <w:rPr>
          <w:rStyle w:val="apple-converted-space"/>
          <w:sz w:val="28"/>
          <w:szCs w:val="28"/>
          <w:shd w:val="clear" w:color="auto" w:fill="FFFFFF"/>
        </w:rPr>
        <w:t xml:space="preserve">que contenía el trámite ante el CTC </w:t>
      </w:r>
      <w:r w:rsidR="009F33F4" w:rsidRPr="005D131A">
        <w:rPr>
          <w:rStyle w:val="apple-converted-space"/>
          <w:sz w:val="28"/>
          <w:szCs w:val="28"/>
          <w:shd w:val="clear" w:color="auto" w:fill="FFFFFF"/>
        </w:rPr>
        <w:t>se refería</w:t>
      </w:r>
      <w:r w:rsidR="0074403D" w:rsidRPr="005D131A">
        <w:rPr>
          <w:rStyle w:val="apple-converted-space"/>
          <w:sz w:val="28"/>
          <w:szCs w:val="28"/>
          <w:shd w:val="clear" w:color="auto" w:fill="FFFFFF"/>
        </w:rPr>
        <w:t xml:space="preserve"> a las prestaciones </w:t>
      </w:r>
      <w:r w:rsidR="0074403D" w:rsidRPr="005D131A">
        <w:rPr>
          <w:rStyle w:val="apple-converted-space"/>
          <w:i/>
          <w:sz w:val="28"/>
          <w:szCs w:val="28"/>
          <w:shd w:val="clear" w:color="auto" w:fill="FFFFFF"/>
        </w:rPr>
        <w:t>“no incluidas”</w:t>
      </w:r>
      <w:r w:rsidR="0074403D" w:rsidRPr="005D131A">
        <w:rPr>
          <w:rStyle w:val="apple-converted-space"/>
          <w:sz w:val="28"/>
          <w:szCs w:val="28"/>
          <w:shd w:val="clear" w:color="auto" w:fill="FFFFFF"/>
        </w:rPr>
        <w:t xml:space="preserve"> en el plan</w:t>
      </w:r>
      <w:r w:rsidR="0074403D" w:rsidRPr="005D131A">
        <w:rPr>
          <w:sz w:val="28"/>
          <w:szCs w:val="28"/>
          <w:shd w:val="clear" w:color="auto" w:fill="FFFFFF"/>
          <w:vertAlign w:val="superscript"/>
        </w:rPr>
        <w:footnoteReference w:id="160"/>
      </w:r>
      <w:r w:rsidR="0074403D" w:rsidRPr="005D131A">
        <w:rPr>
          <w:rStyle w:val="apple-converted-space"/>
          <w:sz w:val="28"/>
          <w:szCs w:val="28"/>
          <w:shd w:val="clear" w:color="auto" w:fill="FFFFFF"/>
        </w:rPr>
        <w:t xml:space="preserve"> y que </w:t>
      </w:r>
      <w:r w:rsidR="0014764D" w:rsidRPr="005D131A">
        <w:rPr>
          <w:rStyle w:val="apple-converted-space"/>
          <w:sz w:val="28"/>
          <w:szCs w:val="28"/>
          <w:shd w:val="clear" w:color="auto" w:fill="FFFFFF"/>
        </w:rPr>
        <w:t xml:space="preserve">en </w:t>
      </w:r>
      <w:r w:rsidR="0074403D" w:rsidRPr="005D131A">
        <w:rPr>
          <w:rStyle w:val="apple-converted-space"/>
          <w:sz w:val="28"/>
          <w:szCs w:val="28"/>
          <w:shd w:val="clear" w:color="auto" w:fill="FFFFFF"/>
        </w:rPr>
        <w:t>el pa</w:t>
      </w:r>
      <w:r w:rsidR="009F33F4" w:rsidRPr="005D131A">
        <w:rPr>
          <w:rStyle w:val="apple-converted-space"/>
          <w:sz w:val="28"/>
          <w:szCs w:val="28"/>
          <w:shd w:val="clear" w:color="auto" w:fill="FFFFFF"/>
        </w:rPr>
        <w:t xml:space="preserve">rágrafo del artículo 6º </w:t>
      </w:r>
      <w:r w:rsidR="0014764D" w:rsidRPr="005D131A">
        <w:rPr>
          <w:rStyle w:val="apple-converted-space"/>
          <w:sz w:val="28"/>
          <w:szCs w:val="28"/>
          <w:shd w:val="clear" w:color="auto" w:fill="FFFFFF"/>
        </w:rPr>
        <w:t xml:space="preserve">se prohibía </w:t>
      </w:r>
      <w:r w:rsidR="0074403D" w:rsidRPr="005D131A">
        <w:rPr>
          <w:rStyle w:val="apple-converted-space"/>
          <w:sz w:val="28"/>
          <w:szCs w:val="28"/>
          <w:shd w:val="clear" w:color="auto" w:fill="FFFFFF"/>
        </w:rPr>
        <w:t>categórica</w:t>
      </w:r>
      <w:r w:rsidR="0014764D" w:rsidRPr="005D131A">
        <w:rPr>
          <w:rStyle w:val="apple-converted-space"/>
          <w:sz w:val="28"/>
          <w:szCs w:val="28"/>
          <w:shd w:val="clear" w:color="auto" w:fill="FFFFFF"/>
        </w:rPr>
        <w:t>mente</w:t>
      </w:r>
      <w:r w:rsidR="0074403D" w:rsidRPr="005D131A">
        <w:rPr>
          <w:rStyle w:val="apple-converted-space"/>
          <w:sz w:val="28"/>
          <w:szCs w:val="28"/>
          <w:shd w:val="clear" w:color="auto" w:fill="FFFFFF"/>
        </w:rPr>
        <w:t xml:space="preserve"> </w:t>
      </w:r>
      <w:r w:rsidR="0014764D" w:rsidRPr="005D131A">
        <w:rPr>
          <w:rStyle w:val="apple-converted-space"/>
          <w:sz w:val="28"/>
          <w:szCs w:val="28"/>
          <w:shd w:val="clear" w:color="auto" w:fill="FFFFFF"/>
        </w:rPr>
        <w:t xml:space="preserve">autorizar prestaciones excluidas. </w:t>
      </w:r>
      <w:r w:rsidR="0074403D" w:rsidRPr="005D131A">
        <w:rPr>
          <w:rStyle w:val="apple-converted-space"/>
          <w:sz w:val="28"/>
          <w:szCs w:val="28"/>
          <w:shd w:val="clear" w:color="auto" w:fill="FFFFFF"/>
        </w:rPr>
        <w:t xml:space="preserve"> </w:t>
      </w:r>
    </w:p>
    <w:p w:rsidR="0074403D" w:rsidRPr="005D131A" w:rsidRDefault="0074403D" w:rsidP="005D131A">
      <w:pPr>
        <w:tabs>
          <w:tab w:val="left" w:pos="851"/>
        </w:tabs>
        <w:rPr>
          <w:rStyle w:val="apple-converted-space"/>
          <w:sz w:val="28"/>
          <w:szCs w:val="28"/>
          <w:shd w:val="clear" w:color="auto" w:fill="FFFFFF"/>
        </w:rPr>
      </w:pPr>
    </w:p>
    <w:p w:rsidR="0074403D" w:rsidRPr="005D131A" w:rsidRDefault="0074403D" w:rsidP="005D131A">
      <w:pPr>
        <w:pStyle w:val="Prrafodelista"/>
        <w:tabs>
          <w:tab w:val="left" w:pos="1134"/>
        </w:tabs>
        <w:ind w:left="0"/>
        <w:rPr>
          <w:rStyle w:val="apple-converted-space"/>
          <w:sz w:val="28"/>
          <w:szCs w:val="28"/>
          <w:shd w:val="clear" w:color="auto" w:fill="FFFFFF"/>
        </w:rPr>
      </w:pPr>
      <w:r w:rsidRPr="005D131A">
        <w:rPr>
          <w:rStyle w:val="apple-converted-space"/>
          <w:sz w:val="28"/>
          <w:szCs w:val="28"/>
          <w:shd w:val="clear" w:color="auto" w:fill="FFFFFF"/>
        </w:rPr>
        <w:t xml:space="preserve">Esa falta de certeza sobre la facultad del </w:t>
      </w:r>
      <w:r w:rsidR="007D0C33" w:rsidRPr="005D131A">
        <w:rPr>
          <w:rStyle w:val="apple-converted-space"/>
          <w:sz w:val="28"/>
          <w:szCs w:val="28"/>
          <w:shd w:val="clear" w:color="auto" w:fill="FFFFFF"/>
        </w:rPr>
        <w:t>C</w:t>
      </w:r>
      <w:r w:rsidRPr="005D131A">
        <w:rPr>
          <w:rStyle w:val="apple-converted-space"/>
          <w:sz w:val="28"/>
          <w:szCs w:val="28"/>
          <w:shd w:val="clear" w:color="auto" w:fill="FFFFFF"/>
        </w:rPr>
        <w:t xml:space="preserve">omité para conocer sobre las peticiones de tecnologías excluidas no fue solucionada con la suspensión provisional que el Consejo de Estado decretó sobre el parágrafo del artículo 6º. Ello, por cuanto en la norma persistió la ambigüedad causada por el hecho de que todo el articulado sobre el trámite se refería a los </w:t>
      </w:r>
      <w:r w:rsidRPr="005D131A">
        <w:rPr>
          <w:rStyle w:val="apple-converted-space"/>
          <w:i/>
          <w:sz w:val="28"/>
          <w:szCs w:val="28"/>
          <w:shd w:val="clear" w:color="auto" w:fill="FFFFFF"/>
        </w:rPr>
        <w:t>“no incluidos”</w:t>
      </w:r>
      <w:r w:rsidRPr="005D131A">
        <w:rPr>
          <w:rStyle w:val="apple-converted-space"/>
          <w:sz w:val="28"/>
          <w:szCs w:val="28"/>
          <w:shd w:val="clear" w:color="auto" w:fill="FFFFFF"/>
        </w:rPr>
        <w:t xml:space="preserve"> en el plan. </w:t>
      </w:r>
    </w:p>
    <w:p w:rsidR="005B703D" w:rsidRPr="005D131A" w:rsidRDefault="005B703D" w:rsidP="005D131A">
      <w:pPr>
        <w:pStyle w:val="Prrafodelista"/>
        <w:tabs>
          <w:tab w:val="left" w:pos="1134"/>
        </w:tabs>
        <w:ind w:left="0"/>
        <w:rPr>
          <w:rStyle w:val="apple-converted-space"/>
          <w:sz w:val="28"/>
          <w:szCs w:val="28"/>
          <w:shd w:val="clear" w:color="auto" w:fill="FFFFFF"/>
        </w:rPr>
      </w:pPr>
    </w:p>
    <w:p w:rsidR="0074403D" w:rsidRPr="005D131A" w:rsidRDefault="0074403D" w:rsidP="005D131A">
      <w:pPr>
        <w:pStyle w:val="Prrafodelista"/>
        <w:tabs>
          <w:tab w:val="left" w:pos="1134"/>
        </w:tabs>
        <w:ind w:left="0"/>
        <w:rPr>
          <w:rStyle w:val="apple-converted-space"/>
          <w:sz w:val="28"/>
          <w:szCs w:val="28"/>
          <w:shd w:val="clear" w:color="auto" w:fill="FFFFFF"/>
        </w:rPr>
      </w:pPr>
      <w:r w:rsidRPr="005D131A">
        <w:rPr>
          <w:rStyle w:val="apple-converted-space"/>
          <w:sz w:val="28"/>
          <w:szCs w:val="28"/>
          <w:shd w:val="clear" w:color="auto" w:fill="FFFFFF"/>
        </w:rPr>
        <w:t>Las distintas d</w:t>
      </w:r>
      <w:r w:rsidR="0014764D" w:rsidRPr="005D131A">
        <w:rPr>
          <w:rStyle w:val="apple-converted-space"/>
          <w:sz w:val="28"/>
          <w:szCs w:val="28"/>
          <w:shd w:val="clear" w:color="auto" w:fill="FFFFFF"/>
        </w:rPr>
        <w:t>enominaciones de los servicios</w:t>
      </w:r>
      <w:r w:rsidRPr="005D131A">
        <w:rPr>
          <w:rStyle w:val="apple-converted-space"/>
          <w:sz w:val="28"/>
          <w:szCs w:val="28"/>
          <w:shd w:val="clear" w:color="auto" w:fill="FFFFFF"/>
        </w:rPr>
        <w:t xml:space="preserve"> y la falta de la consagración expresa de la función de los comités para estudiar solicitudes de servicios explícitamente excluidos del POS, originaron confusión en los actores del sistema. De ahí que no fuera claro para las</w:t>
      </w:r>
      <w:r w:rsidR="00D63103" w:rsidRPr="005D131A">
        <w:rPr>
          <w:rStyle w:val="apple-converted-space"/>
          <w:sz w:val="28"/>
          <w:szCs w:val="28"/>
          <w:shd w:val="clear" w:color="auto" w:fill="FFFFFF"/>
        </w:rPr>
        <w:t xml:space="preserve"> promotoras, los galenos ni</w:t>
      </w:r>
      <w:r w:rsidRPr="005D131A">
        <w:rPr>
          <w:rStyle w:val="apple-converted-space"/>
          <w:sz w:val="28"/>
          <w:szCs w:val="28"/>
          <w:shd w:val="clear" w:color="auto" w:fill="FFFFFF"/>
        </w:rPr>
        <w:t xml:space="preserve"> los usuarios el mecanismo a seguir cuando requirieran ese tipo de elementos. Tan es así que algunas de las EPS les daban el mismo trato que a los no incluidos, otras rechazaban de plano las peticiones y otras limitaban a dirigir a la persona al ente territorial. De hecho, se advierte que para las entidades que participan en el seguimiento, ta</w:t>
      </w:r>
      <w:r w:rsidR="0014764D" w:rsidRPr="005D131A">
        <w:rPr>
          <w:rStyle w:val="apple-converted-space"/>
          <w:sz w:val="28"/>
          <w:szCs w:val="28"/>
          <w:shd w:val="clear" w:color="auto" w:fill="FFFFFF"/>
        </w:rPr>
        <w:t>l indeterminación constituyó una</w:t>
      </w:r>
      <w:r w:rsidRPr="005D131A">
        <w:rPr>
          <w:rStyle w:val="apple-converted-space"/>
          <w:sz w:val="28"/>
          <w:szCs w:val="28"/>
          <w:shd w:val="clear" w:color="auto" w:fill="FFFFFF"/>
        </w:rPr>
        <w:t xml:space="preserve"> de las mayores causas de negación de los servicios solicitados, impactando negativamente en los afiliados. </w:t>
      </w:r>
    </w:p>
    <w:p w:rsidR="0074403D" w:rsidRPr="005D131A" w:rsidRDefault="0074403D" w:rsidP="005D131A">
      <w:pPr>
        <w:pStyle w:val="Prrafodelista"/>
        <w:tabs>
          <w:tab w:val="left" w:pos="1134"/>
        </w:tabs>
        <w:ind w:left="0"/>
        <w:rPr>
          <w:rStyle w:val="apple-converted-space"/>
          <w:sz w:val="28"/>
          <w:szCs w:val="28"/>
          <w:shd w:val="clear" w:color="auto" w:fill="FFFFFF"/>
        </w:rPr>
      </w:pPr>
    </w:p>
    <w:p w:rsidR="0074403D" w:rsidRPr="005D131A" w:rsidRDefault="007534C2" w:rsidP="005D131A">
      <w:pPr>
        <w:pStyle w:val="Prrafodelista"/>
        <w:tabs>
          <w:tab w:val="left" w:pos="1134"/>
        </w:tabs>
        <w:ind w:left="0"/>
        <w:rPr>
          <w:rStyle w:val="apple-converted-space"/>
          <w:sz w:val="28"/>
          <w:szCs w:val="28"/>
          <w:shd w:val="clear" w:color="auto" w:fill="FFFFFF"/>
        </w:rPr>
      </w:pPr>
      <w:r w:rsidRPr="005D131A">
        <w:rPr>
          <w:rStyle w:val="apple-converted-space"/>
          <w:sz w:val="28"/>
          <w:szCs w:val="28"/>
          <w:shd w:val="clear" w:color="auto" w:fill="FFFFFF"/>
        </w:rPr>
        <w:t>5</w:t>
      </w:r>
      <w:r w:rsidR="00A232AF" w:rsidRPr="005D131A">
        <w:rPr>
          <w:rStyle w:val="apple-converted-space"/>
          <w:sz w:val="28"/>
          <w:szCs w:val="28"/>
          <w:shd w:val="clear" w:color="auto" w:fill="FFFFFF"/>
        </w:rPr>
        <w:t xml:space="preserve">.3.5. </w:t>
      </w:r>
      <w:r w:rsidR="0074403D" w:rsidRPr="005D131A">
        <w:rPr>
          <w:rStyle w:val="apple-converted-space"/>
          <w:sz w:val="28"/>
          <w:szCs w:val="28"/>
          <w:shd w:val="clear" w:color="auto" w:fill="FFFFFF"/>
        </w:rPr>
        <w:t xml:space="preserve">En la Sentencia T-760 de 2008, este Tribunal sostuvo que la </w:t>
      </w:r>
      <w:r w:rsidR="00C47340" w:rsidRPr="005D131A">
        <w:rPr>
          <w:rStyle w:val="apple-converted-space"/>
          <w:sz w:val="28"/>
          <w:szCs w:val="28"/>
          <w:shd w:val="clear" w:color="auto" w:fill="FFFFFF"/>
        </w:rPr>
        <w:t>incertidumbre</w:t>
      </w:r>
      <w:r w:rsidR="0074403D" w:rsidRPr="005D131A">
        <w:rPr>
          <w:rStyle w:val="apple-converted-space"/>
          <w:sz w:val="28"/>
          <w:szCs w:val="28"/>
          <w:shd w:val="clear" w:color="auto" w:fill="FFFFFF"/>
        </w:rPr>
        <w:t xml:space="preserve"> de la regulación sobre el POS y las distintas lecturas que se le pueden dar (garantista, expansiva o restrictiva</w:t>
      </w:r>
      <w:r w:rsidR="0074403D" w:rsidRPr="005D131A">
        <w:rPr>
          <w:sz w:val="28"/>
          <w:szCs w:val="28"/>
          <w:shd w:val="clear" w:color="auto" w:fill="FFFFFF"/>
          <w:vertAlign w:val="superscript"/>
        </w:rPr>
        <w:footnoteReference w:id="161"/>
      </w:r>
      <w:r w:rsidR="0074403D" w:rsidRPr="005D131A">
        <w:rPr>
          <w:rStyle w:val="apple-converted-space"/>
          <w:sz w:val="28"/>
          <w:szCs w:val="28"/>
          <w:shd w:val="clear" w:color="auto" w:fill="FFFFFF"/>
        </w:rPr>
        <w:t>) generaban incertidumbre sobre su contenido. Ello afectaba el derecho a la salud de las personas por cuanto imponía barreras en el trámite para acceder a los servicios e impedía adoptar las medidas para asegurar su financiación</w:t>
      </w:r>
      <w:r w:rsidR="0074403D" w:rsidRPr="005D131A">
        <w:rPr>
          <w:sz w:val="28"/>
          <w:szCs w:val="28"/>
          <w:shd w:val="clear" w:color="auto" w:fill="FFFFFF"/>
          <w:vertAlign w:val="superscript"/>
        </w:rPr>
        <w:footnoteReference w:id="162"/>
      </w:r>
      <w:r w:rsidR="0074403D" w:rsidRPr="005D131A">
        <w:rPr>
          <w:rStyle w:val="apple-converted-space"/>
          <w:sz w:val="28"/>
          <w:szCs w:val="28"/>
          <w:shd w:val="clear" w:color="auto" w:fill="FFFFFF"/>
        </w:rPr>
        <w:t>. Aunque el mandato bajo examen no se refiere al contenido del paquete de prestaciones sino al mecanismo a seguir para que los pacientes obtengan aquellos servi</w:t>
      </w:r>
      <w:r w:rsidR="00A232AF" w:rsidRPr="005D131A">
        <w:rPr>
          <w:rStyle w:val="apple-converted-space"/>
          <w:sz w:val="28"/>
          <w:szCs w:val="28"/>
          <w:shd w:val="clear" w:color="auto" w:fill="FFFFFF"/>
        </w:rPr>
        <w:t>cios no cubiertos que requieren,</w:t>
      </w:r>
      <w:r w:rsidR="0074403D" w:rsidRPr="005D131A">
        <w:rPr>
          <w:rStyle w:val="apple-converted-space"/>
          <w:sz w:val="28"/>
          <w:szCs w:val="28"/>
          <w:shd w:val="clear" w:color="auto" w:fill="FFFFFF"/>
        </w:rPr>
        <w:t xml:space="preserve"> la imprecisión normativa genera el mismo efecto negativo en la posibilidad de acceso a los servicios y deriva en obstáculos en el ejercicio de la garantía constitucional.</w:t>
      </w:r>
    </w:p>
    <w:p w:rsidR="0074403D" w:rsidRPr="005D131A" w:rsidRDefault="0074403D" w:rsidP="005D131A">
      <w:pPr>
        <w:pStyle w:val="Prrafodelista"/>
        <w:tabs>
          <w:tab w:val="left" w:pos="851"/>
        </w:tabs>
        <w:ind w:left="0"/>
        <w:rPr>
          <w:rStyle w:val="apple-converted-space"/>
          <w:sz w:val="28"/>
          <w:szCs w:val="28"/>
          <w:shd w:val="clear" w:color="auto" w:fill="FFFFFF"/>
        </w:rPr>
      </w:pPr>
    </w:p>
    <w:p w:rsidR="0074403D" w:rsidRPr="005D131A" w:rsidRDefault="0074403D" w:rsidP="005D131A">
      <w:pPr>
        <w:pStyle w:val="Prrafodelista"/>
        <w:tabs>
          <w:tab w:val="left" w:pos="851"/>
        </w:tabs>
        <w:ind w:left="0"/>
        <w:rPr>
          <w:rStyle w:val="apple-converted-space"/>
          <w:sz w:val="28"/>
          <w:szCs w:val="28"/>
          <w:shd w:val="clear" w:color="auto" w:fill="FFFFFF"/>
        </w:rPr>
      </w:pPr>
      <w:r w:rsidRPr="005D131A">
        <w:rPr>
          <w:rStyle w:val="apple-converted-space"/>
          <w:sz w:val="28"/>
          <w:szCs w:val="28"/>
          <w:shd w:val="clear" w:color="auto" w:fill="FFFFFF"/>
        </w:rPr>
        <w:t xml:space="preserve">Para la Corte el cumplimiento de los objetivos de regulación solo es posible cuando el </w:t>
      </w:r>
      <w:r w:rsidR="00A232AF" w:rsidRPr="005D131A">
        <w:rPr>
          <w:rStyle w:val="apple-converted-space"/>
          <w:sz w:val="28"/>
          <w:szCs w:val="28"/>
          <w:shd w:val="clear" w:color="auto" w:fill="FFFFFF"/>
        </w:rPr>
        <w:t xml:space="preserve">director </w:t>
      </w:r>
      <w:r w:rsidRPr="005D131A">
        <w:rPr>
          <w:rStyle w:val="apple-converted-space"/>
          <w:sz w:val="28"/>
          <w:szCs w:val="28"/>
          <w:shd w:val="clear" w:color="auto" w:fill="FFFFFF"/>
        </w:rPr>
        <w:t xml:space="preserve">de la política elige los instrumentos adecuados. Un enfoque tradicional en el que se prescribe un estándar de comportamiento y se plantean mecanismos para obtener su cumplimiento no siempre es suficiente o efectivo. Se requiere un entendimiento de </w:t>
      </w:r>
      <w:r w:rsidRPr="005D131A">
        <w:rPr>
          <w:rStyle w:val="apple-converted-space"/>
          <w:i/>
          <w:sz w:val="28"/>
          <w:szCs w:val="28"/>
          <w:shd w:val="clear" w:color="auto" w:fill="FFFFFF"/>
        </w:rPr>
        <w:t>i)</w:t>
      </w:r>
      <w:r w:rsidRPr="005D131A">
        <w:rPr>
          <w:rStyle w:val="apple-converted-space"/>
          <w:sz w:val="28"/>
          <w:szCs w:val="28"/>
          <w:shd w:val="clear" w:color="auto" w:fill="FFFFFF"/>
        </w:rPr>
        <w:t xml:space="preserve"> las diferencias entre los distintos instrumentos normativos, </w:t>
      </w:r>
      <w:r w:rsidRPr="005D131A">
        <w:rPr>
          <w:rStyle w:val="apple-converted-space"/>
          <w:i/>
          <w:sz w:val="28"/>
          <w:szCs w:val="28"/>
          <w:shd w:val="clear" w:color="auto" w:fill="FFFFFF"/>
        </w:rPr>
        <w:t>ii)</w:t>
      </w:r>
      <w:r w:rsidRPr="005D131A">
        <w:rPr>
          <w:rStyle w:val="apple-converted-space"/>
          <w:sz w:val="28"/>
          <w:szCs w:val="28"/>
          <w:shd w:val="clear" w:color="auto" w:fill="FFFFFF"/>
        </w:rPr>
        <w:t xml:space="preserve"> los hábitos de los destinatarios de las disposiciones, y </w:t>
      </w:r>
      <w:r w:rsidRPr="005D131A">
        <w:rPr>
          <w:rStyle w:val="apple-converted-space"/>
          <w:i/>
          <w:sz w:val="28"/>
          <w:szCs w:val="28"/>
          <w:shd w:val="clear" w:color="auto" w:fill="FFFFFF"/>
        </w:rPr>
        <w:t>iii)</w:t>
      </w:r>
      <w:r w:rsidRPr="005D131A">
        <w:rPr>
          <w:rStyle w:val="apple-converted-space"/>
          <w:sz w:val="28"/>
          <w:szCs w:val="28"/>
          <w:shd w:val="clear" w:color="auto" w:fill="FFFFFF"/>
        </w:rPr>
        <w:t xml:space="preserve"> el contexto de la regulación.</w:t>
      </w:r>
    </w:p>
    <w:p w:rsidR="00400493" w:rsidRPr="005D131A" w:rsidRDefault="00400493" w:rsidP="005D131A">
      <w:pPr>
        <w:pStyle w:val="Prrafodelista"/>
        <w:tabs>
          <w:tab w:val="left" w:pos="851"/>
        </w:tabs>
        <w:ind w:left="0"/>
        <w:rPr>
          <w:rStyle w:val="apple-converted-space"/>
          <w:sz w:val="28"/>
          <w:szCs w:val="28"/>
          <w:shd w:val="clear" w:color="auto" w:fill="FFFFFF"/>
        </w:rPr>
      </w:pPr>
    </w:p>
    <w:p w:rsidR="0074403D" w:rsidRPr="005D131A" w:rsidRDefault="0074403D" w:rsidP="005D131A">
      <w:pPr>
        <w:pStyle w:val="Prrafodelista"/>
        <w:tabs>
          <w:tab w:val="left" w:pos="851"/>
        </w:tabs>
        <w:ind w:left="0"/>
        <w:rPr>
          <w:rStyle w:val="apple-converted-space"/>
          <w:sz w:val="28"/>
          <w:szCs w:val="28"/>
          <w:shd w:val="clear" w:color="auto" w:fill="FFFFFF"/>
        </w:rPr>
      </w:pPr>
      <w:r w:rsidRPr="005D131A">
        <w:rPr>
          <w:rStyle w:val="apple-converted-space"/>
          <w:sz w:val="28"/>
          <w:szCs w:val="28"/>
          <w:shd w:val="clear" w:color="auto" w:fill="FFFFFF"/>
        </w:rPr>
        <w:t xml:space="preserve">De esa manera, la responsabilidad de los entes reguladores no finaliza con la expedición de las normas. Aunque es razonable pensar que los distintos actores del sistema de salud se enterarán de su existencia y entenderán a cabalidad su sentido, lo cierto es que el aumento en la complejidad y la cantidad de regulaciones puede hacerlo imposible. Cuando existen evidencias de reparos generalizados sobre la ausencia de un entendimiento </w:t>
      </w:r>
      <w:r w:rsidR="00C47340" w:rsidRPr="005D131A">
        <w:rPr>
          <w:rStyle w:val="apple-converted-space"/>
          <w:sz w:val="28"/>
          <w:szCs w:val="28"/>
          <w:shd w:val="clear" w:color="auto" w:fill="FFFFFF"/>
        </w:rPr>
        <w:t>integral</w:t>
      </w:r>
      <w:r w:rsidRPr="005D131A">
        <w:rPr>
          <w:rStyle w:val="apple-converted-space"/>
          <w:sz w:val="28"/>
          <w:szCs w:val="28"/>
          <w:shd w:val="clear" w:color="auto" w:fill="FFFFFF"/>
        </w:rPr>
        <w:t xml:space="preserve"> de la norma, como lo</w:t>
      </w:r>
      <w:r w:rsidR="00C47340" w:rsidRPr="005D131A">
        <w:rPr>
          <w:rStyle w:val="apple-converted-space"/>
          <w:sz w:val="28"/>
          <w:szCs w:val="28"/>
          <w:shd w:val="clear" w:color="auto" w:fill="FFFFFF"/>
        </w:rPr>
        <w:t>s</w:t>
      </w:r>
      <w:r w:rsidRPr="005D131A">
        <w:rPr>
          <w:rStyle w:val="apple-converted-space"/>
          <w:sz w:val="28"/>
          <w:szCs w:val="28"/>
          <w:shd w:val="clear" w:color="auto" w:fill="FFFFFF"/>
        </w:rPr>
        <w:t xml:space="preserve"> presentados en el marco del seguimiento, se hace necesario emprender campañas de información o reevaluar la política pública formulada para que los destinatarios las cumplan cabalmente, circunstancia que redundará en el goce pleno del derecho a la salud de los usuarios. </w:t>
      </w:r>
    </w:p>
    <w:p w:rsidR="0074403D" w:rsidRPr="005D131A" w:rsidRDefault="0074403D" w:rsidP="005D131A">
      <w:pPr>
        <w:tabs>
          <w:tab w:val="left" w:pos="851"/>
        </w:tabs>
        <w:rPr>
          <w:rStyle w:val="apple-converted-space"/>
          <w:sz w:val="28"/>
          <w:szCs w:val="28"/>
          <w:shd w:val="clear" w:color="auto" w:fill="FFFFFF"/>
        </w:rPr>
      </w:pPr>
    </w:p>
    <w:p w:rsidR="000D6800" w:rsidRPr="005D131A" w:rsidRDefault="007534C2" w:rsidP="005D131A">
      <w:pPr>
        <w:pStyle w:val="Prrafodelista"/>
        <w:tabs>
          <w:tab w:val="left" w:pos="567"/>
          <w:tab w:val="left" w:pos="1276"/>
        </w:tabs>
        <w:ind w:left="0"/>
        <w:contextualSpacing/>
        <w:rPr>
          <w:rStyle w:val="apple-converted-space"/>
          <w:sz w:val="28"/>
          <w:szCs w:val="28"/>
          <w:shd w:val="clear" w:color="auto" w:fill="FFFFFF"/>
        </w:rPr>
      </w:pPr>
      <w:r w:rsidRPr="005D131A">
        <w:rPr>
          <w:rStyle w:val="apple-converted-space"/>
          <w:sz w:val="28"/>
          <w:szCs w:val="28"/>
          <w:shd w:val="clear" w:color="auto" w:fill="FFFFFF"/>
        </w:rPr>
        <w:t>5</w:t>
      </w:r>
      <w:r w:rsidR="005C19BA" w:rsidRPr="005D131A">
        <w:rPr>
          <w:rStyle w:val="apple-converted-space"/>
          <w:sz w:val="28"/>
          <w:szCs w:val="28"/>
          <w:shd w:val="clear" w:color="auto" w:fill="FFFFFF"/>
        </w:rPr>
        <w:t>.3.6</w:t>
      </w:r>
      <w:r w:rsidR="000D6800" w:rsidRPr="005D131A">
        <w:rPr>
          <w:rStyle w:val="apple-converted-space"/>
          <w:sz w:val="28"/>
          <w:szCs w:val="28"/>
          <w:shd w:val="clear" w:color="auto" w:fill="FFFFFF"/>
        </w:rPr>
        <w:t xml:space="preserve">. Como se advirtió en precedencia, la sentencia bajo supervisión exigió que dentro de los cinco (5) días siguientes a su notificación se diera la extensión de las competencias del CTC. Al respecto, se observa que aunque la Resolución 3099 de 2008 fue expedida con anterioridad a la Sentencia T-760 de 2008, esta amplió las funciones del comité a la aprobación de todas las tecnologías en salud </w:t>
      </w:r>
      <w:r w:rsidR="000D6800" w:rsidRPr="005D131A">
        <w:rPr>
          <w:rStyle w:val="apple-converted-space"/>
          <w:i/>
          <w:sz w:val="28"/>
          <w:szCs w:val="28"/>
          <w:shd w:val="clear" w:color="auto" w:fill="FFFFFF"/>
        </w:rPr>
        <w:t>“por fuera”</w:t>
      </w:r>
      <w:r w:rsidR="000D6800" w:rsidRPr="005D131A">
        <w:rPr>
          <w:rStyle w:val="apple-converted-space"/>
          <w:sz w:val="28"/>
          <w:szCs w:val="28"/>
          <w:shd w:val="clear" w:color="auto" w:fill="FFFFFF"/>
        </w:rPr>
        <w:t xml:space="preserve"> del plan de beneficios</w:t>
      </w:r>
      <w:r w:rsidR="000D6800" w:rsidRPr="005D131A">
        <w:rPr>
          <w:sz w:val="28"/>
          <w:szCs w:val="28"/>
          <w:shd w:val="clear" w:color="auto" w:fill="FFFFFF"/>
          <w:vertAlign w:val="superscript"/>
        </w:rPr>
        <w:footnoteReference w:id="163"/>
      </w:r>
      <w:r w:rsidR="000D6800" w:rsidRPr="005D131A">
        <w:rPr>
          <w:rStyle w:val="apple-converted-space"/>
          <w:sz w:val="28"/>
          <w:szCs w:val="28"/>
          <w:shd w:val="clear" w:color="auto" w:fill="FFFFFF"/>
        </w:rPr>
        <w:t xml:space="preserve">. </w:t>
      </w:r>
      <w:r w:rsidR="00B56CD7" w:rsidRPr="005D131A">
        <w:rPr>
          <w:rStyle w:val="apple-converted-space"/>
          <w:sz w:val="28"/>
          <w:szCs w:val="28"/>
          <w:shd w:val="clear" w:color="auto" w:fill="FFFFFF"/>
        </w:rPr>
        <w:t xml:space="preserve">Si bien es cierto, la Corte observa que </w:t>
      </w:r>
      <w:r w:rsidR="00495A41" w:rsidRPr="005D131A">
        <w:rPr>
          <w:rStyle w:val="apple-converted-space"/>
          <w:sz w:val="28"/>
          <w:szCs w:val="28"/>
          <w:shd w:val="clear" w:color="auto" w:fill="FFFFFF"/>
        </w:rPr>
        <w:t xml:space="preserve">la </w:t>
      </w:r>
      <w:r w:rsidR="00D63103" w:rsidRPr="005D131A">
        <w:rPr>
          <w:rStyle w:val="apple-converted-space"/>
          <w:sz w:val="28"/>
          <w:szCs w:val="28"/>
          <w:shd w:val="clear" w:color="auto" w:fill="FFFFFF"/>
        </w:rPr>
        <w:t>Resolución 3099 de 2008, consagró</w:t>
      </w:r>
      <w:r w:rsidR="0074403D" w:rsidRPr="005D131A">
        <w:rPr>
          <w:rStyle w:val="apple-converted-space"/>
          <w:sz w:val="28"/>
          <w:szCs w:val="28"/>
          <w:shd w:val="clear" w:color="auto" w:fill="FFFFFF"/>
        </w:rPr>
        <w:t xml:space="preserve"> </w:t>
      </w:r>
      <w:r w:rsidR="000D6800" w:rsidRPr="005D131A">
        <w:rPr>
          <w:rStyle w:val="apple-converted-space"/>
          <w:sz w:val="28"/>
          <w:szCs w:val="28"/>
          <w:shd w:val="clear" w:color="auto" w:fill="FFFFFF"/>
        </w:rPr>
        <w:t xml:space="preserve">incluso antes del </w:t>
      </w:r>
      <w:r w:rsidR="0074403D" w:rsidRPr="005D131A">
        <w:rPr>
          <w:rStyle w:val="apple-converted-space"/>
          <w:sz w:val="28"/>
          <w:szCs w:val="28"/>
          <w:shd w:val="clear" w:color="auto" w:fill="FFFFFF"/>
        </w:rPr>
        <w:t>término indicado por la Sentencia T-760 de 2008, un mecanismo para acceder a algunas de las tecnologías fuera del plan que no podían ser autorizadas antes de su entrada en vigencia</w:t>
      </w:r>
      <w:r w:rsidR="00495A41" w:rsidRPr="005D131A">
        <w:rPr>
          <w:rStyle w:val="apple-converted-space"/>
          <w:sz w:val="28"/>
          <w:szCs w:val="28"/>
          <w:shd w:val="clear" w:color="auto" w:fill="FFFFFF"/>
        </w:rPr>
        <w:t xml:space="preserve">, también lo es que dicho avance es </w:t>
      </w:r>
      <w:r w:rsidR="00D63103" w:rsidRPr="005D131A">
        <w:rPr>
          <w:rStyle w:val="apple-converted-space"/>
          <w:sz w:val="28"/>
          <w:szCs w:val="28"/>
          <w:shd w:val="clear" w:color="auto" w:fill="FFFFFF"/>
        </w:rPr>
        <w:t>parcial, porque solo contempló</w:t>
      </w:r>
      <w:r w:rsidR="0074403D" w:rsidRPr="005D131A">
        <w:rPr>
          <w:rStyle w:val="apple-converted-space"/>
          <w:sz w:val="28"/>
          <w:szCs w:val="28"/>
          <w:shd w:val="clear" w:color="auto" w:fill="FFFFFF"/>
        </w:rPr>
        <w:t xml:space="preserve"> el acceso a servicios no incluidos en el paque</w:t>
      </w:r>
      <w:r w:rsidR="00495A41" w:rsidRPr="005D131A">
        <w:rPr>
          <w:rStyle w:val="apple-converted-space"/>
          <w:sz w:val="28"/>
          <w:szCs w:val="28"/>
          <w:shd w:val="clear" w:color="auto" w:fill="FFFFFF"/>
        </w:rPr>
        <w:t>te de beneficios</w:t>
      </w:r>
      <w:r w:rsidR="00B56CD7" w:rsidRPr="005D131A">
        <w:rPr>
          <w:rStyle w:val="apple-converted-space"/>
          <w:sz w:val="28"/>
          <w:szCs w:val="28"/>
          <w:shd w:val="clear" w:color="auto" w:fill="FFFFFF"/>
        </w:rPr>
        <w:t>.</w:t>
      </w:r>
    </w:p>
    <w:p w:rsidR="000D6800" w:rsidRPr="005D131A" w:rsidRDefault="000D6800" w:rsidP="005D131A">
      <w:pPr>
        <w:pStyle w:val="Prrafodelista"/>
        <w:tabs>
          <w:tab w:val="left" w:pos="1276"/>
        </w:tabs>
        <w:ind w:left="0"/>
        <w:rPr>
          <w:rStyle w:val="apple-converted-space"/>
          <w:sz w:val="28"/>
          <w:szCs w:val="28"/>
          <w:shd w:val="clear" w:color="auto" w:fill="FFFFFF"/>
        </w:rPr>
      </w:pPr>
    </w:p>
    <w:p w:rsidR="00B56CD7" w:rsidRPr="005D131A" w:rsidRDefault="000D6800" w:rsidP="005D131A">
      <w:pPr>
        <w:pStyle w:val="Prrafodelista"/>
        <w:tabs>
          <w:tab w:val="left" w:pos="1276"/>
        </w:tabs>
        <w:ind w:left="0"/>
        <w:rPr>
          <w:rStyle w:val="apple-converted-space"/>
          <w:sz w:val="28"/>
          <w:szCs w:val="28"/>
          <w:shd w:val="clear" w:color="auto" w:fill="FFFFFF"/>
        </w:rPr>
      </w:pPr>
      <w:r w:rsidRPr="005D131A">
        <w:rPr>
          <w:rStyle w:val="apple-converted-space"/>
          <w:sz w:val="28"/>
          <w:szCs w:val="28"/>
          <w:shd w:val="clear" w:color="auto" w:fill="FFFFFF"/>
        </w:rPr>
        <w:t>Lo anterior, en razón a que l</w:t>
      </w:r>
      <w:r w:rsidR="00B56CD7" w:rsidRPr="005D131A">
        <w:rPr>
          <w:rStyle w:val="apple-converted-space"/>
          <w:sz w:val="28"/>
          <w:szCs w:val="28"/>
          <w:shd w:val="clear" w:color="auto" w:fill="FFFFFF"/>
        </w:rPr>
        <w:t>a regulación no incorporó clara y precisamente aquellos servicios que están expresamente excluidos del POS y no existe una univocidad en las normas que ofrezca certeza a los actores del sistema sobre lo que puede ser sometido a la decisión del comité, así como para dilucidar los requisitos adicionales que se deben acreditar cuando se requieran este tipo de servicios.</w:t>
      </w:r>
    </w:p>
    <w:p w:rsidR="00B56CD7" w:rsidRPr="005D131A" w:rsidRDefault="00B56CD7" w:rsidP="005D131A">
      <w:pPr>
        <w:pStyle w:val="Prrafodelista"/>
        <w:tabs>
          <w:tab w:val="left" w:pos="993"/>
        </w:tabs>
        <w:ind w:left="0"/>
        <w:rPr>
          <w:rStyle w:val="apple-converted-space"/>
          <w:sz w:val="28"/>
          <w:szCs w:val="28"/>
          <w:shd w:val="clear" w:color="auto" w:fill="FFFFFF"/>
        </w:rPr>
      </w:pPr>
    </w:p>
    <w:p w:rsidR="00B56CD7" w:rsidRPr="005D131A" w:rsidRDefault="00B56CD7" w:rsidP="005D131A">
      <w:pPr>
        <w:pStyle w:val="Prrafodelista"/>
        <w:tabs>
          <w:tab w:val="left" w:pos="993"/>
        </w:tabs>
        <w:ind w:left="0"/>
        <w:rPr>
          <w:rStyle w:val="apple-converted-space"/>
          <w:sz w:val="28"/>
          <w:szCs w:val="28"/>
          <w:shd w:val="clear" w:color="auto" w:fill="FFFFFF"/>
        </w:rPr>
      </w:pPr>
      <w:r w:rsidRPr="005D131A">
        <w:rPr>
          <w:rStyle w:val="apple-converted-space"/>
          <w:sz w:val="28"/>
          <w:szCs w:val="28"/>
          <w:shd w:val="clear" w:color="auto" w:fill="FFFFFF"/>
        </w:rPr>
        <w:t xml:space="preserve">Aunado a lo anterior, </w:t>
      </w:r>
      <w:r w:rsidRPr="005D131A">
        <w:rPr>
          <w:rStyle w:val="apple-converted-space"/>
          <w:i/>
          <w:sz w:val="28"/>
          <w:szCs w:val="28"/>
          <w:shd w:val="clear" w:color="auto" w:fill="FFFFFF"/>
        </w:rPr>
        <w:t>“la extensión de manera temporal de las reglas vigentes sobre el CTC a los servicios, distintos a medicamentos no incluidos o explícitamente excluidos</w:t>
      </w:r>
      <w:r w:rsidR="00034136" w:rsidRPr="005D131A">
        <w:rPr>
          <w:rStyle w:val="apple-converted-space"/>
          <w:i/>
          <w:sz w:val="28"/>
          <w:szCs w:val="28"/>
          <w:shd w:val="clear" w:color="auto" w:fill="FFFFFF"/>
        </w:rPr>
        <w:t xml:space="preserve"> del Plan Obligatorio de Salud</w:t>
      </w:r>
      <w:r w:rsidR="00034136" w:rsidRPr="005D131A">
        <w:rPr>
          <w:rStyle w:val="apple-converted-space"/>
          <w:sz w:val="28"/>
          <w:szCs w:val="28"/>
          <w:shd w:val="clear" w:color="auto" w:fill="FFFFFF"/>
        </w:rPr>
        <w:t>” no se cumplió porque contrario a lo ordenado por la Corte, dicha extensi</w:t>
      </w:r>
      <w:r w:rsidR="003A1E85" w:rsidRPr="005D131A">
        <w:rPr>
          <w:rStyle w:val="apple-converted-space"/>
          <w:sz w:val="28"/>
          <w:szCs w:val="28"/>
          <w:shd w:val="clear" w:color="auto" w:fill="FFFFFF"/>
        </w:rPr>
        <w:t xml:space="preserve">ón se mantuvo en el tiempo sin establecer de manera definitiva el trámite interno que debe adelantar el médico tratante para que la respectiva EPS autorice de manera directa los servicios no incluidos y excluidos del POS. Solo hasta el año 2016 con la expedición de la Resolución 1328 se </w:t>
      </w:r>
      <w:r w:rsidR="00847909" w:rsidRPr="005D131A">
        <w:rPr>
          <w:rStyle w:val="apple-converted-space"/>
          <w:sz w:val="28"/>
          <w:szCs w:val="28"/>
          <w:shd w:val="clear" w:color="auto" w:fill="FFFFFF"/>
        </w:rPr>
        <w:t>creó</w:t>
      </w:r>
      <w:r w:rsidR="003A1E85" w:rsidRPr="005D131A">
        <w:rPr>
          <w:rStyle w:val="apple-converted-space"/>
          <w:sz w:val="28"/>
          <w:szCs w:val="28"/>
          <w:shd w:val="clear" w:color="auto" w:fill="FFFFFF"/>
        </w:rPr>
        <w:t xml:space="preserve"> el referido tr</w:t>
      </w:r>
      <w:r w:rsidR="00E33CFB" w:rsidRPr="005D131A">
        <w:rPr>
          <w:rStyle w:val="apple-converted-space"/>
          <w:sz w:val="28"/>
          <w:szCs w:val="28"/>
          <w:shd w:val="clear" w:color="auto" w:fill="FFFFFF"/>
        </w:rPr>
        <w:t xml:space="preserve">ámite, </w:t>
      </w:r>
      <w:r w:rsidR="003A1E85" w:rsidRPr="005D131A">
        <w:rPr>
          <w:rStyle w:val="apple-converted-space"/>
          <w:sz w:val="28"/>
          <w:szCs w:val="28"/>
          <w:shd w:val="clear" w:color="auto" w:fill="FFFFFF"/>
        </w:rPr>
        <w:t xml:space="preserve">pero únicamente para el régimen </w:t>
      </w:r>
      <w:r w:rsidR="00E33CFB" w:rsidRPr="005D131A">
        <w:rPr>
          <w:rStyle w:val="apple-converted-space"/>
          <w:sz w:val="28"/>
          <w:szCs w:val="28"/>
          <w:shd w:val="clear" w:color="auto" w:fill="FFFFFF"/>
        </w:rPr>
        <w:t xml:space="preserve">contributivo. Dicho </w:t>
      </w:r>
      <w:r w:rsidR="003A1E85" w:rsidRPr="005D131A">
        <w:rPr>
          <w:rStyle w:val="apple-converted-space"/>
          <w:sz w:val="28"/>
          <w:szCs w:val="28"/>
          <w:shd w:val="clear" w:color="auto" w:fill="FFFFFF"/>
        </w:rPr>
        <w:t xml:space="preserve">asunto será analizado en el siguiente capítulo. </w:t>
      </w:r>
    </w:p>
    <w:p w:rsidR="00B56CD7" w:rsidRPr="005D131A" w:rsidRDefault="00B56CD7" w:rsidP="005D131A">
      <w:pPr>
        <w:pStyle w:val="Prrafodelista"/>
        <w:tabs>
          <w:tab w:val="left" w:pos="1276"/>
        </w:tabs>
        <w:ind w:left="0"/>
        <w:rPr>
          <w:rStyle w:val="apple-converted-space"/>
          <w:sz w:val="28"/>
          <w:szCs w:val="28"/>
          <w:shd w:val="clear" w:color="auto" w:fill="FFFFFF"/>
        </w:rPr>
      </w:pPr>
    </w:p>
    <w:p w:rsidR="00495A41" w:rsidRPr="005D131A" w:rsidRDefault="00E33CFB" w:rsidP="005D131A">
      <w:pPr>
        <w:pStyle w:val="Prrafodelista"/>
        <w:tabs>
          <w:tab w:val="left" w:pos="1276"/>
        </w:tabs>
        <w:ind w:left="0"/>
        <w:rPr>
          <w:rStyle w:val="apple-converted-space"/>
          <w:sz w:val="28"/>
          <w:szCs w:val="28"/>
          <w:shd w:val="clear" w:color="auto" w:fill="FFFFFF"/>
        </w:rPr>
      </w:pPr>
      <w:r w:rsidRPr="005D131A">
        <w:rPr>
          <w:sz w:val="28"/>
          <w:szCs w:val="28"/>
        </w:rPr>
        <w:t>D</w:t>
      </w:r>
      <w:r w:rsidR="00495A41" w:rsidRPr="005D131A">
        <w:rPr>
          <w:sz w:val="28"/>
          <w:szCs w:val="28"/>
        </w:rPr>
        <w:t xml:space="preserve">ebe tenerse en cuenta que esa medida era de carácter transitorio, es decir, el Ministerio de manera temporal debía extender las reglas vigentes sobre los CTC para someter a consideración de esos Comités, la aprobación de un medicamento no incluido en el POS, así como las solicitudes de aprobación de los servicios de salud no incluidos distintos a medicamentos, tales como actividades, procedimientos e intervenciones explícitamente excluidas hasta tanto se regulara de manera definitiva el medio de autorización directa ante las EPS. Sin embargo, desde que fue proferida la sentencia hasta la fecha han transcurrido aproximadamente 8 años, lo que implica que la orden no se cumplió </w:t>
      </w:r>
      <w:r w:rsidR="00B56CD7" w:rsidRPr="005D131A">
        <w:rPr>
          <w:sz w:val="28"/>
          <w:szCs w:val="28"/>
        </w:rPr>
        <w:t xml:space="preserve">a cabalidad </w:t>
      </w:r>
      <w:r w:rsidR="00495A41" w:rsidRPr="005D131A">
        <w:rPr>
          <w:sz w:val="28"/>
          <w:szCs w:val="28"/>
        </w:rPr>
        <w:t xml:space="preserve">por cuanto </w:t>
      </w:r>
      <w:r w:rsidR="00B56CD7" w:rsidRPr="005D131A">
        <w:rPr>
          <w:sz w:val="28"/>
          <w:szCs w:val="28"/>
        </w:rPr>
        <w:t>perdió su carácter transitorio</w:t>
      </w:r>
      <w:r w:rsidR="00495A41" w:rsidRPr="005D131A">
        <w:rPr>
          <w:sz w:val="28"/>
          <w:szCs w:val="28"/>
        </w:rPr>
        <w:t xml:space="preserve"> y</w:t>
      </w:r>
      <w:r w:rsidR="00B56CD7" w:rsidRPr="005D131A">
        <w:rPr>
          <w:sz w:val="28"/>
          <w:szCs w:val="28"/>
        </w:rPr>
        <w:t>,</w:t>
      </w:r>
      <w:r w:rsidR="00495A41" w:rsidRPr="005D131A">
        <w:rPr>
          <w:sz w:val="28"/>
          <w:szCs w:val="28"/>
        </w:rPr>
        <w:t xml:space="preserve"> en esa media</w:t>
      </w:r>
      <w:r w:rsidR="00B56CD7" w:rsidRPr="005D131A">
        <w:rPr>
          <w:sz w:val="28"/>
          <w:szCs w:val="28"/>
        </w:rPr>
        <w:t>,</w:t>
      </w:r>
      <w:r w:rsidR="00495A41" w:rsidRPr="005D131A">
        <w:rPr>
          <w:sz w:val="28"/>
          <w:szCs w:val="28"/>
        </w:rPr>
        <w:t xml:space="preserve"> se desnaturalizó lo ordenado por </w:t>
      </w:r>
      <w:r w:rsidR="00B56CD7" w:rsidRPr="005D131A">
        <w:rPr>
          <w:sz w:val="28"/>
          <w:szCs w:val="28"/>
        </w:rPr>
        <w:t xml:space="preserve">la Corte ya que la orden 23 </w:t>
      </w:r>
      <w:r w:rsidR="00495A41" w:rsidRPr="005D131A">
        <w:rPr>
          <w:sz w:val="28"/>
          <w:szCs w:val="28"/>
        </w:rPr>
        <w:t xml:space="preserve">fue clara en señalar que las reglas del CTC debían ser extendidas hasta tanto el trámite interno de las EPS no fuera regulado de manera definitiva, </w:t>
      </w:r>
      <w:r w:rsidR="00B56CD7" w:rsidRPr="005D131A">
        <w:rPr>
          <w:sz w:val="28"/>
          <w:szCs w:val="28"/>
        </w:rPr>
        <w:t xml:space="preserve">asunto que debió ser atendido de manera especial por parte del </w:t>
      </w:r>
      <w:r w:rsidR="00495A41" w:rsidRPr="005D131A">
        <w:rPr>
          <w:sz w:val="28"/>
          <w:szCs w:val="28"/>
        </w:rPr>
        <w:t xml:space="preserve">Ministerio a fin de </w:t>
      </w:r>
      <w:r w:rsidR="00495A41" w:rsidRPr="005D131A">
        <w:rPr>
          <w:rStyle w:val="apple-converted-space"/>
          <w:sz w:val="28"/>
          <w:szCs w:val="28"/>
          <w:shd w:val="clear" w:color="auto" w:fill="FFFFFF"/>
        </w:rPr>
        <w:t>a superar la falla evidenciada en relación con la falta de un mecanismo para la aprobación de tecnologías no incluidas o explícitamente excluidas del plan de benefi</w:t>
      </w:r>
      <w:r w:rsidR="00B56CD7" w:rsidRPr="005D131A">
        <w:rPr>
          <w:rStyle w:val="apple-converted-space"/>
          <w:sz w:val="28"/>
          <w:szCs w:val="28"/>
          <w:shd w:val="clear" w:color="auto" w:fill="FFFFFF"/>
        </w:rPr>
        <w:t xml:space="preserve">cios diferentes a medicamentos. </w:t>
      </w:r>
    </w:p>
    <w:p w:rsidR="00E33CFB" w:rsidRPr="005D131A" w:rsidRDefault="00E33CFB" w:rsidP="005D131A">
      <w:pPr>
        <w:pStyle w:val="Prrafodelista"/>
        <w:tabs>
          <w:tab w:val="left" w:pos="567"/>
          <w:tab w:val="left" w:pos="1276"/>
        </w:tabs>
        <w:ind w:left="0"/>
        <w:contextualSpacing/>
        <w:rPr>
          <w:rStyle w:val="apple-converted-space"/>
          <w:sz w:val="28"/>
          <w:szCs w:val="28"/>
          <w:shd w:val="clear" w:color="auto" w:fill="FFFFFF"/>
        </w:rPr>
      </w:pPr>
    </w:p>
    <w:p w:rsidR="00582E34" w:rsidRPr="005D131A" w:rsidRDefault="007534C2" w:rsidP="005D131A">
      <w:pPr>
        <w:pStyle w:val="Prrafodelista"/>
        <w:tabs>
          <w:tab w:val="left" w:pos="567"/>
          <w:tab w:val="left" w:pos="1276"/>
        </w:tabs>
        <w:ind w:left="0"/>
        <w:contextualSpacing/>
        <w:rPr>
          <w:rStyle w:val="apple-converted-space"/>
          <w:sz w:val="28"/>
          <w:szCs w:val="28"/>
          <w:shd w:val="clear" w:color="auto" w:fill="FFFFFF"/>
        </w:rPr>
      </w:pPr>
      <w:r w:rsidRPr="005D131A">
        <w:rPr>
          <w:rStyle w:val="apple-converted-space"/>
          <w:sz w:val="28"/>
          <w:szCs w:val="28"/>
          <w:shd w:val="clear" w:color="auto" w:fill="FFFFFF"/>
        </w:rPr>
        <w:t>5</w:t>
      </w:r>
      <w:r w:rsidR="00CD6135" w:rsidRPr="005D131A">
        <w:rPr>
          <w:rStyle w:val="apple-converted-space"/>
          <w:sz w:val="28"/>
          <w:szCs w:val="28"/>
          <w:shd w:val="clear" w:color="auto" w:fill="FFFFFF"/>
        </w:rPr>
        <w:t>.3.7</w:t>
      </w:r>
      <w:r w:rsidR="000D6800" w:rsidRPr="005D131A">
        <w:rPr>
          <w:rStyle w:val="apple-converted-space"/>
          <w:sz w:val="28"/>
          <w:szCs w:val="28"/>
          <w:shd w:val="clear" w:color="auto" w:fill="FFFFFF"/>
        </w:rPr>
        <w:t>. Sin perjuicio de lo dicho hasta el momento, se desprende que el Ministerio adoptó varias medidas para lograr la extensión de las funciones de los comités a los servicios no POS, diferentes a medicamentos, así como a las tecnologías explícitamente excluidas del plan. De este modo, se tiene que l</w:t>
      </w:r>
      <w:r w:rsidR="00582E34" w:rsidRPr="005D131A">
        <w:rPr>
          <w:rStyle w:val="apple-converted-space"/>
          <w:sz w:val="28"/>
          <w:szCs w:val="28"/>
          <w:shd w:val="clear" w:color="auto" w:fill="FFFFFF"/>
        </w:rPr>
        <w:t>as regulaciones sobre el CTC fueron</w:t>
      </w:r>
      <w:r w:rsidR="000D6800" w:rsidRPr="005D131A">
        <w:rPr>
          <w:rStyle w:val="apple-converted-space"/>
          <w:sz w:val="28"/>
          <w:szCs w:val="28"/>
          <w:shd w:val="clear" w:color="auto" w:fill="FFFFFF"/>
        </w:rPr>
        <w:t xml:space="preserve"> conducentes para el acatamiento de la orden, debido a que buscaban ampliar el ámbito de las funciones de tal órgano a prestaciones a las que antes de la Sentencia T-760 de 2008 el usuario solo podía acceder interponiendo acciones de tutela. </w:t>
      </w:r>
      <w:r w:rsidR="00582E34" w:rsidRPr="005D131A">
        <w:rPr>
          <w:rStyle w:val="apple-converted-space"/>
          <w:sz w:val="28"/>
          <w:szCs w:val="28"/>
          <w:shd w:val="clear" w:color="auto" w:fill="FFFFFF"/>
        </w:rPr>
        <w:t>Sin embargo, el ente m</w:t>
      </w:r>
      <w:r w:rsidR="00426F1C" w:rsidRPr="005D131A">
        <w:rPr>
          <w:rStyle w:val="apple-converted-space"/>
          <w:sz w:val="28"/>
          <w:szCs w:val="28"/>
          <w:shd w:val="clear" w:color="auto" w:fill="FFFFFF"/>
        </w:rPr>
        <w:t xml:space="preserve">inisterial tardó mucho </w:t>
      </w:r>
      <w:r w:rsidR="005C19BA" w:rsidRPr="005D131A">
        <w:rPr>
          <w:rStyle w:val="apple-converted-space"/>
          <w:sz w:val="28"/>
          <w:szCs w:val="28"/>
          <w:shd w:val="clear" w:color="auto" w:fill="FFFFFF"/>
        </w:rPr>
        <w:t>tiempo en</w:t>
      </w:r>
      <w:r w:rsidR="00582E34" w:rsidRPr="005D131A">
        <w:rPr>
          <w:rStyle w:val="apple-converted-space"/>
          <w:sz w:val="28"/>
          <w:szCs w:val="28"/>
          <w:shd w:val="clear" w:color="auto" w:fill="FFFFFF"/>
        </w:rPr>
        <w:t xml:space="preserve"> regular de manera definitiva el</w:t>
      </w:r>
      <w:r w:rsidR="00426F1C" w:rsidRPr="005D131A">
        <w:rPr>
          <w:rStyle w:val="apple-converted-space"/>
          <w:sz w:val="28"/>
          <w:szCs w:val="28"/>
          <w:shd w:val="clear" w:color="auto" w:fill="FFFFFF"/>
        </w:rPr>
        <w:t xml:space="preserve"> trámite interno a fin de que </w:t>
      </w:r>
      <w:r w:rsidR="00582E34" w:rsidRPr="005D131A">
        <w:rPr>
          <w:rStyle w:val="apple-converted-space"/>
          <w:sz w:val="28"/>
          <w:szCs w:val="28"/>
          <w:shd w:val="clear" w:color="auto" w:fill="FFFFFF"/>
        </w:rPr>
        <w:t>esos servicios fueran autorizados directamente por las EPS. Además,</w:t>
      </w:r>
      <w:r w:rsidR="00426F1C" w:rsidRPr="005D131A">
        <w:rPr>
          <w:rStyle w:val="apple-converted-space"/>
          <w:sz w:val="28"/>
          <w:szCs w:val="28"/>
          <w:shd w:val="clear" w:color="auto" w:fill="FFFFFF"/>
        </w:rPr>
        <w:t xml:space="preserve"> los Comités t</w:t>
      </w:r>
      <w:r w:rsidR="00582E34" w:rsidRPr="005D131A">
        <w:rPr>
          <w:rStyle w:val="apple-converted-space"/>
          <w:sz w:val="28"/>
          <w:szCs w:val="28"/>
          <w:shd w:val="clear" w:color="auto" w:fill="FFFFFF"/>
        </w:rPr>
        <w:t xml:space="preserve">uvieron muchos inconvenientes en cuanto a su organización y reuniones para </w:t>
      </w:r>
      <w:r w:rsidR="00426F1C" w:rsidRPr="005D131A">
        <w:rPr>
          <w:rStyle w:val="apple-converted-space"/>
          <w:sz w:val="28"/>
          <w:szCs w:val="28"/>
          <w:shd w:val="clear" w:color="auto" w:fill="FFFFFF"/>
        </w:rPr>
        <w:t>aprobar los</w:t>
      </w:r>
      <w:r w:rsidR="00582E34" w:rsidRPr="005D131A">
        <w:rPr>
          <w:rStyle w:val="apple-converted-space"/>
          <w:sz w:val="28"/>
          <w:szCs w:val="28"/>
          <w:shd w:val="clear" w:color="auto" w:fill="FFFFFF"/>
        </w:rPr>
        <w:t xml:space="preserve"> servicios de salud</w:t>
      </w:r>
      <w:r w:rsidR="00426F1C" w:rsidRPr="005D131A">
        <w:rPr>
          <w:rStyle w:val="apple-converted-space"/>
          <w:sz w:val="28"/>
          <w:szCs w:val="28"/>
          <w:shd w:val="clear" w:color="auto" w:fill="FFFFFF"/>
        </w:rPr>
        <w:t xml:space="preserve"> no contemplados en el POS o explícitamente excluidos del mismo, </w:t>
      </w:r>
      <w:r w:rsidR="00582E34" w:rsidRPr="005D131A">
        <w:rPr>
          <w:rStyle w:val="apple-converted-space"/>
          <w:sz w:val="28"/>
          <w:szCs w:val="28"/>
          <w:shd w:val="clear" w:color="auto" w:fill="FFFFFF"/>
        </w:rPr>
        <w:t xml:space="preserve">lo que </w:t>
      </w:r>
      <w:r w:rsidR="00426F1C" w:rsidRPr="005D131A">
        <w:rPr>
          <w:rStyle w:val="apple-converted-space"/>
          <w:sz w:val="28"/>
          <w:szCs w:val="28"/>
          <w:shd w:val="clear" w:color="auto" w:fill="FFFFFF"/>
        </w:rPr>
        <w:t>generó y aún implica trau</w:t>
      </w:r>
      <w:r w:rsidR="005C19BA" w:rsidRPr="005D131A">
        <w:rPr>
          <w:rStyle w:val="apple-converted-space"/>
          <w:sz w:val="28"/>
          <w:szCs w:val="28"/>
          <w:shd w:val="clear" w:color="auto" w:fill="FFFFFF"/>
        </w:rPr>
        <w:t xml:space="preserve">matismos y barreras para </w:t>
      </w:r>
      <w:r w:rsidR="00426F1C" w:rsidRPr="005D131A">
        <w:rPr>
          <w:rStyle w:val="apple-converted-space"/>
          <w:sz w:val="28"/>
          <w:szCs w:val="28"/>
          <w:shd w:val="clear" w:color="auto" w:fill="FFFFFF"/>
        </w:rPr>
        <w:t xml:space="preserve"> </w:t>
      </w:r>
      <w:r w:rsidR="00582E34" w:rsidRPr="005D131A">
        <w:rPr>
          <w:rStyle w:val="apple-converted-space"/>
          <w:sz w:val="28"/>
          <w:szCs w:val="28"/>
          <w:shd w:val="clear" w:color="auto" w:fill="FFFFFF"/>
        </w:rPr>
        <w:t xml:space="preserve">que los usuarios </w:t>
      </w:r>
      <w:r w:rsidR="005C19BA" w:rsidRPr="005D131A">
        <w:rPr>
          <w:rStyle w:val="apple-converted-space"/>
          <w:sz w:val="28"/>
          <w:szCs w:val="28"/>
          <w:shd w:val="clear" w:color="auto" w:fill="FFFFFF"/>
        </w:rPr>
        <w:t>accedan de manera oportuna al sistema de salud</w:t>
      </w:r>
      <w:r w:rsidR="00582E34" w:rsidRPr="005D131A">
        <w:rPr>
          <w:rStyle w:val="apple-converted-space"/>
          <w:sz w:val="28"/>
          <w:szCs w:val="28"/>
          <w:shd w:val="clear" w:color="auto" w:fill="FFFFFF"/>
        </w:rPr>
        <w:t xml:space="preserve"> </w:t>
      </w:r>
    </w:p>
    <w:p w:rsidR="00582E34" w:rsidRPr="005D131A" w:rsidRDefault="00582E34" w:rsidP="005D131A">
      <w:pPr>
        <w:pStyle w:val="Prrafodelista"/>
        <w:tabs>
          <w:tab w:val="left" w:pos="567"/>
          <w:tab w:val="left" w:pos="1276"/>
        </w:tabs>
        <w:ind w:left="0"/>
        <w:contextualSpacing/>
        <w:rPr>
          <w:rStyle w:val="apple-converted-space"/>
          <w:sz w:val="28"/>
          <w:szCs w:val="28"/>
          <w:shd w:val="clear" w:color="auto" w:fill="FFFFFF"/>
        </w:rPr>
      </w:pPr>
    </w:p>
    <w:p w:rsidR="004373E3" w:rsidRPr="005D131A" w:rsidRDefault="005C19BA" w:rsidP="005D131A">
      <w:pPr>
        <w:pStyle w:val="Prrafodelista"/>
        <w:tabs>
          <w:tab w:val="left" w:pos="993"/>
        </w:tabs>
        <w:ind w:left="0"/>
        <w:rPr>
          <w:rStyle w:val="apple-converted-space"/>
          <w:color w:val="FF0000"/>
          <w:sz w:val="28"/>
          <w:szCs w:val="28"/>
          <w:shd w:val="clear" w:color="auto" w:fill="FFFFFF"/>
        </w:rPr>
      </w:pPr>
      <w:r w:rsidRPr="005D131A">
        <w:rPr>
          <w:rStyle w:val="apple-converted-space"/>
          <w:sz w:val="28"/>
          <w:szCs w:val="28"/>
          <w:shd w:val="clear" w:color="auto" w:fill="FFFFFF"/>
        </w:rPr>
        <w:t>Esas razones son las que condicen a esta Corte a calificar</w:t>
      </w:r>
      <w:r w:rsidRPr="005D131A">
        <w:rPr>
          <w:rStyle w:val="apple-converted-space"/>
          <w:color w:val="FF0000"/>
          <w:sz w:val="28"/>
          <w:szCs w:val="28"/>
          <w:shd w:val="clear" w:color="auto" w:fill="FFFFFF"/>
        </w:rPr>
        <w:t xml:space="preserve"> </w:t>
      </w:r>
      <w:r w:rsidR="00426F1C" w:rsidRPr="005D131A">
        <w:rPr>
          <w:rStyle w:val="apple-converted-space"/>
          <w:sz w:val="28"/>
          <w:szCs w:val="28"/>
          <w:shd w:val="clear" w:color="auto" w:fill="FFFFFF"/>
        </w:rPr>
        <w:t>con un nivel bajo este elemento constitucionalmente relevante de la orden</w:t>
      </w:r>
      <w:r w:rsidRPr="005D131A">
        <w:rPr>
          <w:rStyle w:val="apple-converted-space"/>
          <w:sz w:val="28"/>
          <w:szCs w:val="28"/>
          <w:shd w:val="clear" w:color="auto" w:fill="FFFFFF"/>
        </w:rPr>
        <w:t xml:space="preserve">, </w:t>
      </w:r>
      <w:r w:rsidR="00BB1863" w:rsidRPr="005D131A">
        <w:rPr>
          <w:rStyle w:val="apple-converted-space"/>
          <w:sz w:val="28"/>
          <w:szCs w:val="28"/>
          <w:shd w:val="clear" w:color="auto" w:fill="FFFFFF"/>
        </w:rPr>
        <w:t>lo cual no obsta para reconocer que el esfuerzo del Gobierno Nacional por extender el alcance de los comités, contribuye a superar la falla evidenciada en relación con la falta de un mecanismo para la aprobación de tecnologías no incluidas o explícitamente excluidas del plan de beneficios diferentes a medicamentos.</w:t>
      </w:r>
      <w:r w:rsidR="00BB1863" w:rsidRPr="005D131A">
        <w:rPr>
          <w:rStyle w:val="apple-converted-space"/>
          <w:color w:val="FF0000"/>
          <w:sz w:val="28"/>
          <w:szCs w:val="28"/>
          <w:shd w:val="clear" w:color="auto" w:fill="FFFFFF"/>
        </w:rPr>
        <w:t xml:space="preserve"> </w:t>
      </w:r>
    </w:p>
    <w:p w:rsidR="00A711BC" w:rsidRPr="005D131A" w:rsidRDefault="00A711BC" w:rsidP="005D131A">
      <w:pPr>
        <w:pStyle w:val="Prrafodelista"/>
        <w:tabs>
          <w:tab w:val="left" w:pos="993"/>
        </w:tabs>
        <w:ind w:left="0"/>
        <w:rPr>
          <w:color w:val="FF0000"/>
          <w:sz w:val="28"/>
          <w:szCs w:val="28"/>
          <w:shd w:val="clear" w:color="auto" w:fill="FFFFFF"/>
        </w:rPr>
      </w:pPr>
    </w:p>
    <w:p w:rsidR="00C62876" w:rsidRPr="005D131A" w:rsidRDefault="007534C2" w:rsidP="005D131A">
      <w:pPr>
        <w:pStyle w:val="Prrafodelista"/>
        <w:tabs>
          <w:tab w:val="left" w:pos="567"/>
          <w:tab w:val="left" w:pos="1276"/>
        </w:tabs>
        <w:ind w:left="0"/>
        <w:contextualSpacing/>
        <w:rPr>
          <w:b/>
          <w:sz w:val="28"/>
          <w:szCs w:val="28"/>
        </w:rPr>
      </w:pPr>
      <w:r w:rsidRPr="005D131A">
        <w:rPr>
          <w:b/>
          <w:sz w:val="28"/>
          <w:szCs w:val="28"/>
        </w:rPr>
        <w:t>5</w:t>
      </w:r>
      <w:r w:rsidR="00B13A94" w:rsidRPr="005D131A">
        <w:rPr>
          <w:b/>
          <w:sz w:val="28"/>
          <w:szCs w:val="28"/>
        </w:rPr>
        <w:t>.4. Creación de un trámite interno</w:t>
      </w:r>
      <w:r w:rsidR="00C62876" w:rsidRPr="005D131A">
        <w:rPr>
          <w:b/>
          <w:sz w:val="28"/>
          <w:szCs w:val="28"/>
        </w:rPr>
        <w:t xml:space="preserve"> para que los usuarios</w:t>
      </w:r>
      <w:r w:rsidR="007318C0" w:rsidRPr="005D131A">
        <w:rPr>
          <w:sz w:val="28"/>
          <w:szCs w:val="28"/>
        </w:rPr>
        <w:t xml:space="preserve"> </w:t>
      </w:r>
      <w:r w:rsidR="007318C0" w:rsidRPr="005D131A">
        <w:rPr>
          <w:b/>
          <w:sz w:val="28"/>
          <w:szCs w:val="28"/>
        </w:rPr>
        <w:t>tanto del régimen contributivo como subsidiado</w:t>
      </w:r>
      <w:r w:rsidR="00C62876" w:rsidRPr="005D131A">
        <w:rPr>
          <w:b/>
          <w:sz w:val="28"/>
          <w:szCs w:val="28"/>
        </w:rPr>
        <w:t xml:space="preserve"> accedan a todos los servicios no incluidos y explícitamente excluidos del POS que requieren con necesidad para conservar su estado de salud</w:t>
      </w:r>
    </w:p>
    <w:p w:rsidR="00786942" w:rsidRPr="005D131A" w:rsidRDefault="00786942" w:rsidP="005D131A">
      <w:pPr>
        <w:pStyle w:val="Prrafodelista"/>
        <w:tabs>
          <w:tab w:val="left" w:pos="567"/>
          <w:tab w:val="left" w:pos="1276"/>
        </w:tabs>
        <w:ind w:left="0"/>
        <w:contextualSpacing/>
        <w:rPr>
          <w:sz w:val="28"/>
          <w:szCs w:val="28"/>
        </w:rPr>
      </w:pPr>
    </w:p>
    <w:p w:rsidR="00786942" w:rsidRPr="005D131A" w:rsidRDefault="008F1CC9" w:rsidP="005D131A">
      <w:pPr>
        <w:pStyle w:val="Prrafodelista"/>
        <w:tabs>
          <w:tab w:val="left" w:pos="567"/>
          <w:tab w:val="left" w:pos="1276"/>
        </w:tabs>
        <w:ind w:left="0"/>
        <w:contextualSpacing/>
        <w:rPr>
          <w:sz w:val="28"/>
          <w:szCs w:val="28"/>
        </w:rPr>
      </w:pPr>
      <w:r w:rsidRPr="005D131A">
        <w:rPr>
          <w:sz w:val="28"/>
          <w:szCs w:val="28"/>
        </w:rPr>
        <w:t>De manera previa,</w:t>
      </w:r>
      <w:r w:rsidR="00786942" w:rsidRPr="005D131A">
        <w:rPr>
          <w:sz w:val="28"/>
          <w:szCs w:val="28"/>
        </w:rPr>
        <w:t xml:space="preserve"> esta </w:t>
      </w:r>
      <w:r w:rsidRPr="005D131A">
        <w:rPr>
          <w:sz w:val="28"/>
          <w:szCs w:val="28"/>
        </w:rPr>
        <w:t>Corporación</w:t>
      </w:r>
      <w:r w:rsidR="00786942" w:rsidRPr="005D131A">
        <w:rPr>
          <w:sz w:val="28"/>
          <w:szCs w:val="28"/>
        </w:rPr>
        <w:t xml:space="preserve"> aclara que la</w:t>
      </w:r>
      <w:r w:rsidRPr="005D131A">
        <w:rPr>
          <w:sz w:val="28"/>
          <w:szCs w:val="28"/>
        </w:rPr>
        <w:t>s</w:t>
      </w:r>
      <w:r w:rsidR="00786942" w:rsidRPr="005D131A">
        <w:rPr>
          <w:sz w:val="28"/>
          <w:szCs w:val="28"/>
        </w:rPr>
        <w:t xml:space="preserve"> </w:t>
      </w:r>
      <w:r w:rsidRPr="005D131A">
        <w:rPr>
          <w:sz w:val="28"/>
          <w:szCs w:val="28"/>
        </w:rPr>
        <w:t xml:space="preserve">expresiones </w:t>
      </w:r>
      <w:r w:rsidRPr="005D131A">
        <w:rPr>
          <w:i/>
          <w:sz w:val="28"/>
          <w:szCs w:val="28"/>
        </w:rPr>
        <w:t>servicios de salud no incluidos</w:t>
      </w:r>
      <w:r w:rsidRPr="005D131A">
        <w:rPr>
          <w:sz w:val="28"/>
          <w:szCs w:val="28"/>
        </w:rPr>
        <w:t xml:space="preserve"> y </w:t>
      </w:r>
      <w:r w:rsidRPr="005D131A">
        <w:rPr>
          <w:i/>
          <w:sz w:val="28"/>
          <w:szCs w:val="28"/>
        </w:rPr>
        <w:t xml:space="preserve">procedimientos e intervenciones explícitamente excluidas </w:t>
      </w:r>
      <w:r w:rsidR="00D0187B" w:rsidRPr="005D131A">
        <w:rPr>
          <w:sz w:val="28"/>
          <w:szCs w:val="28"/>
        </w:rPr>
        <w:t>ya</w:t>
      </w:r>
      <w:r w:rsidR="00D0187B" w:rsidRPr="005D131A">
        <w:rPr>
          <w:i/>
          <w:sz w:val="28"/>
          <w:szCs w:val="28"/>
        </w:rPr>
        <w:t xml:space="preserve"> </w:t>
      </w:r>
      <w:r w:rsidR="00786942" w:rsidRPr="005D131A">
        <w:rPr>
          <w:sz w:val="28"/>
          <w:szCs w:val="28"/>
        </w:rPr>
        <w:t>no</w:t>
      </w:r>
      <w:r w:rsidRPr="005D131A">
        <w:rPr>
          <w:sz w:val="28"/>
          <w:szCs w:val="28"/>
        </w:rPr>
        <w:t xml:space="preserve"> se encuentran vigentes </w:t>
      </w:r>
      <w:r w:rsidR="00D0187B" w:rsidRPr="005D131A">
        <w:rPr>
          <w:sz w:val="28"/>
          <w:szCs w:val="28"/>
        </w:rPr>
        <w:t xml:space="preserve">en razón a que </w:t>
      </w:r>
      <w:r w:rsidRPr="005D131A">
        <w:rPr>
          <w:sz w:val="28"/>
          <w:szCs w:val="28"/>
        </w:rPr>
        <w:t>la Ley Estatutaria en Salud ordenó</w:t>
      </w:r>
      <w:r w:rsidR="00786942" w:rsidRPr="005D131A">
        <w:rPr>
          <w:sz w:val="28"/>
          <w:szCs w:val="28"/>
        </w:rPr>
        <w:t xml:space="preserve"> una cobertura implícita</w:t>
      </w:r>
      <w:r w:rsidRPr="005D131A">
        <w:rPr>
          <w:sz w:val="28"/>
          <w:szCs w:val="28"/>
        </w:rPr>
        <w:t xml:space="preserve"> del POS </w:t>
      </w:r>
      <w:r w:rsidR="00786942" w:rsidRPr="005D131A">
        <w:rPr>
          <w:sz w:val="28"/>
          <w:szCs w:val="28"/>
        </w:rPr>
        <w:t xml:space="preserve">basada esencialmente en un sistema de </w:t>
      </w:r>
      <w:r w:rsidRPr="005D131A">
        <w:rPr>
          <w:sz w:val="28"/>
          <w:szCs w:val="28"/>
        </w:rPr>
        <w:t>exclusiones</w:t>
      </w:r>
      <w:r w:rsidR="00D0187B" w:rsidRPr="005D131A">
        <w:rPr>
          <w:sz w:val="28"/>
          <w:szCs w:val="28"/>
        </w:rPr>
        <w:t xml:space="preserve">. Sin embargo, </w:t>
      </w:r>
      <w:r w:rsidR="00790A97" w:rsidRPr="005D131A">
        <w:rPr>
          <w:sz w:val="28"/>
          <w:szCs w:val="28"/>
        </w:rPr>
        <w:t xml:space="preserve">en </w:t>
      </w:r>
      <w:r w:rsidR="00786942" w:rsidRPr="005D131A">
        <w:rPr>
          <w:sz w:val="28"/>
          <w:szCs w:val="28"/>
        </w:rPr>
        <w:t xml:space="preserve">el presente </w:t>
      </w:r>
      <w:r w:rsidR="00D0187B" w:rsidRPr="005D131A">
        <w:rPr>
          <w:sz w:val="28"/>
          <w:szCs w:val="28"/>
        </w:rPr>
        <w:t xml:space="preserve">capitulo </w:t>
      </w:r>
      <w:r w:rsidR="00790A97" w:rsidRPr="005D131A">
        <w:rPr>
          <w:sz w:val="28"/>
          <w:szCs w:val="28"/>
        </w:rPr>
        <w:t xml:space="preserve">se </w:t>
      </w:r>
      <w:r w:rsidR="00D0187B" w:rsidRPr="005D131A">
        <w:rPr>
          <w:sz w:val="28"/>
          <w:szCs w:val="28"/>
        </w:rPr>
        <w:t>analizará</w:t>
      </w:r>
      <w:r w:rsidR="00786942" w:rsidRPr="005D131A">
        <w:rPr>
          <w:sz w:val="28"/>
          <w:szCs w:val="28"/>
        </w:rPr>
        <w:t xml:space="preserve"> el alcance de dicha</w:t>
      </w:r>
      <w:r w:rsidR="00D0187B" w:rsidRPr="005D131A">
        <w:rPr>
          <w:sz w:val="28"/>
          <w:szCs w:val="28"/>
        </w:rPr>
        <w:t xml:space="preserve">s expresiones conforme a </w:t>
      </w:r>
      <w:r w:rsidR="00786942" w:rsidRPr="005D131A">
        <w:rPr>
          <w:sz w:val="28"/>
          <w:szCs w:val="28"/>
        </w:rPr>
        <w:t xml:space="preserve">la normativa </w:t>
      </w:r>
      <w:r w:rsidR="00D0187B" w:rsidRPr="005D131A">
        <w:rPr>
          <w:sz w:val="28"/>
          <w:szCs w:val="28"/>
        </w:rPr>
        <w:t>proferida</w:t>
      </w:r>
      <w:r w:rsidR="00786942" w:rsidRPr="005D131A">
        <w:rPr>
          <w:sz w:val="28"/>
          <w:szCs w:val="28"/>
        </w:rPr>
        <w:t xml:space="preserve"> con anterioridad a la regulación</w:t>
      </w:r>
      <w:r w:rsidR="00AA584F" w:rsidRPr="005D131A">
        <w:rPr>
          <w:sz w:val="28"/>
          <w:szCs w:val="28"/>
        </w:rPr>
        <w:t xml:space="preserve"> </w:t>
      </w:r>
      <w:r w:rsidR="00D0187B" w:rsidRPr="005D131A">
        <w:rPr>
          <w:sz w:val="28"/>
          <w:szCs w:val="28"/>
        </w:rPr>
        <w:t xml:space="preserve">estatutaria, dado que la valoración de cumplimiento de la presente orden incluye el análisis de las disposiciones proferidas entre los años 2008 a 2016, como pasará a observarse. </w:t>
      </w:r>
    </w:p>
    <w:p w:rsidR="00786942" w:rsidRPr="005D131A" w:rsidRDefault="00786942" w:rsidP="005D131A">
      <w:pPr>
        <w:pStyle w:val="Prrafodelista"/>
        <w:tabs>
          <w:tab w:val="left" w:pos="567"/>
          <w:tab w:val="left" w:pos="1276"/>
        </w:tabs>
        <w:ind w:left="0"/>
        <w:contextualSpacing/>
        <w:rPr>
          <w:b/>
          <w:sz w:val="28"/>
          <w:szCs w:val="28"/>
        </w:rPr>
      </w:pPr>
      <w:r w:rsidRPr="005D131A">
        <w:rPr>
          <w:b/>
          <w:sz w:val="28"/>
          <w:szCs w:val="28"/>
        </w:rPr>
        <w:t xml:space="preserve"> </w:t>
      </w:r>
    </w:p>
    <w:p w:rsidR="00A122D2" w:rsidRPr="005D131A" w:rsidRDefault="007534C2" w:rsidP="005D131A">
      <w:pPr>
        <w:tabs>
          <w:tab w:val="left" w:pos="426"/>
        </w:tabs>
        <w:rPr>
          <w:sz w:val="28"/>
          <w:szCs w:val="28"/>
        </w:rPr>
      </w:pPr>
      <w:r w:rsidRPr="005D131A">
        <w:rPr>
          <w:sz w:val="28"/>
          <w:szCs w:val="28"/>
        </w:rPr>
        <w:t>5</w:t>
      </w:r>
      <w:r w:rsidR="00EC7369" w:rsidRPr="005D131A">
        <w:rPr>
          <w:sz w:val="28"/>
          <w:szCs w:val="28"/>
        </w:rPr>
        <w:t>.</w:t>
      </w:r>
      <w:r w:rsidR="007A06D2" w:rsidRPr="005D131A">
        <w:rPr>
          <w:sz w:val="28"/>
          <w:szCs w:val="28"/>
        </w:rPr>
        <w:t xml:space="preserve">4.1. </w:t>
      </w:r>
      <w:r w:rsidR="00B13A94" w:rsidRPr="005D131A">
        <w:rPr>
          <w:sz w:val="28"/>
          <w:szCs w:val="28"/>
        </w:rPr>
        <w:t>Como quedó reseñado en los antecedentes de es</w:t>
      </w:r>
      <w:r w:rsidR="008F0B4A" w:rsidRPr="005D131A">
        <w:rPr>
          <w:sz w:val="28"/>
          <w:szCs w:val="28"/>
        </w:rPr>
        <w:t>t</w:t>
      </w:r>
      <w:r w:rsidR="00B13A94" w:rsidRPr="005D131A">
        <w:rPr>
          <w:sz w:val="28"/>
          <w:szCs w:val="28"/>
        </w:rPr>
        <w:t>a providencia, el Ministerio de Salud y Protección Social ha expedido algunas regulaciones relacionadas con el mandato vigésimo tercero</w:t>
      </w:r>
      <w:r w:rsidR="005336E1" w:rsidRPr="005D131A">
        <w:rPr>
          <w:sz w:val="28"/>
          <w:szCs w:val="28"/>
        </w:rPr>
        <w:t xml:space="preserve"> de la Sentencia T-760 de 2008, tales como la</w:t>
      </w:r>
      <w:r w:rsidR="00F20B7E" w:rsidRPr="005D131A">
        <w:rPr>
          <w:sz w:val="28"/>
          <w:szCs w:val="28"/>
        </w:rPr>
        <w:t>s r</w:t>
      </w:r>
      <w:r w:rsidR="007A06D2" w:rsidRPr="005D131A">
        <w:rPr>
          <w:sz w:val="28"/>
          <w:szCs w:val="28"/>
        </w:rPr>
        <w:t>esoluciones 3099</w:t>
      </w:r>
      <w:r w:rsidR="000A08FD" w:rsidRPr="005D131A">
        <w:rPr>
          <w:sz w:val="28"/>
          <w:szCs w:val="28"/>
        </w:rPr>
        <w:t xml:space="preserve">, </w:t>
      </w:r>
      <w:r w:rsidR="00DF7CCF" w:rsidRPr="005D131A">
        <w:rPr>
          <w:sz w:val="28"/>
          <w:szCs w:val="28"/>
        </w:rPr>
        <w:t>3754 y 5334 de 2008</w:t>
      </w:r>
      <w:r w:rsidR="008F27E0" w:rsidRPr="005D131A">
        <w:rPr>
          <w:sz w:val="28"/>
          <w:szCs w:val="28"/>
        </w:rPr>
        <w:t xml:space="preserve">, </w:t>
      </w:r>
      <w:r w:rsidR="007A06D2" w:rsidRPr="005D131A">
        <w:rPr>
          <w:sz w:val="28"/>
          <w:szCs w:val="28"/>
        </w:rPr>
        <w:t xml:space="preserve">la </w:t>
      </w:r>
      <w:r w:rsidR="008F27E0" w:rsidRPr="005D131A">
        <w:rPr>
          <w:sz w:val="28"/>
          <w:szCs w:val="28"/>
        </w:rPr>
        <w:t>Circular 019 de 2012</w:t>
      </w:r>
      <w:r w:rsidR="00F20B7E" w:rsidRPr="005D131A">
        <w:rPr>
          <w:sz w:val="28"/>
          <w:szCs w:val="28"/>
          <w:vertAlign w:val="superscript"/>
        </w:rPr>
        <w:footnoteReference w:id="164"/>
      </w:r>
      <w:r w:rsidR="008F27E0" w:rsidRPr="005D131A">
        <w:rPr>
          <w:sz w:val="28"/>
          <w:szCs w:val="28"/>
        </w:rPr>
        <w:t xml:space="preserve">, </w:t>
      </w:r>
      <w:r w:rsidR="00186C36" w:rsidRPr="005D131A">
        <w:rPr>
          <w:sz w:val="28"/>
          <w:szCs w:val="28"/>
        </w:rPr>
        <w:t>así como la</w:t>
      </w:r>
      <w:r w:rsidR="009404D6" w:rsidRPr="005D131A">
        <w:rPr>
          <w:sz w:val="28"/>
          <w:szCs w:val="28"/>
        </w:rPr>
        <w:t>s r</w:t>
      </w:r>
      <w:r w:rsidR="00A122D2" w:rsidRPr="005D131A">
        <w:rPr>
          <w:sz w:val="28"/>
          <w:szCs w:val="28"/>
        </w:rPr>
        <w:t xml:space="preserve">esoluciones 5395 de 2013 </w:t>
      </w:r>
      <w:r w:rsidR="00186C36" w:rsidRPr="005D131A">
        <w:rPr>
          <w:sz w:val="28"/>
          <w:szCs w:val="28"/>
        </w:rPr>
        <w:t xml:space="preserve"> </w:t>
      </w:r>
      <w:r w:rsidR="00A122D2" w:rsidRPr="005D131A">
        <w:rPr>
          <w:sz w:val="28"/>
          <w:szCs w:val="28"/>
        </w:rPr>
        <w:t xml:space="preserve">y 1479 de 2014. </w:t>
      </w:r>
    </w:p>
    <w:p w:rsidR="00A122D2" w:rsidRPr="005D131A" w:rsidRDefault="00A122D2" w:rsidP="005D131A">
      <w:pPr>
        <w:rPr>
          <w:sz w:val="28"/>
          <w:szCs w:val="28"/>
        </w:rPr>
      </w:pPr>
    </w:p>
    <w:p w:rsidR="00A122D2" w:rsidRPr="005D131A" w:rsidRDefault="00A122D2" w:rsidP="005D131A">
      <w:pPr>
        <w:rPr>
          <w:sz w:val="28"/>
          <w:szCs w:val="28"/>
        </w:rPr>
      </w:pPr>
      <w:r w:rsidRPr="005D131A">
        <w:rPr>
          <w:sz w:val="28"/>
          <w:szCs w:val="28"/>
        </w:rPr>
        <w:t>A excepción de la Circular 019 de 2012, las anteriores disposiciones hicieron énfasis en el funcionamiento de los CTC y en los criterios que debían ser tenidos en cuenta por esos órganos para la evaluación y aprobación de los servicios no POS, la calidad de los integrantes y la frecuencia de las reuniones para someter a consideración las solicitudes radicadas por los médicos tratantes, sin regular el trámite interno entre el méd</w:t>
      </w:r>
      <w:r w:rsidR="009404D6" w:rsidRPr="005D131A">
        <w:rPr>
          <w:sz w:val="28"/>
          <w:szCs w:val="28"/>
        </w:rPr>
        <w:t>ico tratante y la EPS para que e</w:t>
      </w:r>
      <w:r w:rsidRPr="005D131A">
        <w:rPr>
          <w:sz w:val="28"/>
          <w:szCs w:val="28"/>
        </w:rPr>
        <w:t xml:space="preserve">sta de manera directa, sin mediación del CTC, autorizara los servicios no POS. </w:t>
      </w:r>
    </w:p>
    <w:p w:rsidR="00A122D2" w:rsidRPr="005D131A" w:rsidRDefault="00A122D2" w:rsidP="005D131A">
      <w:pPr>
        <w:rPr>
          <w:sz w:val="28"/>
          <w:szCs w:val="28"/>
        </w:rPr>
      </w:pPr>
    </w:p>
    <w:p w:rsidR="00A122D2" w:rsidRPr="005D131A" w:rsidRDefault="00A122D2" w:rsidP="005D131A">
      <w:pPr>
        <w:rPr>
          <w:sz w:val="28"/>
          <w:szCs w:val="28"/>
          <w:lang w:val="es-CO"/>
        </w:rPr>
      </w:pPr>
      <w:r w:rsidRPr="005D131A">
        <w:rPr>
          <w:sz w:val="28"/>
          <w:szCs w:val="28"/>
        </w:rPr>
        <w:t>La Circular 019 de 2012</w:t>
      </w:r>
      <w:r w:rsidRPr="005D131A">
        <w:rPr>
          <w:sz w:val="28"/>
          <w:szCs w:val="28"/>
          <w:lang w:val="es-CO"/>
        </w:rPr>
        <w:t xml:space="preserve"> recordó a las EPS, IPS, Entidades Obligadas a Compensar -EOC- y a las Entidades Territoriales el deber que les asiste de suministrar </w:t>
      </w:r>
      <w:r w:rsidRPr="005D131A">
        <w:rPr>
          <w:sz w:val="28"/>
          <w:szCs w:val="28"/>
        </w:rPr>
        <w:t xml:space="preserve">en casos de urgencia un servicio o procedimiento de salud no incluido en el POS sin que medie trámite ante ningún organismo como los </w:t>
      </w:r>
      <w:r w:rsidRPr="005D131A">
        <w:rPr>
          <w:sz w:val="28"/>
          <w:szCs w:val="28"/>
          <w:lang w:val="es-CO"/>
        </w:rPr>
        <w:t xml:space="preserve">CTC o la Junta Técnico Científica de Pares -JTCP- de la Superintendencia Nacional de Salud, aclarando que los trámites respectivos debían realizarse de forma posterior a la prestación del servicio.  </w:t>
      </w:r>
    </w:p>
    <w:p w:rsidR="00F558F7" w:rsidRPr="005D131A" w:rsidRDefault="00F558F7" w:rsidP="005D131A">
      <w:pPr>
        <w:rPr>
          <w:sz w:val="28"/>
          <w:szCs w:val="28"/>
          <w:lang w:val="es-CO"/>
        </w:rPr>
      </w:pPr>
    </w:p>
    <w:p w:rsidR="007F7309" w:rsidRPr="005D131A" w:rsidRDefault="007F7309" w:rsidP="005D131A">
      <w:pPr>
        <w:pStyle w:val="Prrafodelista"/>
        <w:tabs>
          <w:tab w:val="left" w:pos="426"/>
          <w:tab w:val="left" w:pos="1134"/>
        </w:tabs>
        <w:ind w:left="0"/>
        <w:rPr>
          <w:i/>
          <w:sz w:val="28"/>
          <w:szCs w:val="28"/>
          <w:lang w:val="es-CO"/>
        </w:rPr>
      </w:pPr>
      <w:r w:rsidRPr="005D131A">
        <w:rPr>
          <w:sz w:val="28"/>
          <w:szCs w:val="28"/>
          <w:lang w:val="es-CO"/>
        </w:rPr>
        <w:t xml:space="preserve">Cuando el médico tratante considere que el servicio debe prestarse de manera inmediata, por constituir una urgencia, su prestación </w:t>
      </w:r>
      <w:r w:rsidRPr="005D131A">
        <w:rPr>
          <w:i/>
          <w:sz w:val="28"/>
          <w:szCs w:val="28"/>
          <w:lang w:val="es-CO"/>
        </w:rPr>
        <w:t>“no deberá supeditarse ni a la aprobación del CTC de la respectiva EPS ni al de la JTCP de la Superintendencia Nacional de Salud”</w:t>
      </w:r>
      <w:r w:rsidRPr="005D131A">
        <w:rPr>
          <w:i/>
          <w:sz w:val="28"/>
          <w:szCs w:val="28"/>
          <w:vertAlign w:val="superscript"/>
          <w:lang w:val="es-CO"/>
        </w:rPr>
        <w:footnoteReference w:id="165"/>
      </w:r>
      <w:r w:rsidRPr="005D131A">
        <w:rPr>
          <w:i/>
          <w:sz w:val="28"/>
          <w:szCs w:val="28"/>
          <w:lang w:val="es-CO"/>
        </w:rPr>
        <w:t xml:space="preserve">. </w:t>
      </w:r>
      <w:r w:rsidR="009404D6" w:rsidRPr="005D131A">
        <w:rPr>
          <w:sz w:val="28"/>
          <w:szCs w:val="28"/>
          <w:lang w:val="es-CO"/>
        </w:rPr>
        <w:t>En tal virtud, el Ministerio consideró que e</w:t>
      </w:r>
      <w:r w:rsidRPr="005D131A">
        <w:rPr>
          <w:sz w:val="28"/>
          <w:szCs w:val="28"/>
          <w:lang w:val="es-CO"/>
        </w:rPr>
        <w:t xml:space="preserve">l concepto de urgencias no se agota con las emergencias médicas, las cuales se caracterizan por el riesgo inminente que se cierne sobre la vida, también incluye cualquier </w:t>
      </w:r>
      <w:r w:rsidRPr="005D131A">
        <w:rPr>
          <w:i/>
          <w:sz w:val="28"/>
          <w:szCs w:val="28"/>
          <w:lang w:val="es-CO"/>
        </w:rPr>
        <w:t>“alteración de la integridad física y/o mental de una persona, causada por un trauma o por una enfermedad de cualquier etiología que genere una demanda de atención médica inmediata y efectiva tendiente a disminuir los riesgos de invalidez y muerte”</w:t>
      </w:r>
      <w:r w:rsidRPr="005D131A">
        <w:rPr>
          <w:sz w:val="28"/>
          <w:szCs w:val="28"/>
          <w:vertAlign w:val="superscript"/>
          <w:lang w:val="es-CO"/>
        </w:rPr>
        <w:footnoteReference w:id="166"/>
      </w:r>
      <w:r w:rsidRPr="005D131A">
        <w:rPr>
          <w:i/>
          <w:sz w:val="28"/>
          <w:szCs w:val="28"/>
          <w:lang w:val="es-CO"/>
        </w:rPr>
        <w:t>.</w:t>
      </w:r>
    </w:p>
    <w:p w:rsidR="00A122D2" w:rsidRPr="005D131A" w:rsidRDefault="00A122D2" w:rsidP="005D131A">
      <w:pPr>
        <w:rPr>
          <w:sz w:val="28"/>
          <w:szCs w:val="28"/>
          <w:lang w:val="es-CO"/>
        </w:rPr>
      </w:pPr>
    </w:p>
    <w:p w:rsidR="00A122D2" w:rsidRPr="005D131A" w:rsidRDefault="007534C2" w:rsidP="005D131A">
      <w:pPr>
        <w:rPr>
          <w:sz w:val="28"/>
          <w:szCs w:val="28"/>
          <w:lang w:val="es-CO"/>
        </w:rPr>
      </w:pPr>
      <w:r w:rsidRPr="005D131A">
        <w:rPr>
          <w:sz w:val="28"/>
          <w:szCs w:val="28"/>
          <w:lang w:val="es-CO"/>
        </w:rPr>
        <w:t>5</w:t>
      </w:r>
      <w:r w:rsidR="009404D6" w:rsidRPr="005D131A">
        <w:rPr>
          <w:sz w:val="28"/>
          <w:szCs w:val="28"/>
          <w:lang w:val="es-CO"/>
        </w:rPr>
        <w:t xml:space="preserve">.4.2. </w:t>
      </w:r>
      <w:r w:rsidR="00A122D2" w:rsidRPr="005D131A">
        <w:rPr>
          <w:sz w:val="28"/>
          <w:szCs w:val="28"/>
          <w:lang w:val="es-CO"/>
        </w:rPr>
        <w:t>Sobre est</w:t>
      </w:r>
      <w:r w:rsidR="001F763C" w:rsidRPr="005D131A">
        <w:rPr>
          <w:sz w:val="28"/>
          <w:szCs w:val="28"/>
          <w:lang w:val="es-CO"/>
        </w:rPr>
        <w:t>e asunto, el Ministerio señaló</w:t>
      </w:r>
      <w:r w:rsidR="00A122D2" w:rsidRPr="005D131A">
        <w:rPr>
          <w:sz w:val="28"/>
          <w:szCs w:val="28"/>
          <w:lang w:val="es-CO"/>
        </w:rPr>
        <w:t xml:space="preserve"> que </w:t>
      </w:r>
      <w:r w:rsidR="00F558F7" w:rsidRPr="005D131A">
        <w:rPr>
          <w:sz w:val="28"/>
          <w:szCs w:val="28"/>
          <w:lang w:val="es-CO"/>
        </w:rPr>
        <w:t xml:space="preserve">en casos de urgencia manifiesta, el servicio tendría que suministrarse de manera directa, es decir, sin necesidad de acudir al procedimiento de autorización del CTC para los servicios y tecnologías no incluidas en el POS. Tal excepción fue consagrada en el artículo 8 de la </w:t>
      </w:r>
      <w:r w:rsidR="001641CB" w:rsidRPr="005D131A">
        <w:rPr>
          <w:sz w:val="28"/>
          <w:szCs w:val="28"/>
          <w:lang w:val="es-CO"/>
        </w:rPr>
        <w:t>R</w:t>
      </w:r>
      <w:r w:rsidR="00F558F7" w:rsidRPr="005D131A">
        <w:rPr>
          <w:sz w:val="28"/>
          <w:szCs w:val="28"/>
          <w:lang w:val="es-CO"/>
        </w:rPr>
        <w:t>esolución 3099 de 2008, recordad</w:t>
      </w:r>
      <w:r w:rsidR="001641CB" w:rsidRPr="005D131A">
        <w:rPr>
          <w:sz w:val="28"/>
          <w:szCs w:val="28"/>
          <w:lang w:val="es-CO"/>
        </w:rPr>
        <w:t>a</w:t>
      </w:r>
      <w:r w:rsidR="00F558F7" w:rsidRPr="005D131A">
        <w:rPr>
          <w:sz w:val="28"/>
          <w:szCs w:val="28"/>
          <w:lang w:val="es-CO"/>
        </w:rPr>
        <w:t xml:space="preserve"> en la Circular 019 de 2012, en  virtud del Auto 066 de 2012</w:t>
      </w:r>
      <w:r w:rsidR="00F558F7" w:rsidRPr="005D131A">
        <w:rPr>
          <w:sz w:val="28"/>
          <w:szCs w:val="28"/>
          <w:vertAlign w:val="superscript"/>
          <w:lang w:val="es-CO"/>
        </w:rPr>
        <w:footnoteReference w:id="167"/>
      </w:r>
      <w:r w:rsidR="001641CB" w:rsidRPr="005D131A">
        <w:rPr>
          <w:sz w:val="28"/>
          <w:szCs w:val="28"/>
          <w:lang w:val="es-CO"/>
        </w:rPr>
        <w:t xml:space="preserve"> pro</w:t>
      </w:r>
      <w:r w:rsidR="00F558F7" w:rsidRPr="005D131A">
        <w:rPr>
          <w:sz w:val="28"/>
          <w:szCs w:val="28"/>
          <w:lang w:val="es-CO"/>
        </w:rPr>
        <w:t>ferido por esta Corporación dentro del trámite de se</w:t>
      </w:r>
      <w:r w:rsidR="001641CB" w:rsidRPr="005D131A">
        <w:rPr>
          <w:sz w:val="28"/>
          <w:szCs w:val="28"/>
          <w:lang w:val="es-CO"/>
        </w:rPr>
        <w:t>guimiento de la prese</w:t>
      </w:r>
      <w:r w:rsidR="003D22BF" w:rsidRPr="005D131A">
        <w:rPr>
          <w:sz w:val="28"/>
          <w:szCs w:val="28"/>
          <w:lang w:val="es-CO"/>
        </w:rPr>
        <w:t xml:space="preserve">nte orden, </w:t>
      </w:r>
      <w:r w:rsidR="001641CB" w:rsidRPr="005D131A">
        <w:rPr>
          <w:sz w:val="28"/>
          <w:szCs w:val="28"/>
          <w:lang w:val="es-CO"/>
        </w:rPr>
        <w:t xml:space="preserve">y reafirmada en la Resolución 5395 de 2013. </w:t>
      </w:r>
      <w:r w:rsidR="00A122D2" w:rsidRPr="005D131A">
        <w:rPr>
          <w:sz w:val="28"/>
          <w:szCs w:val="28"/>
          <w:lang w:val="es-CO"/>
        </w:rPr>
        <w:t>En ese sentido, para la Corte este asunto aunque no hace parte de la orden 23 fue desarrollado en atención a su importancia y relació</w:t>
      </w:r>
      <w:r w:rsidR="003D22BF" w:rsidRPr="005D131A">
        <w:rPr>
          <w:sz w:val="28"/>
          <w:szCs w:val="28"/>
          <w:lang w:val="es-CO"/>
        </w:rPr>
        <w:t>n con dicho mandato, el cual</w:t>
      </w:r>
      <w:r w:rsidR="00A122D2" w:rsidRPr="005D131A">
        <w:rPr>
          <w:sz w:val="28"/>
          <w:szCs w:val="28"/>
          <w:lang w:val="es-CO"/>
        </w:rPr>
        <w:t xml:space="preserve"> ha sido cumplido a cabalidad por parte del ente regulador en salud. </w:t>
      </w:r>
    </w:p>
    <w:p w:rsidR="00F558F7" w:rsidRPr="005D131A" w:rsidRDefault="00F558F7" w:rsidP="005D131A">
      <w:pPr>
        <w:rPr>
          <w:sz w:val="28"/>
          <w:szCs w:val="28"/>
          <w:lang w:val="es-CO"/>
        </w:rPr>
      </w:pPr>
    </w:p>
    <w:p w:rsidR="008F27E0" w:rsidRPr="005D131A" w:rsidRDefault="00B13A94" w:rsidP="005D131A">
      <w:pPr>
        <w:tabs>
          <w:tab w:val="left" w:pos="426"/>
        </w:tabs>
        <w:rPr>
          <w:sz w:val="28"/>
          <w:szCs w:val="28"/>
        </w:rPr>
      </w:pPr>
      <w:r w:rsidRPr="005D131A">
        <w:rPr>
          <w:sz w:val="28"/>
          <w:szCs w:val="28"/>
        </w:rPr>
        <w:t xml:space="preserve">Empero, del análisis de esa normativa </w:t>
      </w:r>
      <w:r w:rsidR="008F27E0" w:rsidRPr="005D131A">
        <w:rPr>
          <w:sz w:val="28"/>
          <w:szCs w:val="28"/>
        </w:rPr>
        <w:t xml:space="preserve">la Corte no evidenció </w:t>
      </w:r>
      <w:r w:rsidR="003D22BF" w:rsidRPr="005D131A">
        <w:rPr>
          <w:sz w:val="28"/>
          <w:szCs w:val="28"/>
        </w:rPr>
        <w:t>de qué</w:t>
      </w:r>
      <w:r w:rsidRPr="005D131A">
        <w:rPr>
          <w:sz w:val="28"/>
          <w:szCs w:val="28"/>
        </w:rPr>
        <w:t xml:space="preserve"> manera se acató</w:t>
      </w:r>
      <w:r w:rsidR="00B27F33" w:rsidRPr="005D131A">
        <w:rPr>
          <w:sz w:val="28"/>
          <w:szCs w:val="28"/>
        </w:rPr>
        <w:t xml:space="preserve"> el referido mandato,</w:t>
      </w:r>
      <w:r w:rsidRPr="005D131A">
        <w:rPr>
          <w:sz w:val="28"/>
          <w:szCs w:val="28"/>
        </w:rPr>
        <w:t xml:space="preserve"> concretamente, la primera parte</w:t>
      </w:r>
      <w:r w:rsidR="007429FD" w:rsidRPr="005D131A">
        <w:rPr>
          <w:sz w:val="28"/>
          <w:szCs w:val="28"/>
        </w:rPr>
        <w:t xml:space="preserve"> </w:t>
      </w:r>
      <w:r w:rsidR="00B27F33" w:rsidRPr="005D131A">
        <w:rPr>
          <w:sz w:val="28"/>
          <w:szCs w:val="28"/>
        </w:rPr>
        <w:t xml:space="preserve">según el cual el Ministerio debía </w:t>
      </w:r>
      <w:r w:rsidRPr="005D131A">
        <w:rPr>
          <w:sz w:val="28"/>
          <w:szCs w:val="28"/>
        </w:rPr>
        <w:t>regular el trámite</w:t>
      </w:r>
      <w:r w:rsidR="002A6B0E" w:rsidRPr="005D131A">
        <w:rPr>
          <w:sz w:val="28"/>
          <w:szCs w:val="28"/>
        </w:rPr>
        <w:t xml:space="preserve"> interno</w:t>
      </w:r>
      <w:r w:rsidRPr="005D131A">
        <w:rPr>
          <w:sz w:val="28"/>
          <w:szCs w:val="28"/>
        </w:rPr>
        <w:t xml:space="preserve"> que debe adelantar el médico tratante ante la EPS para que ésta autorice directamente servicios de salud no incluidos en el POS</w:t>
      </w:r>
      <w:r w:rsidR="00B27F33" w:rsidRPr="005D131A">
        <w:rPr>
          <w:sz w:val="28"/>
          <w:szCs w:val="28"/>
        </w:rPr>
        <w:t xml:space="preserve"> (contributivo o subsidiado)</w:t>
      </w:r>
      <w:r w:rsidRPr="005D131A">
        <w:rPr>
          <w:sz w:val="28"/>
          <w:szCs w:val="28"/>
        </w:rPr>
        <w:t>, diferente a un medicamento, así como las actividades, medicamentos y procedimientos explícitamente excluidos del plan de beneficios, cuando éstos sean o</w:t>
      </w:r>
      <w:r w:rsidR="00B27F33" w:rsidRPr="005D131A">
        <w:rPr>
          <w:sz w:val="28"/>
          <w:szCs w:val="28"/>
        </w:rPr>
        <w:t>rdenados por el</w:t>
      </w:r>
      <w:r w:rsidR="003D22BF" w:rsidRPr="005D131A">
        <w:rPr>
          <w:sz w:val="28"/>
          <w:szCs w:val="28"/>
        </w:rPr>
        <w:t xml:space="preserve"> galeno</w:t>
      </w:r>
      <w:r w:rsidR="00B27F33" w:rsidRPr="005D131A">
        <w:rPr>
          <w:sz w:val="28"/>
          <w:szCs w:val="28"/>
        </w:rPr>
        <w:t xml:space="preserve">. En virtud de lo anterior, esta Corporación </w:t>
      </w:r>
      <w:r w:rsidR="008F27E0" w:rsidRPr="005D131A">
        <w:rPr>
          <w:sz w:val="28"/>
          <w:szCs w:val="28"/>
        </w:rPr>
        <w:t>mediante Auto de 5</w:t>
      </w:r>
      <w:r w:rsidR="007429FD" w:rsidRPr="005D131A">
        <w:rPr>
          <w:sz w:val="28"/>
          <w:szCs w:val="28"/>
        </w:rPr>
        <w:t xml:space="preserve"> de junio de 2013 solicitó </w:t>
      </w:r>
      <w:r w:rsidR="003D22BF" w:rsidRPr="005D131A">
        <w:rPr>
          <w:sz w:val="28"/>
          <w:szCs w:val="28"/>
        </w:rPr>
        <w:t xml:space="preserve">a la cartera de salud </w:t>
      </w:r>
      <w:r w:rsidR="007429FD" w:rsidRPr="005D131A">
        <w:rPr>
          <w:sz w:val="28"/>
          <w:szCs w:val="28"/>
        </w:rPr>
        <w:t xml:space="preserve">que acreditara el cumplimiento de la referida orden. </w:t>
      </w:r>
    </w:p>
    <w:p w:rsidR="008F27E0" w:rsidRPr="005D131A" w:rsidRDefault="008F27E0" w:rsidP="005D131A">
      <w:pPr>
        <w:tabs>
          <w:tab w:val="left" w:pos="426"/>
        </w:tabs>
        <w:rPr>
          <w:sz w:val="28"/>
          <w:szCs w:val="28"/>
        </w:rPr>
      </w:pPr>
    </w:p>
    <w:p w:rsidR="00E577D6" w:rsidRPr="005D131A" w:rsidRDefault="00267A7A" w:rsidP="005D131A">
      <w:pPr>
        <w:tabs>
          <w:tab w:val="left" w:pos="426"/>
        </w:tabs>
        <w:rPr>
          <w:sz w:val="28"/>
          <w:szCs w:val="28"/>
        </w:rPr>
      </w:pPr>
      <w:r w:rsidRPr="005D131A">
        <w:rPr>
          <w:sz w:val="28"/>
          <w:szCs w:val="28"/>
        </w:rPr>
        <w:t xml:space="preserve">En respuesta al anterior proveído el Ministerio mediante </w:t>
      </w:r>
      <w:r w:rsidR="005E25E1" w:rsidRPr="005D131A">
        <w:rPr>
          <w:sz w:val="28"/>
          <w:szCs w:val="28"/>
        </w:rPr>
        <w:t>informe</w:t>
      </w:r>
      <w:r w:rsidRPr="005D131A">
        <w:rPr>
          <w:sz w:val="28"/>
          <w:szCs w:val="28"/>
        </w:rPr>
        <w:t xml:space="preserve"> de 18 de junio de 2013</w:t>
      </w:r>
      <w:r w:rsidR="00E577D6" w:rsidRPr="005D131A">
        <w:rPr>
          <w:sz w:val="28"/>
          <w:szCs w:val="28"/>
          <w:vertAlign w:val="superscript"/>
          <w:lang w:val="es-CO"/>
        </w:rPr>
        <w:footnoteReference w:id="168"/>
      </w:r>
      <w:r w:rsidRPr="005D131A">
        <w:rPr>
          <w:sz w:val="28"/>
          <w:szCs w:val="28"/>
        </w:rPr>
        <w:t xml:space="preserve"> señaló que </w:t>
      </w:r>
      <w:r w:rsidR="00E577D6" w:rsidRPr="005D131A">
        <w:rPr>
          <w:i/>
          <w:sz w:val="28"/>
          <w:szCs w:val="28"/>
        </w:rPr>
        <w:t xml:space="preserve">“la normativa que se expidió para reglamentar los Comités Técnico Científicos y en el cual se establecen a su vez los procedimientos a seguir para hacer el cobro ante el FOSYGA por concepto de las autorizaciones para el suministro de medicamentos, servicios médicos y prestaciones de salud no incluidos en el POS, es la Resolución 3099 de 2008, la que claramente </w:t>
      </w:r>
      <w:r w:rsidR="002A6B0E" w:rsidRPr="005D131A">
        <w:rPr>
          <w:i/>
          <w:sz w:val="28"/>
          <w:szCs w:val="28"/>
        </w:rPr>
        <w:t>ha sido la normativa suficiente que por excelencia, ha regulado el tema y que por tal motivo no ha sido necesaria la expedición de nuevas normas”</w:t>
      </w:r>
      <w:r w:rsidR="002A6B0E" w:rsidRPr="005D131A">
        <w:rPr>
          <w:sz w:val="28"/>
          <w:szCs w:val="28"/>
        </w:rPr>
        <w:t xml:space="preserve">. </w:t>
      </w:r>
      <w:r w:rsidR="003D22BF" w:rsidRPr="005D131A">
        <w:rPr>
          <w:sz w:val="28"/>
          <w:szCs w:val="28"/>
          <w:lang w:val="es-CO"/>
        </w:rPr>
        <w:t>Además</w:t>
      </w:r>
      <w:r w:rsidR="00E577D6" w:rsidRPr="005D131A">
        <w:rPr>
          <w:sz w:val="28"/>
          <w:szCs w:val="28"/>
          <w:lang w:val="es-CO"/>
        </w:rPr>
        <w:t>,</w:t>
      </w:r>
      <w:r w:rsidR="002A6B0E" w:rsidRPr="005D131A">
        <w:rPr>
          <w:sz w:val="28"/>
          <w:szCs w:val="28"/>
          <w:lang w:val="es-CO"/>
        </w:rPr>
        <w:t xml:space="preserve"> manifestó que</w:t>
      </w:r>
      <w:r w:rsidR="00E577D6" w:rsidRPr="005D131A">
        <w:rPr>
          <w:sz w:val="28"/>
          <w:szCs w:val="28"/>
          <w:lang w:val="es-CO"/>
        </w:rPr>
        <w:t xml:space="preserve"> el 3 de mayo de 2012 se profirió la Circular 019, cuyo objeto principal fue recordarles a las EPS e IPS del país la obligación de brindar al paciente que presente urgencia manifiesta, un servicio d</w:t>
      </w:r>
      <w:r w:rsidR="008C1E1F" w:rsidRPr="005D131A">
        <w:rPr>
          <w:sz w:val="28"/>
          <w:szCs w:val="28"/>
          <w:lang w:val="es-CO"/>
        </w:rPr>
        <w:t xml:space="preserve">e salud inmediato sin que mediara </w:t>
      </w:r>
      <w:r w:rsidR="00E577D6" w:rsidRPr="005D131A">
        <w:rPr>
          <w:sz w:val="28"/>
          <w:szCs w:val="28"/>
          <w:lang w:val="es-CO"/>
        </w:rPr>
        <w:t xml:space="preserve">trámite previo de </w:t>
      </w:r>
      <w:r w:rsidR="00186C36" w:rsidRPr="005D131A">
        <w:rPr>
          <w:sz w:val="28"/>
          <w:szCs w:val="28"/>
          <w:lang w:val="es-CO"/>
        </w:rPr>
        <w:t xml:space="preserve">autorización ante el </w:t>
      </w:r>
      <w:r w:rsidR="002A6B0E" w:rsidRPr="005D131A">
        <w:rPr>
          <w:sz w:val="28"/>
          <w:szCs w:val="28"/>
          <w:lang w:val="es-CO"/>
        </w:rPr>
        <w:t xml:space="preserve">CTC. </w:t>
      </w:r>
    </w:p>
    <w:p w:rsidR="005E25E1" w:rsidRPr="005D131A" w:rsidRDefault="005E25E1" w:rsidP="005D131A">
      <w:pPr>
        <w:tabs>
          <w:tab w:val="left" w:pos="426"/>
        </w:tabs>
        <w:rPr>
          <w:sz w:val="28"/>
          <w:szCs w:val="28"/>
        </w:rPr>
      </w:pPr>
    </w:p>
    <w:p w:rsidR="005E25E1" w:rsidRPr="005D131A" w:rsidRDefault="00186C36" w:rsidP="005D131A">
      <w:pPr>
        <w:tabs>
          <w:tab w:val="left" w:pos="426"/>
        </w:tabs>
        <w:rPr>
          <w:sz w:val="28"/>
          <w:szCs w:val="28"/>
        </w:rPr>
      </w:pPr>
      <w:r w:rsidRPr="005D131A">
        <w:rPr>
          <w:sz w:val="28"/>
          <w:szCs w:val="28"/>
        </w:rPr>
        <w:t xml:space="preserve">En atención a la anterior respuesta, </w:t>
      </w:r>
      <w:r w:rsidR="003D22BF" w:rsidRPr="005D131A">
        <w:rPr>
          <w:sz w:val="28"/>
          <w:szCs w:val="28"/>
        </w:rPr>
        <w:t>observó</w:t>
      </w:r>
      <w:r w:rsidRPr="005D131A">
        <w:rPr>
          <w:sz w:val="28"/>
          <w:szCs w:val="28"/>
        </w:rPr>
        <w:t xml:space="preserve"> la Corte que </w:t>
      </w:r>
      <w:r w:rsidR="008C1E1F" w:rsidRPr="005D131A">
        <w:rPr>
          <w:sz w:val="28"/>
          <w:szCs w:val="28"/>
        </w:rPr>
        <w:t>el ente ministerial</w:t>
      </w:r>
      <w:r w:rsidR="005E25E1" w:rsidRPr="005D131A">
        <w:rPr>
          <w:sz w:val="28"/>
          <w:szCs w:val="28"/>
        </w:rPr>
        <w:t xml:space="preserve"> insistió en que la normativa existente era suficiente para regular el trámite interno que debe </w:t>
      </w:r>
      <w:r w:rsidR="00B56EBE" w:rsidRPr="005D131A">
        <w:rPr>
          <w:sz w:val="28"/>
          <w:szCs w:val="28"/>
        </w:rPr>
        <w:t>adelantar</w:t>
      </w:r>
      <w:r w:rsidR="005E25E1" w:rsidRPr="005D131A">
        <w:rPr>
          <w:sz w:val="28"/>
          <w:szCs w:val="28"/>
        </w:rPr>
        <w:t xml:space="preserve"> el médico tratante con el objeto de que la EPS autorice directamente los servicios de salud no incluidos </w:t>
      </w:r>
      <w:r w:rsidR="00B56EBE" w:rsidRPr="005D131A">
        <w:rPr>
          <w:sz w:val="28"/>
          <w:szCs w:val="28"/>
        </w:rPr>
        <w:t>y excluidos del POS. Si</w:t>
      </w:r>
      <w:r w:rsidR="00884B8A" w:rsidRPr="005D131A">
        <w:rPr>
          <w:sz w:val="28"/>
          <w:szCs w:val="28"/>
        </w:rPr>
        <w:t xml:space="preserve">n embargo, </w:t>
      </w:r>
      <w:r w:rsidR="003D22BF" w:rsidRPr="005D131A">
        <w:rPr>
          <w:sz w:val="28"/>
          <w:szCs w:val="28"/>
        </w:rPr>
        <w:t xml:space="preserve">en torno </w:t>
      </w:r>
      <w:r w:rsidR="00884B8A" w:rsidRPr="005D131A">
        <w:rPr>
          <w:sz w:val="28"/>
          <w:szCs w:val="28"/>
        </w:rPr>
        <w:t xml:space="preserve">al interrogante </w:t>
      </w:r>
      <w:r w:rsidR="00B56EBE" w:rsidRPr="005D131A">
        <w:rPr>
          <w:i/>
          <w:sz w:val="28"/>
          <w:szCs w:val="28"/>
        </w:rPr>
        <w:t>¿De qué manera dichas regulaciones han incidido para que el trámite ante el CTC no s</w:t>
      </w:r>
      <w:r w:rsidR="00884B8A" w:rsidRPr="005D131A">
        <w:rPr>
          <w:i/>
          <w:sz w:val="28"/>
          <w:szCs w:val="28"/>
        </w:rPr>
        <w:t>e</w:t>
      </w:r>
      <w:r w:rsidR="00B56EBE" w:rsidRPr="005D131A">
        <w:rPr>
          <w:i/>
          <w:sz w:val="28"/>
          <w:szCs w:val="28"/>
        </w:rPr>
        <w:t xml:space="preserve"> convierta en una barrera de acceso a los servicios de salud</w:t>
      </w:r>
      <w:r w:rsidR="00884B8A" w:rsidRPr="005D131A">
        <w:rPr>
          <w:i/>
          <w:sz w:val="28"/>
          <w:szCs w:val="28"/>
        </w:rPr>
        <w:t xml:space="preserve"> que se requieren con necesidad?</w:t>
      </w:r>
      <w:r w:rsidR="008F0B4A" w:rsidRPr="005D131A">
        <w:rPr>
          <w:sz w:val="28"/>
          <w:szCs w:val="28"/>
        </w:rPr>
        <w:t xml:space="preserve">, </w:t>
      </w:r>
      <w:r w:rsidR="00B56EBE" w:rsidRPr="005D131A">
        <w:rPr>
          <w:sz w:val="28"/>
          <w:szCs w:val="28"/>
        </w:rPr>
        <w:t>afirmó que esa preg</w:t>
      </w:r>
      <w:r w:rsidR="00884B8A" w:rsidRPr="005D131A">
        <w:rPr>
          <w:sz w:val="28"/>
          <w:szCs w:val="28"/>
        </w:rPr>
        <w:t>unta debía contestarla l</w:t>
      </w:r>
      <w:r w:rsidR="00B56EBE" w:rsidRPr="005D131A">
        <w:rPr>
          <w:sz w:val="28"/>
          <w:szCs w:val="28"/>
        </w:rPr>
        <w:t xml:space="preserve">a Superintendencia Nacional de Salud por competencia. </w:t>
      </w:r>
    </w:p>
    <w:p w:rsidR="005E25E1" w:rsidRPr="005D131A" w:rsidRDefault="005E25E1" w:rsidP="005D131A">
      <w:pPr>
        <w:tabs>
          <w:tab w:val="left" w:pos="426"/>
        </w:tabs>
        <w:rPr>
          <w:sz w:val="28"/>
          <w:szCs w:val="28"/>
        </w:rPr>
      </w:pPr>
    </w:p>
    <w:p w:rsidR="00483182" w:rsidRPr="005D131A" w:rsidRDefault="00186C36" w:rsidP="005D131A">
      <w:pPr>
        <w:tabs>
          <w:tab w:val="left" w:pos="426"/>
        </w:tabs>
        <w:rPr>
          <w:sz w:val="28"/>
          <w:szCs w:val="28"/>
          <w:lang w:val="es-CO"/>
        </w:rPr>
      </w:pPr>
      <w:r w:rsidRPr="005D131A">
        <w:rPr>
          <w:sz w:val="28"/>
          <w:szCs w:val="28"/>
          <w:lang w:val="es-CO"/>
        </w:rPr>
        <w:t xml:space="preserve">Aunado a ello, </w:t>
      </w:r>
      <w:r w:rsidR="00483182" w:rsidRPr="005D131A">
        <w:rPr>
          <w:sz w:val="28"/>
          <w:szCs w:val="28"/>
          <w:lang w:val="es-CO"/>
        </w:rPr>
        <w:t xml:space="preserve">el ente ministerial </w:t>
      </w:r>
      <w:r w:rsidR="005E25E1" w:rsidRPr="005D131A">
        <w:rPr>
          <w:sz w:val="28"/>
          <w:szCs w:val="28"/>
          <w:lang w:val="es-CO"/>
        </w:rPr>
        <w:t xml:space="preserve">no respondió todos los interrogantes </w:t>
      </w:r>
      <w:r w:rsidR="00B56EBE" w:rsidRPr="005D131A">
        <w:rPr>
          <w:sz w:val="28"/>
          <w:szCs w:val="28"/>
          <w:lang w:val="es-CO"/>
        </w:rPr>
        <w:t xml:space="preserve">planteados </w:t>
      </w:r>
      <w:r w:rsidR="00483182" w:rsidRPr="005D131A">
        <w:rPr>
          <w:sz w:val="28"/>
          <w:szCs w:val="28"/>
          <w:lang w:val="es-CO"/>
        </w:rPr>
        <w:t xml:space="preserve">por </w:t>
      </w:r>
      <w:r w:rsidR="003D22BF" w:rsidRPr="005D131A">
        <w:rPr>
          <w:sz w:val="28"/>
          <w:szCs w:val="28"/>
          <w:lang w:val="es-CO"/>
        </w:rPr>
        <w:t xml:space="preserve">este Tribunal </w:t>
      </w:r>
      <w:r w:rsidR="00B56EBE" w:rsidRPr="005D131A">
        <w:rPr>
          <w:sz w:val="28"/>
          <w:szCs w:val="28"/>
          <w:lang w:val="es-CO"/>
        </w:rPr>
        <w:t xml:space="preserve">y </w:t>
      </w:r>
      <w:r w:rsidR="005E25E1" w:rsidRPr="005D131A">
        <w:rPr>
          <w:sz w:val="28"/>
          <w:szCs w:val="28"/>
          <w:lang w:val="es-CO"/>
        </w:rPr>
        <w:t>solo hizo énfasis en mostrar los avances obtenidos con la implementación del trámite de rec</w:t>
      </w:r>
      <w:r w:rsidR="00B56EBE" w:rsidRPr="005D131A">
        <w:rPr>
          <w:sz w:val="28"/>
          <w:szCs w:val="28"/>
          <w:lang w:val="es-CO"/>
        </w:rPr>
        <w:t xml:space="preserve">obros, tema </w:t>
      </w:r>
      <w:r w:rsidR="008F0B4A" w:rsidRPr="005D131A">
        <w:rPr>
          <w:sz w:val="28"/>
          <w:szCs w:val="28"/>
          <w:lang w:val="es-CO"/>
        </w:rPr>
        <w:t>ajeno a</w:t>
      </w:r>
      <w:r w:rsidRPr="005D131A">
        <w:rPr>
          <w:sz w:val="28"/>
          <w:szCs w:val="28"/>
          <w:lang w:val="es-CO"/>
        </w:rPr>
        <w:t xml:space="preserve"> la orden bajo estudio. En tal virtud, </w:t>
      </w:r>
      <w:r w:rsidR="00B56EBE" w:rsidRPr="005D131A">
        <w:rPr>
          <w:sz w:val="28"/>
          <w:szCs w:val="28"/>
          <w:lang w:val="es-CO"/>
        </w:rPr>
        <w:t>esta Corpor</w:t>
      </w:r>
      <w:r w:rsidRPr="005D131A">
        <w:rPr>
          <w:sz w:val="28"/>
          <w:szCs w:val="28"/>
          <w:lang w:val="es-CO"/>
        </w:rPr>
        <w:t>ación mediante Auto 015 de 2014</w:t>
      </w:r>
      <w:r w:rsidR="00B56EBE" w:rsidRPr="005D131A">
        <w:rPr>
          <w:sz w:val="28"/>
          <w:szCs w:val="28"/>
          <w:lang w:val="es-CO"/>
        </w:rPr>
        <w:t xml:space="preserve"> </w:t>
      </w:r>
      <w:r w:rsidR="008C1E1F" w:rsidRPr="005D131A">
        <w:rPr>
          <w:sz w:val="28"/>
          <w:szCs w:val="28"/>
          <w:lang w:val="es-CO"/>
        </w:rPr>
        <w:t xml:space="preserve">lo </w:t>
      </w:r>
      <w:r w:rsidR="00B56EBE" w:rsidRPr="005D131A">
        <w:rPr>
          <w:sz w:val="28"/>
          <w:szCs w:val="28"/>
          <w:lang w:val="es-CO"/>
        </w:rPr>
        <w:t xml:space="preserve">requirió </w:t>
      </w:r>
      <w:r w:rsidR="008C1E1F" w:rsidRPr="005D131A">
        <w:rPr>
          <w:sz w:val="28"/>
          <w:szCs w:val="28"/>
          <w:lang w:val="es-CO"/>
        </w:rPr>
        <w:t xml:space="preserve">nuevamente </w:t>
      </w:r>
      <w:r w:rsidR="00B56EBE" w:rsidRPr="005D131A">
        <w:rPr>
          <w:sz w:val="28"/>
          <w:szCs w:val="28"/>
          <w:lang w:val="es-CO"/>
        </w:rPr>
        <w:t xml:space="preserve">para que </w:t>
      </w:r>
      <w:r w:rsidR="00483182" w:rsidRPr="005D131A">
        <w:rPr>
          <w:sz w:val="28"/>
          <w:szCs w:val="28"/>
          <w:lang w:val="es-CO"/>
        </w:rPr>
        <w:t>respondiera todas las preguntas</w:t>
      </w:r>
      <w:r w:rsidRPr="005D131A">
        <w:rPr>
          <w:sz w:val="28"/>
          <w:szCs w:val="28"/>
          <w:lang w:val="es-CO"/>
        </w:rPr>
        <w:t xml:space="preserve"> planteadas en el </w:t>
      </w:r>
      <w:r w:rsidR="00585F78" w:rsidRPr="005D131A">
        <w:rPr>
          <w:sz w:val="28"/>
          <w:szCs w:val="28"/>
        </w:rPr>
        <w:t>Auto de 5 de junio de 2013</w:t>
      </w:r>
      <w:r w:rsidR="000A08FD" w:rsidRPr="005D131A">
        <w:rPr>
          <w:sz w:val="28"/>
          <w:szCs w:val="28"/>
          <w:lang w:val="es-CO"/>
        </w:rPr>
        <w:t xml:space="preserve"> y formuló otras con el fin de recaudar elementos adicionales para valorar el cumplimiento de la orden</w:t>
      </w:r>
      <w:r w:rsidR="003D22BF" w:rsidRPr="005D131A">
        <w:rPr>
          <w:sz w:val="28"/>
          <w:szCs w:val="28"/>
          <w:vertAlign w:val="superscript"/>
          <w:lang w:val="es-CO"/>
        </w:rPr>
        <w:footnoteReference w:id="169"/>
      </w:r>
      <w:r w:rsidR="000A08FD" w:rsidRPr="005D131A">
        <w:rPr>
          <w:sz w:val="28"/>
          <w:szCs w:val="28"/>
          <w:lang w:val="es-CO"/>
        </w:rPr>
        <w:t>.</w:t>
      </w:r>
      <w:r w:rsidR="00CF65A3" w:rsidRPr="005D131A">
        <w:rPr>
          <w:sz w:val="28"/>
          <w:szCs w:val="28"/>
          <w:lang w:val="es-CO"/>
        </w:rPr>
        <w:t xml:space="preserve"> </w:t>
      </w:r>
    </w:p>
    <w:p w:rsidR="00483182" w:rsidRPr="005D131A" w:rsidRDefault="00483182" w:rsidP="005D131A">
      <w:pPr>
        <w:tabs>
          <w:tab w:val="left" w:pos="426"/>
        </w:tabs>
        <w:rPr>
          <w:sz w:val="28"/>
          <w:szCs w:val="28"/>
          <w:lang w:val="es-CO"/>
        </w:rPr>
      </w:pPr>
    </w:p>
    <w:p w:rsidR="00E577D6" w:rsidRPr="005D131A" w:rsidRDefault="00E577D6" w:rsidP="005D131A">
      <w:pPr>
        <w:tabs>
          <w:tab w:val="left" w:pos="426"/>
        </w:tabs>
        <w:rPr>
          <w:sz w:val="28"/>
          <w:szCs w:val="28"/>
          <w:lang w:val="es-CO"/>
        </w:rPr>
      </w:pPr>
      <w:r w:rsidRPr="005D131A">
        <w:rPr>
          <w:sz w:val="28"/>
          <w:szCs w:val="28"/>
          <w:lang w:val="es-CO"/>
        </w:rPr>
        <w:t>En respuesta al referido proveído, el 14 de febrero de 2014</w:t>
      </w:r>
      <w:r w:rsidR="00585F78" w:rsidRPr="005D131A">
        <w:rPr>
          <w:sz w:val="28"/>
          <w:szCs w:val="28"/>
          <w:vertAlign w:val="superscript"/>
          <w:lang w:val="es-CO"/>
        </w:rPr>
        <w:footnoteReference w:id="170"/>
      </w:r>
      <w:r w:rsidRPr="005D131A">
        <w:rPr>
          <w:sz w:val="28"/>
          <w:szCs w:val="28"/>
          <w:lang w:val="es-CO"/>
        </w:rPr>
        <w:t xml:space="preserve"> el Ministerio de Salud y Protección Social reiteró que la Circular 019 fue expedida en estricta observancia del requerimiento formulado por la Corte y en atención a lo establecido en la Resolución 3099 de 2008, disposición que si bien fue derogada por la Resolución 5395 de 2013</w:t>
      </w:r>
      <w:r w:rsidRPr="005D131A">
        <w:rPr>
          <w:sz w:val="28"/>
          <w:szCs w:val="28"/>
          <w:vertAlign w:val="superscript"/>
          <w:lang w:val="es-CO"/>
        </w:rPr>
        <w:footnoteReference w:id="171"/>
      </w:r>
      <w:r w:rsidRPr="005D131A">
        <w:rPr>
          <w:sz w:val="28"/>
          <w:szCs w:val="28"/>
          <w:lang w:val="es-CO"/>
        </w:rPr>
        <w:t xml:space="preserve">, en el parágrafo del artículo 13 mantuvo la posibilidad de no realizar el trámite ante el CTC para acceder a un servicio no POS cuando exista urgencia manifiesta. </w:t>
      </w:r>
    </w:p>
    <w:p w:rsidR="00E335E2" w:rsidRPr="005D131A" w:rsidRDefault="00E335E2" w:rsidP="005D131A">
      <w:pPr>
        <w:tabs>
          <w:tab w:val="left" w:pos="426"/>
        </w:tabs>
        <w:rPr>
          <w:sz w:val="28"/>
          <w:szCs w:val="28"/>
          <w:lang w:val="es-CO"/>
        </w:rPr>
      </w:pPr>
    </w:p>
    <w:p w:rsidR="00884B8A" w:rsidRPr="005D131A" w:rsidRDefault="000A08FD" w:rsidP="005D131A">
      <w:pPr>
        <w:pStyle w:val="Prrafodelista"/>
        <w:ind w:left="0"/>
        <w:rPr>
          <w:i/>
          <w:sz w:val="28"/>
          <w:szCs w:val="28"/>
          <w:lang w:val="es-CO"/>
        </w:rPr>
      </w:pPr>
      <w:r w:rsidRPr="005D131A">
        <w:rPr>
          <w:sz w:val="28"/>
          <w:szCs w:val="28"/>
          <w:lang w:val="es-CO"/>
        </w:rPr>
        <w:t xml:space="preserve">Ahora bien, </w:t>
      </w:r>
      <w:r w:rsidR="00C62318" w:rsidRPr="005D131A">
        <w:rPr>
          <w:sz w:val="28"/>
          <w:szCs w:val="28"/>
          <w:lang w:val="es-CO"/>
        </w:rPr>
        <w:t>en cuanto al interrogan</w:t>
      </w:r>
      <w:r w:rsidR="00AA59E8" w:rsidRPr="005D131A">
        <w:rPr>
          <w:sz w:val="28"/>
          <w:szCs w:val="28"/>
          <w:lang w:val="es-CO"/>
        </w:rPr>
        <w:t xml:space="preserve">te según el cual </w:t>
      </w:r>
      <w:r w:rsidR="00AA59E8" w:rsidRPr="005D131A">
        <w:rPr>
          <w:i/>
          <w:sz w:val="28"/>
          <w:szCs w:val="28"/>
          <w:lang w:val="es-CO"/>
        </w:rPr>
        <w:t xml:space="preserve">“En la orden </w:t>
      </w:r>
      <w:r w:rsidR="002258B3" w:rsidRPr="005D131A">
        <w:rPr>
          <w:i/>
          <w:sz w:val="28"/>
          <w:szCs w:val="28"/>
          <w:lang w:val="es-CO"/>
        </w:rPr>
        <w:t>vigésima</w:t>
      </w:r>
      <w:r w:rsidR="00AA59E8" w:rsidRPr="005D131A">
        <w:rPr>
          <w:i/>
          <w:sz w:val="28"/>
          <w:szCs w:val="28"/>
          <w:lang w:val="es-CO"/>
        </w:rPr>
        <w:t xml:space="preserve"> tercera se dispuso la adopción de medidas para regular el trámite interno que debe adelantar el galeno para que la respectiva EPS autorice directamente tecnologías en salud no incluidas y explícitamente excluidas del POS, cuando estas sean ordenadas por dicho profesional de la medicina; procedimiento que es diferente al que se surte en el Comité Técnico Científico. En ese sentido ¿mediante qué acto administrativo regló dicho trámite interno?</w:t>
      </w:r>
      <w:r w:rsidR="00514C6D" w:rsidRPr="005D131A">
        <w:rPr>
          <w:i/>
          <w:sz w:val="28"/>
          <w:szCs w:val="28"/>
          <w:lang w:val="es-CO"/>
        </w:rPr>
        <w:t>”</w:t>
      </w:r>
      <w:r w:rsidR="00CB6BFB" w:rsidRPr="005D131A">
        <w:rPr>
          <w:i/>
          <w:sz w:val="28"/>
          <w:szCs w:val="28"/>
          <w:lang w:val="es-CO"/>
        </w:rPr>
        <w:t xml:space="preserve">, </w:t>
      </w:r>
      <w:r w:rsidR="00AA59E8" w:rsidRPr="005D131A">
        <w:rPr>
          <w:sz w:val="28"/>
          <w:szCs w:val="28"/>
          <w:lang w:val="es-CO"/>
        </w:rPr>
        <w:t xml:space="preserve">el Ministerio </w:t>
      </w:r>
      <w:r w:rsidR="008E7063" w:rsidRPr="005D131A">
        <w:rPr>
          <w:sz w:val="28"/>
          <w:szCs w:val="28"/>
          <w:lang w:val="es-CO"/>
        </w:rPr>
        <w:t>señaló</w:t>
      </w:r>
      <w:r w:rsidR="00AA59E8" w:rsidRPr="005D131A">
        <w:rPr>
          <w:sz w:val="28"/>
          <w:szCs w:val="28"/>
          <w:lang w:val="es-CO"/>
        </w:rPr>
        <w:t xml:space="preserve"> que </w:t>
      </w:r>
      <w:r w:rsidR="00881B25" w:rsidRPr="005D131A">
        <w:rPr>
          <w:sz w:val="28"/>
          <w:szCs w:val="28"/>
          <w:lang w:val="es-CO"/>
        </w:rPr>
        <w:t>los proc</w:t>
      </w:r>
      <w:r w:rsidR="00314E4B" w:rsidRPr="005D131A">
        <w:rPr>
          <w:sz w:val="28"/>
          <w:szCs w:val="28"/>
          <w:lang w:val="es-CO"/>
        </w:rPr>
        <w:t>edimientos establecidos en las r</w:t>
      </w:r>
      <w:r w:rsidR="00881B25" w:rsidRPr="005D131A">
        <w:rPr>
          <w:sz w:val="28"/>
          <w:szCs w:val="28"/>
          <w:lang w:val="es-CO"/>
        </w:rPr>
        <w:t xml:space="preserve">esoluciones 3099 de 2008 y 5395 de 2013, han garantizado el acceso a las prestaciones en salud excluidas del plan de beneficios, </w:t>
      </w:r>
      <w:r w:rsidR="00881B25" w:rsidRPr="005D131A">
        <w:rPr>
          <w:i/>
          <w:sz w:val="28"/>
          <w:szCs w:val="28"/>
          <w:lang w:val="es-CO"/>
        </w:rPr>
        <w:t xml:space="preserve">“previendo que de manera directa </w:t>
      </w:r>
      <w:r w:rsidR="002258B3" w:rsidRPr="005D131A">
        <w:rPr>
          <w:i/>
          <w:sz w:val="28"/>
          <w:szCs w:val="28"/>
          <w:lang w:val="es-CO"/>
        </w:rPr>
        <w:t>el médico tratante las ordene, cuando se está frente a una situación de urgencia, así como la posibilidad que el CTC las autorice, previa verificación de los criterios en la normativa vigente”</w:t>
      </w:r>
      <w:r w:rsidR="002258B3" w:rsidRPr="005D131A">
        <w:rPr>
          <w:sz w:val="28"/>
          <w:szCs w:val="28"/>
          <w:lang w:val="es-CO"/>
        </w:rPr>
        <w:t xml:space="preserve">, razón por la cual consideró </w:t>
      </w:r>
      <w:r w:rsidR="00884B8A" w:rsidRPr="005D131A">
        <w:rPr>
          <w:sz w:val="28"/>
          <w:szCs w:val="28"/>
          <w:lang w:val="es-CO"/>
        </w:rPr>
        <w:t>que no ha</w:t>
      </w:r>
      <w:r w:rsidR="00B244FA" w:rsidRPr="005D131A">
        <w:rPr>
          <w:sz w:val="28"/>
          <w:szCs w:val="28"/>
          <w:lang w:val="es-CO"/>
        </w:rPr>
        <w:t>bía</w:t>
      </w:r>
      <w:r w:rsidR="00884B8A" w:rsidRPr="005D131A">
        <w:rPr>
          <w:sz w:val="28"/>
          <w:szCs w:val="28"/>
          <w:lang w:val="es-CO"/>
        </w:rPr>
        <w:t xml:space="preserve"> sido necesario implementar</w:t>
      </w:r>
      <w:r w:rsidR="00226E1A" w:rsidRPr="005D131A">
        <w:rPr>
          <w:sz w:val="28"/>
          <w:szCs w:val="28"/>
          <w:lang w:val="es-CO"/>
        </w:rPr>
        <w:t xml:space="preserve"> un procedimiento adicional, postura que fue reafirmada mediante informe de 1</w:t>
      </w:r>
      <w:r w:rsidR="008B5354" w:rsidRPr="005D131A">
        <w:rPr>
          <w:sz w:val="28"/>
          <w:szCs w:val="28"/>
          <w:lang w:val="es-CO"/>
        </w:rPr>
        <w:t>3</w:t>
      </w:r>
      <w:r w:rsidR="001620F1" w:rsidRPr="005D131A">
        <w:rPr>
          <w:sz w:val="28"/>
          <w:szCs w:val="28"/>
          <w:lang w:val="es-CO"/>
        </w:rPr>
        <w:t xml:space="preserve"> de abril de 2016</w:t>
      </w:r>
      <w:r w:rsidR="00226E1A" w:rsidRPr="005D131A">
        <w:rPr>
          <w:sz w:val="28"/>
          <w:szCs w:val="28"/>
          <w:vertAlign w:val="superscript"/>
          <w:lang w:val="es-CO"/>
        </w:rPr>
        <w:footnoteReference w:id="172"/>
      </w:r>
      <w:r w:rsidR="00226E1A" w:rsidRPr="005D131A">
        <w:rPr>
          <w:sz w:val="28"/>
          <w:szCs w:val="28"/>
          <w:lang w:val="es-CO"/>
        </w:rPr>
        <w:t xml:space="preserve">. </w:t>
      </w:r>
      <w:r w:rsidR="001620F1" w:rsidRPr="005D131A">
        <w:rPr>
          <w:sz w:val="28"/>
          <w:szCs w:val="28"/>
          <w:lang w:val="es-CO"/>
        </w:rPr>
        <w:t xml:space="preserve"> </w:t>
      </w:r>
    </w:p>
    <w:p w:rsidR="001620F1" w:rsidRPr="005D131A" w:rsidRDefault="001620F1" w:rsidP="005D131A">
      <w:pPr>
        <w:pStyle w:val="Prrafodelista"/>
        <w:ind w:left="0"/>
        <w:rPr>
          <w:sz w:val="28"/>
          <w:szCs w:val="28"/>
          <w:lang w:val="es-CO"/>
        </w:rPr>
      </w:pPr>
    </w:p>
    <w:p w:rsidR="001620F1" w:rsidRPr="005D131A" w:rsidRDefault="00CB6BFB" w:rsidP="005D131A">
      <w:pPr>
        <w:pStyle w:val="Prrafodelista"/>
        <w:ind w:left="0"/>
        <w:rPr>
          <w:sz w:val="28"/>
          <w:szCs w:val="28"/>
          <w:lang w:val="es-CO"/>
        </w:rPr>
      </w:pPr>
      <w:r w:rsidRPr="005D131A">
        <w:rPr>
          <w:sz w:val="28"/>
          <w:szCs w:val="28"/>
          <w:lang w:val="es-CO"/>
        </w:rPr>
        <w:t>En este último</w:t>
      </w:r>
      <w:r w:rsidR="008E7063" w:rsidRPr="005D131A">
        <w:rPr>
          <w:sz w:val="28"/>
          <w:szCs w:val="28"/>
          <w:lang w:val="es-CO"/>
        </w:rPr>
        <w:t xml:space="preserve"> informe</w:t>
      </w:r>
      <w:r w:rsidR="008F0B4A" w:rsidRPr="005D131A">
        <w:rPr>
          <w:sz w:val="28"/>
          <w:szCs w:val="28"/>
          <w:lang w:val="es-CO"/>
        </w:rPr>
        <w:t xml:space="preserve"> </w:t>
      </w:r>
      <w:r w:rsidR="008C1E1F" w:rsidRPr="005D131A">
        <w:rPr>
          <w:sz w:val="28"/>
          <w:szCs w:val="28"/>
          <w:lang w:val="es-CO"/>
        </w:rPr>
        <w:t>el Ministerio adujo</w:t>
      </w:r>
      <w:r w:rsidR="008E7063" w:rsidRPr="005D131A">
        <w:rPr>
          <w:sz w:val="28"/>
          <w:szCs w:val="28"/>
          <w:lang w:val="es-CO"/>
        </w:rPr>
        <w:t xml:space="preserve"> que en el año 2008 expidió la Resolución 3099 </w:t>
      </w:r>
      <w:r w:rsidR="008E7063" w:rsidRPr="005D131A">
        <w:rPr>
          <w:i/>
          <w:sz w:val="28"/>
          <w:szCs w:val="28"/>
          <w:lang w:val="es-CO"/>
        </w:rPr>
        <w:t>“que si bien fue anterior a la Sentencia T-760 de 2008, tuvo por objeto extender las reglas de autorización de medicamentos a los demás servicios o tecnologías sin cobertura en el Plan Obligatorio de Salud teniendo en cuenta las necesidades de la poblaci</w:t>
      </w:r>
      <w:r w:rsidR="00ED6809" w:rsidRPr="005D131A">
        <w:rPr>
          <w:i/>
          <w:sz w:val="28"/>
          <w:szCs w:val="28"/>
          <w:lang w:val="es-CO"/>
        </w:rPr>
        <w:t>ón; situación que se mantiene actualmente con la Resolución 5395 de 2013, bajo el concepto de tecnologías en salud”</w:t>
      </w:r>
      <w:r w:rsidR="00ED6809" w:rsidRPr="005D131A">
        <w:rPr>
          <w:sz w:val="28"/>
          <w:szCs w:val="28"/>
          <w:lang w:val="es-CO"/>
        </w:rPr>
        <w:t xml:space="preserve">. </w:t>
      </w:r>
      <w:r w:rsidR="008B5354" w:rsidRPr="005D131A">
        <w:rPr>
          <w:sz w:val="28"/>
          <w:szCs w:val="28"/>
          <w:lang w:val="es-CO"/>
        </w:rPr>
        <w:t xml:space="preserve">Sin embargo, </w:t>
      </w:r>
      <w:r w:rsidRPr="005D131A">
        <w:rPr>
          <w:sz w:val="28"/>
          <w:szCs w:val="28"/>
          <w:lang w:val="es-CO"/>
        </w:rPr>
        <w:t>con</w:t>
      </w:r>
      <w:r w:rsidR="008F0B4A" w:rsidRPr="005D131A">
        <w:rPr>
          <w:sz w:val="28"/>
          <w:szCs w:val="28"/>
          <w:lang w:val="es-CO"/>
        </w:rPr>
        <w:t>trario a lo manifestado</w:t>
      </w:r>
      <w:r w:rsidR="00B244FA" w:rsidRPr="005D131A">
        <w:rPr>
          <w:sz w:val="28"/>
          <w:szCs w:val="28"/>
          <w:lang w:val="es-CO"/>
        </w:rPr>
        <w:t xml:space="preserve">, </w:t>
      </w:r>
      <w:r w:rsidRPr="005D131A">
        <w:rPr>
          <w:sz w:val="28"/>
          <w:szCs w:val="28"/>
          <w:lang w:val="es-CO"/>
        </w:rPr>
        <w:t xml:space="preserve">advirtió que </w:t>
      </w:r>
      <w:r w:rsidR="003C08BD" w:rsidRPr="005D131A">
        <w:rPr>
          <w:sz w:val="28"/>
          <w:szCs w:val="28"/>
          <w:lang w:val="es-CO"/>
        </w:rPr>
        <w:t xml:space="preserve">era </w:t>
      </w:r>
      <w:r w:rsidR="008C1E1F" w:rsidRPr="005D131A">
        <w:rPr>
          <w:sz w:val="28"/>
          <w:szCs w:val="28"/>
          <w:lang w:val="es-CO"/>
        </w:rPr>
        <w:t>necesario dar a conocer la</w:t>
      </w:r>
      <w:r w:rsidR="003C08BD" w:rsidRPr="005D131A">
        <w:rPr>
          <w:sz w:val="28"/>
          <w:szCs w:val="28"/>
          <w:lang w:val="es-CO"/>
        </w:rPr>
        <w:t xml:space="preserve"> gestión adelantada </w:t>
      </w:r>
      <w:r w:rsidR="002027AF" w:rsidRPr="005D131A">
        <w:rPr>
          <w:i/>
          <w:sz w:val="28"/>
          <w:szCs w:val="28"/>
          <w:lang w:val="es-CO"/>
        </w:rPr>
        <w:t>“</w:t>
      </w:r>
      <w:r w:rsidR="00363D35" w:rsidRPr="005D131A">
        <w:rPr>
          <w:i/>
          <w:sz w:val="28"/>
          <w:szCs w:val="28"/>
          <w:lang w:val="es-CO"/>
        </w:rPr>
        <w:t xml:space="preserve">para garantizar el </w:t>
      </w:r>
      <w:r w:rsidR="00D7294C" w:rsidRPr="005D131A">
        <w:rPr>
          <w:i/>
          <w:sz w:val="28"/>
          <w:szCs w:val="28"/>
          <w:lang w:val="es-CO"/>
        </w:rPr>
        <w:t>acceso a los servicios y tecnologías o cubiertas por el Plan de Beneficios con cargo a la Unidad de Pago por Capitación –UPC, a partir de lo dispuesto en la Ley Estatutaria de Salud orientadas a desarrollar un aplicativo de registro de prescripción de servicios y tecnologías en salud no cubiertos con la UPC, el cual será en línea y diligenciado directamente por el médico tratante en desarrollo de su autonomía”</w:t>
      </w:r>
      <w:r w:rsidR="00D7294C" w:rsidRPr="005D131A">
        <w:rPr>
          <w:sz w:val="28"/>
          <w:szCs w:val="28"/>
          <w:lang w:val="es-CO"/>
        </w:rPr>
        <w:t xml:space="preserve">. </w:t>
      </w:r>
    </w:p>
    <w:p w:rsidR="00E335E2" w:rsidRPr="005D131A" w:rsidRDefault="00E335E2" w:rsidP="005D131A">
      <w:pPr>
        <w:tabs>
          <w:tab w:val="left" w:pos="426"/>
        </w:tabs>
        <w:rPr>
          <w:sz w:val="28"/>
          <w:szCs w:val="28"/>
          <w:lang w:val="es-CO"/>
        </w:rPr>
      </w:pPr>
    </w:p>
    <w:p w:rsidR="000F4E36" w:rsidRPr="005D131A" w:rsidRDefault="00C55147" w:rsidP="005D131A">
      <w:pPr>
        <w:tabs>
          <w:tab w:val="left" w:pos="426"/>
        </w:tabs>
        <w:rPr>
          <w:sz w:val="28"/>
          <w:szCs w:val="28"/>
          <w:lang w:val="es-CO"/>
        </w:rPr>
      </w:pPr>
      <w:r w:rsidRPr="005D131A">
        <w:rPr>
          <w:sz w:val="28"/>
          <w:szCs w:val="28"/>
          <w:lang w:val="es-CO"/>
        </w:rPr>
        <w:t>En conclusión, la</w:t>
      </w:r>
      <w:r w:rsidR="000F4E36" w:rsidRPr="005D131A">
        <w:rPr>
          <w:sz w:val="28"/>
          <w:szCs w:val="28"/>
          <w:lang w:val="es-CO"/>
        </w:rPr>
        <w:t>s</w:t>
      </w:r>
      <w:r w:rsidRPr="005D131A">
        <w:rPr>
          <w:sz w:val="28"/>
          <w:szCs w:val="28"/>
          <w:lang w:val="es-CO"/>
        </w:rPr>
        <w:t xml:space="preserve"> EPS tiene</w:t>
      </w:r>
      <w:r w:rsidR="000F4E36" w:rsidRPr="005D131A">
        <w:rPr>
          <w:sz w:val="28"/>
          <w:szCs w:val="28"/>
          <w:lang w:val="es-CO"/>
        </w:rPr>
        <w:t>n</w:t>
      </w:r>
      <w:r w:rsidRPr="005D131A">
        <w:rPr>
          <w:sz w:val="28"/>
          <w:szCs w:val="28"/>
          <w:lang w:val="es-CO"/>
        </w:rPr>
        <w:t xml:space="preserve"> la obligación de prestar el servicio de salud </w:t>
      </w:r>
      <w:r w:rsidR="000F4E36" w:rsidRPr="005D131A">
        <w:rPr>
          <w:sz w:val="28"/>
          <w:szCs w:val="28"/>
          <w:lang w:val="es-CO"/>
        </w:rPr>
        <w:t xml:space="preserve">en casos de urgencia sin que medie trámite alguno, porque sería desproporcionado que un paciente que requiere </w:t>
      </w:r>
      <w:r w:rsidR="000F4E36" w:rsidRPr="005D131A">
        <w:rPr>
          <w:sz w:val="28"/>
          <w:szCs w:val="28"/>
        </w:rPr>
        <w:t xml:space="preserve">atención médica inmediata y efectiva tenga que esperar una autorización previa </w:t>
      </w:r>
      <w:r w:rsidR="00EF4A7B" w:rsidRPr="005D131A">
        <w:rPr>
          <w:sz w:val="28"/>
          <w:szCs w:val="28"/>
        </w:rPr>
        <w:t xml:space="preserve">respecto de aquellas </w:t>
      </w:r>
      <w:r w:rsidR="000F4E36" w:rsidRPr="005D131A">
        <w:rPr>
          <w:sz w:val="28"/>
          <w:szCs w:val="28"/>
          <w:lang w:val="es-CO"/>
        </w:rPr>
        <w:t>tecnologías en salud no incluidas y explícitamente excluidas del POS</w:t>
      </w:r>
      <w:r w:rsidR="00EF4A7B" w:rsidRPr="005D131A">
        <w:rPr>
          <w:sz w:val="28"/>
          <w:szCs w:val="28"/>
          <w:lang w:val="es-CO"/>
        </w:rPr>
        <w:t xml:space="preserve"> de cualquier régimen. </w:t>
      </w:r>
    </w:p>
    <w:p w:rsidR="000F4E36" w:rsidRPr="005D131A" w:rsidRDefault="000F4E36" w:rsidP="005D131A">
      <w:pPr>
        <w:tabs>
          <w:tab w:val="left" w:pos="426"/>
        </w:tabs>
        <w:rPr>
          <w:sz w:val="28"/>
          <w:szCs w:val="28"/>
          <w:lang w:val="es-CO"/>
        </w:rPr>
      </w:pPr>
    </w:p>
    <w:p w:rsidR="00B13A94" w:rsidRPr="005D131A" w:rsidRDefault="007534C2" w:rsidP="005D131A">
      <w:pPr>
        <w:pStyle w:val="Prrafodelista"/>
        <w:ind w:left="0"/>
        <w:rPr>
          <w:sz w:val="28"/>
          <w:szCs w:val="28"/>
        </w:rPr>
      </w:pPr>
      <w:r w:rsidRPr="005D131A">
        <w:rPr>
          <w:sz w:val="28"/>
          <w:szCs w:val="28"/>
          <w:lang w:val="es-CO"/>
        </w:rPr>
        <w:t>5</w:t>
      </w:r>
      <w:r w:rsidR="00E335E2" w:rsidRPr="005D131A">
        <w:rPr>
          <w:sz w:val="28"/>
          <w:szCs w:val="28"/>
          <w:lang w:val="es-CO"/>
        </w:rPr>
        <w:t>.4.3</w:t>
      </w:r>
      <w:r w:rsidR="00EC7369" w:rsidRPr="005D131A">
        <w:rPr>
          <w:sz w:val="28"/>
          <w:szCs w:val="28"/>
          <w:lang w:val="es-CO"/>
        </w:rPr>
        <w:t xml:space="preserve">. </w:t>
      </w:r>
      <w:r w:rsidR="00E335E2" w:rsidRPr="005D131A">
        <w:rPr>
          <w:sz w:val="28"/>
          <w:szCs w:val="28"/>
          <w:lang w:val="es-CO"/>
        </w:rPr>
        <w:t>Ahora bien, e</w:t>
      </w:r>
      <w:r w:rsidR="002027AF" w:rsidRPr="005D131A">
        <w:rPr>
          <w:sz w:val="28"/>
          <w:szCs w:val="28"/>
          <w:lang w:val="es-CO"/>
        </w:rPr>
        <w:t xml:space="preserve">l Ministerio de Salud y Protección Social con </w:t>
      </w:r>
      <w:r w:rsidR="00B13A94" w:rsidRPr="005D131A">
        <w:rPr>
          <w:sz w:val="28"/>
          <w:szCs w:val="28"/>
        </w:rPr>
        <w:t>fundamento en la Ley Estatutaria 1751 de 2015</w:t>
      </w:r>
      <w:r w:rsidR="00B13A94" w:rsidRPr="005D131A">
        <w:rPr>
          <w:sz w:val="28"/>
          <w:szCs w:val="28"/>
          <w:vertAlign w:val="superscript"/>
        </w:rPr>
        <w:footnoteReference w:id="173"/>
      </w:r>
      <w:r w:rsidR="00B13A94" w:rsidRPr="005D131A">
        <w:rPr>
          <w:sz w:val="28"/>
          <w:szCs w:val="28"/>
        </w:rPr>
        <w:t xml:space="preserve"> expidió la Resolución 1328 de 15 de abril de 2016</w:t>
      </w:r>
      <w:r w:rsidR="00E335E2" w:rsidRPr="005D131A">
        <w:rPr>
          <w:sz w:val="28"/>
          <w:szCs w:val="28"/>
          <w:vertAlign w:val="superscript"/>
        </w:rPr>
        <w:footnoteReference w:id="174"/>
      </w:r>
      <w:r w:rsidR="00DB62E2" w:rsidRPr="005D131A">
        <w:rPr>
          <w:sz w:val="28"/>
          <w:szCs w:val="28"/>
        </w:rPr>
        <w:t>.</w:t>
      </w:r>
      <w:r w:rsidR="00B13A94" w:rsidRPr="005D131A">
        <w:rPr>
          <w:sz w:val="28"/>
          <w:szCs w:val="28"/>
        </w:rPr>
        <w:t xml:space="preserve"> Esta norma entró en vigencia a partir de la fecha de su publicación</w:t>
      </w:r>
      <w:r w:rsidR="00B13A94" w:rsidRPr="005D131A">
        <w:rPr>
          <w:sz w:val="28"/>
          <w:szCs w:val="28"/>
          <w:vertAlign w:val="superscript"/>
        </w:rPr>
        <w:footnoteReference w:id="175"/>
      </w:r>
      <w:r w:rsidR="00DB62E2" w:rsidRPr="005D131A">
        <w:rPr>
          <w:sz w:val="28"/>
          <w:szCs w:val="28"/>
        </w:rPr>
        <w:t>, pero sus disposiciones son</w:t>
      </w:r>
      <w:r w:rsidR="00B13A94" w:rsidRPr="005D131A">
        <w:rPr>
          <w:sz w:val="28"/>
          <w:szCs w:val="28"/>
        </w:rPr>
        <w:t xml:space="preserve"> exigibles a partir del 1º</w:t>
      </w:r>
      <w:r w:rsidR="00E335E2" w:rsidRPr="005D131A">
        <w:rPr>
          <w:sz w:val="28"/>
          <w:szCs w:val="28"/>
        </w:rPr>
        <w:t xml:space="preserve"> de septiembre</w:t>
      </w:r>
      <w:r w:rsidR="00B13A94" w:rsidRPr="005D131A">
        <w:rPr>
          <w:sz w:val="28"/>
          <w:szCs w:val="28"/>
        </w:rPr>
        <w:t xml:space="preserve"> del mismo año, </w:t>
      </w:r>
      <w:r w:rsidR="00B13A94" w:rsidRPr="005D131A">
        <w:rPr>
          <w:i/>
          <w:sz w:val="28"/>
          <w:szCs w:val="28"/>
        </w:rPr>
        <w:t>“fecha a partir de la cual quedará derogada la Resolución 5395 de 2013, salvo lo previsto en el título II que se mantiene vigente para el procedimiento de cobro y pago de servicios y tecnologías sin cobertura en el Plan de Beneficios suministradas a los afiliados del régimen subsidiado”</w:t>
      </w:r>
      <w:r w:rsidR="00B13A94" w:rsidRPr="005D131A">
        <w:rPr>
          <w:sz w:val="28"/>
          <w:szCs w:val="28"/>
        </w:rPr>
        <w:t xml:space="preserve">. </w:t>
      </w:r>
    </w:p>
    <w:p w:rsidR="00B13A94" w:rsidRPr="005D131A" w:rsidRDefault="00B13A94" w:rsidP="005D131A">
      <w:pPr>
        <w:tabs>
          <w:tab w:val="left" w:pos="480"/>
        </w:tabs>
        <w:ind w:right="-40"/>
        <w:rPr>
          <w:sz w:val="28"/>
          <w:szCs w:val="28"/>
        </w:rPr>
      </w:pPr>
    </w:p>
    <w:p w:rsidR="00B13A94" w:rsidRPr="005D131A" w:rsidRDefault="00B13A94" w:rsidP="005D131A">
      <w:pPr>
        <w:pStyle w:val="Prrafodelista1"/>
        <w:shd w:val="clear" w:color="auto" w:fill="FFFFFF"/>
        <w:spacing w:after="0" w:line="240" w:lineRule="auto"/>
        <w:ind w:left="0"/>
        <w:jc w:val="both"/>
        <w:rPr>
          <w:rFonts w:ascii="Times New Roman" w:hAnsi="Times New Roman"/>
          <w:sz w:val="28"/>
          <w:szCs w:val="28"/>
        </w:rPr>
      </w:pPr>
      <w:r w:rsidRPr="005D131A">
        <w:rPr>
          <w:rFonts w:ascii="Times New Roman" w:hAnsi="Times New Roman"/>
          <w:sz w:val="28"/>
          <w:szCs w:val="28"/>
        </w:rPr>
        <w:t>La norma referida eliminó los Comités Técnico Científicos –CTC– de las EPS y estableció los procedimientos para acceder y reportar las prescripciones de servicios y tecnologías en salud sin cobertura en el plan de beneficios en salud con cargo a la</w:t>
      </w:r>
      <w:r w:rsidR="00E335E2" w:rsidRPr="005D131A">
        <w:rPr>
          <w:rFonts w:ascii="Times New Roman" w:hAnsi="Times New Roman"/>
          <w:sz w:val="28"/>
          <w:szCs w:val="28"/>
        </w:rPr>
        <w:t xml:space="preserve"> unidad de pago por capitación -</w:t>
      </w:r>
      <w:r w:rsidR="00EF1587" w:rsidRPr="005D131A">
        <w:rPr>
          <w:rFonts w:ascii="Times New Roman" w:hAnsi="Times New Roman"/>
          <w:sz w:val="28"/>
          <w:szCs w:val="28"/>
        </w:rPr>
        <w:t>UPC-</w:t>
      </w:r>
      <w:r w:rsidRPr="005D131A">
        <w:rPr>
          <w:rFonts w:ascii="Times New Roman" w:hAnsi="Times New Roman"/>
          <w:sz w:val="28"/>
          <w:szCs w:val="28"/>
        </w:rPr>
        <w:t xml:space="preserve">, mediante un sistema de información en línea. </w:t>
      </w:r>
    </w:p>
    <w:p w:rsidR="00B13A94" w:rsidRPr="005D131A" w:rsidRDefault="00B13A94" w:rsidP="005D131A">
      <w:pPr>
        <w:rPr>
          <w:sz w:val="28"/>
          <w:szCs w:val="28"/>
        </w:rPr>
      </w:pPr>
    </w:p>
    <w:p w:rsidR="00F415B1" w:rsidRPr="005D131A" w:rsidRDefault="007534C2" w:rsidP="005D131A">
      <w:pPr>
        <w:rPr>
          <w:sz w:val="28"/>
          <w:szCs w:val="28"/>
          <w:lang w:val="es-CO"/>
        </w:rPr>
      </w:pPr>
      <w:r w:rsidRPr="005D131A">
        <w:rPr>
          <w:sz w:val="28"/>
          <w:szCs w:val="28"/>
        </w:rPr>
        <w:t>5</w:t>
      </w:r>
      <w:r w:rsidR="00E335E2" w:rsidRPr="005D131A">
        <w:rPr>
          <w:sz w:val="28"/>
          <w:szCs w:val="28"/>
        </w:rPr>
        <w:t>.4.4</w:t>
      </w:r>
      <w:r w:rsidR="00EC7369" w:rsidRPr="005D131A">
        <w:rPr>
          <w:sz w:val="28"/>
          <w:szCs w:val="28"/>
        </w:rPr>
        <w:t xml:space="preserve">. </w:t>
      </w:r>
      <w:r w:rsidR="00266CCA" w:rsidRPr="005D131A">
        <w:rPr>
          <w:sz w:val="28"/>
          <w:szCs w:val="28"/>
        </w:rPr>
        <w:t>T</w:t>
      </w:r>
      <w:r w:rsidR="00B13A94" w:rsidRPr="005D131A">
        <w:rPr>
          <w:sz w:val="28"/>
          <w:szCs w:val="28"/>
        </w:rPr>
        <w:t xml:space="preserve">eniendo en cuenta que el </w:t>
      </w:r>
      <w:r w:rsidR="008C1E1F" w:rsidRPr="005D131A">
        <w:rPr>
          <w:sz w:val="28"/>
          <w:szCs w:val="28"/>
        </w:rPr>
        <w:t xml:space="preserve">ente ministerial </w:t>
      </w:r>
      <w:r w:rsidR="00F415B1" w:rsidRPr="005D131A">
        <w:rPr>
          <w:sz w:val="28"/>
          <w:szCs w:val="28"/>
        </w:rPr>
        <w:t>debía poner en funcionamiento el</w:t>
      </w:r>
      <w:r w:rsidR="00B13A94" w:rsidRPr="005D131A">
        <w:rPr>
          <w:sz w:val="28"/>
          <w:szCs w:val="28"/>
        </w:rPr>
        <w:t xml:space="preserve"> aplicativo web de reporte de prescripciones de servicios y tecnologías sin cobertura en el plan de beneficios y las </w:t>
      </w:r>
      <w:r w:rsidR="00F415B1" w:rsidRPr="005D131A">
        <w:rPr>
          <w:sz w:val="28"/>
          <w:szCs w:val="28"/>
        </w:rPr>
        <w:t xml:space="preserve">EPS </w:t>
      </w:r>
      <w:r w:rsidR="00B13A94" w:rsidRPr="005D131A">
        <w:rPr>
          <w:sz w:val="28"/>
          <w:szCs w:val="28"/>
        </w:rPr>
        <w:t xml:space="preserve">tenían plazo hasta el 31 de mayo de 2016 para implementar, hacer los ajustes y adaptarse a las necesidades tecnológicas, </w:t>
      </w:r>
      <w:r w:rsidR="008C1E1F" w:rsidRPr="005D131A">
        <w:rPr>
          <w:sz w:val="28"/>
          <w:szCs w:val="28"/>
        </w:rPr>
        <w:t xml:space="preserve">esta Corporación </w:t>
      </w:r>
      <w:r w:rsidR="00102A1C" w:rsidRPr="005D131A">
        <w:rPr>
          <w:sz w:val="28"/>
          <w:szCs w:val="28"/>
        </w:rPr>
        <w:t xml:space="preserve">mediante </w:t>
      </w:r>
      <w:r w:rsidR="00E335E2" w:rsidRPr="005D131A">
        <w:rPr>
          <w:b/>
          <w:sz w:val="28"/>
          <w:szCs w:val="28"/>
        </w:rPr>
        <w:t>A</w:t>
      </w:r>
      <w:r w:rsidR="00102A1C" w:rsidRPr="005D131A">
        <w:rPr>
          <w:b/>
          <w:sz w:val="28"/>
          <w:szCs w:val="28"/>
        </w:rPr>
        <w:t xml:space="preserve">uto de </w:t>
      </w:r>
      <w:r w:rsidR="00102A1C" w:rsidRPr="005D131A">
        <w:rPr>
          <w:b/>
          <w:sz w:val="28"/>
          <w:szCs w:val="28"/>
          <w:lang w:val="es-CO"/>
        </w:rPr>
        <w:t>de 5 de julio de 2016</w:t>
      </w:r>
      <w:r w:rsidR="00102A1C" w:rsidRPr="005D131A">
        <w:rPr>
          <w:sz w:val="28"/>
          <w:szCs w:val="28"/>
          <w:vertAlign w:val="superscript"/>
          <w:lang w:val="es-CO"/>
        </w:rPr>
        <w:footnoteReference w:id="176"/>
      </w:r>
      <w:r w:rsidR="00102A1C" w:rsidRPr="005D131A">
        <w:rPr>
          <w:sz w:val="28"/>
          <w:szCs w:val="28"/>
          <w:lang w:val="es-CO"/>
        </w:rPr>
        <w:t xml:space="preserve"> requirió al Ministerio de Salud y Protección Social para que suministrara información acerca de las gestiones adelantadas, la infraestructura humana, organizativa y de material que se han dispuesto como consecuencia de la Resolución 1328 de 2016 que eliminó los CTC y, en su lugar, implementó un aplicativo web donde los profesionales de la salud reportan la prescripción. </w:t>
      </w:r>
    </w:p>
    <w:p w:rsidR="00DF3B64" w:rsidRPr="005D131A" w:rsidRDefault="00DF3B64" w:rsidP="005D131A">
      <w:pPr>
        <w:rPr>
          <w:sz w:val="28"/>
          <w:szCs w:val="28"/>
          <w:lang w:val="es-CO"/>
        </w:rPr>
      </w:pPr>
    </w:p>
    <w:p w:rsidR="007534C2" w:rsidRDefault="00102A1C" w:rsidP="005D131A">
      <w:pPr>
        <w:rPr>
          <w:sz w:val="28"/>
          <w:szCs w:val="28"/>
          <w:lang w:val="es-CO"/>
        </w:rPr>
      </w:pPr>
      <w:r w:rsidRPr="005D131A">
        <w:rPr>
          <w:sz w:val="28"/>
          <w:szCs w:val="28"/>
          <w:lang w:val="es-CO"/>
        </w:rPr>
        <w:t xml:space="preserve">También preguntó sobre las garantías que ofrece ese aplicativo web en cuanto a la transparencia de la información, seguridad y confiabilidad y la entidad o dependencia encargada de mantener en óptimas condiciones la plataforma tecnológica. Por último se solicitó que indicara si esa nueva normativa aplica para los dos regímenes de salud o solo para el contributivo. </w:t>
      </w:r>
    </w:p>
    <w:p w:rsidR="000C14D8" w:rsidRPr="005D131A" w:rsidRDefault="000C14D8" w:rsidP="005D131A">
      <w:pPr>
        <w:rPr>
          <w:sz w:val="28"/>
          <w:szCs w:val="28"/>
          <w:lang w:val="es-CO"/>
        </w:rPr>
      </w:pPr>
    </w:p>
    <w:p w:rsidR="00102A1C" w:rsidRPr="005D131A" w:rsidRDefault="007534C2" w:rsidP="005D131A">
      <w:pPr>
        <w:pStyle w:val="Prrafodelista"/>
        <w:ind w:left="0"/>
        <w:rPr>
          <w:sz w:val="28"/>
          <w:szCs w:val="28"/>
          <w:lang w:val="es-CO"/>
        </w:rPr>
      </w:pPr>
      <w:r w:rsidRPr="005D131A">
        <w:rPr>
          <w:sz w:val="28"/>
          <w:szCs w:val="28"/>
          <w:lang w:val="es-CO"/>
        </w:rPr>
        <w:t>5</w:t>
      </w:r>
      <w:r w:rsidR="00E335E2" w:rsidRPr="005D131A">
        <w:rPr>
          <w:sz w:val="28"/>
          <w:szCs w:val="28"/>
          <w:lang w:val="es-CO"/>
        </w:rPr>
        <w:t>.4.5</w:t>
      </w:r>
      <w:r w:rsidR="00EC7369" w:rsidRPr="005D131A">
        <w:rPr>
          <w:sz w:val="28"/>
          <w:szCs w:val="28"/>
          <w:lang w:val="es-CO"/>
        </w:rPr>
        <w:t xml:space="preserve">. </w:t>
      </w:r>
      <w:r w:rsidR="00102A1C" w:rsidRPr="005D131A">
        <w:rPr>
          <w:sz w:val="28"/>
          <w:szCs w:val="28"/>
          <w:lang w:val="es-CO"/>
        </w:rPr>
        <w:t>En respuesta a dichos cuestionamientos</w:t>
      </w:r>
      <w:r w:rsidR="00E335E2" w:rsidRPr="005D131A">
        <w:rPr>
          <w:sz w:val="28"/>
          <w:szCs w:val="28"/>
          <w:lang w:val="es-CO"/>
        </w:rPr>
        <w:t xml:space="preserve"> la cartera de salud</w:t>
      </w:r>
      <w:r w:rsidR="00102A1C" w:rsidRPr="005D131A">
        <w:rPr>
          <w:sz w:val="28"/>
          <w:szCs w:val="28"/>
          <w:vertAlign w:val="superscript"/>
          <w:lang w:val="es-CO"/>
        </w:rPr>
        <w:footnoteReference w:id="177"/>
      </w:r>
      <w:r w:rsidR="00102A1C" w:rsidRPr="005D131A">
        <w:rPr>
          <w:sz w:val="28"/>
          <w:szCs w:val="28"/>
          <w:lang w:val="es-CO"/>
        </w:rPr>
        <w:t xml:space="preserve"> señaló que la expedición de la Resolución 1328 de 2016 es una iniciativa para propender por la garantía de acceso oportuno a los servicios y tecnologías en salud no cubiertos con cargo a la UPC, con el fin de alcanzar un manejo veraz, oportuno y transparente de la información. Esa disposición</w:t>
      </w:r>
      <w:r w:rsidR="008C1E1F" w:rsidRPr="005D131A">
        <w:rPr>
          <w:sz w:val="28"/>
          <w:szCs w:val="28"/>
          <w:lang w:val="es-CO"/>
        </w:rPr>
        <w:t>,</w:t>
      </w:r>
      <w:r w:rsidR="00102A1C" w:rsidRPr="005D131A">
        <w:rPr>
          <w:sz w:val="28"/>
          <w:szCs w:val="28"/>
          <w:lang w:val="es-CO"/>
        </w:rPr>
        <w:t xml:space="preserve"> estableció el procedimiento para reportar la orden médica de los mencionados servicios a través de una herramienta tecnológica en la cual se registra la información de las prescripciones realizadas por los profesionales de la salud. Para el Ministerio, ese nuevo mecanismo brindará información en tiempo real y permitirá la trazabilidad desde el momento de la solicitud hasta finalizar la etapa de pago. </w:t>
      </w:r>
    </w:p>
    <w:p w:rsidR="00102A1C" w:rsidRPr="005D131A" w:rsidRDefault="00102A1C" w:rsidP="005D131A">
      <w:pPr>
        <w:pStyle w:val="Prrafodelista"/>
        <w:ind w:left="0"/>
        <w:rPr>
          <w:sz w:val="28"/>
          <w:szCs w:val="28"/>
          <w:lang w:val="es-CO"/>
        </w:rPr>
      </w:pPr>
    </w:p>
    <w:p w:rsidR="00102A1C" w:rsidRPr="005D131A" w:rsidRDefault="00102A1C" w:rsidP="005D131A">
      <w:pPr>
        <w:pStyle w:val="Prrafodelista"/>
        <w:ind w:left="0"/>
        <w:rPr>
          <w:sz w:val="28"/>
          <w:szCs w:val="28"/>
          <w:lang w:val="es-CO"/>
        </w:rPr>
      </w:pPr>
      <w:r w:rsidRPr="005D131A">
        <w:rPr>
          <w:sz w:val="28"/>
          <w:szCs w:val="28"/>
          <w:lang w:val="es-CO"/>
        </w:rPr>
        <w:t xml:space="preserve">Agregó que se iniciaron labores de socialización con los diferentes actores del Sistema de Salud con el fin de dar a conocer los cambios normativos que implica la Resolución 1328 de 2016 y los aspectos técnicos, médicos e informativos del aplicativo a través de capacitaciones presenciales y virtuales. </w:t>
      </w:r>
      <w:r w:rsidR="00F415B1" w:rsidRPr="005D131A">
        <w:rPr>
          <w:sz w:val="28"/>
          <w:szCs w:val="28"/>
          <w:lang w:val="es-CO"/>
        </w:rPr>
        <w:t>Si</w:t>
      </w:r>
      <w:r w:rsidR="000D410F" w:rsidRPr="005D131A">
        <w:rPr>
          <w:sz w:val="28"/>
          <w:szCs w:val="28"/>
          <w:lang w:val="es-CO"/>
        </w:rPr>
        <w:t xml:space="preserve">n embargo, quienes tomaron esos programas de aprendizaje </w:t>
      </w:r>
      <w:r w:rsidRPr="005D131A">
        <w:rPr>
          <w:sz w:val="28"/>
          <w:szCs w:val="28"/>
          <w:lang w:val="es-CO"/>
        </w:rPr>
        <w:t>manifestaron que los tiempos previstos en la nueva normativa resultaban insuficientes para ajustar los procesos internos a las nuevas exigencias, dado que su entrada en vigencia estaba fi</w:t>
      </w:r>
      <w:r w:rsidR="000D410F" w:rsidRPr="005D131A">
        <w:rPr>
          <w:sz w:val="28"/>
          <w:szCs w:val="28"/>
          <w:lang w:val="es-CO"/>
        </w:rPr>
        <w:t>jada para el 1º de junio del presente año</w:t>
      </w:r>
      <w:r w:rsidRPr="005D131A">
        <w:rPr>
          <w:sz w:val="28"/>
          <w:szCs w:val="28"/>
          <w:lang w:val="es-CO"/>
        </w:rPr>
        <w:t>. En consecuencia, el Ministerio expidió la Resolución 2158 de 2016 en la que</w:t>
      </w:r>
      <w:r w:rsidR="004E75E2" w:rsidRPr="005D131A">
        <w:rPr>
          <w:sz w:val="28"/>
          <w:szCs w:val="28"/>
          <w:lang w:val="es-CO"/>
        </w:rPr>
        <w:t xml:space="preserve"> dispuso la ampliación de d</w:t>
      </w:r>
      <w:r w:rsidR="000D410F" w:rsidRPr="005D131A">
        <w:rPr>
          <w:sz w:val="28"/>
          <w:szCs w:val="28"/>
          <w:lang w:val="es-CO"/>
        </w:rPr>
        <w:t>icho término</w:t>
      </w:r>
      <w:r w:rsidR="004E75E2" w:rsidRPr="005D131A">
        <w:rPr>
          <w:sz w:val="28"/>
          <w:szCs w:val="28"/>
          <w:lang w:val="es-CO"/>
        </w:rPr>
        <w:t>, con el fin de que las EPS contaran con más tiempo para cumplir con las disposiciones de la nueva reglamentación</w:t>
      </w:r>
      <w:r w:rsidR="000D410F" w:rsidRPr="005D131A">
        <w:rPr>
          <w:sz w:val="28"/>
          <w:szCs w:val="28"/>
          <w:lang w:val="es-CO"/>
        </w:rPr>
        <w:t xml:space="preserve">. </w:t>
      </w:r>
      <w:r w:rsidRPr="005D131A">
        <w:rPr>
          <w:sz w:val="28"/>
          <w:szCs w:val="28"/>
          <w:lang w:val="es-CO"/>
        </w:rPr>
        <w:t>En síntesis, la cartera de salud señaló que la utilización del aplicativo web, así como la entrada en vigencia de</w:t>
      </w:r>
      <w:r w:rsidR="008C1E1F" w:rsidRPr="005D131A">
        <w:rPr>
          <w:sz w:val="28"/>
          <w:szCs w:val="28"/>
          <w:lang w:val="es-CO"/>
        </w:rPr>
        <w:t xml:space="preserve"> la Resolución 1328 sería</w:t>
      </w:r>
      <w:r w:rsidRPr="005D131A">
        <w:rPr>
          <w:sz w:val="28"/>
          <w:szCs w:val="28"/>
          <w:lang w:val="es-CO"/>
        </w:rPr>
        <w:t xml:space="preserve"> a partir del 1º</w:t>
      </w:r>
      <w:r w:rsidR="004E75E2" w:rsidRPr="005D131A">
        <w:rPr>
          <w:sz w:val="28"/>
          <w:szCs w:val="28"/>
          <w:lang w:val="es-CO"/>
        </w:rPr>
        <w:t xml:space="preserve"> de septiembre de 2016. </w:t>
      </w:r>
    </w:p>
    <w:p w:rsidR="00102A1C" w:rsidRPr="005D131A" w:rsidRDefault="00102A1C" w:rsidP="005D131A">
      <w:pPr>
        <w:rPr>
          <w:sz w:val="28"/>
          <w:szCs w:val="28"/>
          <w:lang w:val="es-CO"/>
        </w:rPr>
      </w:pPr>
    </w:p>
    <w:p w:rsidR="00102A1C" w:rsidRPr="005D131A" w:rsidRDefault="00102A1C" w:rsidP="005D131A">
      <w:pPr>
        <w:rPr>
          <w:sz w:val="28"/>
          <w:szCs w:val="28"/>
          <w:lang w:val="es-CO"/>
        </w:rPr>
      </w:pPr>
      <w:r w:rsidRPr="005D131A">
        <w:rPr>
          <w:sz w:val="28"/>
          <w:szCs w:val="28"/>
          <w:lang w:val="es-CO"/>
        </w:rPr>
        <w:t xml:space="preserve">Aunado a ello, señaló que la entidad encargada de mantener en óptimas condiciones la plataforma tecnológica es la Oficina de Tecnología de la Información y Comunicación – TIC del Ministerio. Además: </w:t>
      </w:r>
      <w:r w:rsidRPr="005D131A">
        <w:rPr>
          <w:i/>
          <w:sz w:val="28"/>
          <w:szCs w:val="28"/>
          <w:lang w:val="es-CO"/>
        </w:rPr>
        <w:t>i)</w:t>
      </w:r>
      <w:r w:rsidRPr="005D131A">
        <w:rPr>
          <w:sz w:val="28"/>
          <w:szCs w:val="28"/>
          <w:lang w:val="es-CO"/>
        </w:rPr>
        <w:t xml:space="preserve"> el aplicativo ofrece trasparencia de la información porque lo que se prescribe es lo que se dispone para los actores; </w:t>
      </w:r>
      <w:r w:rsidRPr="005D131A">
        <w:rPr>
          <w:i/>
          <w:sz w:val="28"/>
          <w:szCs w:val="28"/>
          <w:lang w:val="es-CO"/>
        </w:rPr>
        <w:t>ii)</w:t>
      </w:r>
      <w:r w:rsidRPr="005D131A">
        <w:rPr>
          <w:sz w:val="28"/>
          <w:szCs w:val="28"/>
          <w:lang w:val="es-CO"/>
        </w:rPr>
        <w:t xml:space="preserve"> guarda integridad con los sistemas de información en la medida en que se valida de manera automática los datos relacionados con el recurso humano en salud autorizado para prescribir contra el Registro Único Nacional de Talento Humano en Salud – RETHUS; </w:t>
      </w:r>
      <w:r w:rsidRPr="005D131A">
        <w:rPr>
          <w:i/>
          <w:sz w:val="28"/>
          <w:szCs w:val="28"/>
          <w:lang w:val="es-CO"/>
        </w:rPr>
        <w:t>iii)</w:t>
      </w:r>
      <w:r w:rsidRPr="005D131A">
        <w:rPr>
          <w:sz w:val="28"/>
          <w:szCs w:val="28"/>
          <w:lang w:val="es-CO"/>
        </w:rPr>
        <w:t xml:space="preserve"> es seguro porque se han implementado mecanismos de autenticación como son la clave y contraseña a nivel de los médicos tratantes, prestadores de salud y las EPS/EOC, de tal forma que quien prescribe esté plenamente identificado; </w:t>
      </w:r>
      <w:r w:rsidRPr="005D131A">
        <w:rPr>
          <w:i/>
          <w:sz w:val="28"/>
          <w:szCs w:val="28"/>
          <w:lang w:val="es-CO"/>
        </w:rPr>
        <w:t>iv)</w:t>
      </w:r>
      <w:r w:rsidRPr="005D131A">
        <w:rPr>
          <w:sz w:val="28"/>
          <w:szCs w:val="28"/>
          <w:lang w:val="es-CO"/>
        </w:rPr>
        <w:t xml:space="preserve"> el procesamiento y custodia de los datos cumplen con la normativa vigente en Colombia relacionada con seguridad de la información; y finalmente </w:t>
      </w:r>
      <w:r w:rsidRPr="005D131A">
        <w:rPr>
          <w:i/>
          <w:sz w:val="28"/>
          <w:szCs w:val="28"/>
          <w:lang w:val="es-CO"/>
        </w:rPr>
        <w:t>v)</w:t>
      </w:r>
      <w:r w:rsidRPr="005D131A">
        <w:rPr>
          <w:sz w:val="28"/>
          <w:szCs w:val="28"/>
          <w:lang w:val="es-CO"/>
        </w:rPr>
        <w:t xml:space="preserve"> el aplicativo web es confiable porque los datos que se registran solo podrán ser modificados por quien los genera. </w:t>
      </w:r>
    </w:p>
    <w:p w:rsidR="00A122D2" w:rsidRPr="005D131A" w:rsidRDefault="00A122D2" w:rsidP="005D131A">
      <w:pPr>
        <w:rPr>
          <w:sz w:val="28"/>
          <w:szCs w:val="28"/>
          <w:lang w:val="es-CO"/>
        </w:rPr>
      </w:pPr>
    </w:p>
    <w:p w:rsidR="00102A1C" w:rsidRPr="005D131A" w:rsidRDefault="00102A1C" w:rsidP="005D131A">
      <w:pPr>
        <w:rPr>
          <w:sz w:val="28"/>
          <w:szCs w:val="28"/>
          <w:lang w:val="es-CO"/>
        </w:rPr>
      </w:pPr>
      <w:r w:rsidRPr="005D131A">
        <w:rPr>
          <w:sz w:val="28"/>
          <w:szCs w:val="28"/>
          <w:lang w:val="es-CO"/>
        </w:rPr>
        <w:t>Por último,</w:t>
      </w:r>
      <w:r w:rsidR="00EC7369" w:rsidRPr="005D131A">
        <w:rPr>
          <w:sz w:val="28"/>
          <w:szCs w:val="28"/>
          <w:lang w:val="es-CO"/>
        </w:rPr>
        <w:t xml:space="preserve"> el Ministerio</w:t>
      </w:r>
      <w:r w:rsidRPr="005D131A">
        <w:rPr>
          <w:sz w:val="28"/>
          <w:szCs w:val="28"/>
          <w:lang w:val="es-CO"/>
        </w:rPr>
        <w:t xml:space="preserve"> precisó que el régimen contributivo es responsabilidad del Fosyga y el subsidiado se encuentra en cabeza de las entidades territoriales certificadas en salud. En ese sentido, la Resolución 1328 de 2016 aplica para la prescripción de servicios y t</w:t>
      </w:r>
      <w:r w:rsidR="004E75E2" w:rsidRPr="005D131A">
        <w:rPr>
          <w:sz w:val="28"/>
          <w:szCs w:val="28"/>
          <w:lang w:val="es-CO"/>
        </w:rPr>
        <w:t>ecnologías sin cobertura en el plan de b</w:t>
      </w:r>
      <w:r w:rsidRPr="005D131A">
        <w:rPr>
          <w:sz w:val="28"/>
          <w:szCs w:val="28"/>
          <w:lang w:val="es-CO"/>
        </w:rPr>
        <w:t>eneficios con cargo a la UPC del régimen contributiv</w:t>
      </w:r>
      <w:r w:rsidR="008C1E1F" w:rsidRPr="005D131A">
        <w:rPr>
          <w:sz w:val="28"/>
          <w:szCs w:val="28"/>
          <w:lang w:val="es-CO"/>
        </w:rPr>
        <w:t>o y para el régimen subsidiado</w:t>
      </w:r>
      <w:r w:rsidRPr="005D131A">
        <w:rPr>
          <w:sz w:val="28"/>
          <w:szCs w:val="28"/>
          <w:lang w:val="es-CO"/>
        </w:rPr>
        <w:t xml:space="preserve"> la Resolución 1479 de 2015, la cual basa la garantía del suministro de los servicios y tecnologías en la autorización emitida por el CTC, remitiéndose al </w:t>
      </w:r>
      <w:r w:rsidR="004E75E2" w:rsidRPr="005D131A">
        <w:rPr>
          <w:sz w:val="28"/>
          <w:szCs w:val="28"/>
          <w:lang w:val="es-CO"/>
        </w:rPr>
        <w:t>t</w:t>
      </w:r>
      <w:r w:rsidRPr="005D131A">
        <w:rPr>
          <w:sz w:val="28"/>
          <w:szCs w:val="28"/>
          <w:lang w:val="es-CO"/>
        </w:rPr>
        <w:t xml:space="preserve">ítulo II de la Resolución 5395 de 2013. </w:t>
      </w:r>
    </w:p>
    <w:p w:rsidR="00102A1C" w:rsidRPr="005D131A" w:rsidRDefault="00102A1C" w:rsidP="005D131A">
      <w:pPr>
        <w:rPr>
          <w:sz w:val="28"/>
          <w:szCs w:val="28"/>
          <w:lang w:val="es-CO"/>
        </w:rPr>
      </w:pPr>
    </w:p>
    <w:p w:rsidR="00102A1C" w:rsidRPr="005D131A" w:rsidRDefault="004E75E2" w:rsidP="005D131A">
      <w:pPr>
        <w:rPr>
          <w:sz w:val="28"/>
          <w:szCs w:val="28"/>
          <w:lang w:val="es-CO"/>
        </w:rPr>
      </w:pPr>
      <w:r w:rsidRPr="005D131A">
        <w:rPr>
          <w:sz w:val="28"/>
          <w:szCs w:val="28"/>
          <w:lang w:val="es-CO"/>
        </w:rPr>
        <w:t>Con fundamento en lo anterior</w:t>
      </w:r>
      <w:r w:rsidR="00102A1C" w:rsidRPr="005D131A">
        <w:rPr>
          <w:sz w:val="28"/>
          <w:szCs w:val="28"/>
          <w:lang w:val="es-CO"/>
        </w:rPr>
        <w:t xml:space="preserve"> </w:t>
      </w:r>
      <w:r w:rsidR="00102A1C" w:rsidRPr="005D131A">
        <w:rPr>
          <w:i/>
          <w:sz w:val="28"/>
          <w:szCs w:val="28"/>
          <w:lang w:val="es-CO"/>
        </w:rPr>
        <w:t>“y en aras de garantizar la continuidad del suministro de servicios y tecnologías sin cobertura en el Plan de Beneficios del Régimen Subsidiado no fue derogado el Título II de la Resolución 5395 de 2013. No obstante lo anterior, es pertinente aclarar que las Entidades Territoriales pueden adoptar el procedimiento contenido en la Resolución 1328, de conformidad con la autonomía consagrada en el artículo 287 de la Constitución Política”</w:t>
      </w:r>
      <w:r w:rsidR="00102A1C" w:rsidRPr="005D131A">
        <w:rPr>
          <w:sz w:val="28"/>
          <w:szCs w:val="28"/>
          <w:lang w:val="es-CO"/>
        </w:rPr>
        <w:t xml:space="preserve">.  </w:t>
      </w:r>
    </w:p>
    <w:p w:rsidR="00102A1C" w:rsidRPr="005D131A" w:rsidRDefault="00102A1C" w:rsidP="005D131A">
      <w:pPr>
        <w:tabs>
          <w:tab w:val="left" w:pos="3536"/>
        </w:tabs>
        <w:rPr>
          <w:sz w:val="28"/>
          <w:szCs w:val="28"/>
        </w:rPr>
      </w:pPr>
    </w:p>
    <w:p w:rsidR="00A6393B" w:rsidRPr="005D131A" w:rsidRDefault="007534C2" w:rsidP="005D131A">
      <w:pPr>
        <w:tabs>
          <w:tab w:val="left" w:pos="3536"/>
        </w:tabs>
        <w:rPr>
          <w:sz w:val="28"/>
          <w:szCs w:val="28"/>
        </w:rPr>
      </w:pPr>
      <w:r w:rsidRPr="005D131A">
        <w:rPr>
          <w:sz w:val="28"/>
          <w:szCs w:val="28"/>
        </w:rPr>
        <w:t>5</w:t>
      </w:r>
      <w:r w:rsidR="004E75E2" w:rsidRPr="005D131A">
        <w:rPr>
          <w:sz w:val="28"/>
          <w:szCs w:val="28"/>
        </w:rPr>
        <w:t>.4.6</w:t>
      </w:r>
      <w:r w:rsidR="00EC7369" w:rsidRPr="005D131A">
        <w:rPr>
          <w:sz w:val="28"/>
          <w:szCs w:val="28"/>
        </w:rPr>
        <w:t xml:space="preserve">. </w:t>
      </w:r>
      <w:r w:rsidR="00A6393B" w:rsidRPr="005D131A">
        <w:rPr>
          <w:sz w:val="28"/>
          <w:szCs w:val="28"/>
        </w:rPr>
        <w:t xml:space="preserve">A pesar de que no se conocen los resultados </w:t>
      </w:r>
      <w:r w:rsidR="00031FFE" w:rsidRPr="005D131A">
        <w:rPr>
          <w:sz w:val="28"/>
          <w:szCs w:val="28"/>
        </w:rPr>
        <w:t xml:space="preserve">de la puesta en marcha de la nueva normativa </w:t>
      </w:r>
      <w:r w:rsidR="00A6393B" w:rsidRPr="005D131A">
        <w:rPr>
          <w:sz w:val="28"/>
          <w:szCs w:val="28"/>
        </w:rPr>
        <w:t xml:space="preserve">debido a que sus disposiciones </w:t>
      </w:r>
      <w:r w:rsidR="004E75E2" w:rsidRPr="005D131A">
        <w:rPr>
          <w:sz w:val="28"/>
          <w:szCs w:val="28"/>
        </w:rPr>
        <w:t>se hacían</w:t>
      </w:r>
      <w:r w:rsidR="00A6393B" w:rsidRPr="005D131A">
        <w:rPr>
          <w:sz w:val="28"/>
          <w:szCs w:val="28"/>
        </w:rPr>
        <w:t xml:space="preserve"> exigibles a partir del 1º de septiembre de 2016</w:t>
      </w:r>
      <w:r w:rsidR="00A6393B" w:rsidRPr="005D131A">
        <w:rPr>
          <w:sz w:val="28"/>
          <w:szCs w:val="28"/>
          <w:vertAlign w:val="superscript"/>
        </w:rPr>
        <w:footnoteReference w:id="178"/>
      </w:r>
      <w:r w:rsidR="00A6393B" w:rsidRPr="005D131A">
        <w:rPr>
          <w:sz w:val="28"/>
          <w:szCs w:val="28"/>
        </w:rPr>
        <w:t xml:space="preserve"> y que su articulado no ha sido objeto de discusión por las entidades que participan en el seguimiento</w:t>
      </w:r>
      <w:r w:rsidR="0054345D" w:rsidRPr="005D131A">
        <w:rPr>
          <w:sz w:val="28"/>
          <w:szCs w:val="28"/>
        </w:rPr>
        <w:t xml:space="preserve"> de la Sentencia</w:t>
      </w:r>
      <w:r w:rsidR="00A6393B" w:rsidRPr="005D131A">
        <w:rPr>
          <w:sz w:val="28"/>
          <w:szCs w:val="28"/>
        </w:rPr>
        <w:t>, la Sala procederá a evaluar form</w:t>
      </w:r>
      <w:r w:rsidR="00031FFE" w:rsidRPr="005D131A">
        <w:rPr>
          <w:sz w:val="28"/>
          <w:szCs w:val="28"/>
        </w:rPr>
        <w:t xml:space="preserve">almente ese acto administrativo, de la siguiente manera: </w:t>
      </w:r>
    </w:p>
    <w:p w:rsidR="00031FFE" w:rsidRPr="005D131A" w:rsidRDefault="00031FFE" w:rsidP="005D131A">
      <w:pPr>
        <w:tabs>
          <w:tab w:val="left" w:pos="3536"/>
        </w:tabs>
        <w:rPr>
          <w:sz w:val="28"/>
          <w:szCs w:val="28"/>
        </w:rPr>
      </w:pPr>
    </w:p>
    <w:p w:rsidR="00266CCA" w:rsidRPr="005D131A" w:rsidRDefault="007534C2" w:rsidP="005D131A">
      <w:pPr>
        <w:tabs>
          <w:tab w:val="left" w:pos="3536"/>
        </w:tabs>
        <w:rPr>
          <w:sz w:val="28"/>
          <w:szCs w:val="28"/>
          <w:lang w:val="es-CO"/>
        </w:rPr>
      </w:pPr>
      <w:r w:rsidRPr="005D131A">
        <w:rPr>
          <w:sz w:val="28"/>
          <w:szCs w:val="28"/>
        </w:rPr>
        <w:t>5</w:t>
      </w:r>
      <w:r w:rsidR="003A37D7" w:rsidRPr="005D131A">
        <w:rPr>
          <w:sz w:val="28"/>
          <w:szCs w:val="28"/>
        </w:rPr>
        <w:t>.4.6</w:t>
      </w:r>
      <w:r w:rsidR="00EC7369" w:rsidRPr="005D131A">
        <w:rPr>
          <w:sz w:val="28"/>
          <w:szCs w:val="28"/>
        </w:rPr>
        <w:t xml:space="preserve">.1. </w:t>
      </w:r>
      <w:r w:rsidR="00031FFE" w:rsidRPr="005D131A">
        <w:rPr>
          <w:sz w:val="28"/>
          <w:szCs w:val="28"/>
        </w:rPr>
        <w:t xml:space="preserve">En primer lugar, la Corte considera que la Resolución </w:t>
      </w:r>
      <w:r w:rsidR="00031FFE" w:rsidRPr="005D131A">
        <w:rPr>
          <w:sz w:val="28"/>
          <w:szCs w:val="28"/>
          <w:lang w:val="es-CO"/>
        </w:rPr>
        <w:t xml:space="preserve">1328 de 2016 </w:t>
      </w:r>
      <w:r w:rsidR="00305695" w:rsidRPr="005D131A">
        <w:rPr>
          <w:sz w:val="28"/>
          <w:szCs w:val="28"/>
          <w:lang w:val="es-CO"/>
        </w:rPr>
        <w:t xml:space="preserve">incorpora </w:t>
      </w:r>
      <w:r w:rsidR="00031FFE" w:rsidRPr="005D131A">
        <w:rPr>
          <w:sz w:val="28"/>
          <w:szCs w:val="28"/>
          <w:lang w:val="es-CO"/>
        </w:rPr>
        <w:t>cambios favorables</w:t>
      </w:r>
      <w:r w:rsidR="00305695" w:rsidRPr="005D131A">
        <w:rPr>
          <w:sz w:val="28"/>
          <w:szCs w:val="28"/>
          <w:lang w:val="es-CO"/>
        </w:rPr>
        <w:t xml:space="preserve"> </w:t>
      </w:r>
      <w:r w:rsidR="00A64BB9" w:rsidRPr="005D131A">
        <w:rPr>
          <w:sz w:val="28"/>
          <w:szCs w:val="28"/>
          <w:lang w:val="es-CO"/>
        </w:rPr>
        <w:t xml:space="preserve">en relación con la forma de acceder a los servicios no POS </w:t>
      </w:r>
      <w:r w:rsidR="0054345D" w:rsidRPr="005D131A">
        <w:rPr>
          <w:sz w:val="28"/>
          <w:szCs w:val="28"/>
          <w:lang w:val="es-CO"/>
        </w:rPr>
        <w:t>por</w:t>
      </w:r>
      <w:r w:rsidR="00305695" w:rsidRPr="005D131A">
        <w:rPr>
          <w:sz w:val="28"/>
          <w:szCs w:val="28"/>
          <w:lang w:val="es-CO"/>
        </w:rPr>
        <w:t xml:space="preserve">que </w:t>
      </w:r>
      <w:r w:rsidR="0054345D" w:rsidRPr="005D131A">
        <w:rPr>
          <w:sz w:val="28"/>
          <w:szCs w:val="28"/>
          <w:lang w:val="es-CO"/>
        </w:rPr>
        <w:t xml:space="preserve">de manera puntual </w:t>
      </w:r>
      <w:r w:rsidR="00305695" w:rsidRPr="005D131A">
        <w:rPr>
          <w:sz w:val="28"/>
          <w:szCs w:val="28"/>
          <w:lang w:val="es-CO"/>
        </w:rPr>
        <w:t xml:space="preserve">desarrolla </w:t>
      </w:r>
      <w:r w:rsidR="00031FFE" w:rsidRPr="005D131A">
        <w:rPr>
          <w:sz w:val="28"/>
          <w:szCs w:val="28"/>
        </w:rPr>
        <w:t>la primera parte</w:t>
      </w:r>
      <w:r w:rsidR="00305695" w:rsidRPr="005D131A">
        <w:rPr>
          <w:sz w:val="28"/>
          <w:szCs w:val="28"/>
        </w:rPr>
        <w:t xml:space="preserve"> de la orden vigésima tercera</w:t>
      </w:r>
      <w:r w:rsidR="00266CCA" w:rsidRPr="005D131A">
        <w:rPr>
          <w:sz w:val="28"/>
          <w:szCs w:val="28"/>
        </w:rPr>
        <w:t xml:space="preserve">, según la cual el Ministerio debía adoptar </w:t>
      </w:r>
      <w:r w:rsidR="00266CCA" w:rsidRPr="005D131A">
        <w:rPr>
          <w:i/>
          <w:sz w:val="28"/>
          <w:szCs w:val="28"/>
        </w:rPr>
        <w:t>“las medidas necesarias para regular el trámite interno que debe adelantar el médico tratante para que la respectiva EPS autorice directamente tanto los servicios de salud no incluidos en el plan obligatorio de salud (contributivo o subsidiado), diferente a un medicamento, como los medicamentos para la atención de las actividades, procedimientos e intervenciones explícitamente excluidas del Plan Obligatorio de Salud, cuando estas sean ordenadas por el médico tratante”</w:t>
      </w:r>
      <w:r w:rsidR="003A37D7" w:rsidRPr="005D131A">
        <w:rPr>
          <w:i/>
          <w:sz w:val="28"/>
          <w:szCs w:val="28"/>
          <w:vertAlign w:val="superscript"/>
        </w:rPr>
        <w:footnoteReference w:id="179"/>
      </w:r>
      <w:r w:rsidR="00266CCA" w:rsidRPr="005D131A">
        <w:rPr>
          <w:sz w:val="28"/>
          <w:szCs w:val="28"/>
        </w:rPr>
        <w:t xml:space="preserve">. </w:t>
      </w:r>
    </w:p>
    <w:p w:rsidR="00266CCA" w:rsidRPr="005D131A" w:rsidRDefault="00266CCA" w:rsidP="005D131A">
      <w:pPr>
        <w:tabs>
          <w:tab w:val="left" w:pos="3536"/>
        </w:tabs>
        <w:rPr>
          <w:sz w:val="28"/>
          <w:szCs w:val="28"/>
        </w:rPr>
      </w:pPr>
    </w:p>
    <w:p w:rsidR="0054345D" w:rsidRPr="005D131A" w:rsidRDefault="0054345D" w:rsidP="005D131A">
      <w:pPr>
        <w:tabs>
          <w:tab w:val="left" w:pos="1620"/>
        </w:tabs>
        <w:rPr>
          <w:sz w:val="28"/>
          <w:szCs w:val="28"/>
        </w:rPr>
      </w:pPr>
      <w:r w:rsidRPr="005D131A">
        <w:rPr>
          <w:sz w:val="28"/>
          <w:szCs w:val="28"/>
        </w:rPr>
        <w:t xml:space="preserve">Al crear el trámite interno ordenado por la Corte, </w:t>
      </w:r>
      <w:r w:rsidR="004F3DF4" w:rsidRPr="005D131A">
        <w:rPr>
          <w:sz w:val="28"/>
          <w:szCs w:val="28"/>
        </w:rPr>
        <w:t xml:space="preserve">el Ministerio de Salud y Protección Social dispuso la eliminación de los CTC toda vez que ya no es </w:t>
      </w:r>
      <w:r w:rsidRPr="005D131A">
        <w:rPr>
          <w:sz w:val="28"/>
          <w:szCs w:val="28"/>
        </w:rPr>
        <w:t xml:space="preserve">necesario extender las reglas vigentes para someter a consideración de los </w:t>
      </w:r>
      <w:r w:rsidR="004F3DF4" w:rsidRPr="005D131A">
        <w:rPr>
          <w:sz w:val="28"/>
          <w:szCs w:val="28"/>
        </w:rPr>
        <w:t xml:space="preserve">mencionados comités la autorización de los servicios no incluidos o explícitamente excluidos del POS. </w:t>
      </w:r>
    </w:p>
    <w:p w:rsidR="007429FD" w:rsidRPr="005D131A" w:rsidRDefault="007429FD" w:rsidP="005D131A">
      <w:pPr>
        <w:tabs>
          <w:tab w:val="left" w:pos="1620"/>
        </w:tabs>
        <w:rPr>
          <w:sz w:val="28"/>
          <w:szCs w:val="28"/>
        </w:rPr>
      </w:pPr>
    </w:p>
    <w:p w:rsidR="00B22DAB" w:rsidRDefault="007534C2" w:rsidP="005D131A">
      <w:pPr>
        <w:tabs>
          <w:tab w:val="left" w:pos="3536"/>
        </w:tabs>
        <w:rPr>
          <w:sz w:val="28"/>
          <w:szCs w:val="28"/>
        </w:rPr>
      </w:pPr>
      <w:r w:rsidRPr="005D131A">
        <w:rPr>
          <w:sz w:val="28"/>
          <w:szCs w:val="28"/>
        </w:rPr>
        <w:t>5</w:t>
      </w:r>
      <w:r w:rsidR="003A37D7" w:rsidRPr="005D131A">
        <w:rPr>
          <w:sz w:val="28"/>
          <w:szCs w:val="28"/>
        </w:rPr>
        <w:t>.4.6</w:t>
      </w:r>
      <w:r w:rsidR="00EC7369" w:rsidRPr="005D131A">
        <w:rPr>
          <w:sz w:val="28"/>
          <w:szCs w:val="28"/>
        </w:rPr>
        <w:t xml:space="preserve">.2. </w:t>
      </w:r>
      <w:r w:rsidR="003A37D7" w:rsidRPr="005D131A">
        <w:rPr>
          <w:sz w:val="28"/>
          <w:szCs w:val="28"/>
        </w:rPr>
        <w:t>En segundo lugar, la r</w:t>
      </w:r>
      <w:r w:rsidR="004F3DF4" w:rsidRPr="005D131A">
        <w:rPr>
          <w:sz w:val="28"/>
          <w:szCs w:val="28"/>
        </w:rPr>
        <w:t xml:space="preserve">esolución bajo análisis </w:t>
      </w:r>
      <w:r w:rsidR="003A37D7" w:rsidRPr="005D131A">
        <w:rPr>
          <w:sz w:val="28"/>
          <w:szCs w:val="28"/>
        </w:rPr>
        <w:t>adopta una medi</w:t>
      </w:r>
      <w:r w:rsidR="00D02E57" w:rsidRPr="005D131A">
        <w:rPr>
          <w:sz w:val="28"/>
          <w:szCs w:val="28"/>
        </w:rPr>
        <w:t xml:space="preserve">da novedosa ya que implementa un aplicativo web donde el médico tratante es el </w:t>
      </w:r>
      <w:r w:rsidR="00936D1C" w:rsidRPr="005D131A">
        <w:rPr>
          <w:sz w:val="28"/>
          <w:szCs w:val="28"/>
        </w:rPr>
        <w:t xml:space="preserve">único </w:t>
      </w:r>
      <w:r w:rsidR="00D02E57" w:rsidRPr="005D131A">
        <w:rPr>
          <w:sz w:val="28"/>
          <w:szCs w:val="28"/>
        </w:rPr>
        <w:t xml:space="preserve">encargado de realizar la prescripción sin </w:t>
      </w:r>
      <w:r w:rsidR="00A64BB9" w:rsidRPr="005D131A">
        <w:rPr>
          <w:sz w:val="28"/>
          <w:szCs w:val="28"/>
        </w:rPr>
        <w:t xml:space="preserve">que medie </w:t>
      </w:r>
      <w:r w:rsidR="00D02E57" w:rsidRPr="005D131A">
        <w:rPr>
          <w:sz w:val="28"/>
          <w:szCs w:val="28"/>
        </w:rPr>
        <w:t>trámite adicional alguno</w:t>
      </w:r>
      <w:r w:rsidR="003A37D7" w:rsidRPr="005D131A">
        <w:rPr>
          <w:sz w:val="28"/>
          <w:szCs w:val="28"/>
          <w:vertAlign w:val="superscript"/>
        </w:rPr>
        <w:footnoteReference w:id="180"/>
      </w:r>
      <w:r w:rsidR="00D02E57" w:rsidRPr="005D131A">
        <w:rPr>
          <w:sz w:val="28"/>
          <w:szCs w:val="28"/>
        </w:rPr>
        <w:t xml:space="preserve">. </w:t>
      </w:r>
    </w:p>
    <w:p w:rsidR="000C14D8" w:rsidRPr="005D131A" w:rsidRDefault="000C14D8" w:rsidP="005D131A">
      <w:pPr>
        <w:tabs>
          <w:tab w:val="left" w:pos="3536"/>
        </w:tabs>
        <w:rPr>
          <w:sz w:val="28"/>
          <w:szCs w:val="28"/>
        </w:rPr>
      </w:pPr>
    </w:p>
    <w:p w:rsidR="00266CCA" w:rsidRPr="005D131A" w:rsidRDefault="00266CCA" w:rsidP="005D131A">
      <w:pPr>
        <w:rPr>
          <w:sz w:val="28"/>
          <w:szCs w:val="28"/>
        </w:rPr>
      </w:pPr>
      <w:r w:rsidRPr="005D131A">
        <w:rPr>
          <w:sz w:val="28"/>
          <w:szCs w:val="28"/>
        </w:rPr>
        <w:t>Lo anterior significa que si un paciente requiere un medicamento, procedimiento, tratamiento o insumo que no esté contenido en el listado del plan de beneficios, la fórmula hecha por el médico tratante ya no debe ser autorizada por el CTC de la respectiva EPS, porque el profesional de la salud, inscrito en el Registro de Talento Humano en Salud (</w:t>
      </w:r>
      <w:r w:rsidR="003A37D7" w:rsidRPr="005D131A">
        <w:rPr>
          <w:sz w:val="28"/>
          <w:szCs w:val="28"/>
        </w:rPr>
        <w:t>Rethus</w:t>
      </w:r>
      <w:r w:rsidRPr="005D131A">
        <w:rPr>
          <w:sz w:val="28"/>
          <w:szCs w:val="28"/>
        </w:rPr>
        <w:t>)</w:t>
      </w:r>
      <w:r w:rsidRPr="005D131A">
        <w:rPr>
          <w:sz w:val="28"/>
          <w:szCs w:val="28"/>
          <w:vertAlign w:val="superscript"/>
        </w:rPr>
        <w:footnoteReference w:id="181"/>
      </w:r>
      <w:r w:rsidRPr="005D131A">
        <w:rPr>
          <w:sz w:val="28"/>
          <w:szCs w:val="28"/>
        </w:rPr>
        <w:t xml:space="preserve">, </w:t>
      </w:r>
      <w:r w:rsidR="00D7260F" w:rsidRPr="005D131A">
        <w:rPr>
          <w:sz w:val="28"/>
          <w:szCs w:val="28"/>
        </w:rPr>
        <w:t>queda</w:t>
      </w:r>
      <w:r w:rsidRPr="005D131A">
        <w:rPr>
          <w:sz w:val="28"/>
          <w:szCs w:val="28"/>
        </w:rPr>
        <w:t xml:space="preserve"> facultado para que de manera directa reporte la prescripción que req</w:t>
      </w:r>
      <w:r w:rsidR="00D7260F" w:rsidRPr="005D131A">
        <w:rPr>
          <w:sz w:val="28"/>
          <w:szCs w:val="28"/>
        </w:rPr>
        <w:t>uiere el usuario, a través del</w:t>
      </w:r>
      <w:r w:rsidRPr="005D131A">
        <w:rPr>
          <w:sz w:val="28"/>
          <w:szCs w:val="28"/>
        </w:rPr>
        <w:t xml:space="preserve"> aplicativo web dispuesto por el Ministerio de Salud y </w:t>
      </w:r>
      <w:r w:rsidR="00D7260F" w:rsidRPr="005D131A">
        <w:rPr>
          <w:sz w:val="28"/>
          <w:szCs w:val="28"/>
        </w:rPr>
        <w:t xml:space="preserve">Protección Social para tal fin. </w:t>
      </w:r>
    </w:p>
    <w:p w:rsidR="00266CCA" w:rsidRPr="005D131A" w:rsidRDefault="00266CCA" w:rsidP="005D131A">
      <w:pPr>
        <w:rPr>
          <w:sz w:val="28"/>
          <w:szCs w:val="28"/>
        </w:rPr>
      </w:pPr>
    </w:p>
    <w:p w:rsidR="00F344F9" w:rsidRPr="005D131A" w:rsidRDefault="00563F42" w:rsidP="005D131A">
      <w:pPr>
        <w:rPr>
          <w:sz w:val="28"/>
          <w:szCs w:val="28"/>
          <w:lang w:val="es-CO"/>
        </w:rPr>
      </w:pPr>
      <w:r w:rsidRPr="005D131A">
        <w:rPr>
          <w:sz w:val="28"/>
          <w:szCs w:val="28"/>
        </w:rPr>
        <w:t xml:space="preserve">Esa norma atiende las consideraciones expuestas en la </w:t>
      </w:r>
      <w:r w:rsidR="00F344F9" w:rsidRPr="005D131A">
        <w:rPr>
          <w:sz w:val="28"/>
          <w:szCs w:val="28"/>
        </w:rPr>
        <w:t>S</w:t>
      </w:r>
      <w:r w:rsidRPr="005D131A">
        <w:rPr>
          <w:sz w:val="28"/>
          <w:szCs w:val="28"/>
        </w:rPr>
        <w:t xml:space="preserve">entencia T-760 de 2008, </w:t>
      </w:r>
      <w:r w:rsidR="002E5603" w:rsidRPr="005D131A">
        <w:rPr>
          <w:sz w:val="28"/>
          <w:szCs w:val="28"/>
        </w:rPr>
        <w:t>donde</w:t>
      </w:r>
      <w:r w:rsidR="00F344F9" w:rsidRPr="005D131A">
        <w:rPr>
          <w:sz w:val="28"/>
          <w:szCs w:val="28"/>
        </w:rPr>
        <w:t xml:space="preserve"> la Corte</w:t>
      </w:r>
      <w:r w:rsidR="002E5603" w:rsidRPr="005D131A">
        <w:rPr>
          <w:sz w:val="28"/>
          <w:szCs w:val="28"/>
        </w:rPr>
        <w:t xml:space="preserve"> </w:t>
      </w:r>
      <w:r w:rsidR="00F344F9" w:rsidRPr="005D131A">
        <w:rPr>
          <w:sz w:val="28"/>
          <w:szCs w:val="28"/>
        </w:rPr>
        <w:t xml:space="preserve">señaló que  </w:t>
      </w:r>
      <w:r w:rsidR="00F344F9" w:rsidRPr="005D131A">
        <w:rPr>
          <w:i/>
          <w:sz w:val="28"/>
          <w:szCs w:val="28"/>
        </w:rPr>
        <w:t>“</w:t>
      </w:r>
      <w:r w:rsidR="00F344F9" w:rsidRPr="005D131A">
        <w:rPr>
          <w:i/>
          <w:sz w:val="28"/>
          <w:szCs w:val="28"/>
          <w:lang w:val="es-CO"/>
        </w:rPr>
        <w:t>si el desacuerdo no es resuelto en el plano científico y el médico tratante insiste en que el servicio de salud idóneo para su paciente no es el que autoriza el Comité Técnico Científico, será necesario prever un mecanismo de resolución definitiva del conflicto. Mientras este no exista, el juez de tutela continuará aplicando la jurisprudencia constitucional según la cual el juez no debe sustituir a los médicos sino ordenar que prevalezca lo prescrito por el médico tratante”</w:t>
      </w:r>
      <w:r w:rsidR="007A52F5" w:rsidRPr="005D131A">
        <w:rPr>
          <w:i/>
          <w:sz w:val="28"/>
          <w:szCs w:val="28"/>
          <w:vertAlign w:val="superscript"/>
          <w:lang w:val="es-CO"/>
        </w:rPr>
        <w:footnoteReference w:id="182"/>
      </w:r>
      <w:r w:rsidR="00F344F9" w:rsidRPr="005D131A">
        <w:rPr>
          <w:sz w:val="28"/>
          <w:szCs w:val="28"/>
          <w:lang w:val="es-CO"/>
        </w:rPr>
        <w:t xml:space="preserve">. </w:t>
      </w:r>
    </w:p>
    <w:p w:rsidR="00F344F9" w:rsidRPr="005D131A" w:rsidRDefault="00F344F9" w:rsidP="005D131A">
      <w:pPr>
        <w:rPr>
          <w:sz w:val="28"/>
          <w:szCs w:val="28"/>
          <w:lang w:val="es-CO"/>
        </w:rPr>
      </w:pPr>
    </w:p>
    <w:p w:rsidR="00266CCA" w:rsidRPr="005D131A" w:rsidRDefault="007534C2" w:rsidP="005D131A">
      <w:pPr>
        <w:rPr>
          <w:i/>
          <w:color w:val="FF0000"/>
          <w:sz w:val="28"/>
          <w:szCs w:val="28"/>
        </w:rPr>
      </w:pPr>
      <w:r w:rsidRPr="005D131A">
        <w:rPr>
          <w:sz w:val="28"/>
          <w:szCs w:val="28"/>
        </w:rPr>
        <w:t>5</w:t>
      </w:r>
      <w:r w:rsidR="000973C0" w:rsidRPr="005D131A">
        <w:rPr>
          <w:sz w:val="28"/>
          <w:szCs w:val="28"/>
        </w:rPr>
        <w:t xml:space="preserve">.4.6.3. </w:t>
      </w:r>
      <w:r w:rsidR="00D45600" w:rsidRPr="005D131A">
        <w:rPr>
          <w:sz w:val="28"/>
          <w:szCs w:val="28"/>
        </w:rPr>
        <w:t>En tercer lugar, l</w:t>
      </w:r>
      <w:r w:rsidR="00266CCA" w:rsidRPr="005D131A">
        <w:rPr>
          <w:sz w:val="28"/>
          <w:szCs w:val="28"/>
        </w:rPr>
        <w:t xml:space="preserve">a nueva normativa </w:t>
      </w:r>
      <w:r w:rsidR="000973C0" w:rsidRPr="005D131A">
        <w:rPr>
          <w:sz w:val="28"/>
          <w:szCs w:val="28"/>
        </w:rPr>
        <w:t xml:space="preserve">(Resolución </w:t>
      </w:r>
      <w:r w:rsidR="000973C0" w:rsidRPr="005D131A">
        <w:rPr>
          <w:sz w:val="28"/>
          <w:szCs w:val="28"/>
          <w:lang w:val="es-CO"/>
        </w:rPr>
        <w:t xml:space="preserve">1328 de 2016) </w:t>
      </w:r>
      <w:r w:rsidR="00266CCA" w:rsidRPr="005D131A">
        <w:rPr>
          <w:sz w:val="28"/>
          <w:szCs w:val="28"/>
        </w:rPr>
        <w:t xml:space="preserve">dispuso que la responsabilidad de los actores del Sistema General de Seguridad Social en Salud en relación con el procedimiento de acceso, reporte de prescripción, garantía del suministro, verificación, control, pago y análisis de la información de servicios y tecnologías en salud no cubiertas por el Plan de Beneficios en Salud con cargo a la UPC, recae sobre: </w:t>
      </w:r>
      <w:r w:rsidR="00266CCA" w:rsidRPr="005D131A">
        <w:rPr>
          <w:i/>
          <w:sz w:val="28"/>
          <w:szCs w:val="28"/>
        </w:rPr>
        <w:t>(i)</w:t>
      </w:r>
      <w:r w:rsidR="00266CCA" w:rsidRPr="005D131A">
        <w:rPr>
          <w:sz w:val="28"/>
          <w:szCs w:val="28"/>
        </w:rPr>
        <w:t xml:space="preserve"> el profesional de la salud tratante; </w:t>
      </w:r>
      <w:r w:rsidR="00266CCA" w:rsidRPr="005D131A">
        <w:rPr>
          <w:i/>
          <w:sz w:val="28"/>
          <w:szCs w:val="28"/>
        </w:rPr>
        <w:t>(ii)</w:t>
      </w:r>
      <w:r w:rsidR="00266CCA" w:rsidRPr="005D131A">
        <w:rPr>
          <w:sz w:val="28"/>
          <w:szCs w:val="28"/>
        </w:rPr>
        <w:t xml:space="preserve"> las Entidades Administradoras de Planes de Beneficios (EAPB), Entidades Obligadas a Compensar (EOC) e Instituciones Prestadoras de Salud (IPS); </w:t>
      </w:r>
      <w:r w:rsidR="00266CCA" w:rsidRPr="005D131A">
        <w:rPr>
          <w:i/>
          <w:sz w:val="28"/>
          <w:szCs w:val="28"/>
        </w:rPr>
        <w:t>(iii)</w:t>
      </w:r>
      <w:r w:rsidR="00266CCA" w:rsidRPr="005D131A">
        <w:rPr>
          <w:sz w:val="28"/>
          <w:szCs w:val="28"/>
        </w:rPr>
        <w:t xml:space="preserve"> los prestadores de servicios de salud a que se refiere el artículo 2º de la Resolución 2003 de 2014</w:t>
      </w:r>
      <w:r w:rsidR="00266CCA" w:rsidRPr="005D131A">
        <w:rPr>
          <w:sz w:val="28"/>
          <w:szCs w:val="28"/>
          <w:vertAlign w:val="superscript"/>
        </w:rPr>
        <w:footnoteReference w:id="183"/>
      </w:r>
      <w:r w:rsidR="00266CCA" w:rsidRPr="005D131A">
        <w:rPr>
          <w:sz w:val="28"/>
          <w:szCs w:val="28"/>
        </w:rPr>
        <w:t xml:space="preserve">; </w:t>
      </w:r>
      <w:r w:rsidR="00266CCA" w:rsidRPr="005D131A">
        <w:rPr>
          <w:i/>
          <w:sz w:val="28"/>
          <w:szCs w:val="28"/>
        </w:rPr>
        <w:t>(iv)</w:t>
      </w:r>
      <w:r w:rsidR="00266CCA" w:rsidRPr="005D131A">
        <w:rPr>
          <w:sz w:val="28"/>
          <w:szCs w:val="28"/>
        </w:rPr>
        <w:t xml:space="preserve"> el Fondo de Solidaridad y Garantía –</w:t>
      </w:r>
      <w:r w:rsidR="000973C0" w:rsidRPr="005D131A">
        <w:rPr>
          <w:sz w:val="28"/>
          <w:szCs w:val="28"/>
        </w:rPr>
        <w:t>Fosyga</w:t>
      </w:r>
      <w:r w:rsidR="00266CCA" w:rsidRPr="005D131A">
        <w:rPr>
          <w:sz w:val="28"/>
          <w:szCs w:val="28"/>
        </w:rPr>
        <w:t xml:space="preserve">–; y </w:t>
      </w:r>
      <w:r w:rsidR="00266CCA" w:rsidRPr="005D131A">
        <w:rPr>
          <w:i/>
          <w:sz w:val="28"/>
          <w:szCs w:val="28"/>
        </w:rPr>
        <w:t>(v)</w:t>
      </w:r>
      <w:r w:rsidR="00266CCA" w:rsidRPr="005D131A">
        <w:rPr>
          <w:sz w:val="28"/>
          <w:szCs w:val="28"/>
        </w:rPr>
        <w:t xml:space="preserve"> el Ministerio de Salud y Protección Social a través del </w:t>
      </w:r>
      <w:r w:rsidR="000973C0" w:rsidRPr="005D131A">
        <w:rPr>
          <w:sz w:val="28"/>
          <w:szCs w:val="28"/>
        </w:rPr>
        <w:t>Sispro</w:t>
      </w:r>
      <w:r w:rsidR="00266CCA" w:rsidRPr="005D131A">
        <w:rPr>
          <w:sz w:val="28"/>
          <w:szCs w:val="28"/>
        </w:rPr>
        <w:t xml:space="preserve"> debe facilitar la disponibilidad, accesibilidad y actualización del aplicativo de reporte, así como el análisis de la información resultante del proceso de garantía del suministro de servicios y tecnologías en salud no cubiertas por la UPC.</w:t>
      </w:r>
      <w:r w:rsidR="00266CCA" w:rsidRPr="005D131A">
        <w:rPr>
          <w:sz w:val="28"/>
          <w:szCs w:val="28"/>
          <w:vertAlign w:val="superscript"/>
        </w:rPr>
        <w:footnoteReference w:id="184"/>
      </w:r>
      <w:r w:rsidR="00266CCA" w:rsidRPr="005D131A">
        <w:rPr>
          <w:sz w:val="28"/>
          <w:szCs w:val="28"/>
        </w:rPr>
        <w:t xml:space="preserve"> </w:t>
      </w:r>
    </w:p>
    <w:p w:rsidR="00D45600" w:rsidRPr="005D131A" w:rsidRDefault="00D45600" w:rsidP="005D131A">
      <w:pPr>
        <w:rPr>
          <w:sz w:val="28"/>
          <w:szCs w:val="28"/>
        </w:rPr>
      </w:pPr>
    </w:p>
    <w:p w:rsidR="00D45600" w:rsidRDefault="00D45600" w:rsidP="005D131A">
      <w:pPr>
        <w:rPr>
          <w:sz w:val="28"/>
          <w:szCs w:val="28"/>
        </w:rPr>
      </w:pPr>
      <w:r w:rsidRPr="005D131A">
        <w:rPr>
          <w:sz w:val="28"/>
          <w:szCs w:val="28"/>
        </w:rPr>
        <w:t>Di</w:t>
      </w:r>
      <w:r w:rsidR="003F5DAF" w:rsidRPr="005D131A">
        <w:rPr>
          <w:sz w:val="28"/>
          <w:szCs w:val="28"/>
        </w:rPr>
        <w:t xml:space="preserve">spuso </w:t>
      </w:r>
      <w:r w:rsidRPr="005D131A">
        <w:rPr>
          <w:sz w:val="28"/>
          <w:szCs w:val="28"/>
        </w:rPr>
        <w:t>también</w:t>
      </w:r>
      <w:r w:rsidR="003F5DAF" w:rsidRPr="005D131A">
        <w:rPr>
          <w:sz w:val="28"/>
          <w:szCs w:val="28"/>
        </w:rPr>
        <w:t xml:space="preserve"> en los artículos 9</w:t>
      </w:r>
      <w:r w:rsidR="000973C0" w:rsidRPr="005D131A">
        <w:rPr>
          <w:sz w:val="28"/>
          <w:szCs w:val="28"/>
          <w:vertAlign w:val="superscript"/>
        </w:rPr>
        <w:footnoteReference w:id="185"/>
      </w:r>
      <w:r w:rsidR="003F5DAF" w:rsidRPr="005D131A">
        <w:rPr>
          <w:sz w:val="28"/>
          <w:szCs w:val="28"/>
        </w:rPr>
        <w:t xml:space="preserve"> y 10</w:t>
      </w:r>
      <w:r w:rsidR="000973C0" w:rsidRPr="005D131A">
        <w:rPr>
          <w:sz w:val="28"/>
          <w:szCs w:val="28"/>
          <w:vertAlign w:val="superscript"/>
        </w:rPr>
        <w:footnoteReference w:id="186"/>
      </w:r>
      <w:r w:rsidRPr="005D131A">
        <w:rPr>
          <w:sz w:val="28"/>
          <w:szCs w:val="28"/>
        </w:rPr>
        <w:t xml:space="preserve"> los requisitos y </w:t>
      </w:r>
      <w:r w:rsidR="003F5DAF" w:rsidRPr="005D131A">
        <w:rPr>
          <w:sz w:val="28"/>
          <w:szCs w:val="28"/>
        </w:rPr>
        <w:t>criterios que deben ser tenidos en cuenta para realizar la prescripción de servicios y tecnologí</w:t>
      </w:r>
      <w:r w:rsidR="000973C0" w:rsidRPr="005D131A">
        <w:rPr>
          <w:sz w:val="28"/>
          <w:szCs w:val="28"/>
        </w:rPr>
        <w:t>as en salud no cubiertas en el plan de b</w:t>
      </w:r>
      <w:r w:rsidR="003F5DAF" w:rsidRPr="005D131A">
        <w:rPr>
          <w:sz w:val="28"/>
          <w:szCs w:val="28"/>
        </w:rPr>
        <w:t>enefic</w:t>
      </w:r>
      <w:r w:rsidR="000973C0" w:rsidRPr="005D131A">
        <w:rPr>
          <w:sz w:val="28"/>
          <w:szCs w:val="28"/>
        </w:rPr>
        <w:t>ios en s</w:t>
      </w:r>
      <w:r w:rsidR="006D49D0" w:rsidRPr="005D131A">
        <w:rPr>
          <w:sz w:val="28"/>
          <w:szCs w:val="28"/>
        </w:rPr>
        <w:t>alud con cargo a la UPC</w:t>
      </w:r>
      <w:r w:rsidR="000973C0" w:rsidRPr="005D131A">
        <w:rPr>
          <w:sz w:val="28"/>
          <w:szCs w:val="28"/>
        </w:rPr>
        <w:t xml:space="preserve">. </w:t>
      </w:r>
      <w:r w:rsidR="006D49D0" w:rsidRPr="005D131A">
        <w:rPr>
          <w:sz w:val="28"/>
          <w:szCs w:val="28"/>
        </w:rPr>
        <w:t xml:space="preserve"> </w:t>
      </w:r>
    </w:p>
    <w:p w:rsidR="000C14D8" w:rsidRPr="005D131A" w:rsidRDefault="000C14D8" w:rsidP="005D131A">
      <w:pPr>
        <w:rPr>
          <w:sz w:val="28"/>
          <w:szCs w:val="28"/>
        </w:rPr>
      </w:pPr>
    </w:p>
    <w:p w:rsidR="00A122D2" w:rsidRPr="005D131A" w:rsidRDefault="00BD7904" w:rsidP="005D131A">
      <w:pPr>
        <w:tabs>
          <w:tab w:val="left" w:pos="1560"/>
        </w:tabs>
        <w:rPr>
          <w:sz w:val="28"/>
          <w:szCs w:val="28"/>
        </w:rPr>
      </w:pPr>
      <w:r w:rsidRPr="005D131A">
        <w:rPr>
          <w:sz w:val="28"/>
          <w:szCs w:val="28"/>
        </w:rPr>
        <w:t xml:space="preserve">Observa la Sala que si bien es cierto </w:t>
      </w:r>
      <w:r w:rsidR="00DB62E2" w:rsidRPr="005D131A">
        <w:rPr>
          <w:sz w:val="28"/>
          <w:szCs w:val="28"/>
        </w:rPr>
        <w:t xml:space="preserve">que </w:t>
      </w:r>
      <w:r w:rsidRPr="005D131A">
        <w:rPr>
          <w:sz w:val="28"/>
          <w:szCs w:val="28"/>
        </w:rPr>
        <w:t xml:space="preserve">la nueva Resolución conserva algunos de los criterios y requisitos para la prescripción de servicios no POS de la norma anterior, también lo es que </w:t>
      </w:r>
      <w:r w:rsidR="00D851E5" w:rsidRPr="005D131A">
        <w:rPr>
          <w:sz w:val="28"/>
          <w:szCs w:val="28"/>
        </w:rPr>
        <w:t xml:space="preserve">en atención al </w:t>
      </w:r>
      <w:r w:rsidR="009F0BEF" w:rsidRPr="005D131A">
        <w:rPr>
          <w:sz w:val="28"/>
          <w:szCs w:val="28"/>
        </w:rPr>
        <w:t>artículo 17 de la ley estatutaria de salud, que garantizó la autonomía de los profesionales de la salud para adoptar las decisiones sobre el diagnóstico y tratamie</w:t>
      </w:r>
      <w:r w:rsidR="00DB62E2" w:rsidRPr="005D131A">
        <w:rPr>
          <w:sz w:val="28"/>
          <w:szCs w:val="28"/>
        </w:rPr>
        <w:t xml:space="preserve">nto de los pacientes a su cargo, </w:t>
      </w:r>
      <w:r w:rsidRPr="005D131A">
        <w:rPr>
          <w:sz w:val="28"/>
          <w:szCs w:val="28"/>
        </w:rPr>
        <w:t xml:space="preserve">se </w:t>
      </w:r>
      <w:r w:rsidR="009F0BEF" w:rsidRPr="005D131A">
        <w:rPr>
          <w:sz w:val="28"/>
          <w:szCs w:val="28"/>
        </w:rPr>
        <w:t>delegó al médico tratante la responsabilidad de prescribir de manera directa los servicios y tecnologí</w:t>
      </w:r>
      <w:r w:rsidRPr="005D131A">
        <w:rPr>
          <w:sz w:val="28"/>
          <w:szCs w:val="28"/>
        </w:rPr>
        <w:t xml:space="preserve">as en salud no cubiertas en el plan de beneficios </w:t>
      </w:r>
      <w:r w:rsidR="009F0BEF" w:rsidRPr="005D131A">
        <w:rPr>
          <w:sz w:val="28"/>
          <w:szCs w:val="28"/>
        </w:rPr>
        <w:t>con cargo a la UPC a través del aplicativo dispuesto por el Ministerio, el cual operará mediante la plataforma tecnológica del Sistema Integral de Información de la Protección Social (Sispro), con diligenciamiento en línea o de acuerdo con los mecanismos tecnológicos disponibles en la correspondiente área geográfica, eliminando de manera definitiva el trámite que se debía adelantar an</w:t>
      </w:r>
      <w:r w:rsidR="000973C0" w:rsidRPr="005D131A">
        <w:rPr>
          <w:sz w:val="28"/>
          <w:szCs w:val="28"/>
        </w:rPr>
        <w:t xml:space="preserve">te el CTC de la respectiva EPS, pero únicamente para el régimen contributivo, toda vez que el subsidiado seguirá aplicándose el procedimiento anterior (Resolución </w:t>
      </w:r>
      <w:r w:rsidR="002C4D9D" w:rsidRPr="005D131A">
        <w:rPr>
          <w:sz w:val="28"/>
          <w:szCs w:val="28"/>
        </w:rPr>
        <w:t>5395 de 2013)</w:t>
      </w:r>
      <w:r w:rsidR="002C4D9D" w:rsidRPr="005D131A">
        <w:rPr>
          <w:sz w:val="28"/>
          <w:szCs w:val="28"/>
          <w:vertAlign w:val="superscript"/>
        </w:rPr>
        <w:footnoteReference w:id="187"/>
      </w:r>
      <w:r w:rsidR="002C4D9D" w:rsidRPr="005D131A">
        <w:rPr>
          <w:sz w:val="28"/>
          <w:szCs w:val="28"/>
        </w:rPr>
        <w:t xml:space="preserve">. </w:t>
      </w:r>
    </w:p>
    <w:p w:rsidR="00A122D2" w:rsidRPr="005D131A" w:rsidRDefault="00A122D2" w:rsidP="005D131A">
      <w:pPr>
        <w:rPr>
          <w:sz w:val="28"/>
          <w:szCs w:val="28"/>
        </w:rPr>
      </w:pPr>
    </w:p>
    <w:p w:rsidR="00D45600" w:rsidRPr="005D131A" w:rsidRDefault="007534C2" w:rsidP="005D131A">
      <w:pPr>
        <w:rPr>
          <w:sz w:val="28"/>
          <w:szCs w:val="28"/>
        </w:rPr>
      </w:pPr>
      <w:r w:rsidRPr="005D131A">
        <w:rPr>
          <w:sz w:val="28"/>
          <w:szCs w:val="28"/>
        </w:rPr>
        <w:t>5</w:t>
      </w:r>
      <w:r w:rsidR="002C4D9D" w:rsidRPr="005D131A">
        <w:rPr>
          <w:sz w:val="28"/>
          <w:szCs w:val="28"/>
        </w:rPr>
        <w:t>.4.6</w:t>
      </w:r>
      <w:r w:rsidR="00D45600" w:rsidRPr="005D131A">
        <w:rPr>
          <w:sz w:val="28"/>
          <w:szCs w:val="28"/>
        </w:rPr>
        <w:t>.4</w:t>
      </w:r>
      <w:r w:rsidR="00EC7369" w:rsidRPr="005D131A">
        <w:rPr>
          <w:sz w:val="28"/>
          <w:szCs w:val="28"/>
        </w:rPr>
        <w:t>. En</w:t>
      </w:r>
      <w:r w:rsidR="00D45600" w:rsidRPr="005D131A">
        <w:rPr>
          <w:sz w:val="28"/>
          <w:szCs w:val="28"/>
        </w:rPr>
        <w:t xml:space="preserve"> cuarto</w:t>
      </w:r>
      <w:r w:rsidR="00936D1C" w:rsidRPr="005D131A">
        <w:rPr>
          <w:sz w:val="28"/>
          <w:szCs w:val="28"/>
        </w:rPr>
        <w:t xml:space="preserve"> lugar,</w:t>
      </w:r>
      <w:r w:rsidR="00D45600" w:rsidRPr="005D131A">
        <w:rPr>
          <w:sz w:val="28"/>
          <w:szCs w:val="28"/>
        </w:rPr>
        <w:t xml:space="preserve"> en los casos donde un afiliado requiera una prescripción excepcional, </w:t>
      </w:r>
      <w:r w:rsidR="002027AF" w:rsidRPr="005D131A">
        <w:rPr>
          <w:sz w:val="28"/>
          <w:szCs w:val="28"/>
        </w:rPr>
        <w:t xml:space="preserve">esto es, las </w:t>
      </w:r>
      <w:r w:rsidR="00D45600" w:rsidRPr="005D131A">
        <w:rPr>
          <w:sz w:val="28"/>
          <w:szCs w:val="28"/>
        </w:rPr>
        <w:t>consignadas en el artículo 15 de la Ley 1751 de 2015</w:t>
      </w:r>
      <w:r w:rsidR="001516B2" w:rsidRPr="005D131A">
        <w:rPr>
          <w:sz w:val="28"/>
          <w:szCs w:val="28"/>
          <w:vertAlign w:val="superscript"/>
        </w:rPr>
        <w:footnoteReference w:id="188"/>
      </w:r>
      <w:r w:rsidR="001516B2" w:rsidRPr="005D131A">
        <w:rPr>
          <w:sz w:val="28"/>
          <w:szCs w:val="28"/>
        </w:rPr>
        <w:t>,</w:t>
      </w:r>
      <w:r w:rsidR="00D45600" w:rsidRPr="005D131A">
        <w:rPr>
          <w:sz w:val="28"/>
          <w:szCs w:val="28"/>
        </w:rPr>
        <w:t xml:space="preserve"> </w:t>
      </w:r>
      <w:r w:rsidR="000A46FB" w:rsidRPr="005D131A">
        <w:rPr>
          <w:sz w:val="28"/>
          <w:szCs w:val="28"/>
        </w:rPr>
        <w:t xml:space="preserve">el profesional de la salud </w:t>
      </w:r>
      <w:r w:rsidR="00D45600" w:rsidRPr="005D131A">
        <w:rPr>
          <w:sz w:val="28"/>
          <w:szCs w:val="28"/>
        </w:rPr>
        <w:t>deberá consultar a la Junta de Profesionales de la Salud, la pertinencia de su utilización, a partir de las reglas contempladas en el artículo 12 de la dis</w:t>
      </w:r>
      <w:r w:rsidR="003A3B00" w:rsidRPr="005D131A">
        <w:rPr>
          <w:sz w:val="28"/>
          <w:szCs w:val="28"/>
        </w:rPr>
        <w:t>posición en cita</w:t>
      </w:r>
      <w:r w:rsidR="003A3B00" w:rsidRPr="005D131A">
        <w:rPr>
          <w:sz w:val="28"/>
          <w:szCs w:val="28"/>
          <w:vertAlign w:val="superscript"/>
        </w:rPr>
        <w:footnoteReference w:id="189"/>
      </w:r>
      <w:r w:rsidR="003A3B00" w:rsidRPr="005D131A">
        <w:rPr>
          <w:sz w:val="28"/>
          <w:szCs w:val="28"/>
        </w:rPr>
        <w:t>, según el cual</w:t>
      </w:r>
      <w:r w:rsidR="00D45600" w:rsidRPr="005D131A">
        <w:rPr>
          <w:sz w:val="28"/>
          <w:szCs w:val="28"/>
        </w:rPr>
        <w:t xml:space="preserve"> </w:t>
      </w:r>
      <w:r w:rsidR="003A3B00" w:rsidRPr="005D131A">
        <w:rPr>
          <w:sz w:val="28"/>
          <w:szCs w:val="28"/>
        </w:rPr>
        <w:t xml:space="preserve">el </w:t>
      </w:r>
      <w:r w:rsidR="000A46FB" w:rsidRPr="005D131A">
        <w:rPr>
          <w:sz w:val="28"/>
          <w:szCs w:val="28"/>
        </w:rPr>
        <w:t xml:space="preserve">médico tratante </w:t>
      </w:r>
      <w:r w:rsidR="003A3B00" w:rsidRPr="005D131A">
        <w:rPr>
          <w:sz w:val="28"/>
          <w:szCs w:val="28"/>
        </w:rPr>
        <w:t xml:space="preserve">deberá presentar el caso ante la mencionada junta </w:t>
      </w:r>
      <w:r w:rsidR="0034758B" w:rsidRPr="005D131A">
        <w:rPr>
          <w:sz w:val="28"/>
          <w:szCs w:val="28"/>
        </w:rPr>
        <w:t xml:space="preserve">dentro de </w:t>
      </w:r>
      <w:r w:rsidR="0068041A" w:rsidRPr="005D131A">
        <w:rPr>
          <w:sz w:val="28"/>
          <w:szCs w:val="28"/>
        </w:rPr>
        <w:t>los cinco (5) días siguientes a</w:t>
      </w:r>
      <w:r w:rsidR="0034758B" w:rsidRPr="005D131A">
        <w:rPr>
          <w:sz w:val="28"/>
          <w:szCs w:val="28"/>
        </w:rPr>
        <w:t xml:space="preserve">l suministro del servicio para su aprobación o rechazo. </w:t>
      </w:r>
    </w:p>
    <w:p w:rsidR="0034758B" w:rsidRPr="005D131A" w:rsidRDefault="0034758B" w:rsidP="005D131A">
      <w:pPr>
        <w:rPr>
          <w:sz w:val="28"/>
          <w:szCs w:val="28"/>
        </w:rPr>
      </w:pPr>
    </w:p>
    <w:p w:rsidR="001516B2" w:rsidRPr="005D131A" w:rsidRDefault="0034758B" w:rsidP="005D131A">
      <w:pPr>
        <w:rPr>
          <w:sz w:val="28"/>
          <w:szCs w:val="28"/>
        </w:rPr>
      </w:pPr>
      <w:r w:rsidRPr="005D131A">
        <w:rPr>
          <w:sz w:val="28"/>
          <w:szCs w:val="28"/>
        </w:rPr>
        <w:t>La Corte observa que e</w:t>
      </w:r>
      <w:r w:rsidR="001516B2" w:rsidRPr="005D131A">
        <w:rPr>
          <w:sz w:val="28"/>
          <w:szCs w:val="28"/>
        </w:rPr>
        <w:t xml:space="preserve">ste </w:t>
      </w:r>
      <w:r w:rsidR="002027AF" w:rsidRPr="005D131A">
        <w:rPr>
          <w:sz w:val="28"/>
          <w:szCs w:val="28"/>
        </w:rPr>
        <w:t>asunto que hasta la fecha</w:t>
      </w:r>
      <w:r w:rsidR="00D45600" w:rsidRPr="005D131A">
        <w:rPr>
          <w:sz w:val="28"/>
          <w:szCs w:val="28"/>
        </w:rPr>
        <w:t xml:space="preserve"> no había sido re</w:t>
      </w:r>
      <w:r w:rsidRPr="005D131A">
        <w:rPr>
          <w:sz w:val="28"/>
          <w:szCs w:val="28"/>
        </w:rPr>
        <w:t>gulado con claridad porque las r</w:t>
      </w:r>
      <w:r w:rsidR="00D45600" w:rsidRPr="005D131A">
        <w:rPr>
          <w:sz w:val="28"/>
          <w:szCs w:val="28"/>
        </w:rPr>
        <w:t xml:space="preserve">esoluciones expedidas por la cartera de </w:t>
      </w:r>
      <w:r w:rsidR="002027AF" w:rsidRPr="005D131A">
        <w:rPr>
          <w:sz w:val="28"/>
          <w:szCs w:val="28"/>
        </w:rPr>
        <w:t>s</w:t>
      </w:r>
      <w:r w:rsidR="00D45600" w:rsidRPr="005D131A">
        <w:rPr>
          <w:sz w:val="28"/>
          <w:szCs w:val="28"/>
        </w:rPr>
        <w:t>alud solo hacían referencia a los servicios de salud no incluidos</w:t>
      </w:r>
      <w:r w:rsidR="00A64BB9" w:rsidRPr="005D131A">
        <w:rPr>
          <w:sz w:val="28"/>
          <w:szCs w:val="28"/>
        </w:rPr>
        <w:t xml:space="preserve"> </w:t>
      </w:r>
      <w:r w:rsidR="008C1E1F" w:rsidRPr="005D131A">
        <w:rPr>
          <w:sz w:val="28"/>
          <w:szCs w:val="28"/>
        </w:rPr>
        <w:t xml:space="preserve">en el </w:t>
      </w:r>
      <w:r w:rsidR="00C809BC" w:rsidRPr="005D131A">
        <w:rPr>
          <w:sz w:val="28"/>
          <w:szCs w:val="28"/>
        </w:rPr>
        <w:t xml:space="preserve">POS y no a las los servicios o tecnologías explícitamente excluidas. </w:t>
      </w:r>
    </w:p>
    <w:p w:rsidR="00C809BC" w:rsidRPr="005D131A" w:rsidRDefault="00C809BC" w:rsidP="005D131A">
      <w:pPr>
        <w:rPr>
          <w:sz w:val="28"/>
          <w:szCs w:val="28"/>
        </w:rPr>
      </w:pPr>
    </w:p>
    <w:p w:rsidR="001516B2" w:rsidRPr="005D131A" w:rsidRDefault="001516B2" w:rsidP="005D131A">
      <w:pPr>
        <w:rPr>
          <w:sz w:val="28"/>
          <w:szCs w:val="28"/>
        </w:rPr>
      </w:pPr>
      <w:r w:rsidRPr="005D131A">
        <w:rPr>
          <w:sz w:val="28"/>
          <w:szCs w:val="28"/>
        </w:rPr>
        <w:t xml:space="preserve">En suma, </w:t>
      </w:r>
      <w:r w:rsidR="00C809BC" w:rsidRPr="005D131A">
        <w:rPr>
          <w:sz w:val="28"/>
          <w:szCs w:val="28"/>
        </w:rPr>
        <w:t>tanto los servicios y tecnologías en salu</w:t>
      </w:r>
      <w:r w:rsidR="0034758B" w:rsidRPr="005D131A">
        <w:rPr>
          <w:sz w:val="28"/>
          <w:szCs w:val="28"/>
        </w:rPr>
        <w:t>d explícitamente excluidos del plan de b</w:t>
      </w:r>
      <w:r w:rsidR="00C809BC" w:rsidRPr="005D131A">
        <w:rPr>
          <w:sz w:val="28"/>
          <w:szCs w:val="28"/>
        </w:rPr>
        <w:t xml:space="preserve">eneficios </w:t>
      </w:r>
      <w:r w:rsidRPr="005D131A">
        <w:rPr>
          <w:sz w:val="28"/>
          <w:szCs w:val="28"/>
        </w:rPr>
        <w:t xml:space="preserve">serán prescritos por el médico tratante a través del aplicativo web para lo cual deberá consultar en cada caso particular, la pertinencia de su utilización a la Junta de Profesionales de la Salud que estará conformada por tres (3) </w:t>
      </w:r>
      <w:r w:rsidR="002027AF" w:rsidRPr="005D131A">
        <w:rPr>
          <w:sz w:val="28"/>
          <w:szCs w:val="28"/>
        </w:rPr>
        <w:t xml:space="preserve">médicos </w:t>
      </w:r>
      <w:r w:rsidRPr="005D131A">
        <w:rPr>
          <w:sz w:val="28"/>
          <w:szCs w:val="28"/>
        </w:rPr>
        <w:t>que se encuentren inscritos en el Registro de Tal</w:t>
      </w:r>
      <w:r w:rsidR="00A64BB9" w:rsidRPr="005D131A">
        <w:rPr>
          <w:sz w:val="28"/>
          <w:szCs w:val="28"/>
        </w:rPr>
        <w:t>ento Humano en Salud -</w:t>
      </w:r>
      <w:r w:rsidR="0034758B" w:rsidRPr="005D131A">
        <w:rPr>
          <w:sz w:val="28"/>
          <w:szCs w:val="28"/>
        </w:rPr>
        <w:t>Rethus</w:t>
      </w:r>
      <w:r w:rsidR="00A64BB9" w:rsidRPr="005D131A">
        <w:rPr>
          <w:sz w:val="28"/>
          <w:szCs w:val="28"/>
        </w:rPr>
        <w:t xml:space="preserve">-  </w:t>
      </w:r>
      <w:r w:rsidRPr="005D131A">
        <w:rPr>
          <w:sz w:val="28"/>
          <w:szCs w:val="28"/>
        </w:rPr>
        <w:t xml:space="preserve">de su respectiva profesión. </w:t>
      </w:r>
    </w:p>
    <w:p w:rsidR="00181F55" w:rsidRPr="005D131A" w:rsidRDefault="00181F55" w:rsidP="005D131A">
      <w:pPr>
        <w:rPr>
          <w:sz w:val="28"/>
          <w:szCs w:val="28"/>
        </w:rPr>
      </w:pPr>
    </w:p>
    <w:p w:rsidR="00B761D5" w:rsidRPr="005D131A" w:rsidRDefault="00B761D5" w:rsidP="005D131A">
      <w:pPr>
        <w:rPr>
          <w:sz w:val="28"/>
          <w:szCs w:val="28"/>
        </w:rPr>
      </w:pPr>
      <w:r w:rsidRPr="005D131A">
        <w:rPr>
          <w:sz w:val="28"/>
          <w:szCs w:val="28"/>
        </w:rPr>
        <w:t>En efecto, la Resolución</w:t>
      </w:r>
      <w:r w:rsidR="00784C6D" w:rsidRPr="005D131A">
        <w:rPr>
          <w:sz w:val="28"/>
          <w:szCs w:val="28"/>
        </w:rPr>
        <w:t xml:space="preserve"> 1328 de 2016 puso al Sistema de Salud </w:t>
      </w:r>
      <w:r w:rsidRPr="005D131A">
        <w:rPr>
          <w:sz w:val="28"/>
          <w:szCs w:val="28"/>
        </w:rPr>
        <w:t>a m</w:t>
      </w:r>
      <w:r w:rsidR="0034758B" w:rsidRPr="005D131A">
        <w:rPr>
          <w:sz w:val="28"/>
          <w:szCs w:val="28"/>
        </w:rPr>
        <w:t>archar detrás de un aplicativo w</w:t>
      </w:r>
      <w:r w:rsidRPr="005D131A">
        <w:rPr>
          <w:sz w:val="28"/>
          <w:szCs w:val="28"/>
        </w:rPr>
        <w:t>eb</w:t>
      </w:r>
      <w:r w:rsidR="00784C6D" w:rsidRPr="005D131A">
        <w:rPr>
          <w:sz w:val="28"/>
          <w:szCs w:val="28"/>
        </w:rPr>
        <w:t xml:space="preserve"> mediante el cual los profesionales de la salud</w:t>
      </w:r>
      <w:r w:rsidRPr="005D131A">
        <w:rPr>
          <w:sz w:val="28"/>
          <w:szCs w:val="28"/>
        </w:rPr>
        <w:t xml:space="preserve"> podrán prescribir por un lado tecnologías no incluidas en el plan de beneficios que estarán inmediatamente autorizadas a los pacientes, y de manera excepcional, exclusiones que tendrán que ser aprobadas por las Juntas de Profesionales.</w:t>
      </w:r>
    </w:p>
    <w:p w:rsidR="00B761D5" w:rsidRPr="005D131A" w:rsidRDefault="00B761D5" w:rsidP="005D131A">
      <w:pPr>
        <w:rPr>
          <w:sz w:val="28"/>
          <w:szCs w:val="28"/>
        </w:rPr>
      </w:pPr>
    </w:p>
    <w:p w:rsidR="001508BA" w:rsidRPr="005D131A" w:rsidRDefault="007534C2" w:rsidP="005D131A">
      <w:pPr>
        <w:rPr>
          <w:sz w:val="28"/>
          <w:szCs w:val="28"/>
        </w:rPr>
      </w:pPr>
      <w:r w:rsidRPr="005D131A">
        <w:rPr>
          <w:sz w:val="28"/>
          <w:szCs w:val="28"/>
        </w:rPr>
        <w:t>5</w:t>
      </w:r>
      <w:r w:rsidR="0034758B" w:rsidRPr="005D131A">
        <w:rPr>
          <w:sz w:val="28"/>
          <w:szCs w:val="28"/>
        </w:rPr>
        <w:t xml:space="preserve">.4.6.5. </w:t>
      </w:r>
      <w:r w:rsidR="00DB62E2" w:rsidRPr="005D131A">
        <w:rPr>
          <w:sz w:val="28"/>
          <w:szCs w:val="28"/>
        </w:rPr>
        <w:t>De conformidad</w:t>
      </w:r>
      <w:r w:rsidR="00C0055A" w:rsidRPr="005D131A">
        <w:rPr>
          <w:sz w:val="28"/>
          <w:szCs w:val="28"/>
        </w:rPr>
        <w:t xml:space="preserve"> con lo anterior, observa la Sala que la nueva regulación establece de manera definitiva el</w:t>
      </w:r>
      <w:r w:rsidR="001508BA" w:rsidRPr="005D131A">
        <w:rPr>
          <w:sz w:val="28"/>
          <w:szCs w:val="28"/>
        </w:rPr>
        <w:t xml:space="preserve"> trámite interno que debe adelantar el médico tratante para que la respectiva EPS autorice directamente tanto los servicios de salud no incluidos en el plan obligatorio de salud dif</w:t>
      </w:r>
      <w:r w:rsidR="0034758B" w:rsidRPr="005D131A">
        <w:rPr>
          <w:sz w:val="28"/>
          <w:szCs w:val="28"/>
        </w:rPr>
        <w:t>erente a un medicamento, como la</w:t>
      </w:r>
      <w:r w:rsidR="001508BA" w:rsidRPr="005D131A">
        <w:rPr>
          <w:sz w:val="28"/>
          <w:szCs w:val="28"/>
        </w:rPr>
        <w:t xml:space="preserve">s </w:t>
      </w:r>
      <w:r w:rsidR="0034758B" w:rsidRPr="005D131A">
        <w:rPr>
          <w:sz w:val="28"/>
          <w:szCs w:val="28"/>
        </w:rPr>
        <w:t xml:space="preserve">prestaciones </w:t>
      </w:r>
      <w:r w:rsidR="001508BA" w:rsidRPr="005D131A">
        <w:rPr>
          <w:sz w:val="28"/>
          <w:szCs w:val="28"/>
        </w:rPr>
        <w:t xml:space="preserve">para la atención de las actividades, procedimientos e intervenciones explícitamente excluidas del POS, cuando estas sean ordenadas por el médico tratante. </w:t>
      </w:r>
    </w:p>
    <w:p w:rsidR="001508BA" w:rsidRPr="005D131A" w:rsidRDefault="001508BA" w:rsidP="005D131A">
      <w:pPr>
        <w:rPr>
          <w:sz w:val="28"/>
          <w:szCs w:val="28"/>
        </w:rPr>
      </w:pPr>
    </w:p>
    <w:p w:rsidR="00DF3B64" w:rsidRPr="005D131A" w:rsidRDefault="00A122D2" w:rsidP="005D131A">
      <w:pPr>
        <w:rPr>
          <w:sz w:val="28"/>
          <w:szCs w:val="28"/>
        </w:rPr>
      </w:pPr>
      <w:r w:rsidRPr="005D131A">
        <w:rPr>
          <w:sz w:val="28"/>
          <w:szCs w:val="28"/>
        </w:rPr>
        <w:t>Sin embargo,</w:t>
      </w:r>
      <w:r w:rsidR="00DF3B64" w:rsidRPr="005D131A">
        <w:rPr>
          <w:sz w:val="28"/>
          <w:szCs w:val="28"/>
        </w:rPr>
        <w:t xml:space="preserve"> </w:t>
      </w:r>
      <w:r w:rsidR="00F742C8" w:rsidRPr="005D131A">
        <w:rPr>
          <w:sz w:val="28"/>
          <w:szCs w:val="28"/>
        </w:rPr>
        <w:t xml:space="preserve">se advierten aspectos negativos por cuanto la </w:t>
      </w:r>
      <w:r w:rsidR="00DF3B64" w:rsidRPr="005D131A">
        <w:rPr>
          <w:sz w:val="28"/>
          <w:szCs w:val="28"/>
        </w:rPr>
        <w:t>Resolución 1328 de 2016, en principio aplica solo para el régimen contributivo dejando de lado al subsidiado ya que tal y como l</w:t>
      </w:r>
      <w:r w:rsidR="0034758B" w:rsidRPr="005D131A">
        <w:rPr>
          <w:sz w:val="28"/>
          <w:szCs w:val="28"/>
        </w:rPr>
        <w:t>o manifestó en la respuesta al A</w:t>
      </w:r>
      <w:r w:rsidR="00DF3B64" w:rsidRPr="005D131A">
        <w:rPr>
          <w:sz w:val="28"/>
          <w:szCs w:val="28"/>
        </w:rPr>
        <w:t xml:space="preserve">uto </w:t>
      </w:r>
      <w:r w:rsidR="00DF3B64" w:rsidRPr="005D131A">
        <w:rPr>
          <w:sz w:val="28"/>
          <w:szCs w:val="28"/>
          <w:lang w:val="es-CO"/>
        </w:rPr>
        <w:t>de 5 de julio de 2016</w:t>
      </w:r>
      <w:r w:rsidR="00DF3B64" w:rsidRPr="005D131A">
        <w:rPr>
          <w:sz w:val="28"/>
          <w:szCs w:val="28"/>
        </w:rPr>
        <w:t xml:space="preserve">, </w:t>
      </w:r>
      <w:r w:rsidR="00DF3B64" w:rsidRPr="005D131A">
        <w:rPr>
          <w:sz w:val="28"/>
          <w:szCs w:val="28"/>
          <w:lang w:val="es-CO"/>
        </w:rPr>
        <w:t xml:space="preserve">precisó que el régimen contributivo es responsabilidad del Fosyga y el subsidiado se encuentra en cabeza de las entidades territoriales certificadas en salud, razón por la cual, </w:t>
      </w:r>
      <w:r w:rsidR="0034758B" w:rsidRPr="005D131A">
        <w:rPr>
          <w:sz w:val="28"/>
          <w:szCs w:val="28"/>
          <w:lang w:val="es-CO"/>
        </w:rPr>
        <w:t xml:space="preserve">el acto administrativo </w:t>
      </w:r>
      <w:r w:rsidR="00DF3B64" w:rsidRPr="005D131A">
        <w:rPr>
          <w:sz w:val="28"/>
          <w:szCs w:val="28"/>
          <w:lang w:val="es-CO"/>
        </w:rPr>
        <w:t>en mención aplica para la prescripción de servicios y t</w:t>
      </w:r>
      <w:r w:rsidR="0034758B" w:rsidRPr="005D131A">
        <w:rPr>
          <w:sz w:val="28"/>
          <w:szCs w:val="28"/>
          <w:lang w:val="es-CO"/>
        </w:rPr>
        <w:t>ecnologías sin cobertura en el plan de b</w:t>
      </w:r>
      <w:r w:rsidR="00DF3B64" w:rsidRPr="005D131A">
        <w:rPr>
          <w:sz w:val="28"/>
          <w:szCs w:val="28"/>
          <w:lang w:val="es-CO"/>
        </w:rPr>
        <w:t>eneficios del régimen contributivo</w:t>
      </w:r>
      <w:r w:rsidR="0034758B" w:rsidRPr="005D131A">
        <w:rPr>
          <w:sz w:val="28"/>
          <w:szCs w:val="28"/>
          <w:lang w:val="es-CO"/>
        </w:rPr>
        <w:t>. Por el contrario, p</w:t>
      </w:r>
      <w:r w:rsidR="00DF3B64" w:rsidRPr="005D131A">
        <w:rPr>
          <w:sz w:val="28"/>
          <w:szCs w:val="28"/>
          <w:lang w:val="es-CO"/>
        </w:rPr>
        <w:t xml:space="preserve">ara el régimen subsidiado se deben seguir </w:t>
      </w:r>
      <w:r w:rsidR="0034758B" w:rsidRPr="005D131A">
        <w:rPr>
          <w:sz w:val="28"/>
          <w:szCs w:val="28"/>
          <w:lang w:val="es-CO"/>
        </w:rPr>
        <w:t>las previsiones contempladas en las r</w:t>
      </w:r>
      <w:r w:rsidR="00DF3B64" w:rsidRPr="005D131A">
        <w:rPr>
          <w:sz w:val="28"/>
          <w:szCs w:val="28"/>
          <w:lang w:val="es-CO"/>
        </w:rPr>
        <w:t>esoluciones 5395 de 2013 y 1479 de 2015, la cual basa la garantía del suministro de los servicios y tecnologías en la a</w:t>
      </w:r>
      <w:r w:rsidR="0034758B" w:rsidRPr="005D131A">
        <w:rPr>
          <w:sz w:val="28"/>
          <w:szCs w:val="28"/>
          <w:lang w:val="es-CO"/>
        </w:rPr>
        <w:t xml:space="preserve">utorización emitida por el CTC. </w:t>
      </w:r>
    </w:p>
    <w:p w:rsidR="0034758B" w:rsidRPr="005D131A" w:rsidRDefault="0034758B" w:rsidP="005D131A">
      <w:pPr>
        <w:rPr>
          <w:sz w:val="28"/>
          <w:szCs w:val="28"/>
          <w:lang w:val="es-CO"/>
        </w:rPr>
      </w:pPr>
    </w:p>
    <w:p w:rsidR="00DF3B64" w:rsidRPr="005D131A" w:rsidRDefault="00F742C8" w:rsidP="005D131A">
      <w:pPr>
        <w:rPr>
          <w:sz w:val="28"/>
          <w:szCs w:val="28"/>
        </w:rPr>
      </w:pPr>
      <w:r w:rsidRPr="005D131A">
        <w:rPr>
          <w:sz w:val="28"/>
          <w:szCs w:val="28"/>
        </w:rPr>
        <w:t>De este modo, el Ministerio no cumple con</w:t>
      </w:r>
      <w:r w:rsidR="0034758B" w:rsidRPr="005D131A">
        <w:rPr>
          <w:sz w:val="28"/>
          <w:szCs w:val="28"/>
        </w:rPr>
        <w:t xml:space="preserve"> el objetivo primordial de la orden 23 según  el</w:t>
      </w:r>
      <w:r w:rsidRPr="005D131A">
        <w:rPr>
          <w:sz w:val="28"/>
          <w:szCs w:val="28"/>
        </w:rPr>
        <w:t xml:space="preserve"> cual </w:t>
      </w:r>
      <w:r w:rsidR="000E7141" w:rsidRPr="005D131A">
        <w:rPr>
          <w:sz w:val="28"/>
          <w:szCs w:val="28"/>
        </w:rPr>
        <w:t>el trámite interno</w:t>
      </w:r>
      <w:r w:rsidR="00A91178" w:rsidRPr="005D131A">
        <w:rPr>
          <w:sz w:val="28"/>
          <w:szCs w:val="28"/>
        </w:rPr>
        <w:t xml:space="preserve"> que debe regular el m</w:t>
      </w:r>
      <w:r w:rsidR="000E7141" w:rsidRPr="005D131A">
        <w:rPr>
          <w:sz w:val="28"/>
          <w:szCs w:val="28"/>
        </w:rPr>
        <w:t xml:space="preserve">édico tratante para que la respectiva </w:t>
      </w:r>
      <w:r w:rsidR="00A91178" w:rsidRPr="005D131A">
        <w:rPr>
          <w:sz w:val="28"/>
          <w:szCs w:val="28"/>
        </w:rPr>
        <w:t>EPS autorice tan</w:t>
      </w:r>
      <w:r w:rsidR="0034758B" w:rsidRPr="005D131A">
        <w:rPr>
          <w:sz w:val="28"/>
          <w:szCs w:val="28"/>
        </w:rPr>
        <w:t xml:space="preserve">to </w:t>
      </w:r>
      <w:r w:rsidR="00A91178" w:rsidRPr="005D131A">
        <w:rPr>
          <w:sz w:val="28"/>
          <w:szCs w:val="28"/>
        </w:rPr>
        <w:t>l</w:t>
      </w:r>
      <w:r w:rsidR="000E7141" w:rsidRPr="005D131A">
        <w:rPr>
          <w:sz w:val="28"/>
          <w:szCs w:val="28"/>
        </w:rPr>
        <w:t>os servicios no incluidos como lo</w:t>
      </w:r>
      <w:r w:rsidR="00A91178" w:rsidRPr="005D131A">
        <w:rPr>
          <w:sz w:val="28"/>
          <w:szCs w:val="28"/>
        </w:rPr>
        <w:t xml:space="preserve">s </w:t>
      </w:r>
      <w:r w:rsidR="000E7141" w:rsidRPr="005D131A">
        <w:rPr>
          <w:sz w:val="28"/>
          <w:szCs w:val="28"/>
        </w:rPr>
        <w:t>explícitamente</w:t>
      </w:r>
      <w:r w:rsidR="00A91178" w:rsidRPr="005D131A">
        <w:rPr>
          <w:sz w:val="28"/>
          <w:szCs w:val="28"/>
        </w:rPr>
        <w:t xml:space="preserve"> </w:t>
      </w:r>
      <w:r w:rsidR="000E7141" w:rsidRPr="005D131A">
        <w:rPr>
          <w:sz w:val="28"/>
          <w:szCs w:val="28"/>
        </w:rPr>
        <w:t>excluidos</w:t>
      </w:r>
      <w:r w:rsidR="00A91178" w:rsidRPr="005D131A">
        <w:rPr>
          <w:sz w:val="28"/>
          <w:szCs w:val="28"/>
        </w:rPr>
        <w:t xml:space="preserve"> del P</w:t>
      </w:r>
      <w:r w:rsidR="0034758B" w:rsidRPr="005D131A">
        <w:rPr>
          <w:sz w:val="28"/>
          <w:szCs w:val="28"/>
        </w:rPr>
        <w:t>OS</w:t>
      </w:r>
      <w:r w:rsidR="000E7141" w:rsidRPr="005D131A">
        <w:rPr>
          <w:sz w:val="28"/>
          <w:szCs w:val="28"/>
        </w:rPr>
        <w:t xml:space="preserve"> </w:t>
      </w:r>
      <w:r w:rsidR="0034758B" w:rsidRPr="005D131A">
        <w:rPr>
          <w:sz w:val="28"/>
          <w:szCs w:val="28"/>
        </w:rPr>
        <w:t>(</w:t>
      </w:r>
      <w:r w:rsidR="000E7141" w:rsidRPr="005D131A">
        <w:rPr>
          <w:sz w:val="28"/>
          <w:szCs w:val="28"/>
        </w:rPr>
        <w:t xml:space="preserve">hoy plan de </w:t>
      </w:r>
      <w:r w:rsidR="0034758B" w:rsidRPr="005D131A">
        <w:rPr>
          <w:sz w:val="28"/>
          <w:szCs w:val="28"/>
        </w:rPr>
        <w:t>b</w:t>
      </w:r>
      <w:r w:rsidR="000E7141" w:rsidRPr="005D131A">
        <w:rPr>
          <w:sz w:val="28"/>
          <w:szCs w:val="28"/>
        </w:rPr>
        <w:t>eneficios</w:t>
      </w:r>
      <w:r w:rsidR="0034758B" w:rsidRPr="005D131A">
        <w:rPr>
          <w:sz w:val="28"/>
          <w:szCs w:val="28"/>
        </w:rPr>
        <w:t>)</w:t>
      </w:r>
      <w:r w:rsidR="000E7141" w:rsidRPr="005D131A">
        <w:rPr>
          <w:sz w:val="28"/>
          <w:szCs w:val="28"/>
        </w:rPr>
        <w:t xml:space="preserve">, </w:t>
      </w:r>
      <w:r w:rsidR="00A91178" w:rsidRPr="005D131A">
        <w:rPr>
          <w:sz w:val="28"/>
          <w:szCs w:val="28"/>
        </w:rPr>
        <w:t>debía aplicar p</w:t>
      </w:r>
      <w:r w:rsidR="000E7141" w:rsidRPr="005D131A">
        <w:rPr>
          <w:sz w:val="28"/>
          <w:szCs w:val="28"/>
        </w:rPr>
        <w:t>ara los dos regímenes</w:t>
      </w:r>
      <w:r w:rsidR="00A91178" w:rsidRPr="005D131A">
        <w:rPr>
          <w:sz w:val="28"/>
          <w:szCs w:val="28"/>
        </w:rPr>
        <w:t xml:space="preserve"> </w:t>
      </w:r>
      <w:r w:rsidR="000E7141" w:rsidRPr="005D131A">
        <w:rPr>
          <w:sz w:val="28"/>
          <w:szCs w:val="28"/>
        </w:rPr>
        <w:t>contributivo</w:t>
      </w:r>
      <w:r w:rsidR="00A91178" w:rsidRPr="005D131A">
        <w:rPr>
          <w:sz w:val="28"/>
          <w:szCs w:val="28"/>
        </w:rPr>
        <w:t xml:space="preserve"> y subsidiado. </w:t>
      </w:r>
    </w:p>
    <w:p w:rsidR="00A91178" w:rsidRPr="005D131A" w:rsidRDefault="00A91178" w:rsidP="005D131A">
      <w:pPr>
        <w:rPr>
          <w:sz w:val="28"/>
          <w:szCs w:val="28"/>
        </w:rPr>
      </w:pPr>
    </w:p>
    <w:p w:rsidR="00A91178" w:rsidRPr="005D131A" w:rsidRDefault="00DB62E2" w:rsidP="005D131A">
      <w:pPr>
        <w:rPr>
          <w:sz w:val="28"/>
          <w:szCs w:val="28"/>
        </w:rPr>
      </w:pPr>
      <w:r w:rsidRPr="005D131A">
        <w:rPr>
          <w:sz w:val="28"/>
          <w:szCs w:val="28"/>
        </w:rPr>
        <w:t>L</w:t>
      </w:r>
      <w:r w:rsidR="00A91178" w:rsidRPr="005D131A">
        <w:rPr>
          <w:sz w:val="28"/>
          <w:szCs w:val="28"/>
        </w:rPr>
        <w:t xml:space="preserve">a </w:t>
      </w:r>
      <w:r w:rsidR="00E722B6" w:rsidRPr="005D131A">
        <w:rPr>
          <w:sz w:val="28"/>
          <w:szCs w:val="28"/>
        </w:rPr>
        <w:t xml:space="preserve">Corte considera que </w:t>
      </w:r>
      <w:r w:rsidR="00B6250B" w:rsidRPr="005D131A">
        <w:rPr>
          <w:sz w:val="28"/>
          <w:szCs w:val="28"/>
        </w:rPr>
        <w:t xml:space="preserve">si bien es cierto </w:t>
      </w:r>
      <w:r w:rsidR="00E722B6" w:rsidRPr="005D131A">
        <w:rPr>
          <w:sz w:val="28"/>
          <w:szCs w:val="28"/>
        </w:rPr>
        <w:t xml:space="preserve">el ente regulador </w:t>
      </w:r>
      <w:r w:rsidR="00B6250B" w:rsidRPr="005D131A">
        <w:rPr>
          <w:sz w:val="28"/>
          <w:szCs w:val="28"/>
        </w:rPr>
        <w:t xml:space="preserve">en salud </w:t>
      </w:r>
      <w:r w:rsidR="00E722B6" w:rsidRPr="005D131A">
        <w:rPr>
          <w:sz w:val="28"/>
          <w:szCs w:val="28"/>
        </w:rPr>
        <w:t>profirió</w:t>
      </w:r>
      <w:r w:rsidR="00A91178" w:rsidRPr="005D131A">
        <w:rPr>
          <w:sz w:val="28"/>
          <w:szCs w:val="28"/>
        </w:rPr>
        <w:t xml:space="preserve"> la </w:t>
      </w:r>
      <w:r w:rsidR="00E722B6" w:rsidRPr="005D131A">
        <w:rPr>
          <w:sz w:val="28"/>
          <w:szCs w:val="28"/>
        </w:rPr>
        <w:t>R</w:t>
      </w:r>
      <w:r w:rsidR="00A91178" w:rsidRPr="005D131A">
        <w:rPr>
          <w:sz w:val="28"/>
          <w:szCs w:val="28"/>
        </w:rPr>
        <w:t>esoluci</w:t>
      </w:r>
      <w:r w:rsidR="00E722B6" w:rsidRPr="005D131A">
        <w:rPr>
          <w:sz w:val="28"/>
          <w:szCs w:val="28"/>
        </w:rPr>
        <w:t>ón 1328</w:t>
      </w:r>
      <w:r w:rsidR="00B6250B" w:rsidRPr="005D131A">
        <w:rPr>
          <w:sz w:val="28"/>
          <w:szCs w:val="28"/>
        </w:rPr>
        <w:t xml:space="preserve"> de 2016,</w:t>
      </w:r>
      <w:r w:rsidR="00A91178" w:rsidRPr="005D131A">
        <w:rPr>
          <w:sz w:val="28"/>
          <w:szCs w:val="28"/>
        </w:rPr>
        <w:t xml:space="preserve"> que eliminó los CTC y dio lugar </w:t>
      </w:r>
      <w:r w:rsidR="00B6250B" w:rsidRPr="005D131A">
        <w:rPr>
          <w:sz w:val="28"/>
          <w:szCs w:val="28"/>
        </w:rPr>
        <w:t xml:space="preserve">a que a través de un aplicativo </w:t>
      </w:r>
      <w:r w:rsidR="00E722B6" w:rsidRPr="005D131A">
        <w:rPr>
          <w:sz w:val="28"/>
          <w:szCs w:val="28"/>
        </w:rPr>
        <w:t>el médico tratante</w:t>
      </w:r>
      <w:r w:rsidR="00A91178" w:rsidRPr="005D131A">
        <w:rPr>
          <w:sz w:val="28"/>
          <w:szCs w:val="28"/>
        </w:rPr>
        <w:t xml:space="preserve"> </w:t>
      </w:r>
      <w:r w:rsidR="00B6250B" w:rsidRPr="005D131A">
        <w:rPr>
          <w:sz w:val="28"/>
          <w:szCs w:val="28"/>
        </w:rPr>
        <w:t>reporte la prescripción</w:t>
      </w:r>
      <w:r w:rsidR="00E722B6" w:rsidRPr="005D131A">
        <w:rPr>
          <w:sz w:val="28"/>
          <w:szCs w:val="28"/>
        </w:rPr>
        <w:t xml:space="preserve">, </w:t>
      </w:r>
      <w:r w:rsidR="00B6250B" w:rsidRPr="005D131A">
        <w:rPr>
          <w:sz w:val="28"/>
          <w:szCs w:val="28"/>
        </w:rPr>
        <w:t xml:space="preserve">también lo es que </w:t>
      </w:r>
      <w:r w:rsidR="00E722B6" w:rsidRPr="005D131A">
        <w:rPr>
          <w:sz w:val="28"/>
          <w:szCs w:val="28"/>
        </w:rPr>
        <w:t>solo lo hizo</w:t>
      </w:r>
      <w:r w:rsidR="00A91178" w:rsidRPr="005D131A">
        <w:rPr>
          <w:sz w:val="28"/>
          <w:szCs w:val="28"/>
        </w:rPr>
        <w:t xml:space="preserve"> para el </w:t>
      </w:r>
      <w:r w:rsidR="00E722B6" w:rsidRPr="005D131A">
        <w:rPr>
          <w:sz w:val="28"/>
          <w:szCs w:val="28"/>
        </w:rPr>
        <w:t>régimen</w:t>
      </w:r>
      <w:r w:rsidR="00A91178" w:rsidRPr="005D131A">
        <w:rPr>
          <w:sz w:val="28"/>
          <w:szCs w:val="28"/>
        </w:rPr>
        <w:t xml:space="preserve"> </w:t>
      </w:r>
      <w:r w:rsidR="00E722B6" w:rsidRPr="005D131A">
        <w:rPr>
          <w:sz w:val="28"/>
          <w:szCs w:val="28"/>
        </w:rPr>
        <w:t>contributivo</w:t>
      </w:r>
      <w:r w:rsidR="00B6250B" w:rsidRPr="005D131A">
        <w:rPr>
          <w:sz w:val="28"/>
          <w:szCs w:val="28"/>
        </w:rPr>
        <w:t xml:space="preserve">. De manera que </w:t>
      </w:r>
      <w:r w:rsidR="00E722B6" w:rsidRPr="005D131A">
        <w:rPr>
          <w:sz w:val="28"/>
          <w:szCs w:val="28"/>
        </w:rPr>
        <w:t>no es de recibo que la población</w:t>
      </w:r>
      <w:r w:rsidR="00A91178" w:rsidRPr="005D131A">
        <w:rPr>
          <w:sz w:val="28"/>
          <w:szCs w:val="28"/>
        </w:rPr>
        <w:t xml:space="preserve"> </w:t>
      </w:r>
      <w:r w:rsidR="00E722B6" w:rsidRPr="005D131A">
        <w:rPr>
          <w:sz w:val="28"/>
          <w:szCs w:val="28"/>
        </w:rPr>
        <w:t>más</w:t>
      </w:r>
      <w:r w:rsidR="00A91178" w:rsidRPr="005D131A">
        <w:rPr>
          <w:sz w:val="28"/>
          <w:szCs w:val="28"/>
        </w:rPr>
        <w:t xml:space="preserve"> vulnerable</w:t>
      </w:r>
      <w:r w:rsidR="00B6250B" w:rsidRPr="005D131A">
        <w:rPr>
          <w:sz w:val="28"/>
          <w:szCs w:val="28"/>
        </w:rPr>
        <w:t xml:space="preserve"> y </w:t>
      </w:r>
      <w:r w:rsidR="00E722B6" w:rsidRPr="005D131A">
        <w:rPr>
          <w:sz w:val="28"/>
          <w:szCs w:val="28"/>
        </w:rPr>
        <w:t xml:space="preserve">con menos recursos económicos </w:t>
      </w:r>
      <w:r w:rsidR="00A91178" w:rsidRPr="005D131A">
        <w:rPr>
          <w:sz w:val="28"/>
          <w:szCs w:val="28"/>
        </w:rPr>
        <w:t>tenga</w:t>
      </w:r>
      <w:r w:rsidR="00E722B6" w:rsidRPr="005D131A">
        <w:rPr>
          <w:sz w:val="28"/>
          <w:szCs w:val="28"/>
        </w:rPr>
        <w:t xml:space="preserve"> que seguir acudiendo a los </w:t>
      </w:r>
      <w:r w:rsidR="00A91178" w:rsidRPr="005D131A">
        <w:rPr>
          <w:sz w:val="28"/>
          <w:szCs w:val="28"/>
        </w:rPr>
        <w:t xml:space="preserve">CTC para obtener los </w:t>
      </w:r>
      <w:r w:rsidR="00E722B6" w:rsidRPr="005D131A">
        <w:rPr>
          <w:sz w:val="28"/>
          <w:szCs w:val="28"/>
        </w:rPr>
        <w:t>medicamentos</w:t>
      </w:r>
      <w:r w:rsidR="00B6250B" w:rsidRPr="005D131A">
        <w:rPr>
          <w:sz w:val="28"/>
          <w:szCs w:val="28"/>
        </w:rPr>
        <w:t>,</w:t>
      </w:r>
      <w:r w:rsidR="00A91178" w:rsidRPr="005D131A">
        <w:rPr>
          <w:sz w:val="28"/>
          <w:szCs w:val="28"/>
        </w:rPr>
        <w:t xml:space="preserve"> </w:t>
      </w:r>
      <w:r w:rsidR="00E722B6" w:rsidRPr="005D131A">
        <w:rPr>
          <w:sz w:val="28"/>
          <w:szCs w:val="28"/>
        </w:rPr>
        <w:t>procedimiento</w:t>
      </w:r>
      <w:r w:rsidR="00B6250B" w:rsidRPr="005D131A">
        <w:rPr>
          <w:sz w:val="28"/>
          <w:szCs w:val="28"/>
        </w:rPr>
        <w:t>s</w:t>
      </w:r>
      <w:r w:rsidR="00A91178" w:rsidRPr="005D131A">
        <w:rPr>
          <w:sz w:val="28"/>
          <w:szCs w:val="28"/>
        </w:rPr>
        <w:t xml:space="preserve">, actividades e </w:t>
      </w:r>
      <w:r w:rsidR="00E722B6" w:rsidRPr="005D131A">
        <w:rPr>
          <w:sz w:val="28"/>
          <w:szCs w:val="28"/>
        </w:rPr>
        <w:t xml:space="preserve">intervenciones no POS </w:t>
      </w:r>
      <w:r w:rsidR="00B6250B" w:rsidRPr="005D131A">
        <w:rPr>
          <w:sz w:val="28"/>
          <w:szCs w:val="28"/>
        </w:rPr>
        <w:t>que requieran con</w:t>
      </w:r>
      <w:r w:rsidR="00B70150" w:rsidRPr="005D131A">
        <w:rPr>
          <w:sz w:val="28"/>
          <w:szCs w:val="28"/>
        </w:rPr>
        <w:t xml:space="preserve"> necesidad, ya que </w:t>
      </w:r>
      <w:r w:rsidR="00B6250B" w:rsidRPr="005D131A">
        <w:rPr>
          <w:sz w:val="28"/>
          <w:szCs w:val="28"/>
        </w:rPr>
        <w:t xml:space="preserve">ello sin lugar a dudas </w:t>
      </w:r>
      <w:r w:rsidR="00230724" w:rsidRPr="005D131A">
        <w:rPr>
          <w:sz w:val="28"/>
          <w:szCs w:val="28"/>
        </w:rPr>
        <w:t xml:space="preserve">desconoce el artículo 13 Superior. </w:t>
      </w:r>
    </w:p>
    <w:p w:rsidR="00B70150" w:rsidRPr="005D131A" w:rsidRDefault="00B70150" w:rsidP="005D131A">
      <w:pPr>
        <w:rPr>
          <w:sz w:val="28"/>
          <w:szCs w:val="28"/>
        </w:rPr>
      </w:pPr>
    </w:p>
    <w:p w:rsidR="00E33990" w:rsidRPr="005D131A" w:rsidRDefault="0073289F" w:rsidP="005D131A">
      <w:pPr>
        <w:tabs>
          <w:tab w:val="left" w:pos="3536"/>
        </w:tabs>
        <w:rPr>
          <w:iCs/>
          <w:sz w:val="28"/>
          <w:szCs w:val="28"/>
        </w:rPr>
      </w:pPr>
      <w:r w:rsidRPr="005D131A">
        <w:rPr>
          <w:iCs/>
          <w:sz w:val="28"/>
          <w:szCs w:val="28"/>
        </w:rPr>
        <w:t>Aunado a</w:t>
      </w:r>
      <w:r w:rsidR="00B70150" w:rsidRPr="005D131A">
        <w:rPr>
          <w:iCs/>
          <w:sz w:val="28"/>
          <w:szCs w:val="28"/>
        </w:rPr>
        <w:t xml:space="preserve"> lo anterior, la Corte no puede concluir</w:t>
      </w:r>
      <w:r w:rsidRPr="005D131A">
        <w:rPr>
          <w:iCs/>
          <w:sz w:val="28"/>
          <w:szCs w:val="28"/>
        </w:rPr>
        <w:t xml:space="preserve"> si con la implementación de la Resolución 1328 de 2016, la falla estructural </w:t>
      </w:r>
      <w:r w:rsidR="007775D1" w:rsidRPr="005D131A">
        <w:rPr>
          <w:iCs/>
          <w:sz w:val="28"/>
          <w:szCs w:val="28"/>
        </w:rPr>
        <w:t xml:space="preserve">que dio origen a la </w:t>
      </w:r>
      <w:r w:rsidRPr="005D131A">
        <w:rPr>
          <w:iCs/>
          <w:sz w:val="28"/>
          <w:szCs w:val="28"/>
        </w:rPr>
        <w:t>orden 23 se vaya a supe</w:t>
      </w:r>
      <w:r w:rsidR="00E56654" w:rsidRPr="005D131A">
        <w:rPr>
          <w:iCs/>
          <w:sz w:val="28"/>
          <w:szCs w:val="28"/>
        </w:rPr>
        <w:t xml:space="preserve">rar o </w:t>
      </w:r>
      <w:r w:rsidR="007775D1" w:rsidRPr="005D131A">
        <w:rPr>
          <w:iCs/>
          <w:sz w:val="28"/>
          <w:szCs w:val="28"/>
        </w:rPr>
        <w:t xml:space="preserve">si por el contrario con la implementación del </w:t>
      </w:r>
      <w:r w:rsidR="00E56654" w:rsidRPr="005D131A">
        <w:rPr>
          <w:iCs/>
          <w:sz w:val="28"/>
          <w:szCs w:val="28"/>
        </w:rPr>
        <w:t>aplicativo</w:t>
      </w:r>
      <w:r w:rsidR="007775D1" w:rsidRPr="005D131A">
        <w:rPr>
          <w:iCs/>
          <w:sz w:val="28"/>
          <w:szCs w:val="28"/>
        </w:rPr>
        <w:t xml:space="preserve"> w</w:t>
      </w:r>
      <w:r w:rsidRPr="005D131A">
        <w:rPr>
          <w:iCs/>
          <w:sz w:val="28"/>
          <w:szCs w:val="28"/>
        </w:rPr>
        <w:t xml:space="preserve">eb dispuesto para que el médico tratante autorice </w:t>
      </w:r>
      <w:r w:rsidR="00E56654" w:rsidRPr="005D131A">
        <w:rPr>
          <w:iCs/>
          <w:sz w:val="28"/>
          <w:szCs w:val="28"/>
        </w:rPr>
        <w:t>d</w:t>
      </w:r>
      <w:r w:rsidRPr="005D131A">
        <w:rPr>
          <w:iCs/>
          <w:sz w:val="28"/>
          <w:szCs w:val="28"/>
        </w:rPr>
        <w:t xml:space="preserve">e manera directa </w:t>
      </w:r>
      <w:r w:rsidR="00E56654" w:rsidRPr="005D131A">
        <w:rPr>
          <w:iCs/>
          <w:sz w:val="28"/>
          <w:szCs w:val="28"/>
        </w:rPr>
        <w:t xml:space="preserve">la prescripción </w:t>
      </w:r>
      <w:r w:rsidRPr="005D131A">
        <w:rPr>
          <w:iCs/>
          <w:sz w:val="28"/>
          <w:szCs w:val="28"/>
        </w:rPr>
        <w:t>sea un trámite más</w:t>
      </w:r>
      <w:r w:rsidR="00E56654" w:rsidRPr="005D131A">
        <w:rPr>
          <w:iCs/>
          <w:sz w:val="28"/>
          <w:szCs w:val="28"/>
        </w:rPr>
        <w:t xml:space="preserve"> engorroso, </w:t>
      </w:r>
      <w:r w:rsidRPr="005D131A">
        <w:rPr>
          <w:iCs/>
          <w:sz w:val="28"/>
          <w:szCs w:val="28"/>
        </w:rPr>
        <w:t>en razón al poco tiempo que lleva vigente</w:t>
      </w:r>
      <w:r w:rsidR="00E56654" w:rsidRPr="005D131A">
        <w:rPr>
          <w:iCs/>
          <w:sz w:val="28"/>
          <w:szCs w:val="28"/>
        </w:rPr>
        <w:t xml:space="preserve"> la norma</w:t>
      </w:r>
      <w:r w:rsidR="00DB62E2" w:rsidRPr="005D131A">
        <w:rPr>
          <w:iCs/>
          <w:sz w:val="28"/>
          <w:szCs w:val="28"/>
        </w:rPr>
        <w:t xml:space="preserve"> </w:t>
      </w:r>
      <w:r w:rsidRPr="005D131A">
        <w:rPr>
          <w:iCs/>
          <w:sz w:val="28"/>
          <w:szCs w:val="28"/>
        </w:rPr>
        <w:t>y</w:t>
      </w:r>
      <w:r w:rsidR="00DB62E2" w:rsidRPr="005D131A">
        <w:rPr>
          <w:iCs/>
          <w:sz w:val="28"/>
          <w:szCs w:val="28"/>
        </w:rPr>
        <w:t>,</w:t>
      </w:r>
      <w:r w:rsidRPr="005D131A">
        <w:rPr>
          <w:iCs/>
          <w:sz w:val="28"/>
          <w:szCs w:val="28"/>
        </w:rPr>
        <w:t xml:space="preserve"> por tanto</w:t>
      </w:r>
      <w:r w:rsidR="00DB62E2" w:rsidRPr="005D131A">
        <w:rPr>
          <w:iCs/>
          <w:sz w:val="28"/>
          <w:szCs w:val="28"/>
        </w:rPr>
        <w:t>,</w:t>
      </w:r>
      <w:r w:rsidRPr="005D131A">
        <w:rPr>
          <w:iCs/>
          <w:sz w:val="28"/>
          <w:szCs w:val="28"/>
        </w:rPr>
        <w:t xml:space="preserve"> no es posible hacer una valoración de cumplimien</w:t>
      </w:r>
      <w:r w:rsidR="00E56654" w:rsidRPr="005D131A">
        <w:rPr>
          <w:iCs/>
          <w:sz w:val="28"/>
          <w:szCs w:val="28"/>
        </w:rPr>
        <w:t>to basada en resultados y</w:t>
      </w:r>
      <w:r w:rsidR="00E33990" w:rsidRPr="005D131A">
        <w:rPr>
          <w:iCs/>
          <w:sz w:val="28"/>
          <w:szCs w:val="28"/>
        </w:rPr>
        <w:t xml:space="preserve"> avances progresivos y significativos que se obtengan con su puesta en marcha. </w:t>
      </w:r>
    </w:p>
    <w:p w:rsidR="00827B12" w:rsidRPr="005D131A" w:rsidRDefault="00827B12" w:rsidP="005D131A">
      <w:pPr>
        <w:tabs>
          <w:tab w:val="left" w:pos="3536"/>
        </w:tabs>
        <w:rPr>
          <w:iCs/>
          <w:sz w:val="28"/>
          <w:szCs w:val="28"/>
        </w:rPr>
      </w:pPr>
    </w:p>
    <w:p w:rsidR="009D2786" w:rsidRPr="005D131A" w:rsidRDefault="00400493" w:rsidP="005D131A">
      <w:pPr>
        <w:tabs>
          <w:tab w:val="left" w:pos="567"/>
        </w:tabs>
        <w:rPr>
          <w:iCs/>
          <w:sz w:val="28"/>
          <w:szCs w:val="28"/>
        </w:rPr>
      </w:pPr>
      <w:r w:rsidRPr="005D131A">
        <w:rPr>
          <w:iCs/>
          <w:sz w:val="28"/>
          <w:szCs w:val="28"/>
        </w:rPr>
        <w:t>Finalmente, la Cartera de salud mencionó la expedición de la Resolución 1328 de 2016, sin mayores explicaciones,</w:t>
      </w:r>
      <w:r w:rsidR="0068041A" w:rsidRPr="005D131A">
        <w:rPr>
          <w:iCs/>
          <w:sz w:val="28"/>
          <w:szCs w:val="28"/>
        </w:rPr>
        <w:t xml:space="preserve"> esto</w:t>
      </w:r>
      <w:r w:rsidR="00E33990" w:rsidRPr="005D131A">
        <w:rPr>
          <w:iCs/>
          <w:sz w:val="28"/>
          <w:szCs w:val="28"/>
        </w:rPr>
        <w:t xml:space="preserve"> es, sin indicar los fundamentos y los soportes técnicos de la modificación,</w:t>
      </w:r>
      <w:r w:rsidR="007775D1" w:rsidRPr="005D131A">
        <w:rPr>
          <w:iCs/>
          <w:sz w:val="28"/>
          <w:szCs w:val="28"/>
        </w:rPr>
        <w:t xml:space="preserve"> por lo que esta Corporación</w:t>
      </w:r>
      <w:r w:rsidR="00E33990" w:rsidRPr="005D131A">
        <w:rPr>
          <w:iCs/>
          <w:sz w:val="28"/>
          <w:szCs w:val="28"/>
        </w:rPr>
        <w:t xml:space="preserve"> </w:t>
      </w:r>
      <w:r w:rsidR="005E7BAD" w:rsidRPr="005D131A">
        <w:rPr>
          <w:iCs/>
          <w:sz w:val="28"/>
          <w:szCs w:val="28"/>
        </w:rPr>
        <w:t>formuló</w:t>
      </w:r>
      <w:r w:rsidRPr="005D131A">
        <w:rPr>
          <w:iCs/>
          <w:sz w:val="28"/>
          <w:szCs w:val="28"/>
        </w:rPr>
        <w:t xml:space="preserve"> una serie de interrogantes, los c</w:t>
      </w:r>
      <w:r w:rsidR="005E7BAD" w:rsidRPr="005D131A">
        <w:rPr>
          <w:iCs/>
          <w:sz w:val="28"/>
          <w:szCs w:val="28"/>
        </w:rPr>
        <w:t xml:space="preserve">uales si bien fueron resueltos </w:t>
      </w:r>
      <w:r w:rsidRPr="005D131A">
        <w:rPr>
          <w:iCs/>
          <w:sz w:val="28"/>
          <w:szCs w:val="28"/>
        </w:rPr>
        <w:t xml:space="preserve">en su integridad no se encuentran </w:t>
      </w:r>
      <w:r w:rsidR="005E7BAD" w:rsidRPr="005D131A">
        <w:rPr>
          <w:iCs/>
          <w:sz w:val="28"/>
          <w:szCs w:val="28"/>
        </w:rPr>
        <w:t>respaldados</w:t>
      </w:r>
      <w:r w:rsidR="007F7309" w:rsidRPr="005D131A">
        <w:rPr>
          <w:iCs/>
          <w:sz w:val="28"/>
          <w:szCs w:val="28"/>
        </w:rPr>
        <w:t xml:space="preserve"> con</w:t>
      </w:r>
      <w:r w:rsidRPr="005D131A">
        <w:rPr>
          <w:iCs/>
          <w:sz w:val="28"/>
          <w:szCs w:val="28"/>
        </w:rPr>
        <w:t xml:space="preserve"> soportes sólidos que den certeza de que el aplicativo </w:t>
      </w:r>
      <w:r w:rsidR="007775D1" w:rsidRPr="005D131A">
        <w:rPr>
          <w:iCs/>
          <w:sz w:val="28"/>
          <w:szCs w:val="28"/>
        </w:rPr>
        <w:t>w</w:t>
      </w:r>
      <w:r w:rsidRPr="005D131A">
        <w:rPr>
          <w:iCs/>
          <w:sz w:val="28"/>
          <w:szCs w:val="28"/>
        </w:rPr>
        <w:t>eb cuenta con todas las ga</w:t>
      </w:r>
      <w:r w:rsidR="007775D1" w:rsidRPr="005D131A">
        <w:rPr>
          <w:iCs/>
          <w:sz w:val="28"/>
          <w:szCs w:val="28"/>
        </w:rPr>
        <w:t>rantías para su funcionamiento. S</w:t>
      </w:r>
      <w:r w:rsidRPr="005D131A">
        <w:rPr>
          <w:iCs/>
          <w:sz w:val="28"/>
          <w:szCs w:val="28"/>
        </w:rPr>
        <w:t xml:space="preserve">e evidencia que la medida fue adoptada por el Ministerio sin tener en cuenta que </w:t>
      </w:r>
      <w:r w:rsidR="005E7BAD" w:rsidRPr="005D131A">
        <w:rPr>
          <w:iCs/>
          <w:sz w:val="28"/>
          <w:szCs w:val="28"/>
        </w:rPr>
        <w:t>eliminar</w:t>
      </w:r>
      <w:r w:rsidRPr="005D131A">
        <w:rPr>
          <w:iCs/>
          <w:sz w:val="28"/>
          <w:szCs w:val="28"/>
        </w:rPr>
        <w:t xml:space="preserve"> completamente los CTC en el régimen contributivo y reemplazarlo por un aplicativo donde el médico tratante reporta la prescripci</w:t>
      </w:r>
      <w:r w:rsidR="005E7BAD" w:rsidRPr="005D131A">
        <w:rPr>
          <w:iCs/>
          <w:sz w:val="28"/>
          <w:szCs w:val="28"/>
        </w:rPr>
        <w:t>ón en salud,</w:t>
      </w:r>
      <w:r w:rsidR="009D2786" w:rsidRPr="005D131A">
        <w:rPr>
          <w:iCs/>
          <w:sz w:val="28"/>
          <w:szCs w:val="28"/>
        </w:rPr>
        <w:t xml:space="preserve"> implica un cambio general a la forma de acceder a los servicios de salud no POS que se requieran con necesidad. </w:t>
      </w:r>
      <w:r w:rsidR="007F7309" w:rsidRPr="005D131A">
        <w:rPr>
          <w:iCs/>
          <w:sz w:val="28"/>
          <w:szCs w:val="28"/>
        </w:rPr>
        <w:t xml:space="preserve">Asunto que debió ser estudiado con detenimiento e implementado de manera progresiva, sin improvisaciones. </w:t>
      </w:r>
    </w:p>
    <w:p w:rsidR="007F7309" w:rsidRPr="005D131A" w:rsidRDefault="007F7309" w:rsidP="005D131A">
      <w:pPr>
        <w:tabs>
          <w:tab w:val="left" w:pos="567"/>
        </w:tabs>
        <w:rPr>
          <w:iCs/>
          <w:sz w:val="28"/>
          <w:szCs w:val="28"/>
        </w:rPr>
      </w:pPr>
    </w:p>
    <w:p w:rsidR="00400493" w:rsidRPr="005D131A" w:rsidRDefault="007F7309" w:rsidP="005D131A">
      <w:pPr>
        <w:tabs>
          <w:tab w:val="left" w:pos="567"/>
        </w:tabs>
        <w:rPr>
          <w:iCs/>
          <w:sz w:val="28"/>
          <w:szCs w:val="28"/>
        </w:rPr>
      </w:pPr>
      <w:r w:rsidRPr="005D131A">
        <w:rPr>
          <w:iCs/>
          <w:sz w:val="28"/>
          <w:szCs w:val="28"/>
        </w:rPr>
        <w:t>Lo anterior, por cuanto l</w:t>
      </w:r>
      <w:r w:rsidR="005E7BAD" w:rsidRPr="005D131A">
        <w:rPr>
          <w:iCs/>
          <w:sz w:val="28"/>
          <w:szCs w:val="28"/>
        </w:rPr>
        <w:t>a entrada en vigencia de la resolución aludida esta</w:t>
      </w:r>
      <w:r w:rsidRPr="005D131A">
        <w:rPr>
          <w:iCs/>
          <w:sz w:val="28"/>
          <w:szCs w:val="28"/>
        </w:rPr>
        <w:t xml:space="preserve">ba prevista para el 1º </w:t>
      </w:r>
      <w:r w:rsidR="005E7BAD" w:rsidRPr="005D131A">
        <w:rPr>
          <w:iCs/>
          <w:sz w:val="28"/>
          <w:szCs w:val="28"/>
        </w:rPr>
        <w:t xml:space="preserve">de junio </w:t>
      </w:r>
      <w:r w:rsidRPr="005D131A">
        <w:rPr>
          <w:iCs/>
          <w:sz w:val="28"/>
          <w:szCs w:val="28"/>
        </w:rPr>
        <w:t>de 2016, empero</w:t>
      </w:r>
      <w:r w:rsidR="005E7BAD" w:rsidRPr="005D131A">
        <w:rPr>
          <w:iCs/>
          <w:sz w:val="28"/>
          <w:szCs w:val="28"/>
        </w:rPr>
        <w:t>, tuvo que ser aplazada para el 1</w:t>
      </w:r>
      <w:r w:rsidRPr="005D131A">
        <w:rPr>
          <w:iCs/>
          <w:sz w:val="28"/>
          <w:szCs w:val="28"/>
        </w:rPr>
        <w:t>º</w:t>
      </w:r>
      <w:r w:rsidR="005E7BAD" w:rsidRPr="005D131A">
        <w:rPr>
          <w:iCs/>
          <w:sz w:val="28"/>
          <w:szCs w:val="28"/>
        </w:rPr>
        <w:t xml:space="preserve"> de septiembre siguiente en razón a que </w:t>
      </w:r>
      <w:r w:rsidRPr="005D131A">
        <w:rPr>
          <w:sz w:val="28"/>
          <w:szCs w:val="28"/>
          <w:lang w:val="es-CO"/>
        </w:rPr>
        <w:t>los tiempos previstos en la normativa resultaban insuficientes para ajustar los procesos internos a las nuevas exigencias.</w:t>
      </w:r>
    </w:p>
    <w:p w:rsidR="00E722B6" w:rsidRPr="005D131A" w:rsidRDefault="00E722B6" w:rsidP="005D131A">
      <w:pPr>
        <w:tabs>
          <w:tab w:val="left" w:pos="3536"/>
        </w:tabs>
        <w:ind w:right="-40"/>
        <w:rPr>
          <w:sz w:val="28"/>
          <w:szCs w:val="28"/>
          <w:lang w:val="es-CO"/>
        </w:rPr>
      </w:pPr>
    </w:p>
    <w:p w:rsidR="000D4FE1" w:rsidRPr="005D131A" w:rsidRDefault="007775D1" w:rsidP="005D131A">
      <w:pPr>
        <w:pStyle w:val="Prrafodelista"/>
        <w:tabs>
          <w:tab w:val="left" w:pos="709"/>
        </w:tabs>
        <w:ind w:left="0"/>
        <w:rPr>
          <w:sz w:val="28"/>
          <w:szCs w:val="28"/>
        </w:rPr>
      </w:pPr>
      <w:r w:rsidRPr="005D131A">
        <w:rPr>
          <w:sz w:val="28"/>
          <w:szCs w:val="28"/>
        </w:rPr>
        <w:t>En suma, la Sala</w:t>
      </w:r>
      <w:r w:rsidR="00A565C7" w:rsidRPr="005D131A">
        <w:rPr>
          <w:sz w:val="28"/>
          <w:szCs w:val="28"/>
        </w:rPr>
        <w:t xml:space="preserve"> colige que aunque existieron avances formales</w:t>
      </w:r>
      <w:r w:rsidR="00C54C62" w:rsidRPr="005D131A">
        <w:rPr>
          <w:sz w:val="28"/>
          <w:szCs w:val="28"/>
        </w:rPr>
        <w:t xml:space="preserve"> con la medida adoptada por el Ministerio de Salud y Protección Social (Resolución </w:t>
      </w:r>
      <w:r w:rsidR="00C54C62" w:rsidRPr="005D131A">
        <w:rPr>
          <w:iCs/>
          <w:sz w:val="28"/>
          <w:szCs w:val="28"/>
        </w:rPr>
        <w:t>1328 de 2016</w:t>
      </w:r>
      <w:r w:rsidR="000D4FE1" w:rsidRPr="005D131A">
        <w:rPr>
          <w:iCs/>
          <w:sz w:val="28"/>
          <w:szCs w:val="28"/>
        </w:rPr>
        <w:t xml:space="preserve">), estos no son suficientes para superar la problemática, de un lado, porque la nueva normativa no </w:t>
      </w:r>
      <w:r w:rsidR="00801E34" w:rsidRPr="005D131A">
        <w:rPr>
          <w:sz w:val="28"/>
          <w:szCs w:val="28"/>
        </w:rPr>
        <w:t>incluyó</w:t>
      </w:r>
      <w:r w:rsidR="000D4FE1" w:rsidRPr="005D131A">
        <w:rPr>
          <w:sz w:val="28"/>
          <w:szCs w:val="28"/>
        </w:rPr>
        <w:t xml:space="preserve"> el régimen subsidiado donde aún persiste el trámite del CTC para la autorización de servicios no incluidos o excluidos del POS. De otro lado, </w:t>
      </w:r>
      <w:r w:rsidR="00801E34" w:rsidRPr="005D131A">
        <w:rPr>
          <w:sz w:val="28"/>
          <w:szCs w:val="28"/>
        </w:rPr>
        <w:t>hay lugar a declarar el nivel de cumplimiento</w:t>
      </w:r>
      <w:r w:rsidR="00F9421A" w:rsidRPr="005D131A">
        <w:rPr>
          <w:sz w:val="28"/>
          <w:szCs w:val="28"/>
        </w:rPr>
        <w:t xml:space="preserve"> bajo</w:t>
      </w:r>
      <w:r w:rsidR="00801E34" w:rsidRPr="005D131A">
        <w:rPr>
          <w:sz w:val="28"/>
          <w:szCs w:val="28"/>
        </w:rPr>
        <w:t xml:space="preserve"> conforme a lo</w:t>
      </w:r>
      <w:r w:rsidR="00801E34" w:rsidRPr="005D131A">
        <w:rPr>
          <w:bCs/>
          <w:color w:val="000000"/>
          <w:sz w:val="28"/>
          <w:szCs w:val="28"/>
        </w:rPr>
        <w:t xml:space="preserve"> expuesto en el numeral 2.3. de la presente providencia</w:t>
      </w:r>
      <w:r w:rsidR="00801E34" w:rsidRPr="005D131A">
        <w:rPr>
          <w:sz w:val="28"/>
          <w:szCs w:val="28"/>
        </w:rPr>
        <w:t xml:space="preserve">  </w:t>
      </w:r>
      <w:r w:rsidR="000D4FE1" w:rsidRPr="005D131A">
        <w:rPr>
          <w:sz w:val="28"/>
          <w:szCs w:val="28"/>
        </w:rPr>
        <w:t xml:space="preserve">porque </w:t>
      </w:r>
      <w:r w:rsidR="000D4FE1" w:rsidRPr="005D131A">
        <w:rPr>
          <w:bCs/>
          <w:color w:val="000000"/>
          <w:sz w:val="28"/>
          <w:szCs w:val="28"/>
        </w:rPr>
        <w:t xml:space="preserve">si bien las medidas </w:t>
      </w:r>
      <w:r w:rsidR="00801E34" w:rsidRPr="005D131A">
        <w:rPr>
          <w:bCs/>
          <w:color w:val="000000"/>
          <w:sz w:val="28"/>
          <w:szCs w:val="28"/>
        </w:rPr>
        <w:t xml:space="preserve">adoptadas </w:t>
      </w:r>
      <w:r w:rsidR="000D4FE1" w:rsidRPr="005D131A">
        <w:rPr>
          <w:bCs/>
          <w:color w:val="000000"/>
          <w:sz w:val="28"/>
          <w:szCs w:val="28"/>
        </w:rPr>
        <w:t>para el régimen contributivo son conducentes para el acatamiento de la orden</w:t>
      </w:r>
      <w:r w:rsidR="00801E34" w:rsidRPr="005D131A">
        <w:rPr>
          <w:bCs/>
          <w:color w:val="000000"/>
          <w:sz w:val="28"/>
          <w:szCs w:val="28"/>
        </w:rPr>
        <w:t xml:space="preserve">, </w:t>
      </w:r>
      <w:r w:rsidR="000D4FE1" w:rsidRPr="005D131A">
        <w:rPr>
          <w:bCs/>
          <w:color w:val="000000"/>
          <w:sz w:val="28"/>
          <w:szCs w:val="28"/>
        </w:rPr>
        <w:t>el Ministerio no acreditó los resultados y avances reales en su implementaci</w:t>
      </w:r>
      <w:r w:rsidR="00801E34" w:rsidRPr="005D131A">
        <w:rPr>
          <w:bCs/>
          <w:color w:val="000000"/>
          <w:sz w:val="28"/>
          <w:szCs w:val="28"/>
        </w:rPr>
        <w:t xml:space="preserve">ón. </w:t>
      </w:r>
    </w:p>
    <w:p w:rsidR="000D4FE1" w:rsidRPr="005D131A" w:rsidRDefault="000D4FE1" w:rsidP="005D131A">
      <w:pPr>
        <w:pStyle w:val="Prrafodelista"/>
        <w:tabs>
          <w:tab w:val="left" w:pos="709"/>
        </w:tabs>
        <w:ind w:left="0"/>
        <w:rPr>
          <w:sz w:val="28"/>
          <w:szCs w:val="28"/>
        </w:rPr>
      </w:pPr>
    </w:p>
    <w:p w:rsidR="00801E34" w:rsidRPr="005D131A" w:rsidRDefault="00801E34" w:rsidP="005D131A">
      <w:pPr>
        <w:pStyle w:val="Prrafodelista"/>
        <w:tabs>
          <w:tab w:val="left" w:pos="709"/>
        </w:tabs>
        <w:ind w:left="0"/>
        <w:rPr>
          <w:sz w:val="28"/>
          <w:szCs w:val="28"/>
        </w:rPr>
      </w:pPr>
      <w:r w:rsidRPr="005D131A">
        <w:rPr>
          <w:sz w:val="28"/>
          <w:szCs w:val="28"/>
        </w:rPr>
        <w:t xml:space="preserve">Sin perjuicio de lo dicho hasta el momento y a pesar de las irregularidades advertidas, esta Sala reconoce el esfuerzo que el ente regulador ha realizado hasta el momento, incluso la nueva normativa puede arrojar en un futuro próximo resultados satisfactorios ya que la misma acoge el espíritu o fin último de la orden vigésimo tercera. </w:t>
      </w:r>
    </w:p>
    <w:p w:rsidR="00777CD1" w:rsidRPr="005D131A" w:rsidRDefault="00777CD1" w:rsidP="005D131A">
      <w:pPr>
        <w:pStyle w:val="Prrafodelista"/>
        <w:tabs>
          <w:tab w:val="left" w:pos="709"/>
        </w:tabs>
        <w:ind w:left="0"/>
        <w:rPr>
          <w:sz w:val="28"/>
          <w:szCs w:val="28"/>
        </w:rPr>
      </w:pPr>
    </w:p>
    <w:p w:rsidR="00900F08" w:rsidRPr="005D131A" w:rsidRDefault="00A565C7" w:rsidP="005D131A">
      <w:pPr>
        <w:autoSpaceDE w:val="0"/>
        <w:autoSpaceDN w:val="0"/>
        <w:ind w:right="-40"/>
        <w:rPr>
          <w:sz w:val="28"/>
          <w:szCs w:val="28"/>
          <w:lang w:val="es-ES_tradnl"/>
        </w:rPr>
      </w:pPr>
      <w:r w:rsidRPr="005D131A">
        <w:rPr>
          <w:sz w:val="28"/>
          <w:szCs w:val="28"/>
        </w:rPr>
        <w:t>En esos términos, habrá de declararse el nivel de cumplimiento</w:t>
      </w:r>
      <w:r w:rsidR="009D2786" w:rsidRPr="005D131A">
        <w:rPr>
          <w:sz w:val="28"/>
          <w:szCs w:val="28"/>
        </w:rPr>
        <w:t xml:space="preserve"> bajo de la or</w:t>
      </w:r>
      <w:r w:rsidR="0064752C" w:rsidRPr="005D131A">
        <w:rPr>
          <w:sz w:val="28"/>
          <w:szCs w:val="28"/>
        </w:rPr>
        <w:t>den décima tercera</w:t>
      </w:r>
      <w:r w:rsidR="009D2786" w:rsidRPr="005D131A">
        <w:rPr>
          <w:sz w:val="28"/>
          <w:szCs w:val="28"/>
        </w:rPr>
        <w:t xml:space="preserve">, </w:t>
      </w:r>
      <w:r w:rsidR="0064752C" w:rsidRPr="005D131A">
        <w:rPr>
          <w:sz w:val="28"/>
          <w:szCs w:val="28"/>
        </w:rPr>
        <w:t>puesto que, la R</w:t>
      </w:r>
      <w:r w:rsidRPr="005D131A">
        <w:rPr>
          <w:sz w:val="28"/>
          <w:szCs w:val="28"/>
        </w:rPr>
        <w:t xml:space="preserve">esolución </w:t>
      </w:r>
      <w:r w:rsidR="00BB1863" w:rsidRPr="005D131A">
        <w:rPr>
          <w:sz w:val="28"/>
          <w:szCs w:val="28"/>
        </w:rPr>
        <w:t xml:space="preserve">1328 de 2016, lleva tan solo unos </w:t>
      </w:r>
      <w:r w:rsidR="000D4FE1" w:rsidRPr="005D131A">
        <w:rPr>
          <w:sz w:val="28"/>
          <w:szCs w:val="28"/>
        </w:rPr>
        <w:t>meses</w:t>
      </w:r>
      <w:r w:rsidR="00BB1863" w:rsidRPr="005D131A">
        <w:rPr>
          <w:sz w:val="28"/>
          <w:szCs w:val="28"/>
        </w:rPr>
        <w:t xml:space="preserve"> vigente y no es posible hacer una valoraci</w:t>
      </w:r>
      <w:r w:rsidR="0064752C" w:rsidRPr="005D131A">
        <w:rPr>
          <w:sz w:val="28"/>
          <w:szCs w:val="28"/>
        </w:rPr>
        <w:t>ón al respecto. E</w:t>
      </w:r>
      <w:r w:rsidR="007F7309" w:rsidRPr="005D131A">
        <w:rPr>
          <w:sz w:val="28"/>
          <w:szCs w:val="28"/>
        </w:rPr>
        <w:t xml:space="preserve">n tal sentido, </w:t>
      </w:r>
      <w:r w:rsidR="0064752C" w:rsidRPr="005D131A">
        <w:rPr>
          <w:sz w:val="28"/>
          <w:szCs w:val="28"/>
        </w:rPr>
        <w:t xml:space="preserve">se ordenará al Ministerio que </w:t>
      </w:r>
      <w:r w:rsidR="007F7309" w:rsidRPr="005D131A">
        <w:rPr>
          <w:sz w:val="28"/>
          <w:szCs w:val="28"/>
        </w:rPr>
        <w:t xml:space="preserve">en el término de tres (3) </w:t>
      </w:r>
      <w:r w:rsidR="0064752C" w:rsidRPr="005D131A">
        <w:rPr>
          <w:sz w:val="28"/>
          <w:szCs w:val="28"/>
        </w:rPr>
        <w:t>meses presente los resultados de su aplicación y proceda a crear el</w:t>
      </w:r>
      <w:r w:rsidR="00900F08" w:rsidRPr="005D131A">
        <w:rPr>
          <w:sz w:val="28"/>
          <w:szCs w:val="28"/>
          <w:lang w:val="es-ES_tradnl"/>
        </w:rPr>
        <w:t xml:space="preserve"> procedimiento de acceso, reporte de prescripción, garantía de suministro, verificación, control, pago y análisis de la información de servicios y tecnologías en salud </w:t>
      </w:r>
      <w:r w:rsidR="00AA584F" w:rsidRPr="005D131A">
        <w:rPr>
          <w:sz w:val="28"/>
          <w:szCs w:val="28"/>
          <w:lang w:val="es-ES_tradnl"/>
        </w:rPr>
        <w:t xml:space="preserve">excluidas del </w:t>
      </w:r>
      <w:r w:rsidR="00900F08" w:rsidRPr="005D131A">
        <w:rPr>
          <w:sz w:val="28"/>
          <w:szCs w:val="28"/>
          <w:lang w:val="es-ES_tradnl"/>
        </w:rPr>
        <w:t>Plan de Beneficios en Salud con cargo</w:t>
      </w:r>
      <w:r w:rsidR="0064752C" w:rsidRPr="005D131A">
        <w:rPr>
          <w:sz w:val="28"/>
          <w:szCs w:val="28"/>
          <w:lang w:val="es-ES_tradnl"/>
        </w:rPr>
        <w:t xml:space="preserve"> a la UPC correspondiente al r</w:t>
      </w:r>
      <w:r w:rsidR="00900F08" w:rsidRPr="005D131A">
        <w:rPr>
          <w:sz w:val="28"/>
          <w:szCs w:val="28"/>
          <w:lang w:val="es-ES_tradnl"/>
        </w:rPr>
        <w:t>égimen subsidiado</w:t>
      </w:r>
      <w:r w:rsidR="0064752C" w:rsidRPr="005D131A">
        <w:rPr>
          <w:sz w:val="28"/>
          <w:szCs w:val="28"/>
          <w:lang w:val="es-ES_tradnl"/>
        </w:rPr>
        <w:t>, sin perjuicio de las demás acciones que considere necesaria</w:t>
      </w:r>
      <w:r w:rsidR="00900F08" w:rsidRPr="005D131A">
        <w:rPr>
          <w:sz w:val="28"/>
          <w:szCs w:val="28"/>
          <w:lang w:val="es-ES_tradnl"/>
        </w:rPr>
        <w:t>s para el cumplimie</w:t>
      </w:r>
      <w:r w:rsidR="00F9421A" w:rsidRPr="005D131A">
        <w:rPr>
          <w:sz w:val="28"/>
          <w:szCs w:val="28"/>
          <w:lang w:val="es-ES_tradnl"/>
        </w:rPr>
        <w:t>nto de la orden vigésima</w:t>
      </w:r>
      <w:r w:rsidR="0064752C" w:rsidRPr="005D131A">
        <w:rPr>
          <w:sz w:val="28"/>
          <w:szCs w:val="28"/>
          <w:lang w:val="es-ES_tradnl"/>
        </w:rPr>
        <w:t xml:space="preserve"> tercera</w:t>
      </w:r>
      <w:r w:rsidR="00900F08" w:rsidRPr="005D131A">
        <w:rPr>
          <w:sz w:val="28"/>
          <w:szCs w:val="28"/>
          <w:lang w:val="es-ES_tradnl"/>
        </w:rPr>
        <w:t xml:space="preserve"> de la Sentencia T-760 de 2008.  </w:t>
      </w:r>
    </w:p>
    <w:p w:rsidR="00F9421A" w:rsidRPr="005D131A" w:rsidRDefault="00F9421A" w:rsidP="005D131A">
      <w:pPr>
        <w:autoSpaceDE w:val="0"/>
        <w:autoSpaceDN w:val="0"/>
        <w:ind w:right="-40"/>
        <w:rPr>
          <w:sz w:val="28"/>
          <w:szCs w:val="28"/>
          <w:lang w:val="es-ES_tradnl"/>
        </w:rPr>
      </w:pPr>
    </w:p>
    <w:p w:rsidR="00F9421A" w:rsidRPr="005D131A" w:rsidRDefault="00827B12" w:rsidP="005D131A">
      <w:pPr>
        <w:rPr>
          <w:sz w:val="28"/>
          <w:szCs w:val="28"/>
          <w:lang w:val="es-CO"/>
        </w:rPr>
      </w:pPr>
      <w:r w:rsidRPr="005D131A">
        <w:rPr>
          <w:sz w:val="28"/>
          <w:szCs w:val="28"/>
          <w:lang w:val="es-CO"/>
        </w:rPr>
        <w:t>En cuanto a la adopción de l</w:t>
      </w:r>
      <w:r w:rsidR="00F9421A" w:rsidRPr="005D131A">
        <w:rPr>
          <w:sz w:val="28"/>
          <w:szCs w:val="28"/>
          <w:lang w:val="es-CO"/>
        </w:rPr>
        <w:t>a metodología para crear</w:t>
      </w:r>
      <w:r w:rsidR="00636395" w:rsidRPr="005D131A">
        <w:rPr>
          <w:sz w:val="28"/>
          <w:szCs w:val="28"/>
          <w:lang w:val="es-CO"/>
        </w:rPr>
        <w:t xml:space="preserve"> </w:t>
      </w:r>
      <w:r w:rsidR="00636395" w:rsidRPr="005D131A">
        <w:rPr>
          <w:sz w:val="28"/>
          <w:szCs w:val="28"/>
        </w:rPr>
        <w:t>el</w:t>
      </w:r>
      <w:r w:rsidR="00636395" w:rsidRPr="005D131A">
        <w:rPr>
          <w:sz w:val="28"/>
          <w:szCs w:val="28"/>
          <w:lang w:val="es-ES_tradnl"/>
        </w:rPr>
        <w:t xml:space="preserve"> procedimiento de </w:t>
      </w:r>
      <w:r w:rsidR="00290AEE" w:rsidRPr="005D131A">
        <w:rPr>
          <w:sz w:val="28"/>
          <w:szCs w:val="28"/>
          <w:lang w:val="es-ES_tradnl"/>
        </w:rPr>
        <w:t>autorización</w:t>
      </w:r>
      <w:r w:rsidR="00636395" w:rsidRPr="005D131A">
        <w:rPr>
          <w:sz w:val="28"/>
          <w:szCs w:val="28"/>
          <w:lang w:val="es-ES_tradnl"/>
        </w:rPr>
        <w:t xml:space="preserve"> de servicios y tecnologías en salud excluidas del Plan de Beneficios </w:t>
      </w:r>
      <w:r w:rsidRPr="005D131A">
        <w:rPr>
          <w:sz w:val="28"/>
          <w:szCs w:val="28"/>
          <w:lang w:val="es-ES_tradnl"/>
        </w:rPr>
        <w:t>del</w:t>
      </w:r>
      <w:r w:rsidR="00636395" w:rsidRPr="005D131A">
        <w:rPr>
          <w:sz w:val="28"/>
          <w:szCs w:val="28"/>
          <w:lang w:val="es-ES_tradnl"/>
        </w:rPr>
        <w:t xml:space="preserve"> régimen subsidiado</w:t>
      </w:r>
      <w:r w:rsidRPr="005D131A">
        <w:rPr>
          <w:sz w:val="28"/>
          <w:szCs w:val="28"/>
          <w:lang w:val="es-ES_tradnl"/>
        </w:rPr>
        <w:t xml:space="preserve">, </w:t>
      </w:r>
      <w:r w:rsidRPr="005D131A">
        <w:rPr>
          <w:sz w:val="28"/>
          <w:szCs w:val="28"/>
          <w:lang w:val="es-CO"/>
        </w:rPr>
        <w:t>l</w:t>
      </w:r>
      <w:r w:rsidR="00F9421A" w:rsidRPr="005D131A">
        <w:rPr>
          <w:sz w:val="28"/>
          <w:szCs w:val="28"/>
          <w:lang w:val="es-CO"/>
        </w:rPr>
        <w:t xml:space="preserve">a </w:t>
      </w:r>
      <w:r w:rsidR="00775902" w:rsidRPr="005D131A">
        <w:rPr>
          <w:sz w:val="28"/>
          <w:szCs w:val="28"/>
          <w:lang w:val="es-CO"/>
        </w:rPr>
        <w:t>Cor</w:t>
      </w:r>
      <w:r w:rsidR="00F9421A" w:rsidRPr="005D131A">
        <w:rPr>
          <w:sz w:val="28"/>
          <w:szCs w:val="28"/>
          <w:lang w:val="es-CO"/>
        </w:rPr>
        <w:t>te no intervendrá</w:t>
      </w:r>
      <w:r w:rsidR="00290AEE" w:rsidRPr="005D131A">
        <w:rPr>
          <w:sz w:val="28"/>
          <w:szCs w:val="28"/>
          <w:lang w:val="es-CO"/>
        </w:rPr>
        <w:t xml:space="preserve"> en la misma</w:t>
      </w:r>
      <w:r w:rsidR="00F9421A" w:rsidRPr="005D131A">
        <w:rPr>
          <w:sz w:val="28"/>
          <w:szCs w:val="28"/>
          <w:lang w:val="es-CO"/>
        </w:rPr>
        <w:t xml:space="preserve"> como quiera que hace parte de la libertad de configuración de la política pública de q</w:t>
      </w:r>
      <w:r w:rsidRPr="005D131A">
        <w:rPr>
          <w:sz w:val="28"/>
          <w:szCs w:val="28"/>
          <w:lang w:val="es-CO"/>
        </w:rPr>
        <w:t>ue</w:t>
      </w:r>
      <w:r w:rsidR="00F9421A" w:rsidRPr="005D131A">
        <w:rPr>
          <w:sz w:val="28"/>
          <w:szCs w:val="28"/>
          <w:lang w:val="es-CO"/>
        </w:rPr>
        <w:t xml:space="preserve"> goza el </w:t>
      </w:r>
      <w:r w:rsidRPr="005D131A">
        <w:rPr>
          <w:sz w:val="28"/>
          <w:szCs w:val="28"/>
          <w:lang w:val="es-CO"/>
        </w:rPr>
        <w:t>ente regulador en salud</w:t>
      </w:r>
      <w:r w:rsidR="00F9421A" w:rsidRPr="005D131A">
        <w:rPr>
          <w:sz w:val="28"/>
          <w:szCs w:val="28"/>
          <w:lang w:val="es-CO"/>
        </w:rPr>
        <w:t xml:space="preserve">. </w:t>
      </w:r>
      <w:r w:rsidRPr="005D131A">
        <w:rPr>
          <w:sz w:val="28"/>
          <w:szCs w:val="28"/>
          <w:lang w:val="es-CO"/>
        </w:rPr>
        <w:t>En esos términos,</w:t>
      </w:r>
      <w:r w:rsidR="00F9421A" w:rsidRPr="005D131A">
        <w:rPr>
          <w:sz w:val="28"/>
          <w:szCs w:val="28"/>
          <w:lang w:val="es-CO"/>
        </w:rPr>
        <w:t xml:space="preserve"> la labor de verificación se </w:t>
      </w:r>
      <w:r w:rsidRPr="005D131A">
        <w:rPr>
          <w:sz w:val="28"/>
          <w:szCs w:val="28"/>
          <w:lang w:val="es-CO"/>
        </w:rPr>
        <w:t>limitará</w:t>
      </w:r>
      <w:r w:rsidR="00290AEE" w:rsidRPr="005D131A">
        <w:rPr>
          <w:sz w:val="28"/>
          <w:szCs w:val="28"/>
          <w:lang w:val="es-CO"/>
        </w:rPr>
        <w:t xml:space="preserve"> al</w:t>
      </w:r>
      <w:r w:rsidR="00F9421A" w:rsidRPr="005D131A">
        <w:rPr>
          <w:sz w:val="28"/>
          <w:szCs w:val="28"/>
          <w:lang w:val="es-CO"/>
        </w:rPr>
        <w:t xml:space="preserve"> </w:t>
      </w:r>
      <w:r w:rsidR="00290AEE" w:rsidRPr="005D131A">
        <w:rPr>
          <w:sz w:val="28"/>
          <w:szCs w:val="28"/>
          <w:lang w:val="es-CO"/>
        </w:rPr>
        <w:t xml:space="preserve">análisis </w:t>
      </w:r>
      <w:r w:rsidR="00F9421A" w:rsidRPr="005D131A">
        <w:rPr>
          <w:sz w:val="28"/>
          <w:szCs w:val="28"/>
          <w:lang w:val="es-CO"/>
        </w:rPr>
        <w:t>de los resultados derivados de su implemen</w:t>
      </w:r>
      <w:r w:rsidRPr="005D131A">
        <w:rPr>
          <w:sz w:val="28"/>
          <w:szCs w:val="28"/>
          <w:lang w:val="es-CO"/>
        </w:rPr>
        <w:t xml:space="preserve">tación. </w:t>
      </w:r>
    </w:p>
    <w:p w:rsidR="00775902" w:rsidRPr="005D131A" w:rsidRDefault="00775902" w:rsidP="005D131A">
      <w:pPr>
        <w:tabs>
          <w:tab w:val="left" w:pos="3536"/>
        </w:tabs>
        <w:rPr>
          <w:sz w:val="28"/>
          <w:szCs w:val="28"/>
          <w:lang w:val="es-ES_tradnl"/>
        </w:rPr>
      </w:pPr>
    </w:p>
    <w:p w:rsidR="00E33990" w:rsidRPr="005D131A" w:rsidRDefault="00E33990" w:rsidP="005D131A">
      <w:pPr>
        <w:tabs>
          <w:tab w:val="left" w:pos="3536"/>
        </w:tabs>
        <w:rPr>
          <w:sz w:val="28"/>
          <w:szCs w:val="28"/>
        </w:rPr>
      </w:pPr>
      <w:r w:rsidRPr="005D131A">
        <w:rPr>
          <w:sz w:val="28"/>
          <w:szCs w:val="28"/>
        </w:rPr>
        <w:t>En mérito de lo expuesto, la Sala Especial de Seguimiento a la Sentencia T-760 de 2008,</w:t>
      </w:r>
    </w:p>
    <w:p w:rsidR="00E33990" w:rsidRPr="005D131A" w:rsidRDefault="00E33990" w:rsidP="005D131A">
      <w:pPr>
        <w:tabs>
          <w:tab w:val="left" w:pos="2400"/>
        </w:tabs>
        <w:rPr>
          <w:sz w:val="28"/>
          <w:szCs w:val="28"/>
        </w:rPr>
      </w:pPr>
    </w:p>
    <w:p w:rsidR="00E33990" w:rsidRPr="005D131A" w:rsidRDefault="00E33990" w:rsidP="005D131A">
      <w:pPr>
        <w:widowControl w:val="0"/>
        <w:autoSpaceDE w:val="0"/>
        <w:autoSpaceDN w:val="0"/>
        <w:adjustRightInd w:val="0"/>
        <w:jc w:val="center"/>
        <w:rPr>
          <w:b/>
          <w:bCs/>
          <w:sz w:val="28"/>
          <w:szCs w:val="28"/>
        </w:rPr>
      </w:pPr>
      <w:r w:rsidRPr="005D131A">
        <w:rPr>
          <w:b/>
          <w:bCs/>
          <w:sz w:val="28"/>
          <w:szCs w:val="28"/>
        </w:rPr>
        <w:t>III.</w:t>
      </w:r>
      <w:r w:rsidRPr="005D131A">
        <w:rPr>
          <w:b/>
          <w:bCs/>
          <w:sz w:val="28"/>
          <w:szCs w:val="28"/>
        </w:rPr>
        <w:tab/>
        <w:t>RESUELVE:</w:t>
      </w:r>
    </w:p>
    <w:p w:rsidR="00E33990" w:rsidRPr="005D131A" w:rsidRDefault="00E33990" w:rsidP="005D131A">
      <w:pPr>
        <w:pStyle w:val="Sinespaciado2"/>
        <w:jc w:val="both"/>
        <w:rPr>
          <w:rFonts w:ascii="Times New Roman" w:hAnsi="Times New Roman"/>
          <w:sz w:val="28"/>
          <w:szCs w:val="28"/>
          <w:lang w:eastAsia="es-ES"/>
        </w:rPr>
      </w:pPr>
    </w:p>
    <w:p w:rsidR="00E33990" w:rsidRPr="005D131A" w:rsidRDefault="00E33990" w:rsidP="005D131A">
      <w:pPr>
        <w:pStyle w:val="Sinespaciado2"/>
        <w:jc w:val="both"/>
        <w:rPr>
          <w:rFonts w:ascii="Times New Roman" w:hAnsi="Times New Roman"/>
          <w:sz w:val="28"/>
          <w:szCs w:val="28"/>
          <w:lang w:eastAsia="es-ES"/>
        </w:rPr>
      </w:pPr>
      <w:r w:rsidRPr="005D131A">
        <w:rPr>
          <w:rFonts w:ascii="Times New Roman" w:hAnsi="Times New Roman"/>
          <w:b/>
          <w:bCs/>
          <w:sz w:val="28"/>
          <w:szCs w:val="28"/>
          <w:lang w:eastAsia="es-ES"/>
        </w:rPr>
        <w:t xml:space="preserve">PRIMERO.- </w:t>
      </w:r>
      <w:r w:rsidRPr="005D131A">
        <w:rPr>
          <w:rFonts w:ascii="Times New Roman" w:hAnsi="Times New Roman"/>
          <w:bCs/>
          <w:sz w:val="28"/>
          <w:szCs w:val="28"/>
          <w:lang w:eastAsia="es-ES"/>
        </w:rPr>
        <w:t>Declarar</w:t>
      </w:r>
      <w:r w:rsidRPr="005D131A">
        <w:rPr>
          <w:rFonts w:ascii="Times New Roman" w:hAnsi="Times New Roman"/>
          <w:b/>
          <w:bCs/>
          <w:sz w:val="28"/>
          <w:szCs w:val="28"/>
          <w:lang w:eastAsia="es-ES"/>
        </w:rPr>
        <w:t xml:space="preserve"> </w:t>
      </w:r>
      <w:r w:rsidRPr="005D131A">
        <w:rPr>
          <w:rFonts w:ascii="Times New Roman" w:hAnsi="Times New Roman"/>
          <w:sz w:val="28"/>
          <w:szCs w:val="28"/>
          <w:lang w:eastAsia="es-ES"/>
        </w:rPr>
        <w:t xml:space="preserve">el nivel de </w:t>
      </w:r>
      <w:r w:rsidRPr="005D131A">
        <w:rPr>
          <w:rFonts w:ascii="Times New Roman" w:hAnsi="Times New Roman"/>
          <w:b/>
          <w:sz w:val="28"/>
          <w:szCs w:val="28"/>
          <w:lang w:eastAsia="es-ES"/>
        </w:rPr>
        <w:t xml:space="preserve">CUMPLIMIENTO BAJO </w:t>
      </w:r>
      <w:r w:rsidRPr="005D131A">
        <w:rPr>
          <w:rFonts w:ascii="Times New Roman" w:hAnsi="Times New Roman"/>
          <w:sz w:val="28"/>
          <w:szCs w:val="28"/>
          <w:lang w:eastAsia="es-ES"/>
        </w:rPr>
        <w:t>de la orden</w:t>
      </w:r>
      <w:r w:rsidR="00900F08" w:rsidRPr="005D131A">
        <w:rPr>
          <w:rFonts w:ascii="Times New Roman" w:hAnsi="Times New Roman"/>
          <w:sz w:val="28"/>
          <w:szCs w:val="28"/>
          <w:lang w:eastAsia="es-ES"/>
        </w:rPr>
        <w:t xml:space="preserve"> </w:t>
      </w:r>
      <w:r w:rsidR="00900F08" w:rsidRPr="005D131A">
        <w:rPr>
          <w:rFonts w:ascii="Times New Roman" w:hAnsi="Times New Roman"/>
          <w:sz w:val="28"/>
          <w:szCs w:val="28"/>
        </w:rPr>
        <w:t>vigésima tercera</w:t>
      </w:r>
      <w:r w:rsidRPr="005D131A">
        <w:rPr>
          <w:rFonts w:ascii="Times New Roman" w:hAnsi="Times New Roman"/>
          <w:sz w:val="28"/>
          <w:szCs w:val="28"/>
          <w:lang w:eastAsia="es-ES"/>
        </w:rPr>
        <w:t xml:space="preserve"> de la sentencia T-760 de 2008, por los motivos expuestos en la parte considerativa de esta providencia.</w:t>
      </w:r>
    </w:p>
    <w:p w:rsidR="00E33990" w:rsidRPr="005D131A" w:rsidRDefault="00E33990" w:rsidP="005D131A">
      <w:pPr>
        <w:pStyle w:val="Sinespaciado2"/>
        <w:jc w:val="both"/>
        <w:rPr>
          <w:rFonts w:ascii="Times New Roman" w:hAnsi="Times New Roman"/>
          <w:b/>
          <w:bCs/>
          <w:sz w:val="28"/>
          <w:szCs w:val="28"/>
          <w:lang w:eastAsia="es-ES"/>
        </w:rPr>
      </w:pPr>
    </w:p>
    <w:p w:rsidR="0064752C" w:rsidRPr="005D131A" w:rsidRDefault="00E33990" w:rsidP="005D131A">
      <w:pPr>
        <w:autoSpaceDE w:val="0"/>
        <w:autoSpaceDN w:val="0"/>
        <w:ind w:right="-40"/>
        <w:rPr>
          <w:sz w:val="28"/>
          <w:szCs w:val="28"/>
        </w:rPr>
      </w:pPr>
      <w:r w:rsidRPr="005D131A">
        <w:rPr>
          <w:b/>
          <w:bCs/>
          <w:sz w:val="28"/>
          <w:szCs w:val="28"/>
        </w:rPr>
        <w:t>SEGUNDO</w:t>
      </w:r>
      <w:r w:rsidR="00900F08" w:rsidRPr="005D131A">
        <w:rPr>
          <w:b/>
          <w:bCs/>
          <w:sz w:val="28"/>
          <w:szCs w:val="28"/>
        </w:rPr>
        <w:t xml:space="preserve">.- </w:t>
      </w:r>
      <w:r w:rsidR="00900F08" w:rsidRPr="005D131A">
        <w:rPr>
          <w:sz w:val="28"/>
          <w:szCs w:val="28"/>
        </w:rPr>
        <w:t xml:space="preserve">ORDENAR </w:t>
      </w:r>
      <w:r w:rsidR="00900F08" w:rsidRPr="005D131A">
        <w:rPr>
          <w:sz w:val="28"/>
          <w:szCs w:val="28"/>
          <w:lang w:val="es-ES_tradnl"/>
        </w:rPr>
        <w:t xml:space="preserve">al Ministerio de Salud y Protección Social que, en el término de tres (03) meses </w:t>
      </w:r>
      <w:r w:rsidR="0064752C" w:rsidRPr="005D131A">
        <w:rPr>
          <w:sz w:val="28"/>
          <w:szCs w:val="28"/>
        </w:rPr>
        <w:t xml:space="preserve">presente los resultados de su aplicación </w:t>
      </w:r>
      <w:r w:rsidR="00801E34" w:rsidRPr="005D131A">
        <w:rPr>
          <w:sz w:val="28"/>
          <w:szCs w:val="28"/>
        </w:rPr>
        <w:t xml:space="preserve">del régimen contributivo </w:t>
      </w:r>
      <w:r w:rsidR="0064752C" w:rsidRPr="005D131A">
        <w:rPr>
          <w:sz w:val="28"/>
          <w:szCs w:val="28"/>
        </w:rPr>
        <w:t>y proceda a crear el</w:t>
      </w:r>
      <w:r w:rsidR="0064752C" w:rsidRPr="005D131A">
        <w:rPr>
          <w:sz w:val="28"/>
          <w:szCs w:val="28"/>
          <w:lang w:val="es-ES_tradnl"/>
        </w:rPr>
        <w:t xml:space="preserve"> procedimiento de acceso, reporte de prescripción, garantía de suministro, verificación, control, pago y análisis de la información de servicios y tecnologías en salud </w:t>
      </w:r>
      <w:r w:rsidR="00AA584F" w:rsidRPr="005D131A">
        <w:rPr>
          <w:sz w:val="28"/>
          <w:szCs w:val="28"/>
          <w:lang w:val="es-ES_tradnl"/>
        </w:rPr>
        <w:t>excluidas de</w:t>
      </w:r>
      <w:r w:rsidR="0064752C" w:rsidRPr="005D131A">
        <w:rPr>
          <w:sz w:val="28"/>
          <w:szCs w:val="28"/>
          <w:lang w:val="es-ES_tradnl"/>
        </w:rPr>
        <w:t xml:space="preserve">l Plan de Beneficios en Salud con cargo a la UPC correspondiente al régimen subsidiado, sin perjuicio de las demás acciones que considere necesarias para el cumplimiento de la orden vigésimo tercera de la Sentencia T-760 de 2008.  </w:t>
      </w:r>
    </w:p>
    <w:p w:rsidR="00900F08" w:rsidRPr="005D131A" w:rsidRDefault="00900F08" w:rsidP="005D131A">
      <w:pPr>
        <w:autoSpaceDE w:val="0"/>
        <w:autoSpaceDN w:val="0"/>
        <w:ind w:right="-40"/>
        <w:rPr>
          <w:sz w:val="28"/>
          <w:szCs w:val="28"/>
          <w:lang w:val="es-ES_tradnl"/>
        </w:rPr>
      </w:pPr>
    </w:p>
    <w:p w:rsidR="00900F08" w:rsidRPr="005D131A" w:rsidRDefault="00900F08" w:rsidP="005D131A">
      <w:pPr>
        <w:rPr>
          <w:b/>
          <w:bCs/>
          <w:sz w:val="28"/>
          <w:szCs w:val="28"/>
        </w:rPr>
      </w:pPr>
      <w:r w:rsidRPr="005D131A">
        <w:rPr>
          <w:b/>
          <w:bCs/>
          <w:sz w:val="28"/>
          <w:szCs w:val="28"/>
        </w:rPr>
        <w:t>TERCERO.-</w:t>
      </w:r>
      <w:r w:rsidR="00B6250B" w:rsidRPr="005D131A">
        <w:rPr>
          <w:sz w:val="28"/>
          <w:szCs w:val="28"/>
        </w:rPr>
        <w:t xml:space="preserve"> ORDENAR </w:t>
      </w:r>
      <w:r w:rsidR="00B6250B" w:rsidRPr="005D131A">
        <w:rPr>
          <w:sz w:val="28"/>
          <w:szCs w:val="28"/>
          <w:lang w:val="es-ES_tradnl"/>
        </w:rPr>
        <w:t xml:space="preserve">al Ministerio de Salud y Protección Social que, en el término de tres (03) meses contados a partir de la comunicación de esta providencia, allegue a esta Corporación un informe en el que establezca y detalle los resultados y avances de la implementación y puesta en marcha de la Resolución 1328 de 2016. </w:t>
      </w:r>
    </w:p>
    <w:p w:rsidR="00B6250B" w:rsidRPr="005D131A" w:rsidRDefault="00B6250B" w:rsidP="005D131A">
      <w:pPr>
        <w:pStyle w:val="Sinespaciado2"/>
        <w:jc w:val="both"/>
        <w:rPr>
          <w:rFonts w:ascii="Times New Roman" w:hAnsi="Times New Roman"/>
          <w:b/>
          <w:bCs/>
          <w:sz w:val="28"/>
          <w:szCs w:val="28"/>
          <w:lang w:val="es-ES" w:eastAsia="es-ES"/>
        </w:rPr>
      </w:pPr>
    </w:p>
    <w:p w:rsidR="00E33990" w:rsidRPr="005D131A" w:rsidRDefault="00B6250B" w:rsidP="005D131A">
      <w:pPr>
        <w:pStyle w:val="Sinespaciado2"/>
        <w:jc w:val="both"/>
        <w:rPr>
          <w:rFonts w:ascii="Times New Roman" w:hAnsi="Times New Roman"/>
          <w:b/>
          <w:sz w:val="28"/>
          <w:szCs w:val="28"/>
        </w:rPr>
      </w:pPr>
      <w:r w:rsidRPr="005D131A">
        <w:rPr>
          <w:rFonts w:ascii="Times New Roman" w:hAnsi="Times New Roman"/>
          <w:b/>
          <w:sz w:val="28"/>
          <w:szCs w:val="28"/>
        </w:rPr>
        <w:t>CUARTO</w:t>
      </w:r>
      <w:r w:rsidR="00E33990" w:rsidRPr="005D131A">
        <w:rPr>
          <w:rFonts w:ascii="Times New Roman" w:hAnsi="Times New Roman"/>
          <w:b/>
          <w:sz w:val="28"/>
          <w:szCs w:val="28"/>
        </w:rPr>
        <w:t xml:space="preserve">.- </w:t>
      </w:r>
      <w:r w:rsidR="00E33990" w:rsidRPr="005D131A">
        <w:rPr>
          <w:rFonts w:ascii="Times New Roman" w:hAnsi="Times New Roman"/>
          <w:sz w:val="28"/>
          <w:szCs w:val="28"/>
          <w:lang w:val="es-ES"/>
        </w:rPr>
        <w:t xml:space="preserve">Proceda la Secretaría General de esta Corporación a </w:t>
      </w:r>
      <w:r w:rsidR="00E33990" w:rsidRPr="005D131A">
        <w:rPr>
          <w:rFonts w:ascii="Times New Roman" w:hAnsi="Times New Roman"/>
          <w:sz w:val="28"/>
          <w:szCs w:val="28"/>
        </w:rPr>
        <w:t>librar las comunicaciones correspondientes, acompañando copia integral de este proveído.</w:t>
      </w:r>
    </w:p>
    <w:p w:rsidR="00E33990" w:rsidRPr="005D131A" w:rsidRDefault="00E33990" w:rsidP="005D131A">
      <w:pPr>
        <w:autoSpaceDE w:val="0"/>
        <w:autoSpaceDN w:val="0"/>
        <w:rPr>
          <w:sz w:val="28"/>
          <w:szCs w:val="28"/>
        </w:rPr>
      </w:pPr>
      <w:r w:rsidRPr="005D131A">
        <w:rPr>
          <w:sz w:val="28"/>
          <w:szCs w:val="28"/>
        </w:rPr>
        <w:t>Notifíquese, publíquese y cúmplase.</w:t>
      </w:r>
    </w:p>
    <w:p w:rsidR="00E33990" w:rsidRPr="00620386" w:rsidRDefault="00E33990" w:rsidP="00620386">
      <w:pPr>
        <w:jc w:val="center"/>
        <w:rPr>
          <w:i/>
          <w:sz w:val="28"/>
          <w:szCs w:val="28"/>
        </w:rPr>
      </w:pPr>
    </w:p>
    <w:p w:rsidR="00EF4A7B" w:rsidRPr="00620386" w:rsidRDefault="00EF4A7B" w:rsidP="00620386">
      <w:pPr>
        <w:jc w:val="center"/>
        <w:rPr>
          <w:i/>
          <w:sz w:val="28"/>
          <w:szCs w:val="28"/>
        </w:rPr>
      </w:pPr>
    </w:p>
    <w:p w:rsidR="00764B98" w:rsidRPr="00620386" w:rsidRDefault="00764B98" w:rsidP="00620386">
      <w:pPr>
        <w:jc w:val="center"/>
        <w:rPr>
          <w:i/>
          <w:sz w:val="28"/>
          <w:szCs w:val="28"/>
        </w:rPr>
      </w:pPr>
    </w:p>
    <w:p w:rsidR="00E33990" w:rsidRPr="00620386" w:rsidRDefault="00E33990" w:rsidP="00620386">
      <w:pPr>
        <w:jc w:val="center"/>
        <w:rPr>
          <w:sz w:val="28"/>
          <w:szCs w:val="28"/>
        </w:rPr>
      </w:pPr>
      <w:r w:rsidRPr="00620386">
        <w:rPr>
          <w:sz w:val="28"/>
          <w:szCs w:val="28"/>
        </w:rPr>
        <w:t>JORGE IVÁN PALACIO PALACIO</w:t>
      </w:r>
    </w:p>
    <w:p w:rsidR="00E33990" w:rsidRPr="00620386" w:rsidRDefault="00E33990" w:rsidP="00620386">
      <w:pPr>
        <w:jc w:val="center"/>
        <w:rPr>
          <w:sz w:val="28"/>
          <w:szCs w:val="28"/>
        </w:rPr>
      </w:pPr>
      <w:r w:rsidRPr="00620386">
        <w:rPr>
          <w:sz w:val="28"/>
          <w:szCs w:val="28"/>
        </w:rPr>
        <w:t>Magistrado</w:t>
      </w:r>
    </w:p>
    <w:p w:rsidR="00E33990" w:rsidRPr="00620386" w:rsidRDefault="00E33990" w:rsidP="00620386">
      <w:pPr>
        <w:jc w:val="center"/>
        <w:rPr>
          <w:sz w:val="28"/>
          <w:szCs w:val="28"/>
        </w:rPr>
      </w:pPr>
    </w:p>
    <w:p w:rsidR="00E33990" w:rsidRPr="00620386" w:rsidRDefault="00E33990" w:rsidP="00620386">
      <w:pPr>
        <w:jc w:val="center"/>
        <w:rPr>
          <w:sz w:val="28"/>
          <w:szCs w:val="28"/>
        </w:rPr>
      </w:pPr>
    </w:p>
    <w:p w:rsidR="00764B98" w:rsidRPr="00620386" w:rsidRDefault="00764B98" w:rsidP="00620386">
      <w:pPr>
        <w:jc w:val="center"/>
        <w:rPr>
          <w:sz w:val="28"/>
          <w:szCs w:val="28"/>
        </w:rPr>
      </w:pPr>
    </w:p>
    <w:p w:rsidR="00E33990" w:rsidRPr="00620386" w:rsidRDefault="00E33990" w:rsidP="00620386">
      <w:pPr>
        <w:jc w:val="center"/>
        <w:rPr>
          <w:sz w:val="28"/>
          <w:szCs w:val="28"/>
        </w:rPr>
      </w:pPr>
      <w:r w:rsidRPr="00620386">
        <w:rPr>
          <w:sz w:val="28"/>
          <w:szCs w:val="28"/>
        </w:rPr>
        <w:t>GABRIEL EDUARDO MENDOZA MARTELO</w:t>
      </w:r>
    </w:p>
    <w:p w:rsidR="00E33990" w:rsidRPr="00620386" w:rsidRDefault="00E33990" w:rsidP="00620386">
      <w:pPr>
        <w:jc w:val="center"/>
        <w:rPr>
          <w:sz w:val="28"/>
          <w:szCs w:val="28"/>
        </w:rPr>
      </w:pPr>
      <w:r w:rsidRPr="00620386">
        <w:rPr>
          <w:sz w:val="28"/>
          <w:szCs w:val="28"/>
        </w:rPr>
        <w:t>Magistrado</w:t>
      </w:r>
    </w:p>
    <w:p w:rsidR="00E33990" w:rsidRPr="00620386" w:rsidRDefault="00E33990" w:rsidP="00620386">
      <w:pPr>
        <w:jc w:val="center"/>
        <w:rPr>
          <w:sz w:val="28"/>
          <w:szCs w:val="28"/>
        </w:rPr>
      </w:pPr>
    </w:p>
    <w:p w:rsidR="00E33990" w:rsidRPr="00620386" w:rsidRDefault="00E33990" w:rsidP="00620386">
      <w:pPr>
        <w:jc w:val="center"/>
        <w:rPr>
          <w:sz w:val="28"/>
          <w:szCs w:val="28"/>
        </w:rPr>
      </w:pPr>
    </w:p>
    <w:p w:rsidR="00A711BC" w:rsidRPr="00620386" w:rsidRDefault="00A711BC" w:rsidP="00620386">
      <w:pPr>
        <w:jc w:val="center"/>
        <w:rPr>
          <w:sz w:val="28"/>
          <w:szCs w:val="28"/>
        </w:rPr>
      </w:pPr>
    </w:p>
    <w:p w:rsidR="00E33990" w:rsidRPr="00620386" w:rsidRDefault="00E33990" w:rsidP="00620386">
      <w:pPr>
        <w:jc w:val="center"/>
        <w:rPr>
          <w:sz w:val="28"/>
          <w:szCs w:val="28"/>
        </w:rPr>
      </w:pPr>
      <w:r w:rsidRPr="00620386">
        <w:rPr>
          <w:snapToGrid w:val="0"/>
          <w:sz w:val="28"/>
          <w:szCs w:val="28"/>
        </w:rPr>
        <w:t>ALEJANDRO LINARES CANTILLO</w:t>
      </w:r>
    </w:p>
    <w:p w:rsidR="00E33990" w:rsidRPr="00620386" w:rsidRDefault="00E33990" w:rsidP="00620386">
      <w:pPr>
        <w:jc w:val="center"/>
        <w:rPr>
          <w:sz w:val="28"/>
          <w:szCs w:val="28"/>
        </w:rPr>
      </w:pPr>
      <w:r w:rsidRPr="00620386">
        <w:rPr>
          <w:sz w:val="28"/>
          <w:szCs w:val="28"/>
        </w:rPr>
        <w:t>Magistrado</w:t>
      </w:r>
    </w:p>
    <w:p w:rsidR="00764B98" w:rsidRPr="00620386" w:rsidRDefault="00764B98" w:rsidP="00620386">
      <w:pPr>
        <w:jc w:val="center"/>
        <w:rPr>
          <w:sz w:val="28"/>
          <w:szCs w:val="28"/>
        </w:rPr>
      </w:pPr>
    </w:p>
    <w:p w:rsidR="00A711BC" w:rsidRPr="00620386" w:rsidRDefault="00A711BC" w:rsidP="00620386">
      <w:pPr>
        <w:jc w:val="center"/>
        <w:rPr>
          <w:sz w:val="28"/>
          <w:szCs w:val="28"/>
        </w:rPr>
      </w:pPr>
    </w:p>
    <w:p w:rsidR="00764B98" w:rsidRPr="00620386" w:rsidRDefault="00764B98" w:rsidP="00620386">
      <w:pPr>
        <w:jc w:val="center"/>
        <w:rPr>
          <w:sz w:val="28"/>
          <w:szCs w:val="28"/>
        </w:rPr>
      </w:pPr>
    </w:p>
    <w:p w:rsidR="00E33990" w:rsidRPr="00620386" w:rsidRDefault="00E33990" w:rsidP="00620386">
      <w:pPr>
        <w:jc w:val="center"/>
        <w:rPr>
          <w:sz w:val="28"/>
          <w:szCs w:val="28"/>
        </w:rPr>
      </w:pPr>
      <w:r w:rsidRPr="00620386">
        <w:rPr>
          <w:sz w:val="28"/>
          <w:szCs w:val="28"/>
        </w:rPr>
        <w:t>MARTHA VICTORIA SÁCHICA MÉNDEZ</w:t>
      </w:r>
    </w:p>
    <w:p w:rsidR="00620386" w:rsidRDefault="00E33990" w:rsidP="005D131A">
      <w:pPr>
        <w:jc w:val="center"/>
        <w:rPr>
          <w:sz w:val="28"/>
          <w:szCs w:val="28"/>
        </w:rPr>
      </w:pPr>
      <w:r w:rsidRPr="00620386">
        <w:rPr>
          <w:sz w:val="28"/>
          <w:szCs w:val="28"/>
        </w:rPr>
        <w:t>Secretario General</w:t>
      </w:r>
    </w:p>
    <w:p w:rsidR="00620386" w:rsidRDefault="00620386">
      <w:pPr>
        <w:rPr>
          <w:sz w:val="28"/>
          <w:szCs w:val="28"/>
        </w:rPr>
      </w:pPr>
      <w:r>
        <w:rPr>
          <w:sz w:val="28"/>
          <w:szCs w:val="28"/>
        </w:rPr>
        <w:br w:type="page"/>
      </w:r>
    </w:p>
    <w:p w:rsidR="00790A97" w:rsidRPr="00620386" w:rsidRDefault="00790A97" w:rsidP="005D131A">
      <w:pPr>
        <w:jc w:val="center"/>
        <w:rPr>
          <w:sz w:val="28"/>
          <w:szCs w:val="28"/>
        </w:rPr>
      </w:pPr>
    </w:p>
    <w:p w:rsidR="00567637" w:rsidRPr="00620386" w:rsidRDefault="00567637" w:rsidP="005D131A">
      <w:pPr>
        <w:jc w:val="center"/>
        <w:rPr>
          <w:sz w:val="28"/>
          <w:szCs w:val="28"/>
        </w:rPr>
      </w:pPr>
      <w:r w:rsidRPr="00620386">
        <w:rPr>
          <w:sz w:val="28"/>
          <w:szCs w:val="28"/>
        </w:rPr>
        <w:t>Anexo núm. 1</w:t>
      </w:r>
    </w:p>
    <w:p w:rsidR="00567637" w:rsidRPr="005D131A" w:rsidRDefault="00567637" w:rsidP="005D131A">
      <w:pPr>
        <w:jc w:val="center"/>
        <w:rPr>
          <w:sz w:val="28"/>
          <w:szCs w:val="28"/>
        </w:rPr>
      </w:pPr>
      <w:r w:rsidRPr="005D131A">
        <w:rPr>
          <w:sz w:val="28"/>
          <w:szCs w:val="28"/>
        </w:rPr>
        <w:t>Respuestas al Auto 077 de 2014</w:t>
      </w:r>
    </w:p>
    <w:p w:rsidR="00567637" w:rsidRPr="005D131A" w:rsidRDefault="00567637" w:rsidP="005D131A">
      <w:pPr>
        <w:jc w:val="center"/>
        <w:rPr>
          <w:sz w:val="28"/>
          <w:szCs w:val="28"/>
        </w:rPr>
      </w:pPr>
    </w:p>
    <w:p w:rsidR="00567637" w:rsidRPr="005D131A" w:rsidRDefault="00567637" w:rsidP="005D131A">
      <w:pPr>
        <w:jc w:val="center"/>
        <w:rPr>
          <w:sz w:val="28"/>
          <w:szCs w:val="28"/>
          <w:lang w:val="es-ES_tradnl"/>
        </w:rPr>
      </w:pPr>
      <w:bookmarkStart w:id="2" w:name="_Ref448744338"/>
      <w:r w:rsidRPr="005D131A">
        <w:rPr>
          <w:sz w:val="28"/>
          <w:szCs w:val="28"/>
        </w:rPr>
        <w:t xml:space="preserve">Figura núm. </w:t>
      </w:r>
      <w:bookmarkEnd w:id="2"/>
      <w:r w:rsidRPr="005D131A">
        <w:rPr>
          <w:sz w:val="28"/>
          <w:szCs w:val="28"/>
        </w:rPr>
        <w:t>4</w:t>
      </w:r>
      <w:r w:rsidRPr="005D131A">
        <w:rPr>
          <w:sz w:val="28"/>
          <w:szCs w:val="28"/>
          <w:lang w:val="es-ES_tradnl"/>
        </w:rPr>
        <w:t xml:space="preserve"> </w:t>
      </w:r>
    </w:p>
    <w:p w:rsidR="00567637" w:rsidRPr="005D131A" w:rsidRDefault="00567637" w:rsidP="005D131A">
      <w:pPr>
        <w:jc w:val="center"/>
        <w:rPr>
          <w:sz w:val="28"/>
          <w:szCs w:val="28"/>
          <w:lang w:val="es-ES_tradnl"/>
        </w:rPr>
      </w:pPr>
      <w:r w:rsidRPr="005D131A">
        <w:rPr>
          <w:sz w:val="28"/>
          <w:szCs w:val="28"/>
          <w:lang w:val="es-ES_tradnl"/>
        </w:rPr>
        <w:t>Prestaciones no POS requeridas con urgencia en durante los primeros trimestres de los años 2012, 2013 y 2014</w:t>
      </w:r>
    </w:p>
    <w:tbl>
      <w:tblPr>
        <w:tblStyle w:val="Tablaconcuadrcula"/>
        <w:tblW w:w="0" w:type="auto"/>
        <w:tblLook w:val="04A0" w:firstRow="1" w:lastRow="0" w:firstColumn="1" w:lastColumn="0" w:noHBand="0" w:noVBand="1"/>
      </w:tblPr>
      <w:tblGrid>
        <w:gridCol w:w="1482"/>
        <w:gridCol w:w="680"/>
        <w:gridCol w:w="1313"/>
        <w:gridCol w:w="1300"/>
        <w:gridCol w:w="1300"/>
        <w:gridCol w:w="1519"/>
        <w:gridCol w:w="1519"/>
      </w:tblGrid>
      <w:tr w:rsidR="00567637" w:rsidRPr="005D131A" w:rsidTr="00B74FA2">
        <w:trPr>
          <w:trHeight w:val="1292"/>
        </w:trPr>
        <w:tc>
          <w:tcPr>
            <w:tcW w:w="1115" w:type="dxa"/>
            <w:vAlign w:val="center"/>
          </w:tcPr>
          <w:p w:rsidR="00567637" w:rsidRPr="005D131A" w:rsidRDefault="00567637" w:rsidP="005D131A">
            <w:pPr>
              <w:jc w:val="center"/>
              <w:rPr>
                <w:b/>
                <w:sz w:val="28"/>
                <w:szCs w:val="28"/>
                <w:lang w:val="es-ES_tradnl"/>
              </w:rPr>
            </w:pPr>
          </w:p>
        </w:tc>
        <w:tc>
          <w:tcPr>
            <w:tcW w:w="632" w:type="dxa"/>
          </w:tcPr>
          <w:p w:rsidR="00567637" w:rsidRPr="005D131A" w:rsidRDefault="00567637" w:rsidP="005D131A">
            <w:pPr>
              <w:jc w:val="center"/>
              <w:rPr>
                <w:sz w:val="28"/>
                <w:szCs w:val="28"/>
                <w:lang w:val="es-ES_tradnl"/>
              </w:rPr>
            </w:pPr>
          </w:p>
        </w:tc>
        <w:tc>
          <w:tcPr>
            <w:tcW w:w="1409" w:type="dxa"/>
            <w:vAlign w:val="center"/>
          </w:tcPr>
          <w:p w:rsidR="00567637" w:rsidRPr="005D131A" w:rsidRDefault="00567637" w:rsidP="005D131A">
            <w:pPr>
              <w:jc w:val="center"/>
              <w:rPr>
                <w:b/>
                <w:sz w:val="28"/>
                <w:szCs w:val="28"/>
                <w:lang w:val="es-ES_tradnl"/>
              </w:rPr>
            </w:pPr>
            <w:r w:rsidRPr="005D131A">
              <w:rPr>
                <w:b/>
                <w:sz w:val="28"/>
                <w:szCs w:val="28"/>
              </w:rPr>
              <w:t>Solicitudes respecto a tecnologías No POS requerida con urgencia</w:t>
            </w:r>
          </w:p>
        </w:tc>
        <w:tc>
          <w:tcPr>
            <w:tcW w:w="1409" w:type="dxa"/>
            <w:vAlign w:val="center"/>
          </w:tcPr>
          <w:p w:rsidR="00567637" w:rsidRPr="005D131A" w:rsidRDefault="00567637" w:rsidP="005D131A">
            <w:pPr>
              <w:jc w:val="center"/>
              <w:rPr>
                <w:b/>
                <w:sz w:val="28"/>
                <w:szCs w:val="28"/>
              </w:rPr>
            </w:pPr>
            <w:r w:rsidRPr="005D131A">
              <w:rPr>
                <w:b/>
                <w:sz w:val="28"/>
                <w:szCs w:val="28"/>
              </w:rPr>
              <w:t>Solicitudes tramitadas ante el CTC antes de prestar el servicio</w:t>
            </w:r>
          </w:p>
        </w:tc>
        <w:tc>
          <w:tcPr>
            <w:tcW w:w="1409" w:type="dxa"/>
            <w:vAlign w:val="center"/>
          </w:tcPr>
          <w:p w:rsidR="00567637" w:rsidRPr="005D131A" w:rsidRDefault="00567637" w:rsidP="005D131A">
            <w:pPr>
              <w:jc w:val="center"/>
              <w:rPr>
                <w:b/>
                <w:sz w:val="28"/>
                <w:szCs w:val="28"/>
              </w:rPr>
            </w:pPr>
            <w:r w:rsidRPr="005D131A">
              <w:rPr>
                <w:b/>
                <w:sz w:val="28"/>
                <w:szCs w:val="28"/>
              </w:rPr>
              <w:t>Solicitudes tramitadas ante el CTC después de prestar el servicio</w:t>
            </w:r>
          </w:p>
        </w:tc>
        <w:tc>
          <w:tcPr>
            <w:tcW w:w="1427" w:type="dxa"/>
            <w:vAlign w:val="center"/>
          </w:tcPr>
          <w:p w:rsidR="00567637" w:rsidRPr="005D131A" w:rsidRDefault="00567637" w:rsidP="005D131A">
            <w:pPr>
              <w:jc w:val="center"/>
              <w:rPr>
                <w:b/>
                <w:sz w:val="28"/>
                <w:szCs w:val="28"/>
              </w:rPr>
            </w:pPr>
            <w:r w:rsidRPr="005D131A">
              <w:rPr>
                <w:b/>
                <w:sz w:val="28"/>
                <w:szCs w:val="28"/>
              </w:rPr>
              <w:t xml:space="preserve">Solicitudes autorizadas ante el CTC presentadas directamente por el médico tratante </w:t>
            </w:r>
          </w:p>
        </w:tc>
        <w:tc>
          <w:tcPr>
            <w:tcW w:w="1427" w:type="dxa"/>
            <w:vAlign w:val="center"/>
          </w:tcPr>
          <w:p w:rsidR="00567637" w:rsidRPr="005D131A" w:rsidRDefault="00567637" w:rsidP="005D131A">
            <w:pPr>
              <w:jc w:val="center"/>
              <w:rPr>
                <w:b/>
                <w:sz w:val="28"/>
                <w:szCs w:val="28"/>
              </w:rPr>
            </w:pPr>
            <w:r w:rsidRPr="005D131A">
              <w:rPr>
                <w:b/>
                <w:sz w:val="28"/>
                <w:szCs w:val="28"/>
              </w:rPr>
              <w:t>Solicitudes presentadas directamente por el paciente ante el CTC</w:t>
            </w:r>
          </w:p>
        </w:tc>
      </w:tr>
      <w:tr w:rsidR="00567637" w:rsidRPr="005D131A" w:rsidTr="00B74FA2">
        <w:trPr>
          <w:trHeight w:val="218"/>
        </w:trPr>
        <w:tc>
          <w:tcPr>
            <w:tcW w:w="1115" w:type="dxa"/>
            <w:vMerge w:val="restart"/>
            <w:vAlign w:val="center"/>
          </w:tcPr>
          <w:p w:rsidR="00567637" w:rsidRPr="005D131A" w:rsidRDefault="00567637" w:rsidP="005D131A">
            <w:pPr>
              <w:jc w:val="center"/>
              <w:rPr>
                <w:b/>
                <w:sz w:val="28"/>
                <w:szCs w:val="28"/>
                <w:lang w:val="es-ES_tradnl"/>
              </w:rPr>
            </w:pPr>
            <w:r w:rsidRPr="005D131A">
              <w:rPr>
                <w:b/>
                <w:sz w:val="28"/>
                <w:szCs w:val="28"/>
              </w:rPr>
              <w:t>Capitalsalud</w:t>
            </w:r>
          </w:p>
        </w:tc>
        <w:tc>
          <w:tcPr>
            <w:tcW w:w="632" w:type="dxa"/>
          </w:tcPr>
          <w:p w:rsidR="00567637" w:rsidRPr="005D131A" w:rsidRDefault="00567637" w:rsidP="005D131A">
            <w:pPr>
              <w:jc w:val="center"/>
              <w:rPr>
                <w:sz w:val="28"/>
                <w:szCs w:val="28"/>
                <w:lang w:val="es-ES_tradnl"/>
              </w:rPr>
            </w:pPr>
            <w:r w:rsidRPr="005D131A">
              <w:rPr>
                <w:sz w:val="28"/>
                <w:szCs w:val="28"/>
                <w:lang w:val="es-ES_tradnl"/>
              </w:rPr>
              <w:t>2012</w:t>
            </w:r>
          </w:p>
        </w:tc>
        <w:tc>
          <w:tcPr>
            <w:tcW w:w="1409" w:type="dxa"/>
          </w:tcPr>
          <w:p w:rsidR="00567637" w:rsidRPr="005D131A" w:rsidRDefault="00567637" w:rsidP="005D131A">
            <w:pPr>
              <w:jc w:val="center"/>
              <w:rPr>
                <w:sz w:val="28"/>
                <w:szCs w:val="28"/>
              </w:rPr>
            </w:pPr>
            <w:r w:rsidRPr="005D131A">
              <w:rPr>
                <w:sz w:val="28"/>
                <w:szCs w:val="28"/>
              </w:rPr>
              <w:t>1811</w:t>
            </w:r>
          </w:p>
        </w:tc>
        <w:tc>
          <w:tcPr>
            <w:tcW w:w="1409" w:type="dxa"/>
          </w:tcPr>
          <w:p w:rsidR="00567637" w:rsidRPr="005D131A" w:rsidRDefault="00567637" w:rsidP="005D131A">
            <w:pPr>
              <w:jc w:val="center"/>
              <w:rPr>
                <w:sz w:val="28"/>
                <w:szCs w:val="28"/>
              </w:rPr>
            </w:pPr>
            <w:r w:rsidRPr="005D131A">
              <w:rPr>
                <w:sz w:val="28"/>
                <w:szCs w:val="28"/>
              </w:rPr>
              <w:t>1956</w:t>
            </w:r>
          </w:p>
        </w:tc>
        <w:tc>
          <w:tcPr>
            <w:tcW w:w="1409" w:type="dxa"/>
          </w:tcPr>
          <w:p w:rsidR="00567637" w:rsidRPr="005D131A" w:rsidRDefault="00567637" w:rsidP="005D131A">
            <w:pPr>
              <w:jc w:val="center"/>
              <w:rPr>
                <w:sz w:val="28"/>
                <w:szCs w:val="28"/>
              </w:rPr>
            </w:pPr>
            <w:r w:rsidRPr="005D131A">
              <w:rPr>
                <w:sz w:val="28"/>
                <w:szCs w:val="28"/>
              </w:rPr>
              <w:t>1811</w:t>
            </w:r>
          </w:p>
        </w:tc>
        <w:tc>
          <w:tcPr>
            <w:tcW w:w="1427" w:type="dxa"/>
          </w:tcPr>
          <w:p w:rsidR="00567637" w:rsidRPr="005D131A" w:rsidRDefault="00567637" w:rsidP="005D131A">
            <w:pPr>
              <w:jc w:val="center"/>
              <w:rPr>
                <w:sz w:val="28"/>
                <w:szCs w:val="28"/>
              </w:rPr>
            </w:pPr>
            <w:r w:rsidRPr="005D131A">
              <w:rPr>
                <w:sz w:val="28"/>
                <w:szCs w:val="28"/>
              </w:rPr>
              <w:t>1811</w:t>
            </w:r>
          </w:p>
        </w:tc>
        <w:tc>
          <w:tcPr>
            <w:tcW w:w="1427" w:type="dxa"/>
          </w:tcPr>
          <w:p w:rsidR="00567637" w:rsidRPr="005D131A" w:rsidRDefault="00567637" w:rsidP="005D131A">
            <w:pPr>
              <w:jc w:val="center"/>
              <w:rPr>
                <w:sz w:val="28"/>
                <w:szCs w:val="28"/>
              </w:rPr>
            </w:pPr>
            <w:r w:rsidRPr="005D131A">
              <w:rPr>
                <w:sz w:val="28"/>
                <w:szCs w:val="28"/>
              </w:rPr>
              <w:t>1956</w:t>
            </w:r>
          </w:p>
        </w:tc>
      </w:tr>
      <w:tr w:rsidR="00567637" w:rsidRPr="005D131A" w:rsidTr="00B74FA2">
        <w:trPr>
          <w:trHeight w:val="234"/>
        </w:trPr>
        <w:tc>
          <w:tcPr>
            <w:tcW w:w="1115" w:type="dxa"/>
            <w:vMerge/>
            <w:vAlign w:val="center"/>
          </w:tcPr>
          <w:p w:rsidR="00567637" w:rsidRPr="005D131A" w:rsidRDefault="00567637" w:rsidP="005D131A">
            <w:pPr>
              <w:jc w:val="center"/>
              <w:rPr>
                <w:b/>
                <w:sz w:val="28"/>
                <w:szCs w:val="28"/>
                <w:lang w:val="es-ES_tradnl"/>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2013</w:t>
            </w:r>
          </w:p>
        </w:tc>
        <w:tc>
          <w:tcPr>
            <w:tcW w:w="1409" w:type="dxa"/>
          </w:tcPr>
          <w:p w:rsidR="00567637" w:rsidRPr="005D131A" w:rsidRDefault="00567637" w:rsidP="005D131A">
            <w:pPr>
              <w:jc w:val="center"/>
              <w:rPr>
                <w:sz w:val="28"/>
                <w:szCs w:val="28"/>
              </w:rPr>
            </w:pPr>
            <w:r w:rsidRPr="005D131A">
              <w:rPr>
                <w:sz w:val="28"/>
                <w:szCs w:val="28"/>
              </w:rPr>
              <w:t>1710</w:t>
            </w:r>
          </w:p>
        </w:tc>
        <w:tc>
          <w:tcPr>
            <w:tcW w:w="1409" w:type="dxa"/>
          </w:tcPr>
          <w:p w:rsidR="00567637" w:rsidRPr="005D131A" w:rsidRDefault="00567637" w:rsidP="005D131A">
            <w:pPr>
              <w:jc w:val="center"/>
              <w:rPr>
                <w:sz w:val="28"/>
                <w:szCs w:val="28"/>
              </w:rPr>
            </w:pPr>
            <w:r w:rsidRPr="005D131A">
              <w:rPr>
                <w:sz w:val="28"/>
                <w:szCs w:val="28"/>
              </w:rPr>
              <w:t>3092</w:t>
            </w:r>
          </w:p>
        </w:tc>
        <w:tc>
          <w:tcPr>
            <w:tcW w:w="1409" w:type="dxa"/>
          </w:tcPr>
          <w:p w:rsidR="00567637" w:rsidRPr="005D131A" w:rsidRDefault="00567637" w:rsidP="005D131A">
            <w:pPr>
              <w:jc w:val="center"/>
              <w:rPr>
                <w:sz w:val="28"/>
                <w:szCs w:val="28"/>
              </w:rPr>
            </w:pPr>
            <w:r w:rsidRPr="005D131A">
              <w:rPr>
                <w:sz w:val="28"/>
                <w:szCs w:val="28"/>
              </w:rPr>
              <w:t>1710</w:t>
            </w:r>
          </w:p>
        </w:tc>
        <w:tc>
          <w:tcPr>
            <w:tcW w:w="1427" w:type="dxa"/>
            <w:vAlign w:val="center"/>
          </w:tcPr>
          <w:p w:rsidR="00567637" w:rsidRPr="005D131A" w:rsidRDefault="00567637" w:rsidP="005D131A">
            <w:pPr>
              <w:jc w:val="center"/>
              <w:rPr>
                <w:sz w:val="28"/>
                <w:szCs w:val="28"/>
              </w:rPr>
            </w:pPr>
            <w:r w:rsidRPr="005D131A">
              <w:rPr>
                <w:sz w:val="28"/>
                <w:szCs w:val="28"/>
              </w:rPr>
              <w:t>1710</w:t>
            </w:r>
          </w:p>
        </w:tc>
        <w:tc>
          <w:tcPr>
            <w:tcW w:w="1427" w:type="dxa"/>
            <w:vAlign w:val="center"/>
          </w:tcPr>
          <w:p w:rsidR="00567637" w:rsidRPr="005D131A" w:rsidRDefault="00567637" w:rsidP="005D131A">
            <w:pPr>
              <w:jc w:val="center"/>
              <w:rPr>
                <w:sz w:val="28"/>
                <w:szCs w:val="28"/>
              </w:rPr>
            </w:pPr>
            <w:r w:rsidRPr="005D131A">
              <w:rPr>
                <w:sz w:val="28"/>
                <w:szCs w:val="28"/>
              </w:rPr>
              <w:t>3092</w:t>
            </w:r>
          </w:p>
        </w:tc>
      </w:tr>
      <w:tr w:rsidR="00567637" w:rsidRPr="005D131A" w:rsidTr="00B74FA2">
        <w:trPr>
          <w:trHeight w:val="251"/>
        </w:trPr>
        <w:tc>
          <w:tcPr>
            <w:tcW w:w="1115" w:type="dxa"/>
            <w:vMerge/>
            <w:vAlign w:val="center"/>
          </w:tcPr>
          <w:p w:rsidR="00567637" w:rsidRPr="005D131A" w:rsidRDefault="00567637" w:rsidP="005D131A">
            <w:pPr>
              <w:jc w:val="center"/>
              <w:rPr>
                <w:b/>
                <w:sz w:val="28"/>
                <w:szCs w:val="28"/>
                <w:lang w:val="es-ES_tradnl"/>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2014</w:t>
            </w:r>
          </w:p>
        </w:tc>
        <w:tc>
          <w:tcPr>
            <w:tcW w:w="1409" w:type="dxa"/>
          </w:tcPr>
          <w:p w:rsidR="00567637" w:rsidRPr="005D131A" w:rsidRDefault="00567637" w:rsidP="005D131A">
            <w:pPr>
              <w:jc w:val="center"/>
              <w:rPr>
                <w:sz w:val="28"/>
                <w:szCs w:val="28"/>
              </w:rPr>
            </w:pPr>
            <w:r w:rsidRPr="005D131A">
              <w:rPr>
                <w:sz w:val="28"/>
                <w:szCs w:val="28"/>
              </w:rPr>
              <w:t>7081</w:t>
            </w:r>
          </w:p>
        </w:tc>
        <w:tc>
          <w:tcPr>
            <w:tcW w:w="1409" w:type="dxa"/>
          </w:tcPr>
          <w:p w:rsidR="00567637" w:rsidRPr="005D131A" w:rsidRDefault="00567637" w:rsidP="005D131A">
            <w:pPr>
              <w:jc w:val="center"/>
              <w:rPr>
                <w:sz w:val="28"/>
                <w:szCs w:val="28"/>
              </w:rPr>
            </w:pPr>
            <w:r w:rsidRPr="005D131A">
              <w:rPr>
                <w:sz w:val="28"/>
                <w:szCs w:val="28"/>
              </w:rPr>
              <w:t>12065</w:t>
            </w:r>
          </w:p>
        </w:tc>
        <w:tc>
          <w:tcPr>
            <w:tcW w:w="1409" w:type="dxa"/>
          </w:tcPr>
          <w:p w:rsidR="00567637" w:rsidRPr="005D131A" w:rsidRDefault="00567637" w:rsidP="005D131A">
            <w:pPr>
              <w:jc w:val="center"/>
              <w:rPr>
                <w:sz w:val="28"/>
                <w:szCs w:val="28"/>
              </w:rPr>
            </w:pPr>
            <w:r w:rsidRPr="005D131A">
              <w:rPr>
                <w:sz w:val="28"/>
                <w:szCs w:val="28"/>
              </w:rPr>
              <w:t>7081</w:t>
            </w:r>
          </w:p>
        </w:tc>
        <w:tc>
          <w:tcPr>
            <w:tcW w:w="1427" w:type="dxa"/>
            <w:vAlign w:val="center"/>
          </w:tcPr>
          <w:p w:rsidR="00567637" w:rsidRPr="005D131A" w:rsidRDefault="00567637" w:rsidP="005D131A">
            <w:pPr>
              <w:jc w:val="center"/>
              <w:rPr>
                <w:sz w:val="28"/>
                <w:szCs w:val="28"/>
              </w:rPr>
            </w:pPr>
            <w:r w:rsidRPr="005D131A">
              <w:rPr>
                <w:sz w:val="28"/>
                <w:szCs w:val="28"/>
              </w:rPr>
              <w:t>7081</w:t>
            </w:r>
          </w:p>
        </w:tc>
        <w:tc>
          <w:tcPr>
            <w:tcW w:w="1427" w:type="dxa"/>
          </w:tcPr>
          <w:p w:rsidR="00567637" w:rsidRPr="005D131A" w:rsidRDefault="00567637" w:rsidP="005D131A">
            <w:pPr>
              <w:jc w:val="center"/>
              <w:rPr>
                <w:sz w:val="28"/>
                <w:szCs w:val="28"/>
              </w:rPr>
            </w:pPr>
            <w:r w:rsidRPr="005D131A">
              <w:rPr>
                <w:sz w:val="28"/>
                <w:szCs w:val="28"/>
              </w:rPr>
              <w:t>12065</w:t>
            </w:r>
          </w:p>
        </w:tc>
      </w:tr>
      <w:tr w:rsidR="00567637" w:rsidRPr="005D131A" w:rsidTr="00B74FA2">
        <w:trPr>
          <w:trHeight w:val="218"/>
        </w:trPr>
        <w:tc>
          <w:tcPr>
            <w:tcW w:w="1115" w:type="dxa"/>
            <w:vMerge w:val="restart"/>
            <w:vAlign w:val="center"/>
          </w:tcPr>
          <w:p w:rsidR="00567637" w:rsidRPr="005D131A" w:rsidRDefault="00567637" w:rsidP="005D131A">
            <w:pPr>
              <w:jc w:val="center"/>
              <w:rPr>
                <w:b/>
                <w:sz w:val="28"/>
                <w:szCs w:val="28"/>
                <w:lang w:val="es-ES_tradnl"/>
              </w:rPr>
            </w:pPr>
            <w:r w:rsidRPr="005D131A">
              <w:rPr>
                <w:b/>
                <w:sz w:val="28"/>
                <w:szCs w:val="28"/>
              </w:rPr>
              <w:t>Caprecom</w:t>
            </w:r>
          </w:p>
        </w:tc>
        <w:tc>
          <w:tcPr>
            <w:tcW w:w="632" w:type="dxa"/>
          </w:tcPr>
          <w:p w:rsidR="00567637" w:rsidRPr="005D131A" w:rsidRDefault="00567637" w:rsidP="005D131A">
            <w:pPr>
              <w:jc w:val="center"/>
              <w:rPr>
                <w:sz w:val="28"/>
                <w:szCs w:val="28"/>
                <w:lang w:val="es-ES_tradnl"/>
              </w:rPr>
            </w:pPr>
            <w:r w:rsidRPr="005D131A">
              <w:rPr>
                <w:sz w:val="28"/>
                <w:szCs w:val="28"/>
                <w:lang w:val="es-ES_tradnl"/>
              </w:rPr>
              <w:t>2012</w:t>
            </w:r>
          </w:p>
        </w:tc>
        <w:tc>
          <w:tcPr>
            <w:tcW w:w="1409" w:type="dxa"/>
          </w:tcPr>
          <w:p w:rsidR="00567637" w:rsidRPr="005D131A" w:rsidRDefault="00567637" w:rsidP="005D131A">
            <w:pPr>
              <w:jc w:val="center"/>
              <w:rPr>
                <w:sz w:val="28"/>
                <w:szCs w:val="28"/>
              </w:rPr>
            </w:pPr>
            <w:r w:rsidRPr="005D131A">
              <w:rPr>
                <w:sz w:val="28"/>
                <w:szCs w:val="28"/>
              </w:rPr>
              <w:t>48</w:t>
            </w:r>
          </w:p>
        </w:tc>
        <w:tc>
          <w:tcPr>
            <w:tcW w:w="1409" w:type="dxa"/>
          </w:tcPr>
          <w:p w:rsidR="00567637" w:rsidRPr="005D131A" w:rsidRDefault="00567637" w:rsidP="005D131A">
            <w:pPr>
              <w:jc w:val="center"/>
              <w:rPr>
                <w:sz w:val="28"/>
                <w:szCs w:val="28"/>
              </w:rPr>
            </w:pPr>
            <w:r w:rsidRPr="005D131A">
              <w:rPr>
                <w:sz w:val="28"/>
                <w:szCs w:val="28"/>
              </w:rPr>
              <w:t>180</w:t>
            </w:r>
          </w:p>
        </w:tc>
        <w:tc>
          <w:tcPr>
            <w:tcW w:w="1409" w:type="dxa"/>
          </w:tcPr>
          <w:p w:rsidR="00567637" w:rsidRPr="005D131A" w:rsidRDefault="00567637" w:rsidP="005D131A">
            <w:pPr>
              <w:jc w:val="center"/>
              <w:rPr>
                <w:sz w:val="28"/>
                <w:szCs w:val="28"/>
              </w:rPr>
            </w:pPr>
            <w:r w:rsidRPr="005D131A">
              <w:rPr>
                <w:sz w:val="28"/>
                <w:szCs w:val="28"/>
              </w:rPr>
              <w:t>135</w:t>
            </w:r>
          </w:p>
        </w:tc>
        <w:tc>
          <w:tcPr>
            <w:tcW w:w="1427" w:type="dxa"/>
          </w:tcPr>
          <w:p w:rsidR="00567637" w:rsidRPr="005D131A" w:rsidRDefault="00567637" w:rsidP="005D131A">
            <w:pPr>
              <w:jc w:val="center"/>
              <w:rPr>
                <w:sz w:val="28"/>
                <w:szCs w:val="28"/>
              </w:rPr>
            </w:pPr>
            <w:r w:rsidRPr="005D131A">
              <w:rPr>
                <w:sz w:val="28"/>
                <w:szCs w:val="28"/>
              </w:rPr>
              <w:t>244</w:t>
            </w:r>
          </w:p>
        </w:tc>
        <w:tc>
          <w:tcPr>
            <w:tcW w:w="1427" w:type="dxa"/>
          </w:tcPr>
          <w:p w:rsidR="00567637" w:rsidRPr="005D131A" w:rsidRDefault="00567637" w:rsidP="005D131A">
            <w:pPr>
              <w:jc w:val="center"/>
              <w:rPr>
                <w:sz w:val="28"/>
                <w:szCs w:val="28"/>
              </w:rPr>
            </w:pPr>
            <w:r w:rsidRPr="005D131A">
              <w:rPr>
                <w:sz w:val="28"/>
                <w:szCs w:val="28"/>
              </w:rPr>
              <w:t>286</w:t>
            </w:r>
          </w:p>
        </w:tc>
      </w:tr>
      <w:tr w:rsidR="00567637" w:rsidRPr="005D131A" w:rsidTr="00B74FA2">
        <w:trPr>
          <w:trHeight w:val="234"/>
        </w:trPr>
        <w:tc>
          <w:tcPr>
            <w:tcW w:w="1115" w:type="dxa"/>
            <w:vMerge/>
            <w:vAlign w:val="center"/>
          </w:tcPr>
          <w:p w:rsidR="00567637" w:rsidRPr="005D131A" w:rsidRDefault="00567637" w:rsidP="005D131A">
            <w:pPr>
              <w:jc w:val="center"/>
              <w:rPr>
                <w:b/>
                <w:sz w:val="28"/>
                <w:szCs w:val="28"/>
                <w:lang w:val="es-ES_tradnl"/>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2013</w:t>
            </w:r>
          </w:p>
        </w:tc>
        <w:tc>
          <w:tcPr>
            <w:tcW w:w="1409" w:type="dxa"/>
          </w:tcPr>
          <w:p w:rsidR="00567637" w:rsidRPr="005D131A" w:rsidRDefault="00567637" w:rsidP="005D131A">
            <w:pPr>
              <w:jc w:val="center"/>
              <w:rPr>
                <w:sz w:val="28"/>
                <w:szCs w:val="28"/>
              </w:rPr>
            </w:pPr>
            <w:r w:rsidRPr="005D131A">
              <w:rPr>
                <w:sz w:val="28"/>
                <w:szCs w:val="28"/>
              </w:rPr>
              <w:t>696</w:t>
            </w:r>
          </w:p>
        </w:tc>
        <w:tc>
          <w:tcPr>
            <w:tcW w:w="1409" w:type="dxa"/>
            <w:vAlign w:val="center"/>
          </w:tcPr>
          <w:p w:rsidR="00567637" w:rsidRPr="005D131A" w:rsidRDefault="00567637" w:rsidP="005D131A">
            <w:pPr>
              <w:jc w:val="center"/>
              <w:rPr>
                <w:sz w:val="28"/>
                <w:szCs w:val="28"/>
              </w:rPr>
            </w:pPr>
            <w:r w:rsidRPr="005D131A">
              <w:rPr>
                <w:sz w:val="28"/>
                <w:szCs w:val="28"/>
              </w:rPr>
              <w:t>582</w:t>
            </w:r>
          </w:p>
        </w:tc>
        <w:tc>
          <w:tcPr>
            <w:tcW w:w="1409" w:type="dxa"/>
          </w:tcPr>
          <w:p w:rsidR="00567637" w:rsidRPr="005D131A" w:rsidRDefault="00567637" w:rsidP="005D131A">
            <w:pPr>
              <w:jc w:val="center"/>
              <w:rPr>
                <w:sz w:val="28"/>
                <w:szCs w:val="28"/>
              </w:rPr>
            </w:pPr>
            <w:r w:rsidRPr="005D131A">
              <w:rPr>
                <w:sz w:val="28"/>
                <w:szCs w:val="28"/>
              </w:rPr>
              <w:t>165</w:t>
            </w:r>
          </w:p>
        </w:tc>
        <w:tc>
          <w:tcPr>
            <w:tcW w:w="1427" w:type="dxa"/>
          </w:tcPr>
          <w:p w:rsidR="00567637" w:rsidRPr="005D131A" w:rsidRDefault="00567637" w:rsidP="005D131A">
            <w:pPr>
              <w:jc w:val="center"/>
              <w:rPr>
                <w:sz w:val="28"/>
                <w:szCs w:val="28"/>
              </w:rPr>
            </w:pPr>
            <w:r w:rsidRPr="005D131A">
              <w:rPr>
                <w:sz w:val="28"/>
                <w:szCs w:val="28"/>
              </w:rPr>
              <w:t>190</w:t>
            </w:r>
          </w:p>
        </w:tc>
        <w:tc>
          <w:tcPr>
            <w:tcW w:w="1427" w:type="dxa"/>
          </w:tcPr>
          <w:p w:rsidR="00567637" w:rsidRPr="005D131A" w:rsidRDefault="00567637" w:rsidP="005D131A">
            <w:pPr>
              <w:jc w:val="center"/>
              <w:rPr>
                <w:sz w:val="28"/>
                <w:szCs w:val="28"/>
              </w:rPr>
            </w:pPr>
            <w:r w:rsidRPr="005D131A">
              <w:rPr>
                <w:sz w:val="28"/>
                <w:szCs w:val="28"/>
              </w:rPr>
              <w:t>645</w:t>
            </w:r>
          </w:p>
        </w:tc>
      </w:tr>
      <w:tr w:rsidR="00567637" w:rsidRPr="005D131A" w:rsidTr="00B74FA2">
        <w:trPr>
          <w:trHeight w:val="251"/>
        </w:trPr>
        <w:tc>
          <w:tcPr>
            <w:tcW w:w="1115" w:type="dxa"/>
            <w:vMerge/>
            <w:vAlign w:val="center"/>
          </w:tcPr>
          <w:p w:rsidR="00567637" w:rsidRPr="005D131A" w:rsidRDefault="00567637" w:rsidP="005D131A">
            <w:pPr>
              <w:jc w:val="center"/>
              <w:rPr>
                <w:b/>
                <w:sz w:val="28"/>
                <w:szCs w:val="28"/>
                <w:lang w:val="es-ES_tradnl"/>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2014</w:t>
            </w:r>
          </w:p>
        </w:tc>
        <w:tc>
          <w:tcPr>
            <w:tcW w:w="1409" w:type="dxa"/>
            <w:vAlign w:val="center"/>
          </w:tcPr>
          <w:p w:rsidR="00567637" w:rsidRPr="005D131A" w:rsidRDefault="00567637" w:rsidP="005D131A">
            <w:pPr>
              <w:jc w:val="center"/>
              <w:rPr>
                <w:sz w:val="28"/>
                <w:szCs w:val="28"/>
              </w:rPr>
            </w:pPr>
            <w:r w:rsidRPr="005D131A">
              <w:rPr>
                <w:sz w:val="28"/>
                <w:szCs w:val="28"/>
              </w:rPr>
              <w:t>1177</w:t>
            </w:r>
          </w:p>
        </w:tc>
        <w:tc>
          <w:tcPr>
            <w:tcW w:w="1409" w:type="dxa"/>
          </w:tcPr>
          <w:p w:rsidR="00567637" w:rsidRPr="005D131A" w:rsidRDefault="00567637" w:rsidP="005D131A">
            <w:pPr>
              <w:jc w:val="center"/>
              <w:rPr>
                <w:sz w:val="28"/>
                <w:szCs w:val="28"/>
              </w:rPr>
            </w:pPr>
            <w:r w:rsidRPr="005D131A">
              <w:rPr>
                <w:sz w:val="28"/>
                <w:szCs w:val="28"/>
              </w:rPr>
              <w:t>1089</w:t>
            </w:r>
          </w:p>
        </w:tc>
        <w:tc>
          <w:tcPr>
            <w:tcW w:w="1409" w:type="dxa"/>
          </w:tcPr>
          <w:p w:rsidR="00567637" w:rsidRPr="005D131A" w:rsidRDefault="00567637" w:rsidP="005D131A">
            <w:pPr>
              <w:jc w:val="center"/>
              <w:rPr>
                <w:sz w:val="28"/>
                <w:szCs w:val="28"/>
              </w:rPr>
            </w:pPr>
            <w:r w:rsidRPr="005D131A">
              <w:rPr>
                <w:sz w:val="28"/>
                <w:szCs w:val="28"/>
              </w:rPr>
              <w:t>154</w:t>
            </w:r>
          </w:p>
        </w:tc>
        <w:tc>
          <w:tcPr>
            <w:tcW w:w="1427" w:type="dxa"/>
          </w:tcPr>
          <w:p w:rsidR="00567637" w:rsidRPr="005D131A" w:rsidRDefault="00567637" w:rsidP="005D131A">
            <w:pPr>
              <w:jc w:val="center"/>
              <w:rPr>
                <w:sz w:val="28"/>
                <w:szCs w:val="28"/>
              </w:rPr>
            </w:pPr>
            <w:r w:rsidRPr="005D131A">
              <w:rPr>
                <w:sz w:val="28"/>
                <w:szCs w:val="28"/>
              </w:rPr>
              <w:t>184</w:t>
            </w:r>
          </w:p>
        </w:tc>
        <w:tc>
          <w:tcPr>
            <w:tcW w:w="1427" w:type="dxa"/>
          </w:tcPr>
          <w:p w:rsidR="00567637" w:rsidRPr="005D131A" w:rsidRDefault="00567637" w:rsidP="005D131A">
            <w:pPr>
              <w:jc w:val="center"/>
              <w:rPr>
                <w:sz w:val="28"/>
                <w:szCs w:val="28"/>
              </w:rPr>
            </w:pPr>
            <w:r w:rsidRPr="005D131A">
              <w:rPr>
                <w:sz w:val="28"/>
                <w:szCs w:val="28"/>
              </w:rPr>
              <w:t>1659</w:t>
            </w:r>
          </w:p>
        </w:tc>
      </w:tr>
      <w:tr w:rsidR="00567637" w:rsidRPr="005D131A" w:rsidTr="00B74FA2">
        <w:trPr>
          <w:trHeight w:val="218"/>
        </w:trPr>
        <w:tc>
          <w:tcPr>
            <w:tcW w:w="1115" w:type="dxa"/>
            <w:vMerge w:val="restart"/>
            <w:vAlign w:val="center"/>
          </w:tcPr>
          <w:p w:rsidR="00567637" w:rsidRPr="005D131A" w:rsidRDefault="00567637" w:rsidP="005D131A">
            <w:pPr>
              <w:jc w:val="center"/>
              <w:rPr>
                <w:b/>
                <w:sz w:val="28"/>
                <w:szCs w:val="28"/>
                <w:lang w:val="es-ES_tradnl"/>
              </w:rPr>
            </w:pPr>
            <w:r w:rsidRPr="005D131A">
              <w:rPr>
                <w:b/>
                <w:sz w:val="28"/>
                <w:szCs w:val="28"/>
              </w:rPr>
              <w:t>Mallamas</w:t>
            </w:r>
          </w:p>
        </w:tc>
        <w:tc>
          <w:tcPr>
            <w:tcW w:w="632" w:type="dxa"/>
          </w:tcPr>
          <w:p w:rsidR="00567637" w:rsidRPr="005D131A" w:rsidRDefault="00567637" w:rsidP="005D131A">
            <w:pPr>
              <w:jc w:val="center"/>
              <w:rPr>
                <w:sz w:val="28"/>
                <w:szCs w:val="28"/>
                <w:lang w:val="es-ES_tradnl"/>
              </w:rPr>
            </w:pPr>
            <w:r w:rsidRPr="005D131A">
              <w:rPr>
                <w:sz w:val="28"/>
                <w:szCs w:val="28"/>
                <w:lang w:val="es-ES_tradnl"/>
              </w:rPr>
              <w:t>2012</w:t>
            </w:r>
          </w:p>
        </w:tc>
        <w:tc>
          <w:tcPr>
            <w:tcW w:w="1409" w:type="dxa"/>
          </w:tcPr>
          <w:p w:rsidR="00567637" w:rsidRPr="005D131A" w:rsidRDefault="00567637" w:rsidP="005D131A">
            <w:pPr>
              <w:jc w:val="center"/>
              <w:rPr>
                <w:sz w:val="28"/>
                <w:szCs w:val="28"/>
              </w:rPr>
            </w:pPr>
            <w:r w:rsidRPr="005D131A">
              <w:rPr>
                <w:sz w:val="28"/>
                <w:szCs w:val="28"/>
              </w:rPr>
              <w:t>6</w:t>
            </w:r>
          </w:p>
        </w:tc>
        <w:tc>
          <w:tcPr>
            <w:tcW w:w="1409" w:type="dxa"/>
          </w:tcPr>
          <w:p w:rsidR="00567637" w:rsidRPr="005D131A" w:rsidRDefault="00567637" w:rsidP="005D131A">
            <w:pPr>
              <w:jc w:val="center"/>
              <w:rPr>
                <w:sz w:val="28"/>
                <w:szCs w:val="28"/>
              </w:rPr>
            </w:pPr>
            <w:r w:rsidRPr="005D131A">
              <w:rPr>
                <w:sz w:val="28"/>
                <w:szCs w:val="28"/>
              </w:rPr>
              <w:t>202</w:t>
            </w:r>
          </w:p>
        </w:tc>
        <w:tc>
          <w:tcPr>
            <w:tcW w:w="1409" w:type="dxa"/>
          </w:tcPr>
          <w:p w:rsidR="00567637" w:rsidRPr="005D131A" w:rsidRDefault="00567637" w:rsidP="005D131A">
            <w:pPr>
              <w:jc w:val="center"/>
              <w:rPr>
                <w:sz w:val="28"/>
                <w:szCs w:val="28"/>
              </w:rPr>
            </w:pPr>
            <w:r w:rsidRPr="005D131A">
              <w:rPr>
                <w:sz w:val="28"/>
                <w:szCs w:val="28"/>
              </w:rPr>
              <w:t>39</w:t>
            </w:r>
          </w:p>
        </w:tc>
        <w:tc>
          <w:tcPr>
            <w:tcW w:w="1427" w:type="dxa"/>
          </w:tcPr>
          <w:p w:rsidR="00567637" w:rsidRPr="005D131A" w:rsidRDefault="00567637" w:rsidP="005D131A">
            <w:pPr>
              <w:jc w:val="center"/>
              <w:rPr>
                <w:sz w:val="28"/>
                <w:szCs w:val="28"/>
              </w:rPr>
            </w:pPr>
            <w:r w:rsidRPr="005D131A">
              <w:rPr>
                <w:sz w:val="28"/>
                <w:szCs w:val="28"/>
              </w:rPr>
              <w:t>0</w:t>
            </w:r>
          </w:p>
        </w:tc>
        <w:tc>
          <w:tcPr>
            <w:tcW w:w="1427" w:type="dxa"/>
          </w:tcPr>
          <w:p w:rsidR="00567637" w:rsidRPr="005D131A" w:rsidRDefault="00567637" w:rsidP="005D131A">
            <w:pPr>
              <w:jc w:val="center"/>
              <w:rPr>
                <w:sz w:val="28"/>
                <w:szCs w:val="28"/>
              </w:rPr>
            </w:pPr>
            <w:r w:rsidRPr="005D131A">
              <w:rPr>
                <w:sz w:val="28"/>
                <w:szCs w:val="28"/>
              </w:rPr>
              <w:t>202</w:t>
            </w:r>
          </w:p>
        </w:tc>
      </w:tr>
      <w:tr w:rsidR="00567637" w:rsidRPr="005D131A" w:rsidTr="00B74FA2">
        <w:trPr>
          <w:trHeight w:val="234"/>
        </w:trPr>
        <w:tc>
          <w:tcPr>
            <w:tcW w:w="1115" w:type="dxa"/>
            <w:vMerge/>
            <w:vAlign w:val="center"/>
          </w:tcPr>
          <w:p w:rsidR="00567637" w:rsidRPr="005D131A" w:rsidRDefault="00567637" w:rsidP="005D131A">
            <w:pPr>
              <w:jc w:val="center"/>
              <w:rPr>
                <w:b/>
                <w:sz w:val="28"/>
                <w:szCs w:val="28"/>
                <w:lang w:val="es-ES_tradnl"/>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2013</w:t>
            </w:r>
          </w:p>
        </w:tc>
        <w:tc>
          <w:tcPr>
            <w:tcW w:w="1409" w:type="dxa"/>
          </w:tcPr>
          <w:p w:rsidR="00567637" w:rsidRPr="005D131A" w:rsidRDefault="00567637" w:rsidP="005D131A">
            <w:pPr>
              <w:jc w:val="center"/>
              <w:rPr>
                <w:sz w:val="28"/>
                <w:szCs w:val="28"/>
              </w:rPr>
            </w:pPr>
            <w:r w:rsidRPr="005D131A">
              <w:rPr>
                <w:sz w:val="28"/>
                <w:szCs w:val="28"/>
              </w:rPr>
              <w:t>1</w:t>
            </w:r>
          </w:p>
        </w:tc>
        <w:tc>
          <w:tcPr>
            <w:tcW w:w="1409" w:type="dxa"/>
          </w:tcPr>
          <w:p w:rsidR="00567637" w:rsidRPr="005D131A" w:rsidRDefault="00567637" w:rsidP="005D131A">
            <w:pPr>
              <w:jc w:val="center"/>
              <w:rPr>
                <w:sz w:val="28"/>
                <w:szCs w:val="28"/>
              </w:rPr>
            </w:pPr>
            <w:r w:rsidRPr="005D131A">
              <w:rPr>
                <w:sz w:val="28"/>
                <w:szCs w:val="28"/>
              </w:rPr>
              <w:t>286</w:t>
            </w:r>
          </w:p>
        </w:tc>
        <w:tc>
          <w:tcPr>
            <w:tcW w:w="1409" w:type="dxa"/>
          </w:tcPr>
          <w:p w:rsidR="00567637" w:rsidRPr="005D131A" w:rsidRDefault="00567637" w:rsidP="005D131A">
            <w:pPr>
              <w:jc w:val="center"/>
              <w:rPr>
                <w:sz w:val="28"/>
                <w:szCs w:val="28"/>
              </w:rPr>
            </w:pPr>
            <w:r w:rsidRPr="005D131A">
              <w:rPr>
                <w:sz w:val="28"/>
                <w:szCs w:val="28"/>
              </w:rPr>
              <w:t>98</w:t>
            </w:r>
          </w:p>
        </w:tc>
        <w:tc>
          <w:tcPr>
            <w:tcW w:w="1427" w:type="dxa"/>
          </w:tcPr>
          <w:p w:rsidR="00567637" w:rsidRPr="005D131A" w:rsidRDefault="00567637" w:rsidP="005D131A">
            <w:pPr>
              <w:jc w:val="center"/>
              <w:rPr>
                <w:sz w:val="28"/>
                <w:szCs w:val="28"/>
              </w:rPr>
            </w:pPr>
            <w:r w:rsidRPr="005D131A">
              <w:rPr>
                <w:sz w:val="28"/>
                <w:szCs w:val="28"/>
              </w:rPr>
              <w:t>0</w:t>
            </w:r>
          </w:p>
        </w:tc>
        <w:tc>
          <w:tcPr>
            <w:tcW w:w="1427" w:type="dxa"/>
          </w:tcPr>
          <w:p w:rsidR="00567637" w:rsidRPr="005D131A" w:rsidRDefault="00567637" w:rsidP="005D131A">
            <w:pPr>
              <w:jc w:val="center"/>
              <w:rPr>
                <w:sz w:val="28"/>
                <w:szCs w:val="28"/>
              </w:rPr>
            </w:pPr>
            <w:r w:rsidRPr="005D131A">
              <w:rPr>
                <w:sz w:val="28"/>
                <w:szCs w:val="28"/>
              </w:rPr>
              <w:t>286</w:t>
            </w:r>
          </w:p>
        </w:tc>
      </w:tr>
      <w:tr w:rsidR="00567637" w:rsidRPr="005D131A" w:rsidTr="00B74FA2">
        <w:trPr>
          <w:trHeight w:val="251"/>
        </w:trPr>
        <w:tc>
          <w:tcPr>
            <w:tcW w:w="1115" w:type="dxa"/>
            <w:vMerge/>
            <w:vAlign w:val="center"/>
          </w:tcPr>
          <w:p w:rsidR="00567637" w:rsidRPr="005D131A" w:rsidRDefault="00567637" w:rsidP="005D131A">
            <w:pPr>
              <w:jc w:val="center"/>
              <w:rPr>
                <w:b/>
                <w:sz w:val="28"/>
                <w:szCs w:val="28"/>
                <w:lang w:val="es-ES_tradnl"/>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2014</w:t>
            </w:r>
          </w:p>
        </w:tc>
        <w:tc>
          <w:tcPr>
            <w:tcW w:w="1409" w:type="dxa"/>
          </w:tcPr>
          <w:p w:rsidR="00567637" w:rsidRPr="005D131A" w:rsidRDefault="00567637" w:rsidP="005D131A">
            <w:pPr>
              <w:jc w:val="center"/>
              <w:rPr>
                <w:sz w:val="28"/>
                <w:szCs w:val="28"/>
              </w:rPr>
            </w:pPr>
            <w:r w:rsidRPr="005D131A">
              <w:rPr>
                <w:sz w:val="28"/>
                <w:szCs w:val="28"/>
              </w:rPr>
              <w:t>0</w:t>
            </w:r>
          </w:p>
        </w:tc>
        <w:tc>
          <w:tcPr>
            <w:tcW w:w="1409" w:type="dxa"/>
          </w:tcPr>
          <w:p w:rsidR="00567637" w:rsidRPr="005D131A" w:rsidRDefault="00567637" w:rsidP="005D131A">
            <w:pPr>
              <w:jc w:val="center"/>
              <w:rPr>
                <w:sz w:val="28"/>
                <w:szCs w:val="28"/>
              </w:rPr>
            </w:pPr>
            <w:r w:rsidRPr="005D131A">
              <w:rPr>
                <w:sz w:val="28"/>
                <w:szCs w:val="28"/>
              </w:rPr>
              <w:t>268</w:t>
            </w:r>
          </w:p>
        </w:tc>
        <w:tc>
          <w:tcPr>
            <w:tcW w:w="1409" w:type="dxa"/>
          </w:tcPr>
          <w:p w:rsidR="00567637" w:rsidRPr="005D131A" w:rsidRDefault="00567637" w:rsidP="005D131A">
            <w:pPr>
              <w:jc w:val="center"/>
              <w:rPr>
                <w:sz w:val="28"/>
                <w:szCs w:val="28"/>
              </w:rPr>
            </w:pPr>
            <w:r w:rsidRPr="005D131A">
              <w:rPr>
                <w:sz w:val="28"/>
                <w:szCs w:val="28"/>
              </w:rPr>
              <w:t>58</w:t>
            </w:r>
          </w:p>
        </w:tc>
        <w:tc>
          <w:tcPr>
            <w:tcW w:w="1427" w:type="dxa"/>
          </w:tcPr>
          <w:p w:rsidR="00567637" w:rsidRPr="005D131A" w:rsidRDefault="00567637" w:rsidP="005D131A">
            <w:pPr>
              <w:jc w:val="center"/>
              <w:rPr>
                <w:sz w:val="28"/>
                <w:szCs w:val="28"/>
              </w:rPr>
            </w:pPr>
            <w:r w:rsidRPr="005D131A">
              <w:rPr>
                <w:sz w:val="28"/>
                <w:szCs w:val="28"/>
              </w:rPr>
              <w:t>4</w:t>
            </w:r>
          </w:p>
        </w:tc>
        <w:tc>
          <w:tcPr>
            <w:tcW w:w="1427" w:type="dxa"/>
          </w:tcPr>
          <w:p w:rsidR="00567637" w:rsidRPr="005D131A" w:rsidRDefault="00567637" w:rsidP="005D131A">
            <w:pPr>
              <w:jc w:val="center"/>
              <w:rPr>
                <w:sz w:val="28"/>
                <w:szCs w:val="28"/>
              </w:rPr>
            </w:pPr>
            <w:r w:rsidRPr="005D131A">
              <w:rPr>
                <w:sz w:val="28"/>
                <w:szCs w:val="28"/>
              </w:rPr>
              <w:t>277</w:t>
            </w:r>
          </w:p>
        </w:tc>
      </w:tr>
      <w:tr w:rsidR="00567637" w:rsidRPr="005D131A" w:rsidTr="00B74FA2">
        <w:trPr>
          <w:trHeight w:val="218"/>
        </w:trPr>
        <w:tc>
          <w:tcPr>
            <w:tcW w:w="1115" w:type="dxa"/>
            <w:vMerge w:val="restart"/>
            <w:vAlign w:val="center"/>
          </w:tcPr>
          <w:p w:rsidR="00567637" w:rsidRPr="005D131A" w:rsidRDefault="00567637" w:rsidP="005D131A">
            <w:pPr>
              <w:jc w:val="center"/>
              <w:rPr>
                <w:b/>
                <w:sz w:val="28"/>
                <w:szCs w:val="28"/>
                <w:lang w:val="es-ES_tradnl"/>
              </w:rPr>
            </w:pPr>
            <w:r w:rsidRPr="005D131A">
              <w:rPr>
                <w:b/>
                <w:sz w:val="28"/>
                <w:szCs w:val="28"/>
              </w:rPr>
              <w:t>Coomeva</w:t>
            </w:r>
          </w:p>
        </w:tc>
        <w:tc>
          <w:tcPr>
            <w:tcW w:w="632" w:type="dxa"/>
          </w:tcPr>
          <w:p w:rsidR="00567637" w:rsidRPr="005D131A" w:rsidRDefault="00567637" w:rsidP="005D131A">
            <w:pPr>
              <w:jc w:val="center"/>
              <w:rPr>
                <w:sz w:val="28"/>
                <w:szCs w:val="28"/>
                <w:lang w:val="es-ES_tradnl"/>
              </w:rPr>
            </w:pPr>
            <w:r w:rsidRPr="005D131A">
              <w:rPr>
                <w:sz w:val="28"/>
                <w:szCs w:val="28"/>
                <w:lang w:val="es-ES_tradnl"/>
              </w:rPr>
              <w:t>2012</w:t>
            </w:r>
          </w:p>
        </w:tc>
        <w:tc>
          <w:tcPr>
            <w:tcW w:w="1409" w:type="dxa"/>
          </w:tcPr>
          <w:p w:rsidR="00567637" w:rsidRPr="005D131A" w:rsidRDefault="00567637" w:rsidP="005D131A">
            <w:pPr>
              <w:jc w:val="center"/>
              <w:rPr>
                <w:sz w:val="28"/>
                <w:szCs w:val="28"/>
              </w:rPr>
            </w:pPr>
            <w:r w:rsidRPr="005D131A">
              <w:rPr>
                <w:sz w:val="28"/>
                <w:szCs w:val="28"/>
              </w:rPr>
              <w:t>19010</w:t>
            </w:r>
          </w:p>
        </w:tc>
        <w:tc>
          <w:tcPr>
            <w:tcW w:w="1409" w:type="dxa"/>
          </w:tcPr>
          <w:p w:rsidR="00567637" w:rsidRPr="005D131A" w:rsidRDefault="00567637" w:rsidP="005D131A">
            <w:pPr>
              <w:jc w:val="center"/>
              <w:rPr>
                <w:sz w:val="28"/>
                <w:szCs w:val="28"/>
              </w:rPr>
            </w:pPr>
            <w:r w:rsidRPr="005D131A">
              <w:rPr>
                <w:sz w:val="28"/>
                <w:szCs w:val="28"/>
              </w:rPr>
              <w:t>58879</w:t>
            </w:r>
          </w:p>
        </w:tc>
        <w:tc>
          <w:tcPr>
            <w:tcW w:w="1409" w:type="dxa"/>
          </w:tcPr>
          <w:p w:rsidR="00567637" w:rsidRPr="005D131A" w:rsidRDefault="00567637" w:rsidP="005D131A">
            <w:pPr>
              <w:jc w:val="center"/>
              <w:rPr>
                <w:sz w:val="28"/>
                <w:szCs w:val="28"/>
              </w:rPr>
            </w:pPr>
            <w:r w:rsidRPr="005D131A">
              <w:rPr>
                <w:sz w:val="28"/>
                <w:szCs w:val="28"/>
              </w:rPr>
              <w:t>19010</w:t>
            </w:r>
          </w:p>
        </w:tc>
        <w:tc>
          <w:tcPr>
            <w:tcW w:w="1427" w:type="dxa"/>
          </w:tcPr>
          <w:p w:rsidR="00567637" w:rsidRPr="005D131A" w:rsidRDefault="00567637" w:rsidP="005D131A">
            <w:pPr>
              <w:jc w:val="center"/>
              <w:rPr>
                <w:sz w:val="28"/>
                <w:szCs w:val="28"/>
              </w:rPr>
            </w:pPr>
            <w:r w:rsidRPr="005D131A">
              <w:rPr>
                <w:sz w:val="28"/>
                <w:szCs w:val="28"/>
              </w:rPr>
              <w:t>19010</w:t>
            </w:r>
          </w:p>
        </w:tc>
        <w:tc>
          <w:tcPr>
            <w:tcW w:w="1427" w:type="dxa"/>
          </w:tcPr>
          <w:p w:rsidR="00567637" w:rsidRPr="005D131A" w:rsidRDefault="00567637" w:rsidP="005D131A">
            <w:pPr>
              <w:jc w:val="center"/>
              <w:rPr>
                <w:sz w:val="28"/>
                <w:szCs w:val="28"/>
              </w:rPr>
            </w:pPr>
            <w:r w:rsidRPr="005D131A">
              <w:rPr>
                <w:sz w:val="28"/>
                <w:szCs w:val="28"/>
              </w:rPr>
              <w:t>58879</w:t>
            </w:r>
          </w:p>
        </w:tc>
      </w:tr>
      <w:tr w:rsidR="00567637" w:rsidRPr="005D131A" w:rsidTr="00B74FA2">
        <w:trPr>
          <w:trHeight w:val="234"/>
        </w:trPr>
        <w:tc>
          <w:tcPr>
            <w:tcW w:w="1115" w:type="dxa"/>
            <w:vMerge/>
            <w:vAlign w:val="center"/>
          </w:tcPr>
          <w:p w:rsidR="00567637" w:rsidRPr="005D131A" w:rsidRDefault="00567637" w:rsidP="005D131A">
            <w:pPr>
              <w:jc w:val="center"/>
              <w:rPr>
                <w:b/>
                <w:sz w:val="28"/>
                <w:szCs w:val="28"/>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2013</w:t>
            </w:r>
          </w:p>
        </w:tc>
        <w:tc>
          <w:tcPr>
            <w:tcW w:w="1409" w:type="dxa"/>
            <w:vAlign w:val="center"/>
          </w:tcPr>
          <w:p w:rsidR="00567637" w:rsidRPr="005D131A" w:rsidRDefault="00567637" w:rsidP="005D131A">
            <w:pPr>
              <w:jc w:val="center"/>
              <w:rPr>
                <w:sz w:val="28"/>
                <w:szCs w:val="28"/>
              </w:rPr>
            </w:pPr>
            <w:r w:rsidRPr="005D131A">
              <w:rPr>
                <w:sz w:val="28"/>
                <w:szCs w:val="28"/>
              </w:rPr>
              <w:t>23533</w:t>
            </w:r>
          </w:p>
        </w:tc>
        <w:tc>
          <w:tcPr>
            <w:tcW w:w="1409" w:type="dxa"/>
          </w:tcPr>
          <w:p w:rsidR="00567637" w:rsidRPr="005D131A" w:rsidRDefault="00567637" w:rsidP="005D131A">
            <w:pPr>
              <w:jc w:val="center"/>
              <w:rPr>
                <w:sz w:val="28"/>
                <w:szCs w:val="28"/>
              </w:rPr>
            </w:pPr>
            <w:r w:rsidRPr="005D131A">
              <w:rPr>
                <w:sz w:val="28"/>
                <w:szCs w:val="28"/>
              </w:rPr>
              <w:t>64744</w:t>
            </w:r>
          </w:p>
        </w:tc>
        <w:tc>
          <w:tcPr>
            <w:tcW w:w="1409" w:type="dxa"/>
          </w:tcPr>
          <w:p w:rsidR="00567637" w:rsidRPr="005D131A" w:rsidRDefault="00567637" w:rsidP="005D131A">
            <w:pPr>
              <w:jc w:val="center"/>
              <w:rPr>
                <w:sz w:val="28"/>
                <w:szCs w:val="28"/>
              </w:rPr>
            </w:pPr>
            <w:r w:rsidRPr="005D131A">
              <w:rPr>
                <w:sz w:val="28"/>
                <w:szCs w:val="28"/>
              </w:rPr>
              <w:t>23533</w:t>
            </w:r>
          </w:p>
        </w:tc>
        <w:tc>
          <w:tcPr>
            <w:tcW w:w="1427" w:type="dxa"/>
            <w:vAlign w:val="center"/>
          </w:tcPr>
          <w:p w:rsidR="00567637" w:rsidRPr="005D131A" w:rsidRDefault="00567637" w:rsidP="005D131A">
            <w:pPr>
              <w:jc w:val="center"/>
              <w:rPr>
                <w:sz w:val="28"/>
                <w:szCs w:val="28"/>
              </w:rPr>
            </w:pPr>
            <w:r w:rsidRPr="005D131A">
              <w:rPr>
                <w:sz w:val="28"/>
                <w:szCs w:val="28"/>
              </w:rPr>
              <w:t>23533</w:t>
            </w:r>
          </w:p>
        </w:tc>
        <w:tc>
          <w:tcPr>
            <w:tcW w:w="1427" w:type="dxa"/>
            <w:vAlign w:val="center"/>
          </w:tcPr>
          <w:p w:rsidR="00567637" w:rsidRPr="005D131A" w:rsidRDefault="00567637" w:rsidP="005D131A">
            <w:pPr>
              <w:jc w:val="center"/>
              <w:rPr>
                <w:sz w:val="28"/>
                <w:szCs w:val="28"/>
              </w:rPr>
            </w:pPr>
            <w:r w:rsidRPr="005D131A">
              <w:rPr>
                <w:sz w:val="28"/>
                <w:szCs w:val="28"/>
              </w:rPr>
              <w:t>64744</w:t>
            </w:r>
          </w:p>
        </w:tc>
      </w:tr>
      <w:tr w:rsidR="00567637" w:rsidRPr="005D131A" w:rsidTr="00B74FA2">
        <w:trPr>
          <w:trHeight w:val="234"/>
        </w:trPr>
        <w:tc>
          <w:tcPr>
            <w:tcW w:w="1115" w:type="dxa"/>
            <w:vMerge/>
            <w:vAlign w:val="center"/>
          </w:tcPr>
          <w:p w:rsidR="00567637" w:rsidRPr="005D131A" w:rsidRDefault="00567637" w:rsidP="005D131A">
            <w:pPr>
              <w:jc w:val="center"/>
              <w:rPr>
                <w:b/>
                <w:sz w:val="28"/>
                <w:szCs w:val="28"/>
                <w:lang w:val="es-ES_tradnl"/>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2014</w:t>
            </w:r>
          </w:p>
        </w:tc>
        <w:tc>
          <w:tcPr>
            <w:tcW w:w="1409" w:type="dxa"/>
          </w:tcPr>
          <w:p w:rsidR="00567637" w:rsidRPr="005D131A" w:rsidRDefault="00567637" w:rsidP="005D131A">
            <w:pPr>
              <w:jc w:val="center"/>
              <w:rPr>
                <w:sz w:val="28"/>
                <w:szCs w:val="28"/>
              </w:rPr>
            </w:pPr>
            <w:r w:rsidRPr="005D131A">
              <w:rPr>
                <w:sz w:val="28"/>
                <w:szCs w:val="28"/>
              </w:rPr>
              <w:t>23533</w:t>
            </w:r>
          </w:p>
        </w:tc>
        <w:tc>
          <w:tcPr>
            <w:tcW w:w="1409" w:type="dxa"/>
          </w:tcPr>
          <w:p w:rsidR="00567637" w:rsidRPr="005D131A" w:rsidRDefault="00567637" w:rsidP="005D131A">
            <w:pPr>
              <w:jc w:val="center"/>
              <w:rPr>
                <w:sz w:val="28"/>
                <w:szCs w:val="28"/>
              </w:rPr>
            </w:pPr>
            <w:r w:rsidRPr="005D131A">
              <w:rPr>
                <w:sz w:val="28"/>
                <w:szCs w:val="28"/>
              </w:rPr>
              <w:t>72235</w:t>
            </w:r>
          </w:p>
        </w:tc>
        <w:tc>
          <w:tcPr>
            <w:tcW w:w="1409" w:type="dxa"/>
          </w:tcPr>
          <w:p w:rsidR="00567637" w:rsidRPr="005D131A" w:rsidRDefault="00567637" w:rsidP="005D131A">
            <w:pPr>
              <w:jc w:val="center"/>
              <w:rPr>
                <w:sz w:val="28"/>
                <w:szCs w:val="28"/>
              </w:rPr>
            </w:pPr>
            <w:r w:rsidRPr="005D131A">
              <w:rPr>
                <w:sz w:val="28"/>
                <w:szCs w:val="28"/>
              </w:rPr>
              <w:t>22479</w:t>
            </w:r>
          </w:p>
        </w:tc>
        <w:tc>
          <w:tcPr>
            <w:tcW w:w="1427" w:type="dxa"/>
            <w:vAlign w:val="center"/>
          </w:tcPr>
          <w:p w:rsidR="00567637" w:rsidRPr="005D131A" w:rsidRDefault="00567637" w:rsidP="005D131A">
            <w:pPr>
              <w:jc w:val="center"/>
              <w:rPr>
                <w:sz w:val="28"/>
                <w:szCs w:val="28"/>
              </w:rPr>
            </w:pPr>
            <w:r w:rsidRPr="005D131A">
              <w:rPr>
                <w:sz w:val="28"/>
                <w:szCs w:val="28"/>
              </w:rPr>
              <w:t>22479</w:t>
            </w:r>
          </w:p>
        </w:tc>
        <w:tc>
          <w:tcPr>
            <w:tcW w:w="1427" w:type="dxa"/>
            <w:vAlign w:val="center"/>
          </w:tcPr>
          <w:p w:rsidR="00567637" w:rsidRPr="005D131A" w:rsidRDefault="00567637" w:rsidP="005D131A">
            <w:pPr>
              <w:jc w:val="center"/>
              <w:rPr>
                <w:sz w:val="28"/>
                <w:szCs w:val="28"/>
              </w:rPr>
            </w:pPr>
            <w:r w:rsidRPr="005D131A">
              <w:rPr>
                <w:sz w:val="28"/>
                <w:szCs w:val="28"/>
              </w:rPr>
              <w:t>72235</w:t>
            </w:r>
          </w:p>
        </w:tc>
      </w:tr>
      <w:tr w:rsidR="00567637" w:rsidRPr="005D131A" w:rsidTr="00B74FA2">
        <w:trPr>
          <w:trHeight w:val="234"/>
        </w:trPr>
        <w:tc>
          <w:tcPr>
            <w:tcW w:w="1115" w:type="dxa"/>
            <w:vMerge w:val="restart"/>
            <w:vAlign w:val="center"/>
          </w:tcPr>
          <w:p w:rsidR="00567637" w:rsidRPr="005D131A" w:rsidRDefault="00567637" w:rsidP="005D131A">
            <w:pPr>
              <w:jc w:val="center"/>
              <w:rPr>
                <w:b/>
                <w:sz w:val="28"/>
                <w:szCs w:val="28"/>
              </w:rPr>
            </w:pPr>
            <w:r w:rsidRPr="005D131A">
              <w:rPr>
                <w:b/>
                <w:sz w:val="28"/>
                <w:szCs w:val="28"/>
              </w:rPr>
              <w:t>Aliansalud</w:t>
            </w:r>
          </w:p>
          <w:p w:rsidR="00567637" w:rsidRPr="005D131A" w:rsidRDefault="00567637" w:rsidP="005D131A">
            <w:pPr>
              <w:jc w:val="center"/>
              <w:rPr>
                <w:b/>
                <w:sz w:val="28"/>
                <w:szCs w:val="28"/>
                <w:lang w:val="es-ES_tradnl"/>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2012</w:t>
            </w:r>
          </w:p>
        </w:tc>
        <w:tc>
          <w:tcPr>
            <w:tcW w:w="1409" w:type="dxa"/>
          </w:tcPr>
          <w:p w:rsidR="00567637" w:rsidRPr="005D131A" w:rsidRDefault="00567637" w:rsidP="005D131A">
            <w:pPr>
              <w:jc w:val="center"/>
              <w:rPr>
                <w:sz w:val="28"/>
                <w:szCs w:val="28"/>
              </w:rPr>
            </w:pPr>
            <w:r w:rsidRPr="005D131A">
              <w:rPr>
                <w:sz w:val="28"/>
                <w:szCs w:val="28"/>
              </w:rPr>
              <w:t>3172</w:t>
            </w:r>
          </w:p>
        </w:tc>
        <w:tc>
          <w:tcPr>
            <w:tcW w:w="1409" w:type="dxa"/>
          </w:tcPr>
          <w:p w:rsidR="00567637" w:rsidRPr="005D131A" w:rsidRDefault="00567637" w:rsidP="005D131A">
            <w:pPr>
              <w:jc w:val="center"/>
              <w:rPr>
                <w:sz w:val="28"/>
                <w:szCs w:val="28"/>
              </w:rPr>
            </w:pPr>
            <w:r w:rsidRPr="005D131A">
              <w:rPr>
                <w:sz w:val="28"/>
                <w:szCs w:val="28"/>
              </w:rPr>
              <w:t>N.A</w:t>
            </w:r>
            <w:r w:rsidRPr="005D131A">
              <w:rPr>
                <w:sz w:val="28"/>
                <w:szCs w:val="28"/>
                <w:vertAlign w:val="superscript"/>
              </w:rPr>
              <w:footnoteReference w:id="190"/>
            </w:r>
          </w:p>
        </w:tc>
        <w:tc>
          <w:tcPr>
            <w:tcW w:w="1409" w:type="dxa"/>
          </w:tcPr>
          <w:p w:rsidR="00567637" w:rsidRPr="005D131A" w:rsidRDefault="00567637" w:rsidP="005D131A">
            <w:pPr>
              <w:jc w:val="center"/>
              <w:rPr>
                <w:sz w:val="28"/>
                <w:szCs w:val="28"/>
              </w:rPr>
            </w:pPr>
            <w:r w:rsidRPr="005D131A">
              <w:rPr>
                <w:sz w:val="28"/>
                <w:szCs w:val="28"/>
              </w:rPr>
              <w:t>3172</w:t>
            </w:r>
          </w:p>
        </w:tc>
        <w:tc>
          <w:tcPr>
            <w:tcW w:w="1427" w:type="dxa"/>
          </w:tcPr>
          <w:p w:rsidR="00567637" w:rsidRPr="005D131A" w:rsidRDefault="00567637" w:rsidP="005D131A">
            <w:pPr>
              <w:jc w:val="center"/>
              <w:rPr>
                <w:sz w:val="28"/>
                <w:szCs w:val="28"/>
              </w:rPr>
            </w:pPr>
            <w:r w:rsidRPr="005D131A">
              <w:rPr>
                <w:sz w:val="28"/>
                <w:szCs w:val="28"/>
              </w:rPr>
              <w:t>3172</w:t>
            </w:r>
          </w:p>
        </w:tc>
        <w:tc>
          <w:tcPr>
            <w:tcW w:w="1427" w:type="dxa"/>
          </w:tcPr>
          <w:p w:rsidR="00567637" w:rsidRPr="005D131A" w:rsidRDefault="00567637" w:rsidP="005D131A">
            <w:pPr>
              <w:jc w:val="center"/>
              <w:rPr>
                <w:sz w:val="28"/>
                <w:szCs w:val="28"/>
              </w:rPr>
            </w:pPr>
            <w:r w:rsidRPr="005D131A">
              <w:rPr>
                <w:sz w:val="28"/>
                <w:szCs w:val="28"/>
              </w:rPr>
              <w:t>N.A</w:t>
            </w:r>
          </w:p>
        </w:tc>
      </w:tr>
      <w:tr w:rsidR="00567637" w:rsidRPr="005D131A" w:rsidTr="00B74FA2">
        <w:trPr>
          <w:trHeight w:val="234"/>
        </w:trPr>
        <w:tc>
          <w:tcPr>
            <w:tcW w:w="1115" w:type="dxa"/>
            <w:vMerge/>
            <w:vAlign w:val="center"/>
          </w:tcPr>
          <w:p w:rsidR="00567637" w:rsidRPr="005D131A" w:rsidRDefault="00567637" w:rsidP="005D131A">
            <w:pPr>
              <w:jc w:val="center"/>
              <w:rPr>
                <w:b/>
                <w:sz w:val="28"/>
                <w:szCs w:val="28"/>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2013</w:t>
            </w:r>
          </w:p>
        </w:tc>
        <w:tc>
          <w:tcPr>
            <w:tcW w:w="1409" w:type="dxa"/>
          </w:tcPr>
          <w:p w:rsidR="00567637" w:rsidRPr="005D131A" w:rsidRDefault="00567637" w:rsidP="005D131A">
            <w:pPr>
              <w:jc w:val="center"/>
              <w:rPr>
                <w:sz w:val="28"/>
                <w:szCs w:val="28"/>
              </w:rPr>
            </w:pPr>
            <w:r w:rsidRPr="005D131A">
              <w:rPr>
                <w:sz w:val="28"/>
                <w:szCs w:val="28"/>
              </w:rPr>
              <w:t>3296</w:t>
            </w:r>
          </w:p>
        </w:tc>
        <w:tc>
          <w:tcPr>
            <w:tcW w:w="1409" w:type="dxa"/>
            <w:vAlign w:val="center"/>
          </w:tcPr>
          <w:p w:rsidR="00567637" w:rsidRPr="005D131A" w:rsidRDefault="00567637" w:rsidP="005D131A">
            <w:pPr>
              <w:jc w:val="center"/>
              <w:rPr>
                <w:sz w:val="28"/>
                <w:szCs w:val="28"/>
              </w:rPr>
            </w:pPr>
            <w:r w:rsidRPr="005D131A">
              <w:rPr>
                <w:sz w:val="28"/>
                <w:szCs w:val="28"/>
              </w:rPr>
              <w:t>N.A</w:t>
            </w:r>
          </w:p>
        </w:tc>
        <w:tc>
          <w:tcPr>
            <w:tcW w:w="1409" w:type="dxa"/>
          </w:tcPr>
          <w:p w:rsidR="00567637" w:rsidRPr="005D131A" w:rsidRDefault="00567637" w:rsidP="005D131A">
            <w:pPr>
              <w:jc w:val="center"/>
              <w:rPr>
                <w:sz w:val="28"/>
                <w:szCs w:val="28"/>
              </w:rPr>
            </w:pPr>
            <w:r w:rsidRPr="005D131A">
              <w:rPr>
                <w:sz w:val="28"/>
                <w:szCs w:val="28"/>
              </w:rPr>
              <w:t>3296</w:t>
            </w:r>
          </w:p>
        </w:tc>
        <w:tc>
          <w:tcPr>
            <w:tcW w:w="1427" w:type="dxa"/>
          </w:tcPr>
          <w:p w:rsidR="00567637" w:rsidRPr="005D131A" w:rsidRDefault="00567637" w:rsidP="005D131A">
            <w:pPr>
              <w:jc w:val="center"/>
              <w:rPr>
                <w:sz w:val="28"/>
                <w:szCs w:val="28"/>
              </w:rPr>
            </w:pPr>
            <w:r w:rsidRPr="005D131A">
              <w:rPr>
                <w:sz w:val="28"/>
                <w:szCs w:val="28"/>
              </w:rPr>
              <w:t>3296</w:t>
            </w:r>
          </w:p>
        </w:tc>
        <w:tc>
          <w:tcPr>
            <w:tcW w:w="1427" w:type="dxa"/>
            <w:vAlign w:val="center"/>
          </w:tcPr>
          <w:p w:rsidR="00567637" w:rsidRPr="005D131A" w:rsidRDefault="00567637" w:rsidP="005D131A">
            <w:pPr>
              <w:jc w:val="center"/>
              <w:rPr>
                <w:sz w:val="28"/>
                <w:szCs w:val="28"/>
              </w:rPr>
            </w:pPr>
            <w:r w:rsidRPr="005D131A">
              <w:rPr>
                <w:sz w:val="28"/>
                <w:szCs w:val="28"/>
              </w:rPr>
              <w:t>N.A</w:t>
            </w:r>
          </w:p>
        </w:tc>
      </w:tr>
      <w:tr w:rsidR="00567637" w:rsidRPr="005D131A" w:rsidTr="00B74FA2">
        <w:trPr>
          <w:trHeight w:val="234"/>
        </w:trPr>
        <w:tc>
          <w:tcPr>
            <w:tcW w:w="1115" w:type="dxa"/>
            <w:vMerge/>
            <w:vAlign w:val="center"/>
          </w:tcPr>
          <w:p w:rsidR="00567637" w:rsidRPr="005D131A" w:rsidRDefault="00567637" w:rsidP="005D131A">
            <w:pPr>
              <w:jc w:val="center"/>
              <w:rPr>
                <w:b/>
                <w:sz w:val="28"/>
                <w:szCs w:val="28"/>
                <w:lang w:val="es-ES_tradnl"/>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2014</w:t>
            </w:r>
          </w:p>
        </w:tc>
        <w:tc>
          <w:tcPr>
            <w:tcW w:w="1409" w:type="dxa"/>
          </w:tcPr>
          <w:p w:rsidR="00567637" w:rsidRPr="005D131A" w:rsidRDefault="00567637" w:rsidP="005D131A">
            <w:pPr>
              <w:jc w:val="center"/>
              <w:rPr>
                <w:sz w:val="28"/>
                <w:szCs w:val="28"/>
              </w:rPr>
            </w:pPr>
            <w:r w:rsidRPr="005D131A">
              <w:rPr>
                <w:sz w:val="28"/>
                <w:szCs w:val="28"/>
              </w:rPr>
              <w:t>3428</w:t>
            </w:r>
          </w:p>
        </w:tc>
        <w:tc>
          <w:tcPr>
            <w:tcW w:w="1409" w:type="dxa"/>
            <w:vAlign w:val="center"/>
          </w:tcPr>
          <w:p w:rsidR="00567637" w:rsidRPr="005D131A" w:rsidRDefault="00567637" w:rsidP="005D131A">
            <w:pPr>
              <w:jc w:val="center"/>
              <w:rPr>
                <w:sz w:val="28"/>
                <w:szCs w:val="28"/>
              </w:rPr>
            </w:pPr>
            <w:r w:rsidRPr="005D131A">
              <w:rPr>
                <w:sz w:val="28"/>
                <w:szCs w:val="28"/>
              </w:rPr>
              <w:t>N.A</w:t>
            </w:r>
          </w:p>
        </w:tc>
        <w:tc>
          <w:tcPr>
            <w:tcW w:w="1409" w:type="dxa"/>
          </w:tcPr>
          <w:p w:rsidR="00567637" w:rsidRPr="005D131A" w:rsidRDefault="00567637" w:rsidP="005D131A">
            <w:pPr>
              <w:jc w:val="center"/>
              <w:rPr>
                <w:sz w:val="28"/>
                <w:szCs w:val="28"/>
              </w:rPr>
            </w:pPr>
            <w:r w:rsidRPr="005D131A">
              <w:rPr>
                <w:sz w:val="28"/>
                <w:szCs w:val="28"/>
              </w:rPr>
              <w:t>3428</w:t>
            </w:r>
          </w:p>
        </w:tc>
        <w:tc>
          <w:tcPr>
            <w:tcW w:w="1427" w:type="dxa"/>
          </w:tcPr>
          <w:p w:rsidR="00567637" w:rsidRPr="005D131A" w:rsidRDefault="00567637" w:rsidP="005D131A">
            <w:pPr>
              <w:jc w:val="center"/>
              <w:rPr>
                <w:sz w:val="28"/>
                <w:szCs w:val="28"/>
              </w:rPr>
            </w:pPr>
            <w:r w:rsidRPr="005D131A">
              <w:rPr>
                <w:sz w:val="28"/>
                <w:szCs w:val="28"/>
              </w:rPr>
              <w:t>3428</w:t>
            </w:r>
          </w:p>
        </w:tc>
        <w:tc>
          <w:tcPr>
            <w:tcW w:w="1427" w:type="dxa"/>
            <w:vAlign w:val="center"/>
          </w:tcPr>
          <w:p w:rsidR="00567637" w:rsidRPr="005D131A" w:rsidRDefault="00567637" w:rsidP="005D131A">
            <w:pPr>
              <w:keepNext/>
              <w:jc w:val="center"/>
              <w:rPr>
                <w:sz w:val="28"/>
                <w:szCs w:val="28"/>
              </w:rPr>
            </w:pPr>
            <w:r w:rsidRPr="005D131A">
              <w:rPr>
                <w:sz w:val="28"/>
                <w:szCs w:val="28"/>
              </w:rPr>
              <w:t>N.A</w:t>
            </w:r>
          </w:p>
        </w:tc>
      </w:tr>
      <w:tr w:rsidR="00567637" w:rsidRPr="005D131A" w:rsidTr="00B74FA2">
        <w:trPr>
          <w:trHeight w:val="234"/>
        </w:trPr>
        <w:tc>
          <w:tcPr>
            <w:tcW w:w="1115" w:type="dxa"/>
            <w:vMerge w:val="restart"/>
            <w:vAlign w:val="center"/>
          </w:tcPr>
          <w:p w:rsidR="00567637" w:rsidRPr="005D131A" w:rsidRDefault="00567637" w:rsidP="005D131A">
            <w:pPr>
              <w:jc w:val="center"/>
              <w:rPr>
                <w:b/>
                <w:sz w:val="28"/>
                <w:szCs w:val="28"/>
                <w:lang w:val="es-ES_tradnl"/>
              </w:rPr>
            </w:pPr>
            <w:r w:rsidRPr="005D131A">
              <w:rPr>
                <w:b/>
                <w:sz w:val="28"/>
                <w:szCs w:val="28"/>
              </w:rPr>
              <w:t>Comfacor</w:t>
            </w:r>
          </w:p>
        </w:tc>
        <w:tc>
          <w:tcPr>
            <w:tcW w:w="632" w:type="dxa"/>
          </w:tcPr>
          <w:p w:rsidR="00567637" w:rsidRPr="005D131A" w:rsidRDefault="00567637" w:rsidP="005D131A">
            <w:pPr>
              <w:jc w:val="center"/>
              <w:rPr>
                <w:sz w:val="28"/>
                <w:szCs w:val="28"/>
                <w:lang w:val="es-ES_tradnl"/>
              </w:rPr>
            </w:pPr>
            <w:r w:rsidRPr="005D131A">
              <w:rPr>
                <w:sz w:val="28"/>
                <w:szCs w:val="28"/>
                <w:lang w:val="es-ES_tradnl"/>
              </w:rPr>
              <w:t>2012</w:t>
            </w:r>
          </w:p>
        </w:tc>
        <w:tc>
          <w:tcPr>
            <w:tcW w:w="1409" w:type="dxa"/>
          </w:tcPr>
          <w:p w:rsidR="00567637" w:rsidRPr="005D131A" w:rsidRDefault="00567637" w:rsidP="005D131A">
            <w:pPr>
              <w:jc w:val="center"/>
              <w:rPr>
                <w:sz w:val="28"/>
                <w:szCs w:val="28"/>
              </w:rPr>
            </w:pPr>
            <w:r w:rsidRPr="005D131A">
              <w:rPr>
                <w:sz w:val="28"/>
                <w:szCs w:val="28"/>
              </w:rPr>
              <w:t>202</w:t>
            </w:r>
          </w:p>
        </w:tc>
        <w:tc>
          <w:tcPr>
            <w:tcW w:w="1409" w:type="dxa"/>
          </w:tcPr>
          <w:p w:rsidR="00567637" w:rsidRPr="005D131A" w:rsidRDefault="00567637" w:rsidP="005D131A">
            <w:pPr>
              <w:jc w:val="center"/>
              <w:rPr>
                <w:sz w:val="28"/>
                <w:szCs w:val="28"/>
              </w:rPr>
            </w:pPr>
            <w:r w:rsidRPr="005D131A">
              <w:rPr>
                <w:sz w:val="28"/>
                <w:szCs w:val="28"/>
              </w:rPr>
              <w:t>0</w:t>
            </w:r>
          </w:p>
        </w:tc>
        <w:tc>
          <w:tcPr>
            <w:tcW w:w="1409" w:type="dxa"/>
          </w:tcPr>
          <w:p w:rsidR="00567637" w:rsidRPr="005D131A" w:rsidRDefault="00567637" w:rsidP="005D131A">
            <w:pPr>
              <w:jc w:val="center"/>
              <w:rPr>
                <w:sz w:val="28"/>
                <w:szCs w:val="28"/>
              </w:rPr>
            </w:pPr>
            <w:r w:rsidRPr="005D131A">
              <w:rPr>
                <w:sz w:val="28"/>
                <w:szCs w:val="28"/>
              </w:rPr>
              <w:t>202</w:t>
            </w:r>
          </w:p>
        </w:tc>
        <w:tc>
          <w:tcPr>
            <w:tcW w:w="1427" w:type="dxa"/>
          </w:tcPr>
          <w:p w:rsidR="00567637" w:rsidRPr="005D131A" w:rsidRDefault="00567637" w:rsidP="005D131A">
            <w:pPr>
              <w:jc w:val="center"/>
              <w:rPr>
                <w:sz w:val="28"/>
                <w:szCs w:val="28"/>
              </w:rPr>
            </w:pPr>
            <w:r w:rsidRPr="005D131A">
              <w:rPr>
                <w:sz w:val="28"/>
                <w:szCs w:val="28"/>
              </w:rPr>
              <w:t>202</w:t>
            </w:r>
          </w:p>
        </w:tc>
        <w:tc>
          <w:tcPr>
            <w:tcW w:w="1427" w:type="dxa"/>
          </w:tcPr>
          <w:p w:rsidR="00567637" w:rsidRPr="005D131A" w:rsidRDefault="00567637" w:rsidP="005D131A">
            <w:pPr>
              <w:jc w:val="center"/>
              <w:rPr>
                <w:sz w:val="28"/>
                <w:szCs w:val="28"/>
              </w:rPr>
            </w:pPr>
            <w:r w:rsidRPr="005D131A">
              <w:rPr>
                <w:sz w:val="28"/>
                <w:szCs w:val="28"/>
              </w:rPr>
              <w:t>0</w:t>
            </w:r>
          </w:p>
        </w:tc>
      </w:tr>
      <w:tr w:rsidR="00567637" w:rsidRPr="005D131A" w:rsidTr="00B74FA2">
        <w:trPr>
          <w:trHeight w:val="234"/>
        </w:trPr>
        <w:tc>
          <w:tcPr>
            <w:tcW w:w="1115" w:type="dxa"/>
            <w:vMerge/>
            <w:vAlign w:val="center"/>
          </w:tcPr>
          <w:p w:rsidR="00567637" w:rsidRPr="005D131A" w:rsidRDefault="00567637" w:rsidP="005D131A">
            <w:pPr>
              <w:jc w:val="center"/>
              <w:rPr>
                <w:b/>
                <w:sz w:val="28"/>
                <w:szCs w:val="28"/>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2013</w:t>
            </w:r>
          </w:p>
        </w:tc>
        <w:tc>
          <w:tcPr>
            <w:tcW w:w="1409" w:type="dxa"/>
            <w:vAlign w:val="center"/>
          </w:tcPr>
          <w:p w:rsidR="00567637" w:rsidRPr="005D131A" w:rsidRDefault="00567637" w:rsidP="005D131A">
            <w:pPr>
              <w:jc w:val="center"/>
              <w:rPr>
                <w:sz w:val="28"/>
                <w:szCs w:val="28"/>
              </w:rPr>
            </w:pPr>
            <w:r w:rsidRPr="005D131A">
              <w:rPr>
                <w:sz w:val="28"/>
                <w:szCs w:val="28"/>
              </w:rPr>
              <w:t>497</w:t>
            </w:r>
          </w:p>
        </w:tc>
        <w:tc>
          <w:tcPr>
            <w:tcW w:w="1409" w:type="dxa"/>
          </w:tcPr>
          <w:p w:rsidR="00567637" w:rsidRPr="005D131A" w:rsidRDefault="00567637" w:rsidP="005D131A">
            <w:pPr>
              <w:jc w:val="center"/>
              <w:rPr>
                <w:sz w:val="28"/>
                <w:szCs w:val="28"/>
              </w:rPr>
            </w:pPr>
            <w:r w:rsidRPr="005D131A">
              <w:rPr>
                <w:sz w:val="28"/>
                <w:szCs w:val="28"/>
              </w:rPr>
              <w:t>0</w:t>
            </w:r>
          </w:p>
        </w:tc>
        <w:tc>
          <w:tcPr>
            <w:tcW w:w="1409" w:type="dxa"/>
          </w:tcPr>
          <w:p w:rsidR="00567637" w:rsidRPr="005D131A" w:rsidRDefault="00567637" w:rsidP="005D131A">
            <w:pPr>
              <w:jc w:val="center"/>
              <w:rPr>
                <w:sz w:val="28"/>
                <w:szCs w:val="28"/>
              </w:rPr>
            </w:pPr>
            <w:r w:rsidRPr="005D131A">
              <w:rPr>
                <w:sz w:val="28"/>
                <w:szCs w:val="28"/>
              </w:rPr>
              <w:t>497</w:t>
            </w:r>
          </w:p>
        </w:tc>
        <w:tc>
          <w:tcPr>
            <w:tcW w:w="1427" w:type="dxa"/>
          </w:tcPr>
          <w:p w:rsidR="00567637" w:rsidRPr="005D131A" w:rsidRDefault="00567637" w:rsidP="005D131A">
            <w:pPr>
              <w:jc w:val="center"/>
              <w:rPr>
                <w:sz w:val="28"/>
                <w:szCs w:val="28"/>
              </w:rPr>
            </w:pPr>
            <w:r w:rsidRPr="005D131A">
              <w:rPr>
                <w:sz w:val="28"/>
                <w:szCs w:val="28"/>
              </w:rPr>
              <w:t>497</w:t>
            </w:r>
          </w:p>
        </w:tc>
        <w:tc>
          <w:tcPr>
            <w:tcW w:w="1427" w:type="dxa"/>
          </w:tcPr>
          <w:p w:rsidR="00567637" w:rsidRPr="005D131A" w:rsidRDefault="00567637" w:rsidP="005D131A">
            <w:pPr>
              <w:jc w:val="center"/>
              <w:rPr>
                <w:sz w:val="28"/>
                <w:szCs w:val="28"/>
              </w:rPr>
            </w:pPr>
            <w:r w:rsidRPr="005D131A">
              <w:rPr>
                <w:sz w:val="28"/>
                <w:szCs w:val="28"/>
              </w:rPr>
              <w:t>0</w:t>
            </w:r>
          </w:p>
        </w:tc>
      </w:tr>
      <w:tr w:rsidR="00567637" w:rsidRPr="005D131A" w:rsidTr="00B74FA2">
        <w:trPr>
          <w:trHeight w:val="234"/>
        </w:trPr>
        <w:tc>
          <w:tcPr>
            <w:tcW w:w="1115" w:type="dxa"/>
            <w:vMerge/>
            <w:vAlign w:val="center"/>
          </w:tcPr>
          <w:p w:rsidR="00567637" w:rsidRPr="005D131A" w:rsidRDefault="00567637" w:rsidP="005D131A">
            <w:pPr>
              <w:jc w:val="center"/>
              <w:rPr>
                <w:b/>
                <w:sz w:val="28"/>
                <w:szCs w:val="28"/>
                <w:lang w:val="es-ES_tradnl"/>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2014</w:t>
            </w:r>
          </w:p>
        </w:tc>
        <w:tc>
          <w:tcPr>
            <w:tcW w:w="1409" w:type="dxa"/>
            <w:vAlign w:val="center"/>
          </w:tcPr>
          <w:p w:rsidR="00567637" w:rsidRPr="005D131A" w:rsidRDefault="00567637" w:rsidP="005D131A">
            <w:pPr>
              <w:jc w:val="center"/>
              <w:rPr>
                <w:sz w:val="28"/>
                <w:szCs w:val="28"/>
              </w:rPr>
            </w:pPr>
            <w:r w:rsidRPr="005D131A">
              <w:rPr>
                <w:sz w:val="28"/>
                <w:szCs w:val="28"/>
              </w:rPr>
              <w:t>420</w:t>
            </w:r>
          </w:p>
        </w:tc>
        <w:tc>
          <w:tcPr>
            <w:tcW w:w="1409" w:type="dxa"/>
          </w:tcPr>
          <w:p w:rsidR="00567637" w:rsidRPr="005D131A" w:rsidRDefault="00567637" w:rsidP="005D131A">
            <w:pPr>
              <w:jc w:val="center"/>
              <w:rPr>
                <w:sz w:val="28"/>
                <w:szCs w:val="28"/>
              </w:rPr>
            </w:pPr>
            <w:r w:rsidRPr="005D131A">
              <w:rPr>
                <w:sz w:val="28"/>
                <w:szCs w:val="28"/>
              </w:rPr>
              <w:t>0</w:t>
            </w:r>
          </w:p>
        </w:tc>
        <w:tc>
          <w:tcPr>
            <w:tcW w:w="1409" w:type="dxa"/>
          </w:tcPr>
          <w:p w:rsidR="00567637" w:rsidRPr="005D131A" w:rsidRDefault="00567637" w:rsidP="005D131A">
            <w:pPr>
              <w:jc w:val="center"/>
              <w:rPr>
                <w:sz w:val="28"/>
                <w:szCs w:val="28"/>
              </w:rPr>
            </w:pPr>
            <w:r w:rsidRPr="005D131A">
              <w:rPr>
                <w:sz w:val="28"/>
                <w:szCs w:val="28"/>
              </w:rPr>
              <w:t>420</w:t>
            </w:r>
          </w:p>
        </w:tc>
        <w:tc>
          <w:tcPr>
            <w:tcW w:w="1427" w:type="dxa"/>
            <w:vAlign w:val="center"/>
          </w:tcPr>
          <w:p w:rsidR="00567637" w:rsidRPr="005D131A" w:rsidRDefault="00567637" w:rsidP="005D131A">
            <w:pPr>
              <w:jc w:val="center"/>
              <w:rPr>
                <w:sz w:val="28"/>
                <w:szCs w:val="28"/>
              </w:rPr>
            </w:pPr>
            <w:r w:rsidRPr="005D131A">
              <w:rPr>
                <w:sz w:val="28"/>
                <w:szCs w:val="28"/>
              </w:rPr>
              <w:t>420</w:t>
            </w:r>
          </w:p>
        </w:tc>
        <w:tc>
          <w:tcPr>
            <w:tcW w:w="1427" w:type="dxa"/>
          </w:tcPr>
          <w:p w:rsidR="00567637" w:rsidRPr="005D131A" w:rsidRDefault="00567637" w:rsidP="005D131A">
            <w:pPr>
              <w:jc w:val="center"/>
              <w:rPr>
                <w:sz w:val="28"/>
                <w:szCs w:val="28"/>
              </w:rPr>
            </w:pPr>
            <w:r w:rsidRPr="005D131A">
              <w:rPr>
                <w:sz w:val="28"/>
                <w:szCs w:val="28"/>
              </w:rPr>
              <w:t>0</w:t>
            </w:r>
          </w:p>
        </w:tc>
      </w:tr>
      <w:tr w:rsidR="00567637" w:rsidRPr="005D131A" w:rsidTr="00B74FA2">
        <w:trPr>
          <w:trHeight w:val="234"/>
        </w:trPr>
        <w:tc>
          <w:tcPr>
            <w:tcW w:w="1115" w:type="dxa"/>
            <w:vMerge w:val="restart"/>
            <w:vAlign w:val="center"/>
          </w:tcPr>
          <w:p w:rsidR="00567637" w:rsidRPr="005D131A" w:rsidRDefault="00567637" w:rsidP="005D131A">
            <w:pPr>
              <w:jc w:val="center"/>
              <w:rPr>
                <w:b/>
                <w:sz w:val="28"/>
                <w:szCs w:val="28"/>
                <w:lang w:val="es-ES_tradnl"/>
              </w:rPr>
            </w:pPr>
            <w:r w:rsidRPr="005D131A">
              <w:rPr>
                <w:b/>
                <w:sz w:val="28"/>
                <w:szCs w:val="28"/>
              </w:rPr>
              <w:t>Saludtotal</w:t>
            </w:r>
          </w:p>
        </w:tc>
        <w:tc>
          <w:tcPr>
            <w:tcW w:w="632" w:type="dxa"/>
          </w:tcPr>
          <w:p w:rsidR="00567637" w:rsidRPr="005D131A" w:rsidRDefault="00567637" w:rsidP="005D131A">
            <w:pPr>
              <w:jc w:val="center"/>
              <w:rPr>
                <w:sz w:val="28"/>
                <w:szCs w:val="28"/>
                <w:lang w:val="es-ES_tradnl"/>
              </w:rPr>
            </w:pPr>
            <w:r w:rsidRPr="005D131A">
              <w:rPr>
                <w:sz w:val="28"/>
                <w:szCs w:val="28"/>
                <w:lang w:val="es-ES_tradnl"/>
              </w:rPr>
              <w:t>2012</w:t>
            </w:r>
          </w:p>
        </w:tc>
        <w:tc>
          <w:tcPr>
            <w:tcW w:w="1409" w:type="dxa"/>
          </w:tcPr>
          <w:p w:rsidR="00567637" w:rsidRPr="005D131A" w:rsidRDefault="00567637" w:rsidP="005D131A">
            <w:pPr>
              <w:jc w:val="center"/>
              <w:rPr>
                <w:sz w:val="28"/>
                <w:szCs w:val="28"/>
              </w:rPr>
            </w:pPr>
            <w:r w:rsidRPr="005D131A">
              <w:rPr>
                <w:sz w:val="28"/>
                <w:szCs w:val="28"/>
              </w:rPr>
              <w:t>5049</w:t>
            </w:r>
          </w:p>
        </w:tc>
        <w:tc>
          <w:tcPr>
            <w:tcW w:w="1409" w:type="dxa"/>
          </w:tcPr>
          <w:p w:rsidR="00567637" w:rsidRPr="005D131A" w:rsidRDefault="00567637" w:rsidP="005D131A">
            <w:pPr>
              <w:jc w:val="center"/>
              <w:rPr>
                <w:sz w:val="28"/>
                <w:szCs w:val="28"/>
              </w:rPr>
            </w:pPr>
            <w:r w:rsidRPr="005D131A">
              <w:rPr>
                <w:sz w:val="28"/>
                <w:szCs w:val="28"/>
              </w:rPr>
              <w:t>0</w:t>
            </w:r>
          </w:p>
        </w:tc>
        <w:tc>
          <w:tcPr>
            <w:tcW w:w="1409" w:type="dxa"/>
          </w:tcPr>
          <w:p w:rsidR="00567637" w:rsidRPr="005D131A" w:rsidRDefault="00567637" w:rsidP="005D131A">
            <w:pPr>
              <w:jc w:val="center"/>
              <w:rPr>
                <w:sz w:val="28"/>
                <w:szCs w:val="28"/>
              </w:rPr>
            </w:pPr>
            <w:r w:rsidRPr="005D131A">
              <w:rPr>
                <w:sz w:val="28"/>
                <w:szCs w:val="28"/>
              </w:rPr>
              <w:t>5049</w:t>
            </w:r>
          </w:p>
        </w:tc>
        <w:tc>
          <w:tcPr>
            <w:tcW w:w="1427" w:type="dxa"/>
          </w:tcPr>
          <w:p w:rsidR="00567637" w:rsidRPr="005D131A" w:rsidRDefault="00567637" w:rsidP="005D131A">
            <w:pPr>
              <w:jc w:val="center"/>
              <w:rPr>
                <w:sz w:val="28"/>
                <w:szCs w:val="28"/>
              </w:rPr>
            </w:pPr>
            <w:r w:rsidRPr="005D131A">
              <w:rPr>
                <w:sz w:val="28"/>
                <w:szCs w:val="28"/>
              </w:rPr>
              <w:t>5049</w:t>
            </w:r>
          </w:p>
        </w:tc>
        <w:tc>
          <w:tcPr>
            <w:tcW w:w="1427" w:type="dxa"/>
          </w:tcPr>
          <w:p w:rsidR="00567637" w:rsidRPr="005D131A" w:rsidRDefault="00567637" w:rsidP="005D131A">
            <w:pPr>
              <w:jc w:val="center"/>
              <w:rPr>
                <w:sz w:val="28"/>
                <w:szCs w:val="28"/>
              </w:rPr>
            </w:pPr>
            <w:r w:rsidRPr="005D131A">
              <w:rPr>
                <w:sz w:val="28"/>
                <w:szCs w:val="28"/>
              </w:rPr>
              <w:t>0</w:t>
            </w:r>
          </w:p>
        </w:tc>
      </w:tr>
      <w:tr w:rsidR="00567637" w:rsidRPr="005D131A" w:rsidTr="00B74FA2">
        <w:trPr>
          <w:trHeight w:val="234"/>
        </w:trPr>
        <w:tc>
          <w:tcPr>
            <w:tcW w:w="1115" w:type="dxa"/>
            <w:vMerge/>
            <w:vAlign w:val="center"/>
          </w:tcPr>
          <w:p w:rsidR="00567637" w:rsidRPr="005D131A" w:rsidRDefault="00567637" w:rsidP="005D131A">
            <w:pPr>
              <w:jc w:val="center"/>
              <w:rPr>
                <w:b/>
                <w:sz w:val="28"/>
                <w:szCs w:val="28"/>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2013</w:t>
            </w:r>
          </w:p>
        </w:tc>
        <w:tc>
          <w:tcPr>
            <w:tcW w:w="1409" w:type="dxa"/>
          </w:tcPr>
          <w:p w:rsidR="00567637" w:rsidRPr="005D131A" w:rsidRDefault="00567637" w:rsidP="005D131A">
            <w:pPr>
              <w:jc w:val="center"/>
              <w:rPr>
                <w:sz w:val="28"/>
                <w:szCs w:val="28"/>
              </w:rPr>
            </w:pPr>
            <w:r w:rsidRPr="005D131A">
              <w:rPr>
                <w:sz w:val="28"/>
                <w:szCs w:val="28"/>
              </w:rPr>
              <w:t>7487</w:t>
            </w:r>
          </w:p>
        </w:tc>
        <w:tc>
          <w:tcPr>
            <w:tcW w:w="1409" w:type="dxa"/>
          </w:tcPr>
          <w:p w:rsidR="00567637" w:rsidRPr="005D131A" w:rsidRDefault="00567637" w:rsidP="005D131A">
            <w:pPr>
              <w:jc w:val="center"/>
              <w:rPr>
                <w:sz w:val="28"/>
                <w:szCs w:val="28"/>
              </w:rPr>
            </w:pPr>
            <w:r w:rsidRPr="005D131A">
              <w:rPr>
                <w:sz w:val="28"/>
                <w:szCs w:val="28"/>
              </w:rPr>
              <w:t>0</w:t>
            </w:r>
          </w:p>
        </w:tc>
        <w:tc>
          <w:tcPr>
            <w:tcW w:w="1409" w:type="dxa"/>
            <w:vAlign w:val="center"/>
          </w:tcPr>
          <w:p w:rsidR="00567637" w:rsidRPr="005D131A" w:rsidRDefault="00567637" w:rsidP="005D131A">
            <w:pPr>
              <w:jc w:val="center"/>
              <w:rPr>
                <w:sz w:val="28"/>
                <w:szCs w:val="28"/>
              </w:rPr>
            </w:pPr>
            <w:r w:rsidRPr="005D131A">
              <w:rPr>
                <w:sz w:val="28"/>
                <w:szCs w:val="28"/>
              </w:rPr>
              <w:t>7487</w:t>
            </w:r>
          </w:p>
        </w:tc>
        <w:tc>
          <w:tcPr>
            <w:tcW w:w="1427" w:type="dxa"/>
            <w:vAlign w:val="center"/>
          </w:tcPr>
          <w:p w:rsidR="00567637" w:rsidRPr="005D131A" w:rsidRDefault="00567637" w:rsidP="005D131A">
            <w:pPr>
              <w:jc w:val="center"/>
              <w:rPr>
                <w:sz w:val="28"/>
                <w:szCs w:val="28"/>
              </w:rPr>
            </w:pPr>
            <w:r w:rsidRPr="005D131A">
              <w:rPr>
                <w:sz w:val="28"/>
                <w:szCs w:val="28"/>
              </w:rPr>
              <w:t>7487</w:t>
            </w:r>
          </w:p>
        </w:tc>
        <w:tc>
          <w:tcPr>
            <w:tcW w:w="1427" w:type="dxa"/>
          </w:tcPr>
          <w:p w:rsidR="00567637" w:rsidRPr="005D131A" w:rsidRDefault="00567637" w:rsidP="005D131A">
            <w:pPr>
              <w:jc w:val="center"/>
              <w:rPr>
                <w:sz w:val="28"/>
                <w:szCs w:val="28"/>
              </w:rPr>
            </w:pPr>
            <w:r w:rsidRPr="005D131A">
              <w:rPr>
                <w:sz w:val="28"/>
                <w:szCs w:val="28"/>
              </w:rPr>
              <w:t>0</w:t>
            </w:r>
          </w:p>
        </w:tc>
      </w:tr>
      <w:tr w:rsidR="00567637" w:rsidRPr="005D131A" w:rsidTr="00B74FA2">
        <w:trPr>
          <w:trHeight w:val="234"/>
        </w:trPr>
        <w:tc>
          <w:tcPr>
            <w:tcW w:w="1115" w:type="dxa"/>
            <w:vMerge/>
            <w:vAlign w:val="center"/>
          </w:tcPr>
          <w:p w:rsidR="00567637" w:rsidRPr="005D131A" w:rsidRDefault="00567637" w:rsidP="005D131A">
            <w:pPr>
              <w:jc w:val="center"/>
              <w:rPr>
                <w:b/>
                <w:sz w:val="28"/>
                <w:szCs w:val="28"/>
                <w:lang w:val="es-ES_tradnl"/>
              </w:rPr>
            </w:pPr>
          </w:p>
        </w:tc>
        <w:tc>
          <w:tcPr>
            <w:tcW w:w="632" w:type="dxa"/>
          </w:tcPr>
          <w:p w:rsidR="00567637" w:rsidRPr="005D131A" w:rsidRDefault="00567637" w:rsidP="005D131A">
            <w:pPr>
              <w:jc w:val="center"/>
              <w:rPr>
                <w:sz w:val="28"/>
                <w:szCs w:val="28"/>
                <w:lang w:val="es-ES_tradnl"/>
              </w:rPr>
            </w:pPr>
            <w:r w:rsidRPr="005D131A">
              <w:rPr>
                <w:sz w:val="28"/>
                <w:szCs w:val="28"/>
                <w:lang w:val="es-ES_tradnl"/>
              </w:rPr>
              <w:t>2014</w:t>
            </w:r>
          </w:p>
        </w:tc>
        <w:tc>
          <w:tcPr>
            <w:tcW w:w="1409" w:type="dxa"/>
          </w:tcPr>
          <w:p w:rsidR="00567637" w:rsidRPr="005D131A" w:rsidRDefault="00567637" w:rsidP="005D131A">
            <w:pPr>
              <w:jc w:val="center"/>
              <w:rPr>
                <w:sz w:val="28"/>
                <w:szCs w:val="28"/>
              </w:rPr>
            </w:pPr>
            <w:r w:rsidRPr="005D131A">
              <w:rPr>
                <w:sz w:val="28"/>
                <w:szCs w:val="28"/>
              </w:rPr>
              <w:t>8490</w:t>
            </w:r>
          </w:p>
        </w:tc>
        <w:tc>
          <w:tcPr>
            <w:tcW w:w="1409" w:type="dxa"/>
          </w:tcPr>
          <w:p w:rsidR="00567637" w:rsidRPr="005D131A" w:rsidRDefault="00567637" w:rsidP="005D131A">
            <w:pPr>
              <w:jc w:val="center"/>
              <w:rPr>
                <w:sz w:val="28"/>
                <w:szCs w:val="28"/>
              </w:rPr>
            </w:pPr>
            <w:r w:rsidRPr="005D131A">
              <w:rPr>
                <w:sz w:val="28"/>
                <w:szCs w:val="28"/>
              </w:rPr>
              <w:t>0</w:t>
            </w:r>
          </w:p>
        </w:tc>
        <w:tc>
          <w:tcPr>
            <w:tcW w:w="1409" w:type="dxa"/>
          </w:tcPr>
          <w:p w:rsidR="00567637" w:rsidRPr="005D131A" w:rsidRDefault="00567637" w:rsidP="005D131A">
            <w:pPr>
              <w:jc w:val="center"/>
              <w:rPr>
                <w:sz w:val="28"/>
                <w:szCs w:val="28"/>
              </w:rPr>
            </w:pPr>
            <w:r w:rsidRPr="005D131A">
              <w:rPr>
                <w:sz w:val="28"/>
                <w:szCs w:val="28"/>
              </w:rPr>
              <w:t>8490</w:t>
            </w:r>
          </w:p>
        </w:tc>
        <w:tc>
          <w:tcPr>
            <w:tcW w:w="1427" w:type="dxa"/>
            <w:vAlign w:val="center"/>
          </w:tcPr>
          <w:p w:rsidR="00567637" w:rsidRPr="005D131A" w:rsidRDefault="00567637" w:rsidP="005D131A">
            <w:pPr>
              <w:jc w:val="center"/>
              <w:rPr>
                <w:sz w:val="28"/>
                <w:szCs w:val="28"/>
              </w:rPr>
            </w:pPr>
            <w:r w:rsidRPr="005D131A">
              <w:rPr>
                <w:sz w:val="28"/>
                <w:szCs w:val="28"/>
              </w:rPr>
              <w:t>8490</w:t>
            </w:r>
          </w:p>
        </w:tc>
        <w:tc>
          <w:tcPr>
            <w:tcW w:w="1427" w:type="dxa"/>
          </w:tcPr>
          <w:p w:rsidR="00567637" w:rsidRPr="005D131A" w:rsidRDefault="00567637" w:rsidP="005D131A">
            <w:pPr>
              <w:jc w:val="center"/>
              <w:rPr>
                <w:sz w:val="28"/>
                <w:szCs w:val="28"/>
              </w:rPr>
            </w:pPr>
            <w:r w:rsidRPr="005D131A">
              <w:rPr>
                <w:sz w:val="28"/>
                <w:szCs w:val="28"/>
              </w:rPr>
              <w:t>0</w:t>
            </w:r>
          </w:p>
        </w:tc>
      </w:tr>
    </w:tbl>
    <w:p w:rsidR="00620386" w:rsidRDefault="00620386" w:rsidP="005D131A">
      <w:pPr>
        <w:pStyle w:val="Prrafodelista"/>
        <w:tabs>
          <w:tab w:val="left" w:pos="1644"/>
        </w:tabs>
        <w:ind w:left="0"/>
        <w:rPr>
          <w:sz w:val="28"/>
          <w:szCs w:val="28"/>
        </w:rPr>
      </w:pPr>
    </w:p>
    <w:p w:rsidR="00620386" w:rsidRDefault="00620386">
      <w:pPr>
        <w:rPr>
          <w:sz w:val="28"/>
          <w:szCs w:val="28"/>
        </w:rPr>
      </w:pPr>
      <w:r>
        <w:rPr>
          <w:sz w:val="28"/>
          <w:szCs w:val="28"/>
        </w:rPr>
        <w:br w:type="page"/>
      </w:r>
    </w:p>
    <w:p w:rsidR="008929BD" w:rsidRPr="005D131A" w:rsidRDefault="008929BD" w:rsidP="005D131A">
      <w:pPr>
        <w:pStyle w:val="Prrafodelista"/>
        <w:tabs>
          <w:tab w:val="left" w:pos="1644"/>
        </w:tabs>
        <w:ind w:left="0"/>
        <w:rPr>
          <w:sz w:val="28"/>
          <w:szCs w:val="28"/>
        </w:rPr>
      </w:pPr>
    </w:p>
    <w:p w:rsidR="00567637" w:rsidRPr="005D131A" w:rsidRDefault="00567637" w:rsidP="005D131A">
      <w:pPr>
        <w:shd w:val="clear" w:color="auto" w:fill="FFFFFF"/>
        <w:jc w:val="center"/>
        <w:rPr>
          <w:b/>
          <w:sz w:val="28"/>
          <w:szCs w:val="28"/>
        </w:rPr>
      </w:pPr>
      <w:r w:rsidRPr="005D131A">
        <w:rPr>
          <w:b/>
          <w:sz w:val="28"/>
          <w:szCs w:val="28"/>
        </w:rPr>
        <w:t>Anexo núm. 2</w:t>
      </w:r>
    </w:p>
    <w:p w:rsidR="00567637" w:rsidRPr="005D131A" w:rsidRDefault="00567637" w:rsidP="005D131A">
      <w:pPr>
        <w:shd w:val="clear" w:color="auto" w:fill="FFFFFF"/>
        <w:jc w:val="center"/>
        <w:rPr>
          <w:sz w:val="28"/>
          <w:szCs w:val="28"/>
        </w:rPr>
      </w:pPr>
      <w:r w:rsidRPr="005D131A">
        <w:rPr>
          <w:sz w:val="28"/>
          <w:szCs w:val="28"/>
        </w:rPr>
        <w:t>Informe de cumplimiento presentado por el Ministerio de Salud y Protección Social el 13 de abril de 2016</w:t>
      </w:r>
    </w:p>
    <w:p w:rsidR="00567637" w:rsidRPr="005D131A" w:rsidRDefault="00567637" w:rsidP="005D131A">
      <w:pPr>
        <w:shd w:val="clear" w:color="auto" w:fill="FFFFFF"/>
        <w:jc w:val="center"/>
        <w:rPr>
          <w:b/>
          <w:sz w:val="28"/>
          <w:szCs w:val="28"/>
        </w:rPr>
      </w:pPr>
    </w:p>
    <w:p w:rsidR="00567637" w:rsidRPr="005D131A" w:rsidRDefault="00567637" w:rsidP="005D131A">
      <w:pPr>
        <w:jc w:val="center"/>
        <w:rPr>
          <w:sz w:val="28"/>
          <w:szCs w:val="28"/>
        </w:rPr>
      </w:pPr>
      <w:r w:rsidRPr="005D131A">
        <w:rPr>
          <w:sz w:val="28"/>
          <w:szCs w:val="28"/>
        </w:rPr>
        <w:t>Figura núm. 5</w:t>
      </w:r>
    </w:p>
    <w:p w:rsidR="00567637" w:rsidRPr="005D131A" w:rsidRDefault="00567637" w:rsidP="005D131A">
      <w:pPr>
        <w:jc w:val="center"/>
        <w:rPr>
          <w:sz w:val="28"/>
          <w:szCs w:val="28"/>
        </w:rPr>
      </w:pPr>
      <w:r w:rsidRPr="005D131A">
        <w:rPr>
          <w:sz w:val="28"/>
          <w:szCs w:val="28"/>
        </w:rPr>
        <w:t>Criterios generales de exclusiones explícitas de los Planes Obligatorios de Salud</w:t>
      </w:r>
    </w:p>
    <w:tbl>
      <w:tblPr>
        <w:tblStyle w:val="Tablaconcuadrcula"/>
        <w:tblW w:w="0" w:type="auto"/>
        <w:tblLook w:val="04A0" w:firstRow="1" w:lastRow="0" w:firstColumn="1" w:lastColumn="0" w:noHBand="0" w:noVBand="1"/>
      </w:tblPr>
      <w:tblGrid>
        <w:gridCol w:w="3262"/>
        <w:gridCol w:w="2930"/>
        <w:gridCol w:w="2921"/>
      </w:tblGrid>
      <w:tr w:rsidR="00567637" w:rsidRPr="005D131A" w:rsidTr="00B74FA2">
        <w:trPr>
          <w:trHeight w:val="414"/>
        </w:trPr>
        <w:tc>
          <w:tcPr>
            <w:tcW w:w="0" w:type="auto"/>
          </w:tcPr>
          <w:p w:rsidR="00567637" w:rsidRPr="005D131A" w:rsidRDefault="00567637" w:rsidP="005D131A">
            <w:pPr>
              <w:jc w:val="center"/>
              <w:rPr>
                <w:sz w:val="28"/>
                <w:szCs w:val="28"/>
              </w:rPr>
            </w:pPr>
            <w:r w:rsidRPr="005D131A">
              <w:rPr>
                <w:sz w:val="28"/>
                <w:szCs w:val="28"/>
              </w:rPr>
              <w:t>Acuerdo 008 de 2011</w:t>
            </w:r>
          </w:p>
        </w:tc>
        <w:tc>
          <w:tcPr>
            <w:tcW w:w="0" w:type="auto"/>
          </w:tcPr>
          <w:p w:rsidR="00567637" w:rsidRPr="005D131A" w:rsidRDefault="00567637" w:rsidP="005D131A">
            <w:pPr>
              <w:jc w:val="center"/>
              <w:rPr>
                <w:sz w:val="28"/>
                <w:szCs w:val="28"/>
              </w:rPr>
            </w:pPr>
            <w:r w:rsidRPr="005D131A">
              <w:rPr>
                <w:sz w:val="28"/>
                <w:szCs w:val="28"/>
              </w:rPr>
              <w:t>Acuerdo 029 de 2011</w:t>
            </w:r>
          </w:p>
        </w:tc>
        <w:tc>
          <w:tcPr>
            <w:tcW w:w="0" w:type="auto"/>
          </w:tcPr>
          <w:p w:rsidR="00567637" w:rsidRPr="005D131A" w:rsidRDefault="00567637" w:rsidP="005D131A">
            <w:pPr>
              <w:jc w:val="center"/>
              <w:rPr>
                <w:sz w:val="28"/>
                <w:szCs w:val="28"/>
              </w:rPr>
            </w:pPr>
            <w:r w:rsidRPr="005D131A">
              <w:rPr>
                <w:sz w:val="28"/>
                <w:szCs w:val="28"/>
              </w:rPr>
              <w:t>Resolución 5521 de 2013</w:t>
            </w:r>
          </w:p>
        </w:tc>
      </w:tr>
      <w:tr w:rsidR="00567637" w:rsidRPr="005D131A" w:rsidTr="00B74FA2">
        <w:tc>
          <w:tcPr>
            <w:tcW w:w="0" w:type="auto"/>
          </w:tcPr>
          <w:p w:rsidR="00567637" w:rsidRPr="005D131A" w:rsidRDefault="00567637" w:rsidP="005D131A">
            <w:pPr>
              <w:rPr>
                <w:b/>
                <w:sz w:val="28"/>
                <w:szCs w:val="28"/>
              </w:rPr>
            </w:pPr>
            <w:r w:rsidRPr="005D131A">
              <w:rPr>
                <w:sz w:val="28"/>
                <w:szCs w:val="28"/>
              </w:rPr>
              <w:t>Elementos, medicamentos y en general servicios de salud no incluidos expresamente en el presente acuerdo.</w:t>
            </w:r>
          </w:p>
          <w:p w:rsidR="00567637" w:rsidRPr="005D131A" w:rsidRDefault="00567637" w:rsidP="005D131A">
            <w:pPr>
              <w:rPr>
                <w:b/>
                <w:sz w:val="28"/>
                <w:szCs w:val="28"/>
              </w:rPr>
            </w:pPr>
          </w:p>
        </w:tc>
        <w:tc>
          <w:tcPr>
            <w:tcW w:w="0" w:type="auto"/>
          </w:tcPr>
          <w:p w:rsidR="00567637" w:rsidRPr="005D131A" w:rsidRDefault="00567637" w:rsidP="005D131A">
            <w:pPr>
              <w:rPr>
                <w:sz w:val="28"/>
                <w:szCs w:val="28"/>
              </w:rPr>
            </w:pPr>
            <w:r w:rsidRPr="005D131A">
              <w:rPr>
                <w:sz w:val="28"/>
                <w:szCs w:val="28"/>
              </w:rPr>
              <w:t>La tecnología en salud considerada como cosmética, estética, suntuaria o de embellecimiento, así como la atención de sus complicaciones, salvo la atención inicial de urgencias.</w:t>
            </w:r>
          </w:p>
        </w:tc>
        <w:tc>
          <w:tcPr>
            <w:tcW w:w="0" w:type="auto"/>
          </w:tcPr>
          <w:p w:rsidR="00567637" w:rsidRPr="005D131A" w:rsidRDefault="00567637" w:rsidP="005D131A">
            <w:pPr>
              <w:rPr>
                <w:sz w:val="28"/>
                <w:szCs w:val="28"/>
              </w:rPr>
            </w:pPr>
            <w:r w:rsidRPr="005D131A">
              <w:rPr>
                <w:sz w:val="28"/>
                <w:szCs w:val="28"/>
              </w:rPr>
              <w:t>Tecnologías en salud consideradas como cosméticas, estéticas, suntuarias o de embellecimiento, así como la atención de sus complicaciones, salvo la atención inicial de urgencias.</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Actividades, procedimientos, intervenciones, medicamentos, insumos y tecnología en salud considerados como cosméticos, estéticos, suntuarios o de embellecimiento, y las necesarias para atención de sus complicaciones, salvo la atención inicial de urgencia.</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La tecnología en salud de carácter experimental o sobre la cual no exista evidencia científica, de seguridad o costo efectividad, o que no haya sido reconocida por las autoridades nacionales competentes.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Tecnologías en salud de carácter experimental o sobre las cuales no exista evidencia científica, de seguridad o efectividad, o que no hayan sido reconocidas por las autoridades nacionales competentes.</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Actividades, procedimientos e intervenciones, medicamentos, insumos y servicios en general que sean de carácter experimental, o para las cuales no existe evidencia científica de costo-efectividad o no hayan sido reconocidos por las asociaciones médico-científicas a nivel mundial o nacional.</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La tecnología en salud que se utiliza con fines educativos, instruccionales o de capacitación durante el proceso de rehabilitación social o laboral.</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Tecnologías en salud que se utilicen con fines educativos, instructivos o de capacitación durante el proceso de rehabilitación social o laboral.</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Actividades, procedimientos e intervenciones, medicamentos, insumos y servicios de tipo curativo para las enfermedades crónicas, degenerativas, carcinomatosis, traumáticas o de cualquier índole en su fase terminal, o cuando para ellas no existan posibilidades de recuperación. En estos casos deberá brindarse terapia paliativa para el dolor, la disfuncionalidad o terapia de mantenimiento y soporte sicológico cuando el médico lo estime necesario, siempre y cuando estén descritos en el presente acuerdo.</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Tecnologías en salud que tengan alertas de seguridad o falta de efectividad que recomienden su retiro del mercado, de acuerdo con la normatividad vigente.</w:t>
            </w:r>
          </w:p>
          <w:p w:rsidR="00567637" w:rsidRPr="005D131A" w:rsidRDefault="00567637" w:rsidP="005D131A">
            <w:pPr>
              <w:rPr>
                <w:sz w:val="28"/>
                <w:szCs w:val="28"/>
              </w:rPr>
            </w:pP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Tecnologías en salud que tengan alertas de seguridad o falta de efectividad que recomienden su retiro del mercado, de acuerdo con la normatividad vigente.</w:t>
            </w:r>
          </w:p>
          <w:p w:rsidR="00567637" w:rsidRPr="005D131A" w:rsidRDefault="00567637" w:rsidP="005D131A">
            <w:pPr>
              <w:rPr>
                <w:sz w:val="28"/>
                <w:szCs w:val="28"/>
              </w:rPr>
            </w:pP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Actividades, procedimientos e intervenciones de carácter educativo, instruccional o de capacitación que se lleven a cabo durante el proceso de rehabilitación social o laboral, con excepción de los necesarios para el manejo médico de las enfermedades y sus secuelas, siempre y cuando se acredite la efectividad de su evidencia clínica.</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Tecnologías en salud cuya finalidad no sea la promoción de la salud, prevención, diagnóstico, tratamiento, rehabilitación o paliación de la enfermedad.</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Tecnologías en salud, cuya finalidad no sea la promoción de la salud, prevención, diagnóstico, tratamiento, rehabilitación o paliación de la enfermedad.</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ind w:left="-397" w:firstLine="397"/>
              <w:rPr>
                <w:b/>
                <w:sz w:val="28"/>
                <w:szCs w:val="28"/>
              </w:rPr>
            </w:pPr>
            <w:r w:rsidRPr="005D131A">
              <w:rPr>
                <w:sz w:val="28"/>
                <w:szCs w:val="28"/>
              </w:rPr>
              <w:t>Actividades, procedimientos e intervenciones, medicamentos y tecnología en salud no incluidas expresamente en el presente Acuerdo. Así mismo, cuando operen listados para otros insumos como prótesis, órtesis, aparatos y aditamentos ortopédicos para una función biológica, no harán parte de los planes de beneficios de cualquiera de los dos regímenes los no incluidos en el listado respectivo, salvo expresión concreta en contrario.</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Bienes y servicios que no correspondan al ámbito de la salud.</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Bienes y servicios que no correspondan al ámbito de la salud.</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Tratamiento con psicoterapia individual, psicoanálisis o psicoterapia prolongada.</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Tratamiento von psicoanálisis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 xml:space="preserve">Tecnologías o tratamientos experimentales para cualquier tipo de enfermedad. </w:t>
            </w:r>
          </w:p>
        </w:tc>
      </w:tr>
    </w:tbl>
    <w:p w:rsidR="00567637" w:rsidRPr="005D131A" w:rsidRDefault="00567637" w:rsidP="005D131A">
      <w:pPr>
        <w:rPr>
          <w:sz w:val="28"/>
          <w:szCs w:val="28"/>
        </w:rPr>
      </w:pPr>
    </w:p>
    <w:p w:rsidR="00567637" w:rsidRPr="005D131A" w:rsidRDefault="00567637" w:rsidP="005D131A">
      <w:pPr>
        <w:jc w:val="center"/>
        <w:rPr>
          <w:sz w:val="28"/>
          <w:szCs w:val="28"/>
        </w:rPr>
      </w:pPr>
    </w:p>
    <w:p w:rsidR="00567637" w:rsidRPr="005D131A" w:rsidRDefault="00567637" w:rsidP="005D131A">
      <w:pPr>
        <w:jc w:val="center"/>
        <w:rPr>
          <w:sz w:val="28"/>
          <w:szCs w:val="28"/>
        </w:rPr>
      </w:pPr>
      <w:r w:rsidRPr="005D131A">
        <w:rPr>
          <w:sz w:val="28"/>
          <w:szCs w:val="28"/>
        </w:rPr>
        <w:t xml:space="preserve">Figura núm. </w:t>
      </w:r>
      <w:r w:rsidR="00153D40" w:rsidRPr="005D131A">
        <w:rPr>
          <w:sz w:val="28"/>
          <w:szCs w:val="28"/>
        </w:rPr>
        <w:t>6</w:t>
      </w:r>
    </w:p>
    <w:p w:rsidR="00567637" w:rsidRPr="005D131A" w:rsidRDefault="00567637" w:rsidP="005D131A">
      <w:pPr>
        <w:jc w:val="center"/>
        <w:rPr>
          <w:sz w:val="28"/>
          <w:szCs w:val="28"/>
        </w:rPr>
      </w:pPr>
      <w:r w:rsidRPr="005D131A">
        <w:rPr>
          <w:sz w:val="28"/>
          <w:szCs w:val="28"/>
        </w:rPr>
        <w:t xml:space="preserve">Exclusiones Especificas del Plan Obligatorio de Salud </w:t>
      </w:r>
    </w:p>
    <w:p w:rsidR="00153D40" w:rsidRPr="005D131A" w:rsidRDefault="00153D40" w:rsidP="005D131A">
      <w:pPr>
        <w:jc w:val="center"/>
        <w:rPr>
          <w:sz w:val="28"/>
          <w:szCs w:val="28"/>
        </w:rPr>
      </w:pPr>
    </w:p>
    <w:tbl>
      <w:tblPr>
        <w:tblStyle w:val="Tablaconcuadrcula"/>
        <w:tblW w:w="0" w:type="auto"/>
        <w:tblLook w:val="04A0" w:firstRow="1" w:lastRow="0" w:firstColumn="1" w:lastColumn="0" w:noHBand="0" w:noVBand="1"/>
      </w:tblPr>
      <w:tblGrid>
        <w:gridCol w:w="3039"/>
        <w:gridCol w:w="3037"/>
        <w:gridCol w:w="3037"/>
      </w:tblGrid>
      <w:tr w:rsidR="00567637" w:rsidRPr="005D131A" w:rsidTr="00B74FA2">
        <w:tc>
          <w:tcPr>
            <w:tcW w:w="0" w:type="auto"/>
          </w:tcPr>
          <w:p w:rsidR="00567637" w:rsidRPr="005D131A" w:rsidRDefault="00567637" w:rsidP="005D131A">
            <w:pPr>
              <w:jc w:val="center"/>
              <w:rPr>
                <w:sz w:val="28"/>
                <w:szCs w:val="28"/>
              </w:rPr>
            </w:pPr>
            <w:r w:rsidRPr="005D131A">
              <w:rPr>
                <w:sz w:val="28"/>
                <w:szCs w:val="28"/>
              </w:rPr>
              <w:t>Acuerdo 008 de 2011</w:t>
            </w:r>
          </w:p>
        </w:tc>
        <w:tc>
          <w:tcPr>
            <w:tcW w:w="0" w:type="auto"/>
          </w:tcPr>
          <w:p w:rsidR="00567637" w:rsidRPr="005D131A" w:rsidRDefault="00567637" w:rsidP="005D131A">
            <w:pPr>
              <w:jc w:val="center"/>
              <w:rPr>
                <w:sz w:val="28"/>
                <w:szCs w:val="28"/>
              </w:rPr>
            </w:pPr>
            <w:r w:rsidRPr="005D131A">
              <w:rPr>
                <w:sz w:val="28"/>
                <w:szCs w:val="28"/>
              </w:rPr>
              <w:t>Acuerdo 029 de 2011</w:t>
            </w:r>
          </w:p>
        </w:tc>
        <w:tc>
          <w:tcPr>
            <w:tcW w:w="0" w:type="auto"/>
          </w:tcPr>
          <w:p w:rsidR="00567637" w:rsidRPr="005D131A" w:rsidRDefault="00567637" w:rsidP="005D131A">
            <w:pPr>
              <w:jc w:val="center"/>
              <w:rPr>
                <w:sz w:val="28"/>
                <w:szCs w:val="28"/>
              </w:rPr>
            </w:pPr>
            <w:r w:rsidRPr="005D131A">
              <w:rPr>
                <w:sz w:val="28"/>
                <w:szCs w:val="28"/>
              </w:rPr>
              <w:t>Resolución 5521 de 2013</w:t>
            </w:r>
          </w:p>
        </w:tc>
      </w:tr>
      <w:tr w:rsidR="00567637" w:rsidRPr="005D131A" w:rsidTr="00B74FA2">
        <w:tc>
          <w:tcPr>
            <w:tcW w:w="0" w:type="auto"/>
          </w:tcPr>
          <w:p w:rsidR="00567637" w:rsidRPr="005D131A" w:rsidRDefault="00567637" w:rsidP="005D131A">
            <w:pPr>
              <w:rPr>
                <w:b/>
                <w:sz w:val="28"/>
                <w:szCs w:val="28"/>
              </w:rPr>
            </w:pPr>
            <w:r w:rsidRPr="005D131A">
              <w:rPr>
                <w:sz w:val="28"/>
                <w:szCs w:val="28"/>
              </w:rPr>
              <w:t>Cirugía estética con fines de embellecimiento y procedimientos de cirugía plástica cosmética</w:t>
            </w:r>
          </w:p>
        </w:tc>
        <w:tc>
          <w:tcPr>
            <w:tcW w:w="0" w:type="auto"/>
          </w:tcPr>
          <w:p w:rsidR="00567637" w:rsidRPr="005D131A" w:rsidRDefault="00567637" w:rsidP="005D131A">
            <w:pPr>
              <w:rPr>
                <w:sz w:val="28"/>
                <w:szCs w:val="28"/>
              </w:rPr>
            </w:pPr>
            <w:r w:rsidRPr="005D131A">
              <w:rPr>
                <w:sz w:val="28"/>
                <w:szCs w:val="28"/>
              </w:rPr>
              <w:t>Cirugía estética con fines de embellecimiento y procedimientos de cirugía plástica cosmética</w:t>
            </w:r>
          </w:p>
        </w:tc>
        <w:tc>
          <w:tcPr>
            <w:tcW w:w="0" w:type="auto"/>
          </w:tcPr>
          <w:p w:rsidR="00567637" w:rsidRPr="005D131A" w:rsidRDefault="00567637" w:rsidP="005D131A">
            <w:pPr>
              <w:rPr>
                <w:sz w:val="28"/>
                <w:szCs w:val="28"/>
              </w:rPr>
            </w:pPr>
            <w:r w:rsidRPr="005D131A">
              <w:rPr>
                <w:sz w:val="28"/>
                <w:szCs w:val="28"/>
              </w:rPr>
              <w:t>Cirugía estética con fines de embellecimiento y procedimientos de cirugía plástica cosmética, o suntuaria</w:t>
            </w:r>
          </w:p>
        </w:tc>
      </w:tr>
      <w:tr w:rsidR="00567637" w:rsidRPr="005D131A" w:rsidTr="00B74FA2">
        <w:tc>
          <w:tcPr>
            <w:tcW w:w="0" w:type="auto"/>
          </w:tcPr>
          <w:p w:rsidR="00567637" w:rsidRPr="005D131A" w:rsidRDefault="00567637" w:rsidP="005D131A">
            <w:pPr>
              <w:rPr>
                <w:b/>
                <w:sz w:val="28"/>
                <w:szCs w:val="28"/>
              </w:rPr>
            </w:pPr>
            <w:r w:rsidRPr="005D131A">
              <w:rPr>
                <w:sz w:val="28"/>
                <w:szCs w:val="28"/>
              </w:rPr>
              <w:t>Tratamientos nutricionales con fines estéticos</w:t>
            </w:r>
          </w:p>
        </w:tc>
        <w:tc>
          <w:tcPr>
            <w:tcW w:w="0" w:type="auto"/>
          </w:tcPr>
          <w:p w:rsidR="00567637" w:rsidRPr="005D131A" w:rsidRDefault="00567637" w:rsidP="005D131A">
            <w:pPr>
              <w:rPr>
                <w:sz w:val="28"/>
                <w:szCs w:val="28"/>
              </w:rPr>
            </w:pPr>
            <w:r w:rsidRPr="005D131A">
              <w:rPr>
                <w:sz w:val="28"/>
                <w:szCs w:val="28"/>
              </w:rPr>
              <w:t>Tratamientos nutricionales con fines estéticos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Cirugías para corrección de vicios de refracción por razones estéticas</w:t>
            </w:r>
          </w:p>
        </w:tc>
      </w:tr>
      <w:tr w:rsidR="00567637" w:rsidRPr="005D131A" w:rsidTr="00B74FA2">
        <w:tc>
          <w:tcPr>
            <w:tcW w:w="0" w:type="auto"/>
          </w:tcPr>
          <w:p w:rsidR="00567637" w:rsidRPr="005D131A" w:rsidRDefault="00567637" w:rsidP="005D131A">
            <w:pPr>
              <w:rPr>
                <w:b/>
                <w:sz w:val="28"/>
                <w:szCs w:val="28"/>
              </w:rPr>
            </w:pPr>
            <w:r w:rsidRPr="005D131A">
              <w:rPr>
                <w:sz w:val="28"/>
                <w:szCs w:val="28"/>
              </w:rPr>
              <w:t>Diagnóstico y tratamientos para la infertilidad</w:t>
            </w:r>
          </w:p>
        </w:tc>
        <w:tc>
          <w:tcPr>
            <w:tcW w:w="0" w:type="auto"/>
          </w:tcPr>
          <w:p w:rsidR="00567637" w:rsidRPr="005D131A" w:rsidRDefault="00567637" w:rsidP="005D131A">
            <w:pPr>
              <w:rPr>
                <w:sz w:val="28"/>
                <w:szCs w:val="28"/>
              </w:rPr>
            </w:pPr>
            <w:r w:rsidRPr="005D131A">
              <w:rPr>
                <w:sz w:val="28"/>
                <w:szCs w:val="28"/>
              </w:rPr>
              <w:t>Diagnóstico y tratamientos para la infertilidad</w:t>
            </w:r>
          </w:p>
        </w:tc>
        <w:tc>
          <w:tcPr>
            <w:tcW w:w="0" w:type="auto"/>
          </w:tcPr>
          <w:p w:rsidR="00567637" w:rsidRPr="005D131A" w:rsidRDefault="00567637" w:rsidP="005D131A">
            <w:pPr>
              <w:rPr>
                <w:sz w:val="28"/>
                <w:szCs w:val="28"/>
              </w:rPr>
            </w:pPr>
            <w:r w:rsidRPr="005D131A">
              <w:rPr>
                <w:sz w:val="28"/>
                <w:szCs w:val="28"/>
              </w:rPr>
              <w:t>Tratamientos nutricionales con fines estéticos</w:t>
            </w:r>
          </w:p>
        </w:tc>
      </w:tr>
      <w:tr w:rsidR="00567637" w:rsidRPr="005D131A" w:rsidTr="00B74FA2">
        <w:tc>
          <w:tcPr>
            <w:tcW w:w="0" w:type="auto"/>
          </w:tcPr>
          <w:p w:rsidR="00567637" w:rsidRPr="005D131A" w:rsidRDefault="00567637" w:rsidP="005D131A">
            <w:pPr>
              <w:rPr>
                <w:b/>
                <w:sz w:val="28"/>
                <w:szCs w:val="28"/>
              </w:rPr>
            </w:pPr>
            <w:r w:rsidRPr="005D131A">
              <w:rPr>
                <w:sz w:val="28"/>
                <w:szCs w:val="28"/>
              </w:rPr>
              <w:t>Tratamientos o curas de reposo o del sueño</w:t>
            </w:r>
          </w:p>
        </w:tc>
        <w:tc>
          <w:tcPr>
            <w:tcW w:w="0" w:type="auto"/>
          </w:tcPr>
          <w:p w:rsidR="00567637" w:rsidRPr="005D131A" w:rsidRDefault="00567637" w:rsidP="005D131A">
            <w:pPr>
              <w:rPr>
                <w:sz w:val="28"/>
                <w:szCs w:val="28"/>
              </w:rPr>
            </w:pPr>
            <w:r w:rsidRPr="005D131A">
              <w:rPr>
                <w:sz w:val="28"/>
                <w:szCs w:val="28"/>
              </w:rPr>
              <w:t>Tratamientos o curas de reposo o del sueño</w:t>
            </w:r>
          </w:p>
        </w:tc>
        <w:tc>
          <w:tcPr>
            <w:tcW w:w="0" w:type="auto"/>
          </w:tcPr>
          <w:p w:rsidR="00567637" w:rsidRPr="005D131A" w:rsidRDefault="00567637" w:rsidP="005D131A">
            <w:pPr>
              <w:rPr>
                <w:sz w:val="28"/>
                <w:szCs w:val="28"/>
              </w:rPr>
            </w:pPr>
            <w:r w:rsidRPr="005D131A">
              <w:rPr>
                <w:sz w:val="28"/>
                <w:szCs w:val="28"/>
              </w:rPr>
              <w:t>Tratamientos para la infertilidad</w:t>
            </w:r>
          </w:p>
        </w:tc>
      </w:tr>
      <w:tr w:rsidR="00567637" w:rsidRPr="005D131A" w:rsidTr="00B74FA2">
        <w:tc>
          <w:tcPr>
            <w:tcW w:w="0" w:type="auto"/>
          </w:tcPr>
          <w:p w:rsidR="00567637" w:rsidRPr="005D131A" w:rsidRDefault="00567637" w:rsidP="005D131A">
            <w:pPr>
              <w:rPr>
                <w:b/>
                <w:sz w:val="28"/>
                <w:szCs w:val="28"/>
              </w:rPr>
            </w:pPr>
            <w:r w:rsidRPr="005D131A">
              <w:rPr>
                <w:sz w:val="28"/>
                <w:szCs w:val="28"/>
              </w:rPr>
              <w:t>Medias elásticas de soporte; corsés y/o fajas; sillas de ruedas; plantillas y zapatos ortopédicos; vendajes acrílicos; lentes de contacto, lentes para anteojos con materiales diferentes a vidrio o plástico, filtros y/o colores y películas especiales y aquellos otros dispositivos, implantes, o prótesis, necesarios para procedimientos no incluidos expresamente en el presente Acuerdo</w:t>
            </w:r>
          </w:p>
          <w:p w:rsidR="00567637" w:rsidRPr="005D131A" w:rsidRDefault="00567637" w:rsidP="005D131A">
            <w:pPr>
              <w:rPr>
                <w:b/>
                <w:sz w:val="28"/>
                <w:szCs w:val="28"/>
              </w:rPr>
            </w:pPr>
          </w:p>
        </w:tc>
        <w:tc>
          <w:tcPr>
            <w:tcW w:w="0" w:type="auto"/>
          </w:tcPr>
          <w:p w:rsidR="00567637" w:rsidRPr="005D131A" w:rsidRDefault="00567637" w:rsidP="005D131A">
            <w:pPr>
              <w:rPr>
                <w:sz w:val="28"/>
                <w:szCs w:val="28"/>
              </w:rPr>
            </w:pPr>
            <w:r w:rsidRPr="005D131A">
              <w:rPr>
                <w:sz w:val="28"/>
                <w:szCs w:val="28"/>
              </w:rPr>
              <w:t>Medias elásticas de soporte; corsés y/o fajas; sillas de ruedas; plantillas y zapatos ortopédicos; vendajes acrílicos; lentes de contacto, lentes para anteojos con materiales diferentes a vidrio o plástico, filtros y/o colores y películas especiales y aquellos otros dispositivos, implantes, o prótesis, necesarios para procedimientos no incluidos expresamente en el presente Acuerdo</w:t>
            </w:r>
          </w:p>
        </w:tc>
        <w:tc>
          <w:tcPr>
            <w:tcW w:w="0" w:type="auto"/>
          </w:tcPr>
          <w:p w:rsidR="00567637" w:rsidRPr="005D131A" w:rsidRDefault="00567637" w:rsidP="005D131A">
            <w:pPr>
              <w:rPr>
                <w:sz w:val="28"/>
                <w:szCs w:val="28"/>
              </w:rPr>
            </w:pPr>
            <w:r w:rsidRPr="005D131A">
              <w:rPr>
                <w:sz w:val="28"/>
                <w:szCs w:val="28"/>
              </w:rPr>
              <w:t>Tratamientos o curas de reposo o del sueño</w:t>
            </w:r>
          </w:p>
        </w:tc>
      </w:tr>
      <w:tr w:rsidR="00567637" w:rsidRPr="005D131A" w:rsidTr="00B74FA2">
        <w:tc>
          <w:tcPr>
            <w:tcW w:w="0" w:type="auto"/>
          </w:tcPr>
          <w:p w:rsidR="00567637" w:rsidRPr="005D131A" w:rsidRDefault="00567637" w:rsidP="005D131A">
            <w:pPr>
              <w:rPr>
                <w:b/>
                <w:sz w:val="28"/>
                <w:szCs w:val="28"/>
              </w:rPr>
            </w:pPr>
            <w:r w:rsidRPr="005D131A">
              <w:rPr>
                <w:sz w:val="28"/>
                <w:szCs w:val="28"/>
              </w:rPr>
              <w:t>Medicamentos y sustancias que no se encuentren expresamente autorizados en el Manual de Medicamentos y Terapéutica vigente</w:t>
            </w:r>
          </w:p>
        </w:tc>
        <w:tc>
          <w:tcPr>
            <w:tcW w:w="0" w:type="auto"/>
          </w:tcPr>
          <w:p w:rsidR="00567637" w:rsidRPr="005D131A" w:rsidRDefault="00567637" w:rsidP="005D131A">
            <w:pPr>
              <w:rPr>
                <w:sz w:val="28"/>
                <w:szCs w:val="28"/>
              </w:rPr>
            </w:pPr>
            <w:r w:rsidRPr="005D131A">
              <w:rPr>
                <w:sz w:val="28"/>
                <w:szCs w:val="28"/>
              </w:rPr>
              <w:t>Medicamentos y dispositivos médicos cuyas indicaciones y usos respectivamente no se encuentren autorizados por la autoridad competente</w:t>
            </w:r>
          </w:p>
        </w:tc>
        <w:tc>
          <w:tcPr>
            <w:tcW w:w="0" w:type="auto"/>
          </w:tcPr>
          <w:p w:rsidR="00567637" w:rsidRPr="005D131A" w:rsidRDefault="00567637" w:rsidP="005D131A">
            <w:pPr>
              <w:rPr>
                <w:sz w:val="28"/>
                <w:szCs w:val="28"/>
              </w:rPr>
            </w:pPr>
            <w:r w:rsidRPr="005D131A">
              <w:rPr>
                <w:sz w:val="28"/>
                <w:szCs w:val="28"/>
              </w:rPr>
              <w:t>Medias elásticas de soporte, corsés o fajas, sillas de ruedas, plantillas y zapatos ortopédicos, vendajes acrílicos, lentes de contacto, lentes para anteojos con materiales diferentes a vidrio o plástico, filtros o colores y películas especiales</w:t>
            </w:r>
          </w:p>
        </w:tc>
      </w:tr>
      <w:tr w:rsidR="00567637" w:rsidRPr="005D131A" w:rsidTr="00B74FA2">
        <w:tc>
          <w:tcPr>
            <w:tcW w:w="0" w:type="auto"/>
          </w:tcPr>
          <w:p w:rsidR="00567637" w:rsidRPr="005D131A" w:rsidRDefault="00567637" w:rsidP="005D131A">
            <w:pPr>
              <w:rPr>
                <w:b/>
                <w:sz w:val="28"/>
                <w:szCs w:val="28"/>
              </w:rPr>
            </w:pPr>
            <w:r w:rsidRPr="005D131A">
              <w:rPr>
                <w:sz w:val="28"/>
                <w:szCs w:val="28"/>
              </w:rPr>
              <w:t>Tratamientos con medicamentos o sustancias experimentales para cualquier tipo de enfermedad</w:t>
            </w:r>
          </w:p>
          <w:p w:rsidR="00567637" w:rsidRPr="005D131A" w:rsidRDefault="00567637" w:rsidP="005D131A">
            <w:pPr>
              <w:rPr>
                <w:b/>
                <w:sz w:val="28"/>
                <w:szCs w:val="28"/>
              </w:rPr>
            </w:pPr>
          </w:p>
          <w:p w:rsidR="00567637" w:rsidRPr="005D131A" w:rsidRDefault="00567637" w:rsidP="005D131A">
            <w:pPr>
              <w:rPr>
                <w:b/>
                <w:sz w:val="28"/>
                <w:szCs w:val="28"/>
              </w:rPr>
            </w:pPr>
          </w:p>
        </w:tc>
        <w:tc>
          <w:tcPr>
            <w:tcW w:w="0" w:type="auto"/>
          </w:tcPr>
          <w:p w:rsidR="00567637" w:rsidRPr="005D131A" w:rsidRDefault="00567637" w:rsidP="005D131A">
            <w:pPr>
              <w:rPr>
                <w:sz w:val="28"/>
                <w:szCs w:val="28"/>
              </w:rPr>
            </w:pPr>
            <w:r w:rsidRPr="005D131A">
              <w:rPr>
                <w:sz w:val="28"/>
                <w:szCs w:val="28"/>
              </w:rPr>
              <w:t>Tratamientos con medicamentos o sustancias experimentales para cualquier tipo de enfermedad</w:t>
            </w:r>
          </w:p>
          <w:p w:rsidR="00567637" w:rsidRPr="005D131A" w:rsidRDefault="00567637" w:rsidP="005D131A">
            <w:pPr>
              <w:rPr>
                <w:sz w:val="28"/>
                <w:szCs w:val="28"/>
              </w:rPr>
            </w:pP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Dispositivos, implantes, o prótesis, necesarios para tecnologías en salud no cubiertas en el POS según el presente acto administrativo</w:t>
            </w:r>
          </w:p>
        </w:tc>
      </w:tr>
      <w:tr w:rsidR="00567637" w:rsidRPr="005D131A" w:rsidTr="00B74FA2">
        <w:tc>
          <w:tcPr>
            <w:tcW w:w="0" w:type="auto"/>
          </w:tcPr>
          <w:p w:rsidR="00567637" w:rsidRPr="005D131A" w:rsidRDefault="00567637" w:rsidP="005D131A">
            <w:pPr>
              <w:rPr>
                <w:b/>
                <w:sz w:val="28"/>
                <w:szCs w:val="28"/>
              </w:rPr>
            </w:pPr>
            <w:r w:rsidRPr="005D131A">
              <w:rPr>
                <w:sz w:val="28"/>
                <w:szCs w:val="28"/>
              </w:rPr>
              <w:t>Trasplante de órganos e injertos biológicos diferentes a los descritos en el presente Acuerdo</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Trasplante de órganos e injertos biológicos diferentes a los descritos en el presente Acuerdo</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Medicamentos y dispositivos médicos cuyas indicaciones y usos respectivamente no se encuentren autorizados por la autoridad competente</w:t>
            </w:r>
          </w:p>
        </w:tc>
      </w:tr>
      <w:tr w:rsidR="00567637" w:rsidRPr="005D131A" w:rsidTr="00B74FA2">
        <w:tc>
          <w:tcPr>
            <w:tcW w:w="0" w:type="auto"/>
          </w:tcPr>
          <w:p w:rsidR="00567637" w:rsidRPr="005D131A" w:rsidRDefault="00567637" w:rsidP="005D131A">
            <w:pPr>
              <w:rPr>
                <w:b/>
                <w:sz w:val="28"/>
                <w:szCs w:val="28"/>
              </w:rPr>
            </w:pPr>
            <w:r w:rsidRPr="005D131A">
              <w:rPr>
                <w:sz w:val="28"/>
                <w:szCs w:val="28"/>
              </w:rPr>
              <w:t>Tratamiento con psicoterapia individual, psicoanálisis o psicoterapia prolongada</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Tratamiento con psicoanálisis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Tecnologías o tratamientos experimentales para cualquier tipo de enfermedad</w:t>
            </w:r>
          </w:p>
        </w:tc>
      </w:tr>
      <w:tr w:rsidR="00567637" w:rsidRPr="005D131A" w:rsidTr="00B74FA2">
        <w:tc>
          <w:tcPr>
            <w:tcW w:w="0" w:type="auto"/>
          </w:tcPr>
          <w:p w:rsidR="00567637" w:rsidRPr="005D131A" w:rsidRDefault="00567637" w:rsidP="005D131A">
            <w:pPr>
              <w:rPr>
                <w:b/>
                <w:sz w:val="28"/>
                <w:szCs w:val="28"/>
              </w:rPr>
            </w:pPr>
            <w:r w:rsidRPr="005D131A">
              <w:rPr>
                <w:sz w:val="28"/>
                <w:szCs w:val="28"/>
              </w:rPr>
              <w:t>No se excluye la psicoterapia individual de apoyo en la fase crítica de la enfermedad, y solo durante la fase inicial; tampoco se excluyen las terapias grupales Se entiende por fase crítica o inicial aquella que se puede prolongar máximo hasta los treinta días de evolución</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Tratamientos de periodoncia, ortodoncia, implantologia, dispositivos protésicos en cavidad oral y blanqueamiento dental en la atención odontológica, diferentes a los descritos en el presente Acuerdo</w:t>
            </w:r>
          </w:p>
          <w:p w:rsidR="00567637" w:rsidRPr="005D131A" w:rsidRDefault="00567637" w:rsidP="005D131A">
            <w:pPr>
              <w:rPr>
                <w:sz w:val="28"/>
                <w:szCs w:val="28"/>
              </w:rPr>
            </w:pP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Tecnologías en salud (medicamentos y dispositivos) sobre las cuales el INVIMA como autoridad competente haya recomendado su retiro del mercado o no haya sido reconocida por las autoridades competentes Tecnologías en salud sobre la cual no exista evidencia científica, de seguridad o costo efectividad o que tengan alertas de seguridad o falta de efectividad que recomienden su retiro del mercado, de acuerdo con la normatividad vigente</w:t>
            </w:r>
          </w:p>
        </w:tc>
      </w:tr>
      <w:tr w:rsidR="00567637" w:rsidRPr="005D131A" w:rsidTr="00B74FA2">
        <w:tc>
          <w:tcPr>
            <w:tcW w:w="0" w:type="auto"/>
          </w:tcPr>
          <w:p w:rsidR="00567637" w:rsidRPr="005D131A" w:rsidRDefault="00567637" w:rsidP="005D131A">
            <w:pPr>
              <w:rPr>
                <w:b/>
                <w:sz w:val="28"/>
                <w:szCs w:val="28"/>
              </w:rPr>
            </w:pPr>
            <w:r w:rsidRPr="005D131A">
              <w:rPr>
                <w:sz w:val="28"/>
                <w:szCs w:val="28"/>
              </w:rPr>
              <w:t>Tratamientos de periodoncia, ortodoncia, implantologia, prótesis y blanqueamiento dental en la atención odontológica</w:t>
            </w:r>
          </w:p>
          <w:p w:rsidR="00567637" w:rsidRPr="005D131A" w:rsidRDefault="00567637" w:rsidP="005D131A">
            <w:pPr>
              <w:rPr>
                <w:b/>
                <w:sz w:val="28"/>
                <w:szCs w:val="28"/>
              </w:rPr>
            </w:pPr>
          </w:p>
        </w:tc>
        <w:tc>
          <w:tcPr>
            <w:tcW w:w="0" w:type="auto"/>
          </w:tcPr>
          <w:p w:rsidR="00567637" w:rsidRPr="005D131A" w:rsidRDefault="00567637" w:rsidP="005D131A">
            <w:pPr>
              <w:rPr>
                <w:sz w:val="28"/>
                <w:szCs w:val="28"/>
              </w:rPr>
            </w:pPr>
            <w:r w:rsidRPr="005D131A">
              <w:rPr>
                <w:sz w:val="28"/>
                <w:szCs w:val="28"/>
              </w:rPr>
              <w:t>Tratamiento con fines estéticos de afecciones vasculares y cutáneas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Tecnologías en salud cuya finalidad no sea la promoción de la salud, prevención, diagnóstico, tratamiento, rehabilitación o paliación de la enfermedad</w:t>
            </w:r>
          </w:p>
          <w:p w:rsidR="00567637" w:rsidRPr="005D131A" w:rsidRDefault="00567637" w:rsidP="005D131A">
            <w:pPr>
              <w:rPr>
                <w:sz w:val="28"/>
                <w:szCs w:val="28"/>
              </w:rPr>
            </w:pPr>
          </w:p>
        </w:tc>
      </w:tr>
      <w:tr w:rsidR="00567637" w:rsidRPr="005D131A" w:rsidTr="00B74FA2">
        <w:tc>
          <w:tcPr>
            <w:tcW w:w="0" w:type="auto"/>
          </w:tcPr>
          <w:p w:rsidR="00567637" w:rsidRPr="005D131A" w:rsidRDefault="00567637" w:rsidP="005D131A">
            <w:pPr>
              <w:rPr>
                <w:b/>
                <w:sz w:val="28"/>
                <w:szCs w:val="28"/>
              </w:rPr>
            </w:pPr>
            <w:r w:rsidRPr="005D131A">
              <w:rPr>
                <w:sz w:val="28"/>
                <w:szCs w:val="28"/>
              </w:rPr>
              <w:t>Tratamiento con fines estéticos de afecciones vasculares y cutáneas</w:t>
            </w:r>
          </w:p>
        </w:tc>
        <w:tc>
          <w:tcPr>
            <w:tcW w:w="0" w:type="auto"/>
          </w:tcPr>
          <w:p w:rsidR="00567637" w:rsidRPr="005D131A" w:rsidRDefault="00567637" w:rsidP="005D131A">
            <w:pPr>
              <w:rPr>
                <w:sz w:val="28"/>
                <w:szCs w:val="28"/>
              </w:rPr>
            </w:pPr>
            <w:r w:rsidRPr="005D131A">
              <w:rPr>
                <w:sz w:val="28"/>
                <w:szCs w:val="28"/>
              </w:rPr>
              <w:t>Actividades, procedimientos e intervenciones para las enfermedades crónicas, degenerativas, car-cinonamatosis, traumáticas o de cualquier índole en su fase terminal, o cuando para ellas no existan posibilidades de recuperación</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Trasplante de órganos e injertos biológicos diferentes a los descritos en el presente acto administrativo</w:t>
            </w:r>
          </w:p>
        </w:tc>
      </w:tr>
      <w:tr w:rsidR="00567637" w:rsidRPr="005D131A" w:rsidTr="00B74FA2">
        <w:tc>
          <w:tcPr>
            <w:tcW w:w="0" w:type="auto"/>
          </w:tcPr>
          <w:p w:rsidR="00567637" w:rsidRPr="005D131A" w:rsidRDefault="00567637" w:rsidP="005D131A">
            <w:pPr>
              <w:rPr>
                <w:b/>
                <w:sz w:val="28"/>
                <w:szCs w:val="28"/>
              </w:rPr>
            </w:pPr>
            <w:r w:rsidRPr="005D131A">
              <w:rPr>
                <w:sz w:val="28"/>
                <w:szCs w:val="28"/>
              </w:rPr>
              <w:t>Actividades, procedimientos e intervenciones para las enfermedades crónicas, degenerativas, car-cinonamatosis, traumáticas o de cualquier índole en su fase terminal, o cuando para ellas no existan posibilidades de recuperación Podrá brindarse soporte psicológico, terapia paliativa para el dolor, y la disfuncionalidad o terapia de mantenimiento Todas las actividades, procedimientos e intervenciones deben estar contemplados en el presente Acuerdo</w:t>
            </w:r>
          </w:p>
        </w:tc>
        <w:tc>
          <w:tcPr>
            <w:tcW w:w="0" w:type="auto"/>
          </w:tcPr>
          <w:p w:rsidR="00567637" w:rsidRPr="005D131A" w:rsidRDefault="00567637" w:rsidP="005D131A">
            <w:pPr>
              <w:rPr>
                <w:sz w:val="28"/>
                <w:szCs w:val="28"/>
              </w:rPr>
            </w:pPr>
            <w:r w:rsidRPr="005D131A">
              <w:rPr>
                <w:sz w:val="28"/>
                <w:szCs w:val="28"/>
              </w:rPr>
              <w:t>Tecnologías en salud de carácter educativo, instruccional o de capacitación, que se lleven a cabo durante el proceso de rehabilitación, distintas a los necesarias de acuerdo a la evidencia clínica debidamente demostrada para el manejo médico de las enfermedades y sus secuelas</w:t>
            </w:r>
          </w:p>
          <w:p w:rsidR="00567637" w:rsidRPr="005D131A" w:rsidRDefault="00567637" w:rsidP="005D131A">
            <w:pPr>
              <w:rPr>
                <w:sz w:val="28"/>
                <w:szCs w:val="28"/>
              </w:rPr>
            </w:pPr>
          </w:p>
        </w:tc>
        <w:tc>
          <w:tcPr>
            <w:tcW w:w="0" w:type="auto"/>
          </w:tcPr>
          <w:p w:rsidR="00567637" w:rsidRPr="005D131A" w:rsidRDefault="00567637" w:rsidP="005D131A">
            <w:pPr>
              <w:rPr>
                <w:sz w:val="28"/>
                <w:szCs w:val="28"/>
              </w:rPr>
            </w:pPr>
            <w:r w:rsidRPr="005D131A">
              <w:rPr>
                <w:sz w:val="28"/>
                <w:szCs w:val="28"/>
              </w:rPr>
              <w:t>Tratamiento con psicoanálisis</w:t>
            </w:r>
          </w:p>
        </w:tc>
      </w:tr>
      <w:tr w:rsidR="00567637" w:rsidRPr="005D131A" w:rsidTr="00B74FA2">
        <w:tc>
          <w:tcPr>
            <w:tcW w:w="0" w:type="auto"/>
          </w:tcPr>
          <w:p w:rsidR="00567637" w:rsidRPr="005D131A" w:rsidRDefault="00567637" w:rsidP="005D131A">
            <w:pPr>
              <w:rPr>
                <w:b/>
                <w:sz w:val="28"/>
                <w:szCs w:val="28"/>
              </w:rPr>
            </w:pPr>
            <w:r w:rsidRPr="005D131A">
              <w:rPr>
                <w:sz w:val="28"/>
                <w:szCs w:val="28"/>
              </w:rPr>
              <w:t>Actividades, procedimientos e intervenciones de carácter educativo, instruccional o de capacitación, que se lleven a cabo durante el proceso de rehabilitación, distintos a los necesarios de acuerdo a la evidencia clínica debidamente demostrada para el manejo médico de las enfermedades y sus secuelas</w:t>
            </w:r>
          </w:p>
          <w:p w:rsidR="00567637" w:rsidRPr="005D131A" w:rsidRDefault="00567637" w:rsidP="005D131A">
            <w:pPr>
              <w:rPr>
                <w:b/>
                <w:sz w:val="28"/>
                <w:szCs w:val="28"/>
              </w:rPr>
            </w:pPr>
          </w:p>
        </w:tc>
        <w:tc>
          <w:tcPr>
            <w:tcW w:w="0" w:type="auto"/>
          </w:tcPr>
          <w:p w:rsidR="00567637" w:rsidRPr="005D131A" w:rsidRDefault="00567637" w:rsidP="005D131A">
            <w:pPr>
              <w:rPr>
                <w:sz w:val="28"/>
                <w:szCs w:val="28"/>
              </w:rPr>
            </w:pPr>
            <w:r w:rsidRPr="005D131A">
              <w:rPr>
                <w:sz w:val="28"/>
                <w:szCs w:val="28"/>
              </w:rPr>
              <w:t>Pañales para niños y adultos</w:t>
            </w:r>
          </w:p>
          <w:p w:rsidR="00567637" w:rsidRPr="005D131A" w:rsidRDefault="00567637" w:rsidP="005D131A">
            <w:pPr>
              <w:rPr>
                <w:sz w:val="28"/>
                <w:szCs w:val="28"/>
              </w:rPr>
            </w:pPr>
          </w:p>
        </w:tc>
        <w:tc>
          <w:tcPr>
            <w:tcW w:w="0" w:type="auto"/>
          </w:tcPr>
          <w:p w:rsidR="00567637" w:rsidRPr="005D131A" w:rsidRDefault="00567637" w:rsidP="005D131A">
            <w:pPr>
              <w:rPr>
                <w:sz w:val="28"/>
                <w:szCs w:val="28"/>
              </w:rPr>
            </w:pPr>
            <w:r w:rsidRPr="005D131A">
              <w:rPr>
                <w:sz w:val="28"/>
                <w:szCs w:val="28"/>
              </w:rPr>
              <w:t>Tratamientos de periodoncia, ortodoncia, implanto-logia, dispositivos protésicos en cavidad oral y blanqueamiento dental en la atención odontológica, diferentes a los descritos en el presente acto administrativo</w:t>
            </w:r>
          </w:p>
        </w:tc>
      </w:tr>
      <w:tr w:rsidR="00567637" w:rsidRPr="005D131A" w:rsidTr="00B74FA2">
        <w:tc>
          <w:tcPr>
            <w:tcW w:w="0" w:type="auto"/>
          </w:tcPr>
          <w:p w:rsidR="00567637" w:rsidRPr="005D131A" w:rsidRDefault="00567637" w:rsidP="005D131A">
            <w:pPr>
              <w:rPr>
                <w:b/>
                <w:sz w:val="28"/>
                <w:szCs w:val="28"/>
              </w:rPr>
            </w:pPr>
            <w:r w:rsidRPr="005D131A">
              <w:rPr>
                <w:sz w:val="28"/>
                <w:szCs w:val="28"/>
              </w:rPr>
              <w:t>Pañales para niños y adultos</w:t>
            </w:r>
          </w:p>
        </w:tc>
        <w:tc>
          <w:tcPr>
            <w:tcW w:w="0" w:type="auto"/>
          </w:tcPr>
          <w:p w:rsidR="00567637" w:rsidRPr="005D131A" w:rsidRDefault="00567637" w:rsidP="005D131A">
            <w:pPr>
              <w:rPr>
                <w:sz w:val="28"/>
                <w:szCs w:val="28"/>
              </w:rPr>
            </w:pPr>
            <w:r w:rsidRPr="005D131A">
              <w:rPr>
                <w:sz w:val="28"/>
                <w:szCs w:val="28"/>
              </w:rPr>
              <w:t>Toallas higiénicas</w:t>
            </w:r>
          </w:p>
        </w:tc>
        <w:tc>
          <w:tcPr>
            <w:tcW w:w="0" w:type="auto"/>
          </w:tcPr>
          <w:p w:rsidR="00567637" w:rsidRPr="005D131A" w:rsidRDefault="00567637" w:rsidP="005D131A">
            <w:pPr>
              <w:rPr>
                <w:sz w:val="28"/>
                <w:szCs w:val="28"/>
              </w:rPr>
            </w:pPr>
            <w:r w:rsidRPr="005D131A">
              <w:rPr>
                <w:sz w:val="28"/>
                <w:szCs w:val="28"/>
              </w:rPr>
              <w:t>Tratamiento con fines estéticos de afecciones vasculares o cutáneas</w:t>
            </w:r>
          </w:p>
        </w:tc>
      </w:tr>
      <w:tr w:rsidR="00567637" w:rsidRPr="005D131A" w:rsidTr="00B74FA2">
        <w:tc>
          <w:tcPr>
            <w:tcW w:w="0" w:type="auto"/>
          </w:tcPr>
          <w:p w:rsidR="00567637" w:rsidRPr="005D131A" w:rsidRDefault="00567637" w:rsidP="005D131A">
            <w:pPr>
              <w:rPr>
                <w:b/>
                <w:sz w:val="28"/>
                <w:szCs w:val="28"/>
              </w:rPr>
            </w:pPr>
            <w:r w:rsidRPr="005D131A">
              <w:rPr>
                <w:sz w:val="28"/>
                <w:szCs w:val="28"/>
              </w:rPr>
              <w:t>Toallas higiénicas</w:t>
            </w:r>
          </w:p>
        </w:tc>
        <w:tc>
          <w:tcPr>
            <w:tcW w:w="0" w:type="auto"/>
          </w:tcPr>
          <w:p w:rsidR="00567637" w:rsidRPr="005D131A" w:rsidRDefault="00567637" w:rsidP="005D131A">
            <w:pPr>
              <w:rPr>
                <w:sz w:val="28"/>
                <w:szCs w:val="28"/>
              </w:rPr>
            </w:pPr>
            <w:r w:rsidRPr="005D131A">
              <w:rPr>
                <w:sz w:val="28"/>
                <w:szCs w:val="28"/>
              </w:rPr>
              <w:t>Artículos cosméticos</w:t>
            </w:r>
          </w:p>
          <w:p w:rsidR="00567637" w:rsidRPr="005D131A" w:rsidRDefault="00567637" w:rsidP="005D131A">
            <w:pPr>
              <w:rPr>
                <w:sz w:val="28"/>
                <w:szCs w:val="28"/>
              </w:rPr>
            </w:pPr>
          </w:p>
        </w:tc>
        <w:tc>
          <w:tcPr>
            <w:tcW w:w="0" w:type="auto"/>
          </w:tcPr>
          <w:p w:rsidR="00567637" w:rsidRPr="005D131A" w:rsidRDefault="00567637" w:rsidP="005D131A">
            <w:pPr>
              <w:rPr>
                <w:sz w:val="28"/>
                <w:szCs w:val="28"/>
              </w:rPr>
            </w:pPr>
            <w:r w:rsidRPr="005D131A">
              <w:rPr>
                <w:sz w:val="28"/>
                <w:szCs w:val="28"/>
              </w:rPr>
              <w:t>Tecnologías en salud para la atención de pacientes con enfermedades crónicas, degenerativas, carcinomatosis, traumáticas o de cualquier índole en su fase terminal, o cuando para ellas no existan posibilidades de recuperación, salvo lo dispuesto para la atención paliativa en el presente acto administrativo</w:t>
            </w:r>
          </w:p>
        </w:tc>
      </w:tr>
      <w:tr w:rsidR="00567637" w:rsidRPr="005D131A" w:rsidTr="00B74FA2">
        <w:tc>
          <w:tcPr>
            <w:tcW w:w="0" w:type="auto"/>
          </w:tcPr>
          <w:p w:rsidR="00567637" w:rsidRPr="005D131A" w:rsidRDefault="00567637" w:rsidP="005D131A">
            <w:pPr>
              <w:rPr>
                <w:b/>
                <w:sz w:val="28"/>
                <w:szCs w:val="28"/>
              </w:rPr>
            </w:pPr>
            <w:r w:rsidRPr="005D131A">
              <w:rPr>
                <w:sz w:val="28"/>
                <w:szCs w:val="28"/>
              </w:rPr>
              <w:t>Bolsas de colostomía</w:t>
            </w:r>
          </w:p>
          <w:p w:rsidR="00567637" w:rsidRPr="005D131A" w:rsidRDefault="00567637" w:rsidP="005D131A">
            <w:pPr>
              <w:rPr>
                <w:b/>
                <w:sz w:val="28"/>
                <w:szCs w:val="28"/>
              </w:rPr>
            </w:pPr>
          </w:p>
        </w:tc>
        <w:tc>
          <w:tcPr>
            <w:tcW w:w="0" w:type="auto"/>
          </w:tcPr>
          <w:p w:rsidR="00567637" w:rsidRPr="005D131A" w:rsidRDefault="00567637" w:rsidP="005D131A">
            <w:pPr>
              <w:rPr>
                <w:sz w:val="28"/>
                <w:szCs w:val="28"/>
              </w:rPr>
            </w:pPr>
            <w:r w:rsidRPr="005D131A">
              <w:rPr>
                <w:sz w:val="28"/>
                <w:szCs w:val="28"/>
              </w:rPr>
              <w:t>Suplementos o complementos vitamínicos y nutricionales salvo excepciones expresas en la norma</w:t>
            </w:r>
          </w:p>
        </w:tc>
        <w:tc>
          <w:tcPr>
            <w:tcW w:w="0" w:type="auto"/>
          </w:tcPr>
          <w:p w:rsidR="00567637" w:rsidRPr="005D131A" w:rsidRDefault="00567637" w:rsidP="005D131A">
            <w:pPr>
              <w:rPr>
                <w:sz w:val="28"/>
                <w:szCs w:val="28"/>
              </w:rPr>
            </w:pPr>
            <w:r w:rsidRPr="005D131A">
              <w:rPr>
                <w:sz w:val="28"/>
                <w:szCs w:val="28"/>
              </w:rPr>
              <w:t>Tecnologías de carácter educativo, instructivo o de capacitación, que se lleven a cabo durante el proceso de rehabilitación social o laboral y no corresponden al ámbito de la salud aunque sean realizadas por personal del área de la salud</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Artículos Cosméticos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Líquidos para lentes de contacto</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Pañales para niños y adultos</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Suplementos o complementos vitamínicos y nutricionales salvo excepciones expresas en la norma</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Tratamientos capilares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Toallas higiénicas</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Líquidos para lentes de contacto</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Champús de cualquier tipo</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Artículos Cosméticos</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Tratamientos capilares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Jabones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Suplementos o complementos vitamínicos, nutricionales o nutracéuticos, salvo excepciones expresas en la norma</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Champús de cualquier tipo</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Cremas hidratantes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Líquidos para lentes de contacto</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Jabones</w:t>
            </w:r>
          </w:p>
        </w:tc>
        <w:tc>
          <w:tcPr>
            <w:tcW w:w="0" w:type="auto"/>
          </w:tcPr>
          <w:p w:rsidR="00567637" w:rsidRPr="005D131A" w:rsidRDefault="00567637" w:rsidP="005D131A">
            <w:pPr>
              <w:rPr>
                <w:sz w:val="28"/>
                <w:szCs w:val="28"/>
              </w:rPr>
            </w:pPr>
            <w:r w:rsidRPr="005D131A">
              <w:rPr>
                <w:sz w:val="28"/>
                <w:szCs w:val="28"/>
              </w:rPr>
              <w:t>Cremas antisolares o para las manchas en la piel</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Tratamientos capilares</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Cremas hidratantes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Medicamentos o drogas para la memoria</w:t>
            </w:r>
          </w:p>
          <w:p w:rsidR="00567637" w:rsidRPr="005D131A" w:rsidRDefault="00567637" w:rsidP="005D131A">
            <w:pPr>
              <w:rPr>
                <w:sz w:val="28"/>
                <w:szCs w:val="28"/>
              </w:rPr>
            </w:pP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Champús de cualquier tipo</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Cremas antisolares o para las manchas en la piel</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Medicamentos para la disfunción eréctil</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Jabones</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Medicamentos o drogas para la memoria</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Medicamentos anorexígenos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Cremas hidratantes o humectantes</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 xml:space="preserve">Medicamentos para la impotencia sexual o la disfunción eréctil </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Edulcorantes o sustitutos de la sal</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Cremas antisolares o para las manchas en la piel</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Medicamentos anorexígenos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Enjuagues bucales y cremas dentales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Medicamentos para la memoria</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Edulcorantes o sustitutos de la sal</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Cepillo y seda dental</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Edulcorantes o sustitutos de la sal</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Enjuagues bucales y cremas dentales</w:t>
            </w:r>
          </w:p>
        </w:tc>
        <w:tc>
          <w:tcPr>
            <w:tcW w:w="0" w:type="auto"/>
          </w:tcPr>
          <w:p w:rsidR="00567637" w:rsidRPr="005D131A" w:rsidRDefault="00567637" w:rsidP="005D131A">
            <w:pPr>
              <w:rPr>
                <w:sz w:val="28"/>
                <w:szCs w:val="28"/>
              </w:rPr>
            </w:pPr>
            <w:r w:rsidRPr="005D131A">
              <w:rPr>
                <w:sz w:val="28"/>
                <w:szCs w:val="28"/>
              </w:rPr>
              <w:t>La internación en instituciones educativas, entidades de asistencia y protección social tipo ancianato, hogar sustituto, orfanato, hospicio, guardería o granja protegida, entre otros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Cubrimiento de cualquier tipo de dieta en ámbitos no hospitalarios, salvo lo señalado expresamente en el presente acto administrativo</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Cepillo y seda dental</w:t>
            </w:r>
          </w:p>
        </w:tc>
        <w:tc>
          <w:tcPr>
            <w:tcW w:w="0" w:type="auto"/>
          </w:tcPr>
          <w:p w:rsidR="00567637" w:rsidRPr="005D131A" w:rsidRDefault="00567637" w:rsidP="005D131A">
            <w:pPr>
              <w:rPr>
                <w:sz w:val="28"/>
                <w:szCs w:val="28"/>
              </w:rPr>
            </w:pPr>
            <w:r w:rsidRPr="005D131A">
              <w:rPr>
                <w:sz w:val="28"/>
                <w:szCs w:val="28"/>
              </w:rPr>
              <w:t>El tratamiento de las complicaciones que surjan de las actividades, procedimientos e intervenciones y medicamentos no cubiertos por el Plan Obligatorio de Salud</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Enjuagues bucales y cremas dentales</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La internación en instituciones educativas, entidades de asistencia y protección social tipo ancianato, hogar sustituto, orfanato, hospicio, guardería o granja protegida</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Insumos o dispositivos que no sean necesarios para las actividades, procedimientos e intervenciones descritas en el presente Acuerdo</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Cepillo y seda dental</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El tratamiento de las complicaciones que surjan de las actividades, procedimientos e intervenciones y medicamentos no cubiertos por el POS</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La atención en los servicios de internación en las unidades de cuidados intensivos, intermedios o quemados de pacientes en estado terminal de cualquier etiología, según criterio del profesional de la salud tratante</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La internación en instituciones educativas, entidades de asistencia o protección social tipo hogar geriátrico, hogar sustituto, orfanato, hospicio, guardería o granja protegida, entre otros</w:t>
            </w:r>
          </w:p>
        </w:tc>
      </w:tr>
      <w:tr w:rsidR="00567637" w:rsidRPr="005D131A" w:rsidTr="00B74FA2">
        <w:tc>
          <w:tcPr>
            <w:tcW w:w="0" w:type="auto"/>
          </w:tcPr>
          <w:p w:rsidR="00567637" w:rsidRPr="005D131A" w:rsidRDefault="00567637" w:rsidP="005D131A">
            <w:pPr>
              <w:rPr>
                <w:b/>
                <w:sz w:val="28"/>
                <w:szCs w:val="28"/>
              </w:rPr>
            </w:pPr>
          </w:p>
          <w:p w:rsidR="00567637" w:rsidRPr="005D131A" w:rsidRDefault="00567637" w:rsidP="005D131A">
            <w:pPr>
              <w:rPr>
                <w:b/>
                <w:sz w:val="28"/>
                <w:szCs w:val="28"/>
              </w:rPr>
            </w:pPr>
            <w:r w:rsidRPr="005D131A">
              <w:rPr>
                <w:sz w:val="28"/>
                <w:szCs w:val="28"/>
              </w:rPr>
              <w:t>Insumos o dispositivos que no sean necesarios para las tecnologías en salud descritas en el presente Acuerdo</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La atención en los servicios de internación en las unidades de cuidados intensivos, intermedios o quemados de pacientes con diagnóstico de muerte cerebral, salvo proceso en curso de donación de sus órganos, que estará a cargo de la Entidad Promotora de Salud del receptor</w:t>
            </w: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Los procedimientos conexos y las complicaciones que surjan de las atenciones en los eventos expresamente excluidos</w:t>
            </w:r>
          </w:p>
        </w:tc>
      </w:tr>
      <w:tr w:rsidR="00567637" w:rsidRPr="005D131A" w:rsidTr="00B74FA2">
        <w:tc>
          <w:tcPr>
            <w:tcW w:w="0" w:type="auto"/>
          </w:tcPr>
          <w:p w:rsidR="00567637" w:rsidRPr="005D131A" w:rsidRDefault="00567637" w:rsidP="005D131A">
            <w:pPr>
              <w:rPr>
                <w:b/>
                <w:sz w:val="28"/>
                <w:szCs w:val="28"/>
              </w:rPr>
            </w:pPr>
          </w:p>
        </w:tc>
        <w:tc>
          <w:tcPr>
            <w:tcW w:w="0" w:type="auto"/>
          </w:tcPr>
          <w:p w:rsidR="00567637" w:rsidRPr="005D131A" w:rsidRDefault="00567637" w:rsidP="005D131A">
            <w:pPr>
              <w:rPr>
                <w:sz w:val="28"/>
                <w:szCs w:val="28"/>
              </w:rPr>
            </w:pPr>
          </w:p>
        </w:tc>
        <w:tc>
          <w:tcPr>
            <w:tcW w:w="0" w:type="auto"/>
          </w:tcPr>
          <w:p w:rsidR="00567637" w:rsidRPr="005D131A" w:rsidRDefault="00567637" w:rsidP="005D131A">
            <w:pPr>
              <w:rPr>
                <w:sz w:val="28"/>
                <w:szCs w:val="28"/>
              </w:rPr>
            </w:pPr>
            <w:r w:rsidRPr="005D131A">
              <w:rPr>
                <w:sz w:val="28"/>
                <w:szCs w:val="28"/>
              </w:rPr>
              <w:t>La atención en los servicios de internación en las unidades de cuidados intensivos, intermedios o quemados de pacientes en estado terminal de cualquier etiología, según criterio del profesional de la salud tratante</w:t>
            </w:r>
          </w:p>
        </w:tc>
      </w:tr>
      <w:tr w:rsidR="00567637" w:rsidRPr="005D131A" w:rsidTr="00B74FA2">
        <w:tc>
          <w:tcPr>
            <w:tcW w:w="0" w:type="auto"/>
          </w:tcPr>
          <w:p w:rsidR="00567637" w:rsidRPr="005D131A" w:rsidRDefault="00567637" w:rsidP="005D131A">
            <w:pPr>
              <w:rPr>
                <w:b/>
                <w:sz w:val="28"/>
                <w:szCs w:val="28"/>
              </w:rPr>
            </w:pPr>
          </w:p>
        </w:tc>
        <w:tc>
          <w:tcPr>
            <w:tcW w:w="0" w:type="auto"/>
          </w:tcPr>
          <w:p w:rsidR="00567637" w:rsidRPr="005D131A" w:rsidRDefault="00567637" w:rsidP="005D131A">
            <w:pPr>
              <w:rPr>
                <w:sz w:val="28"/>
                <w:szCs w:val="28"/>
              </w:rPr>
            </w:pP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La atención en los servicios de internación en las unidades de cuidados intensivos, intermedios o quemados de pacientes con diagnóstico de muerte cerebral, salvo proceso en curso de donación de sus órganos, que estará a cargo de la Entidad Promotora de Salud del receptor</w:t>
            </w:r>
          </w:p>
        </w:tc>
      </w:tr>
      <w:tr w:rsidR="00567637" w:rsidRPr="005D131A" w:rsidTr="00B74FA2">
        <w:tc>
          <w:tcPr>
            <w:tcW w:w="0" w:type="auto"/>
          </w:tcPr>
          <w:p w:rsidR="00567637" w:rsidRPr="005D131A" w:rsidRDefault="00567637" w:rsidP="005D131A">
            <w:pPr>
              <w:rPr>
                <w:b/>
                <w:sz w:val="28"/>
                <w:szCs w:val="28"/>
              </w:rPr>
            </w:pPr>
          </w:p>
        </w:tc>
        <w:tc>
          <w:tcPr>
            <w:tcW w:w="0" w:type="auto"/>
          </w:tcPr>
          <w:p w:rsidR="00567637" w:rsidRPr="005D131A" w:rsidRDefault="00567637" w:rsidP="005D131A">
            <w:pPr>
              <w:rPr>
                <w:sz w:val="28"/>
                <w:szCs w:val="28"/>
              </w:rPr>
            </w:pP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La atención financiada con recursos diferentes a los del POS y bienes y servicios que no correspondan al ámbito de la salud</w:t>
            </w:r>
          </w:p>
        </w:tc>
      </w:tr>
      <w:tr w:rsidR="00567637" w:rsidRPr="005D131A" w:rsidTr="00B74FA2">
        <w:tc>
          <w:tcPr>
            <w:tcW w:w="0" w:type="auto"/>
          </w:tcPr>
          <w:p w:rsidR="00567637" w:rsidRPr="005D131A" w:rsidRDefault="00567637" w:rsidP="005D131A">
            <w:pPr>
              <w:rPr>
                <w:b/>
                <w:sz w:val="28"/>
                <w:szCs w:val="28"/>
              </w:rPr>
            </w:pPr>
          </w:p>
        </w:tc>
        <w:tc>
          <w:tcPr>
            <w:tcW w:w="0" w:type="auto"/>
          </w:tcPr>
          <w:p w:rsidR="00567637" w:rsidRPr="005D131A" w:rsidRDefault="00567637" w:rsidP="005D131A">
            <w:pPr>
              <w:rPr>
                <w:sz w:val="28"/>
                <w:szCs w:val="28"/>
              </w:rPr>
            </w:pP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Traslados y cambios de lugar de residencia por condiciones de salud, así sean prescritas por el médico tratante</w:t>
            </w:r>
          </w:p>
        </w:tc>
      </w:tr>
      <w:tr w:rsidR="00567637" w:rsidRPr="005D131A" w:rsidTr="00B74FA2">
        <w:tc>
          <w:tcPr>
            <w:tcW w:w="0" w:type="auto"/>
          </w:tcPr>
          <w:p w:rsidR="00567637" w:rsidRPr="005D131A" w:rsidRDefault="00567637" w:rsidP="005D131A">
            <w:pPr>
              <w:rPr>
                <w:b/>
                <w:sz w:val="28"/>
                <w:szCs w:val="28"/>
              </w:rPr>
            </w:pPr>
          </w:p>
        </w:tc>
        <w:tc>
          <w:tcPr>
            <w:tcW w:w="0" w:type="auto"/>
          </w:tcPr>
          <w:p w:rsidR="00567637" w:rsidRPr="005D131A" w:rsidRDefault="00567637" w:rsidP="005D131A">
            <w:pPr>
              <w:rPr>
                <w:sz w:val="28"/>
                <w:szCs w:val="28"/>
              </w:rPr>
            </w:pPr>
          </w:p>
        </w:tc>
        <w:tc>
          <w:tcPr>
            <w:tcW w:w="0" w:type="auto"/>
          </w:tcPr>
          <w:p w:rsidR="00567637" w:rsidRPr="005D131A" w:rsidRDefault="00567637" w:rsidP="005D131A">
            <w:pPr>
              <w:rPr>
                <w:sz w:val="28"/>
                <w:szCs w:val="28"/>
              </w:rPr>
            </w:pPr>
            <w:r w:rsidRPr="005D131A">
              <w:rPr>
                <w:sz w:val="28"/>
                <w:szCs w:val="28"/>
              </w:rPr>
              <w:t>Prestaciones de salud en instituciones no habilitadas para tal fin dentro del sistema de salud</w:t>
            </w:r>
          </w:p>
        </w:tc>
      </w:tr>
      <w:tr w:rsidR="00567637" w:rsidRPr="005D131A" w:rsidTr="00B74FA2">
        <w:tc>
          <w:tcPr>
            <w:tcW w:w="0" w:type="auto"/>
          </w:tcPr>
          <w:p w:rsidR="00567637" w:rsidRPr="005D131A" w:rsidRDefault="00567637" w:rsidP="005D131A">
            <w:pPr>
              <w:rPr>
                <w:b/>
                <w:sz w:val="28"/>
                <w:szCs w:val="28"/>
              </w:rPr>
            </w:pPr>
          </w:p>
        </w:tc>
        <w:tc>
          <w:tcPr>
            <w:tcW w:w="0" w:type="auto"/>
          </w:tcPr>
          <w:p w:rsidR="00567637" w:rsidRPr="005D131A" w:rsidRDefault="00567637" w:rsidP="005D131A">
            <w:pPr>
              <w:rPr>
                <w:sz w:val="28"/>
                <w:szCs w:val="28"/>
              </w:rPr>
            </w:pP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Atenciones de balneoterapia</w:t>
            </w:r>
          </w:p>
        </w:tc>
      </w:tr>
      <w:tr w:rsidR="00567637" w:rsidRPr="005D131A" w:rsidTr="00B74FA2">
        <w:tc>
          <w:tcPr>
            <w:tcW w:w="0" w:type="auto"/>
          </w:tcPr>
          <w:p w:rsidR="00567637" w:rsidRPr="005D131A" w:rsidRDefault="00567637" w:rsidP="005D131A">
            <w:pPr>
              <w:rPr>
                <w:b/>
                <w:sz w:val="28"/>
                <w:szCs w:val="28"/>
              </w:rPr>
            </w:pPr>
          </w:p>
        </w:tc>
        <w:tc>
          <w:tcPr>
            <w:tcW w:w="0" w:type="auto"/>
          </w:tcPr>
          <w:p w:rsidR="00567637" w:rsidRPr="005D131A" w:rsidRDefault="00567637" w:rsidP="005D131A">
            <w:pPr>
              <w:rPr>
                <w:sz w:val="28"/>
                <w:szCs w:val="28"/>
              </w:rPr>
            </w:pP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Atención que corresponda a:un interés particular sin indicación médica previa (chequeos ejecutivos)</w:t>
            </w:r>
          </w:p>
        </w:tc>
      </w:tr>
      <w:tr w:rsidR="00567637" w:rsidRPr="005D131A" w:rsidTr="00B74FA2">
        <w:tc>
          <w:tcPr>
            <w:tcW w:w="0" w:type="auto"/>
          </w:tcPr>
          <w:p w:rsidR="00567637" w:rsidRPr="005D131A" w:rsidRDefault="00567637" w:rsidP="005D131A">
            <w:pPr>
              <w:rPr>
                <w:b/>
                <w:sz w:val="28"/>
                <w:szCs w:val="28"/>
              </w:rPr>
            </w:pPr>
          </w:p>
        </w:tc>
        <w:tc>
          <w:tcPr>
            <w:tcW w:w="0" w:type="auto"/>
          </w:tcPr>
          <w:p w:rsidR="00567637" w:rsidRPr="005D131A" w:rsidRDefault="00567637" w:rsidP="005D131A">
            <w:pPr>
              <w:rPr>
                <w:sz w:val="28"/>
                <w:szCs w:val="28"/>
              </w:rPr>
            </w:pP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Tratamientos realizados fuera del territorio colombiano</w:t>
            </w:r>
          </w:p>
        </w:tc>
      </w:tr>
      <w:tr w:rsidR="00567637" w:rsidRPr="005D131A" w:rsidTr="00B74FA2">
        <w:tc>
          <w:tcPr>
            <w:tcW w:w="0" w:type="auto"/>
          </w:tcPr>
          <w:p w:rsidR="00567637" w:rsidRPr="005D131A" w:rsidRDefault="00567637" w:rsidP="005D131A">
            <w:pPr>
              <w:rPr>
                <w:b/>
                <w:sz w:val="28"/>
                <w:szCs w:val="28"/>
              </w:rPr>
            </w:pPr>
          </w:p>
        </w:tc>
        <w:tc>
          <w:tcPr>
            <w:tcW w:w="0" w:type="auto"/>
          </w:tcPr>
          <w:p w:rsidR="00567637" w:rsidRPr="005D131A" w:rsidRDefault="00567637" w:rsidP="005D131A">
            <w:pPr>
              <w:rPr>
                <w:sz w:val="28"/>
                <w:szCs w:val="28"/>
              </w:rPr>
            </w:pP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Necropsias y peritajes forenses y aquellas que no tengan una finalidad clínica</w:t>
            </w:r>
          </w:p>
        </w:tc>
      </w:tr>
      <w:tr w:rsidR="00567637" w:rsidRPr="005D131A" w:rsidTr="00B74FA2">
        <w:tc>
          <w:tcPr>
            <w:tcW w:w="0" w:type="auto"/>
          </w:tcPr>
          <w:p w:rsidR="00567637" w:rsidRPr="005D131A" w:rsidRDefault="00567637" w:rsidP="005D131A">
            <w:pPr>
              <w:rPr>
                <w:b/>
                <w:sz w:val="28"/>
                <w:szCs w:val="28"/>
              </w:rPr>
            </w:pPr>
          </w:p>
        </w:tc>
        <w:tc>
          <w:tcPr>
            <w:tcW w:w="0" w:type="auto"/>
          </w:tcPr>
          <w:p w:rsidR="00567637" w:rsidRPr="005D131A" w:rsidRDefault="00567637" w:rsidP="005D131A">
            <w:pPr>
              <w:rPr>
                <w:sz w:val="28"/>
                <w:szCs w:val="28"/>
              </w:rPr>
            </w:pPr>
          </w:p>
        </w:tc>
        <w:tc>
          <w:tcPr>
            <w:tcW w:w="0" w:type="auto"/>
          </w:tcPr>
          <w:p w:rsidR="00567637" w:rsidRPr="005D131A" w:rsidRDefault="00567637" w:rsidP="005D131A">
            <w:pPr>
              <w:rPr>
                <w:sz w:val="28"/>
                <w:szCs w:val="28"/>
              </w:rPr>
            </w:pPr>
          </w:p>
          <w:p w:rsidR="00567637" w:rsidRPr="005D131A" w:rsidRDefault="00567637" w:rsidP="005D131A">
            <w:pPr>
              <w:rPr>
                <w:sz w:val="28"/>
                <w:szCs w:val="28"/>
              </w:rPr>
            </w:pPr>
            <w:r w:rsidRPr="005D131A">
              <w:rPr>
                <w:sz w:val="28"/>
                <w:szCs w:val="28"/>
              </w:rPr>
              <w:t>Servicios funerarios, incluyendo el traslado de cadáver</w:t>
            </w:r>
          </w:p>
        </w:tc>
      </w:tr>
    </w:tbl>
    <w:p w:rsidR="00567637" w:rsidRPr="005D131A" w:rsidRDefault="00567637" w:rsidP="005D131A">
      <w:pPr>
        <w:shd w:val="clear" w:color="auto" w:fill="FFFFFF"/>
        <w:jc w:val="center"/>
        <w:rPr>
          <w:b/>
          <w:sz w:val="28"/>
          <w:szCs w:val="28"/>
        </w:rPr>
      </w:pPr>
    </w:p>
    <w:p w:rsidR="00567637" w:rsidRPr="005D131A" w:rsidRDefault="00567637" w:rsidP="005D131A">
      <w:pPr>
        <w:shd w:val="clear" w:color="auto" w:fill="FFFFFF"/>
        <w:jc w:val="center"/>
        <w:rPr>
          <w:b/>
          <w:sz w:val="28"/>
          <w:szCs w:val="28"/>
        </w:rPr>
      </w:pPr>
    </w:p>
    <w:p w:rsidR="00567637" w:rsidRPr="005D131A" w:rsidRDefault="00567637" w:rsidP="005D131A">
      <w:pPr>
        <w:shd w:val="clear" w:color="auto" w:fill="FFFFFF"/>
        <w:jc w:val="center"/>
        <w:rPr>
          <w:b/>
          <w:sz w:val="28"/>
          <w:szCs w:val="28"/>
        </w:rPr>
      </w:pPr>
    </w:p>
    <w:p w:rsidR="00A565C7" w:rsidRPr="005D131A" w:rsidRDefault="00A565C7" w:rsidP="005D131A">
      <w:pPr>
        <w:pStyle w:val="Prrafodelista"/>
        <w:tabs>
          <w:tab w:val="left" w:pos="1644"/>
        </w:tabs>
        <w:ind w:left="0"/>
        <w:rPr>
          <w:sz w:val="28"/>
          <w:szCs w:val="28"/>
        </w:rPr>
      </w:pPr>
    </w:p>
    <w:p w:rsidR="00A565C7" w:rsidRPr="005D131A" w:rsidRDefault="00A565C7" w:rsidP="005D131A">
      <w:pPr>
        <w:pStyle w:val="Prrafodelista"/>
        <w:tabs>
          <w:tab w:val="left" w:pos="1644"/>
        </w:tabs>
        <w:ind w:left="0"/>
        <w:rPr>
          <w:sz w:val="28"/>
          <w:szCs w:val="28"/>
        </w:rPr>
      </w:pPr>
    </w:p>
    <w:p w:rsidR="00A565C7" w:rsidRPr="005D131A" w:rsidRDefault="00A565C7" w:rsidP="005D131A">
      <w:pPr>
        <w:pStyle w:val="Prrafodelista"/>
        <w:tabs>
          <w:tab w:val="left" w:pos="1644"/>
        </w:tabs>
        <w:ind w:left="0"/>
        <w:rPr>
          <w:sz w:val="28"/>
          <w:szCs w:val="28"/>
        </w:rPr>
      </w:pPr>
    </w:p>
    <w:p w:rsidR="00A565C7" w:rsidRPr="005D131A" w:rsidRDefault="00A565C7" w:rsidP="005D131A">
      <w:pPr>
        <w:pStyle w:val="Prrafodelista"/>
        <w:tabs>
          <w:tab w:val="left" w:pos="1644"/>
        </w:tabs>
        <w:ind w:left="0"/>
        <w:rPr>
          <w:sz w:val="28"/>
          <w:szCs w:val="28"/>
        </w:rPr>
      </w:pPr>
    </w:p>
    <w:p w:rsidR="00A565C7" w:rsidRPr="005D131A" w:rsidRDefault="00A565C7" w:rsidP="005D131A">
      <w:pPr>
        <w:pStyle w:val="Prrafodelista"/>
        <w:tabs>
          <w:tab w:val="left" w:pos="1644"/>
        </w:tabs>
        <w:ind w:left="0"/>
        <w:rPr>
          <w:sz w:val="28"/>
          <w:szCs w:val="28"/>
        </w:rPr>
      </w:pPr>
    </w:p>
    <w:p w:rsidR="00A565C7" w:rsidRPr="005D131A" w:rsidRDefault="00A565C7" w:rsidP="005D131A">
      <w:pPr>
        <w:pStyle w:val="Prrafodelista"/>
        <w:tabs>
          <w:tab w:val="left" w:pos="1644"/>
        </w:tabs>
        <w:ind w:left="0"/>
        <w:rPr>
          <w:sz w:val="28"/>
          <w:szCs w:val="28"/>
        </w:rPr>
      </w:pPr>
    </w:p>
    <w:p w:rsidR="00A565C7" w:rsidRPr="005D131A" w:rsidRDefault="00A565C7" w:rsidP="005D131A">
      <w:pPr>
        <w:pStyle w:val="Prrafodelista"/>
        <w:tabs>
          <w:tab w:val="left" w:pos="1644"/>
        </w:tabs>
        <w:ind w:left="0"/>
        <w:rPr>
          <w:sz w:val="28"/>
          <w:szCs w:val="28"/>
        </w:rPr>
      </w:pPr>
    </w:p>
    <w:p w:rsidR="00A565C7" w:rsidRPr="005D131A" w:rsidRDefault="00A565C7" w:rsidP="005D131A">
      <w:pPr>
        <w:pStyle w:val="Prrafodelista"/>
        <w:tabs>
          <w:tab w:val="left" w:pos="1644"/>
        </w:tabs>
        <w:ind w:left="0"/>
        <w:rPr>
          <w:sz w:val="28"/>
          <w:szCs w:val="28"/>
        </w:rPr>
      </w:pPr>
    </w:p>
    <w:p w:rsidR="00A565C7" w:rsidRPr="005D131A" w:rsidRDefault="00A565C7" w:rsidP="005D131A">
      <w:pPr>
        <w:pStyle w:val="Prrafodelista"/>
        <w:tabs>
          <w:tab w:val="left" w:pos="1644"/>
        </w:tabs>
        <w:ind w:left="0"/>
        <w:rPr>
          <w:sz w:val="28"/>
          <w:szCs w:val="28"/>
        </w:rPr>
      </w:pPr>
    </w:p>
    <w:p w:rsidR="00A565C7" w:rsidRDefault="00A565C7" w:rsidP="005D131A">
      <w:pPr>
        <w:pStyle w:val="Prrafodelista"/>
        <w:tabs>
          <w:tab w:val="left" w:pos="1644"/>
        </w:tabs>
        <w:ind w:left="0"/>
        <w:rPr>
          <w:sz w:val="28"/>
          <w:szCs w:val="28"/>
        </w:rPr>
      </w:pPr>
    </w:p>
    <w:p w:rsidR="00661596" w:rsidRDefault="00661596" w:rsidP="005D131A">
      <w:pPr>
        <w:pStyle w:val="Prrafodelista"/>
        <w:tabs>
          <w:tab w:val="left" w:pos="1644"/>
        </w:tabs>
        <w:ind w:left="0"/>
        <w:rPr>
          <w:sz w:val="28"/>
          <w:szCs w:val="28"/>
        </w:rPr>
      </w:pPr>
    </w:p>
    <w:p w:rsidR="00661596" w:rsidRPr="005D131A" w:rsidRDefault="00661596" w:rsidP="005D131A">
      <w:pPr>
        <w:pStyle w:val="Prrafodelista"/>
        <w:tabs>
          <w:tab w:val="left" w:pos="1644"/>
        </w:tabs>
        <w:ind w:left="0"/>
        <w:rPr>
          <w:sz w:val="28"/>
          <w:szCs w:val="28"/>
        </w:rPr>
      </w:pPr>
    </w:p>
    <w:sectPr w:rsidR="00661596" w:rsidRPr="005D131A" w:rsidSect="00DC4CE8">
      <w:pgSz w:w="12242" w:h="18722" w:code="14"/>
      <w:pgMar w:top="1701" w:right="1418" w:bottom="1418"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1EE" w:rsidRDefault="008F61EE" w:rsidP="00F614A3">
      <w:r>
        <w:separator/>
      </w:r>
    </w:p>
  </w:endnote>
  <w:endnote w:type="continuationSeparator" w:id="0">
    <w:p w:rsidR="008F61EE" w:rsidRDefault="008F61EE" w:rsidP="00F6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1EE" w:rsidRDefault="008F61EE" w:rsidP="00F614A3">
      <w:r>
        <w:separator/>
      </w:r>
    </w:p>
  </w:footnote>
  <w:footnote w:type="continuationSeparator" w:id="0">
    <w:p w:rsidR="008F61EE" w:rsidRDefault="008F61EE" w:rsidP="00F614A3">
      <w:r>
        <w:continuationSeparator/>
      </w:r>
    </w:p>
  </w:footnote>
  <w:footnote w:id="1">
    <w:p w:rsidR="00000000" w:rsidRDefault="005D131A">
      <w:pPr>
        <w:pStyle w:val="Textonotapie"/>
      </w:pPr>
      <w:r>
        <w:rPr>
          <w:vertAlign w:val="superscript"/>
        </w:rPr>
        <w:footnoteRef/>
      </w:r>
      <w:r>
        <w:t xml:space="preserve"> </w:t>
      </w:r>
      <w:r w:rsidRPr="0099449D">
        <w:rPr>
          <w:i/>
        </w:rPr>
        <w:t>Cfr.</w:t>
      </w:r>
      <w:r w:rsidRPr="006E04CD">
        <w:rPr>
          <w:i/>
        </w:rPr>
        <w:t xml:space="preserve"> </w:t>
      </w:r>
      <w:r>
        <w:t xml:space="preserve">AZ Orden XXIII-A, folio </w:t>
      </w:r>
      <w:r w:rsidRPr="006E04CD">
        <w:t>3</w:t>
      </w:r>
      <w:r>
        <w:t>.</w:t>
      </w:r>
    </w:p>
  </w:footnote>
  <w:footnote w:id="2">
    <w:p w:rsidR="00000000" w:rsidRDefault="005D131A" w:rsidP="00386BCB">
      <w:pPr>
        <w:pStyle w:val="Textonotapie"/>
      </w:pPr>
      <w:r w:rsidRPr="006E04CD">
        <w:rPr>
          <w:vertAlign w:val="superscript"/>
        </w:rPr>
        <w:footnoteRef/>
      </w:r>
      <w:r w:rsidRPr="006E04CD">
        <w:t xml:space="preserve"> </w:t>
      </w:r>
      <w:r w:rsidRPr="006E04CD">
        <w:rPr>
          <w:i/>
        </w:rPr>
        <w:t>“Por la cual se reglamentan los Comités Técnico - Científicos y se establece el procedimiento de recobro ante el Fondo de Solidaridad y Garantía, Fosyga, por concepto de suministro de medicamentos, servicios médicos y prestaciones de salud no incluidos en el Plan Obligatorio de Salud, POS, autorizados por Comité Técnico-Científico y por fallos de tutela”</w:t>
      </w:r>
      <w:r w:rsidRPr="006E04CD">
        <w:t>.</w:t>
      </w:r>
      <w:r>
        <w:t xml:space="preserve"> </w:t>
      </w:r>
      <w:r w:rsidRPr="006E04CD">
        <w:t>Cfr.</w:t>
      </w:r>
      <w:r w:rsidRPr="006E04CD">
        <w:rPr>
          <w:i/>
        </w:rPr>
        <w:t xml:space="preserve"> </w:t>
      </w:r>
      <w:r>
        <w:t>AZ Orden XXIII-A. (folios 4</w:t>
      </w:r>
      <w:r w:rsidRPr="006E04CD">
        <w:t xml:space="preserve"> a</w:t>
      </w:r>
      <w:r>
        <w:t xml:space="preserve"> 31).</w:t>
      </w:r>
    </w:p>
  </w:footnote>
  <w:footnote w:id="3">
    <w:p w:rsidR="00000000" w:rsidRDefault="005D131A" w:rsidP="0099449D">
      <w:pPr>
        <w:pStyle w:val="Textonotapie"/>
      </w:pPr>
      <w:r w:rsidRPr="006E04CD">
        <w:rPr>
          <w:vertAlign w:val="superscript"/>
        </w:rPr>
        <w:footnoteRef/>
      </w:r>
      <w:r w:rsidRPr="006E04CD">
        <w:t xml:space="preserve"> </w:t>
      </w:r>
      <w:r w:rsidRPr="00A54C39">
        <w:rPr>
          <w:i/>
        </w:rPr>
        <w:t>Cfr.</w:t>
      </w:r>
      <w:r w:rsidRPr="006E04CD">
        <w:rPr>
          <w:i/>
        </w:rPr>
        <w:t xml:space="preserve"> </w:t>
      </w:r>
      <w:r w:rsidRPr="006E04CD">
        <w:t>AZ Orden XXIII-A, folios 32 a 37.</w:t>
      </w:r>
    </w:p>
  </w:footnote>
  <w:footnote w:id="4">
    <w:p w:rsidR="00000000" w:rsidRDefault="005D131A" w:rsidP="00A54C39">
      <w:pPr>
        <w:pStyle w:val="Textonotapie"/>
      </w:pPr>
      <w:r w:rsidRPr="006E04CD">
        <w:rPr>
          <w:vertAlign w:val="superscript"/>
        </w:rPr>
        <w:footnoteRef/>
      </w:r>
      <w:r w:rsidRPr="006E04CD">
        <w:t xml:space="preserve"> </w:t>
      </w:r>
      <w:r w:rsidRPr="00A54C39">
        <w:rPr>
          <w:i/>
        </w:rPr>
        <w:t>Cfr.</w:t>
      </w:r>
      <w:r>
        <w:t xml:space="preserve"> AZ Orden XXIII-A, folios 68</w:t>
      </w:r>
      <w:r w:rsidRPr="006E04CD">
        <w:t xml:space="preserve"> a 79.</w:t>
      </w:r>
    </w:p>
  </w:footnote>
  <w:footnote w:id="5">
    <w:p w:rsidR="00000000" w:rsidRDefault="005D131A" w:rsidP="006B1B7B">
      <w:pPr>
        <w:pStyle w:val="Textonotapie"/>
      </w:pPr>
      <w:r w:rsidRPr="006E04CD">
        <w:rPr>
          <w:vertAlign w:val="superscript"/>
        </w:rPr>
        <w:footnoteRef/>
      </w:r>
      <w:r w:rsidRPr="006E04CD">
        <w:t xml:space="preserve"> </w:t>
      </w:r>
      <w:r w:rsidRPr="00A54C39">
        <w:rPr>
          <w:i/>
        </w:rPr>
        <w:t>Cfr.</w:t>
      </w:r>
      <w:r w:rsidRPr="006E04CD">
        <w:t xml:space="preserve"> AZ Orden XXIII-A, folios 82 a 86.</w:t>
      </w:r>
    </w:p>
  </w:footnote>
  <w:footnote w:id="6">
    <w:p w:rsidR="00000000" w:rsidRDefault="005D131A" w:rsidP="006B1B7B">
      <w:pPr>
        <w:pStyle w:val="Textonotapie"/>
      </w:pPr>
      <w:r w:rsidRPr="006E04CD">
        <w:rPr>
          <w:vertAlign w:val="superscript"/>
        </w:rPr>
        <w:footnoteRef/>
      </w:r>
      <w:r w:rsidRPr="006E04CD">
        <w:t xml:space="preserve"> </w:t>
      </w:r>
      <w:r w:rsidRPr="00A54C39">
        <w:rPr>
          <w:i/>
        </w:rPr>
        <w:t>Cfr.</w:t>
      </w:r>
      <w:r w:rsidRPr="006E04CD">
        <w:rPr>
          <w:i/>
        </w:rPr>
        <w:t xml:space="preserve"> </w:t>
      </w:r>
      <w:r w:rsidRPr="006E04CD">
        <w:t xml:space="preserve">AZ Orden XXIII-A, folios </w:t>
      </w:r>
      <w:smartTag w:uri="urn:schemas-microsoft-com:office:smarttags" w:element="metricconverter">
        <w:smartTagPr>
          <w:attr w:name="ProductID" w:val="87 a"/>
        </w:smartTagPr>
        <w:r w:rsidRPr="006E04CD">
          <w:t>87 a</w:t>
        </w:r>
      </w:smartTag>
      <w:r w:rsidRPr="006E04CD">
        <w:t xml:space="preserve"> 98.</w:t>
      </w:r>
    </w:p>
  </w:footnote>
  <w:footnote w:id="7">
    <w:p w:rsidR="00000000" w:rsidRDefault="005D131A" w:rsidP="000B49C5">
      <w:pPr>
        <w:pStyle w:val="Textonotapie"/>
      </w:pPr>
      <w:r w:rsidRPr="006E04CD">
        <w:rPr>
          <w:vertAlign w:val="superscript"/>
        </w:rPr>
        <w:footnoteRef/>
      </w:r>
      <w:r>
        <w:t xml:space="preserve"> Por ejemplo transporte no medicalizado, </w:t>
      </w:r>
      <w:r w:rsidRPr="006E04CD">
        <w:t>viáticos para el paciente y su acompañante, pañales, cremas, lociones, colegios especiales, grúa, terapias recreacionales, equinoterapia, monturas, medias para várices, suplementos dietarios y prestaciones en el exterior, que supone costear el transporte, alojamiento y alimentación.</w:t>
      </w:r>
    </w:p>
  </w:footnote>
  <w:footnote w:id="8">
    <w:p w:rsidR="00000000" w:rsidRDefault="005D131A" w:rsidP="003D3D05">
      <w:pPr>
        <w:pStyle w:val="Textonotapie"/>
      </w:pPr>
      <w:r w:rsidRPr="006E04CD">
        <w:rPr>
          <w:vertAlign w:val="superscript"/>
        </w:rPr>
        <w:footnoteRef/>
      </w:r>
      <w:r w:rsidRPr="006E04CD">
        <w:t xml:space="preserve"> </w:t>
      </w:r>
      <w:r w:rsidRPr="00A54C39">
        <w:rPr>
          <w:i/>
        </w:rPr>
        <w:t>Cfr.</w:t>
      </w:r>
      <w:r w:rsidRPr="006E04CD">
        <w:t xml:space="preserve"> AZ Orden XXIII-A, folios </w:t>
      </w:r>
      <w:smartTag w:uri="urn:schemas-microsoft-com:office:smarttags" w:element="metricconverter">
        <w:smartTagPr>
          <w:attr w:name="ProductID" w:val="102 a"/>
        </w:smartTagPr>
        <w:r w:rsidRPr="006E04CD">
          <w:t>102 a</w:t>
        </w:r>
      </w:smartTag>
      <w:r w:rsidRPr="006E04CD">
        <w:t xml:space="preserve"> 112.</w:t>
      </w:r>
    </w:p>
  </w:footnote>
  <w:footnote w:id="9">
    <w:p w:rsidR="00000000" w:rsidRDefault="005D131A" w:rsidP="00B142E0">
      <w:pPr>
        <w:pStyle w:val="Textonotapie"/>
      </w:pPr>
      <w:r w:rsidRPr="006E04CD">
        <w:rPr>
          <w:vertAlign w:val="superscript"/>
        </w:rPr>
        <w:footnoteRef/>
      </w:r>
      <w:r w:rsidRPr="006E04CD">
        <w:t xml:space="preserve"> </w:t>
      </w:r>
      <w:r w:rsidRPr="00A54C39">
        <w:rPr>
          <w:i/>
        </w:rPr>
        <w:t>Cfr.</w:t>
      </w:r>
      <w:r w:rsidRPr="006E04CD">
        <w:t xml:space="preserve"> AZ Orden XXIII-A, folios </w:t>
      </w:r>
      <w:smartTag w:uri="urn:schemas-microsoft-com:office:smarttags" w:element="metricconverter">
        <w:smartTagPr>
          <w:attr w:name="ProductID" w:val="124 a"/>
        </w:smartTagPr>
        <w:r w:rsidRPr="006E04CD">
          <w:t>124 a</w:t>
        </w:r>
      </w:smartTag>
      <w:r w:rsidRPr="006E04CD">
        <w:t xml:space="preserve"> 137.</w:t>
      </w:r>
    </w:p>
  </w:footnote>
  <w:footnote w:id="10">
    <w:p w:rsidR="00000000" w:rsidRDefault="005D131A" w:rsidP="00E002E5">
      <w:pPr>
        <w:pStyle w:val="Textonotapie"/>
      </w:pPr>
      <w:r w:rsidRPr="006E04CD">
        <w:rPr>
          <w:vertAlign w:val="superscript"/>
        </w:rPr>
        <w:footnoteRef/>
      </w:r>
      <w:r>
        <w:t xml:space="preserve"> </w:t>
      </w:r>
      <w:r w:rsidRPr="00A54C39">
        <w:rPr>
          <w:i/>
        </w:rPr>
        <w:t>Cfr.</w:t>
      </w:r>
      <w:r w:rsidRPr="006E04CD">
        <w:t xml:space="preserve"> AZ Orden XXIII-A, folios</w:t>
      </w:r>
      <w:r>
        <w:t xml:space="preserve"> 138 a 140</w:t>
      </w:r>
    </w:p>
  </w:footnote>
  <w:footnote w:id="11">
    <w:p w:rsidR="00000000" w:rsidRDefault="005D131A" w:rsidP="00290D74">
      <w:pPr>
        <w:pStyle w:val="Textonotapie"/>
      </w:pPr>
      <w:r>
        <w:rPr>
          <w:vertAlign w:val="superscript"/>
        </w:rPr>
        <w:footnoteRef/>
      </w:r>
      <w:r>
        <w:t xml:space="preserve"> Mediante Decreto 2560 de 2012, se suprimió</w:t>
      </w:r>
      <w:r w:rsidRPr="0045249E">
        <w:t xml:space="preserve"> la Comisión de Regul</w:t>
      </w:r>
      <w:r>
        <w:t xml:space="preserve">ación en Salud (CRES), se ordenó su liquidación y se trasladaron </w:t>
      </w:r>
      <w:r w:rsidRPr="0045249E">
        <w:t>unas funciones al Minister</w:t>
      </w:r>
      <w:r>
        <w:t xml:space="preserve">io de Salud y Protección Social. </w:t>
      </w:r>
    </w:p>
  </w:footnote>
  <w:footnote w:id="12">
    <w:p w:rsidR="00000000" w:rsidRDefault="005D131A" w:rsidP="008F0F40">
      <w:pPr>
        <w:pStyle w:val="Textonotapie"/>
      </w:pPr>
      <w:r w:rsidRPr="006E04CD">
        <w:rPr>
          <w:vertAlign w:val="superscript"/>
        </w:rPr>
        <w:footnoteRef/>
      </w:r>
      <w:r w:rsidRPr="006E04CD">
        <w:t xml:space="preserve"> </w:t>
      </w:r>
      <w:r w:rsidRPr="006E04CD">
        <w:rPr>
          <w:i/>
        </w:rPr>
        <w:t>“Por la cual se reglamentan los Comités Técnico-Científicos, se establece el procedimiento de radicación, reconocimiento y pago de recobros ante el Fondo de Solidaridad y Garantía –Fosyga– y se dictan otras disposiciones aplicables durante el período de transición de que trata el artículo 19 del Decreto Legislativo 128 de 2010”</w:t>
      </w:r>
      <w:r>
        <w:t>.</w:t>
      </w:r>
      <w:r w:rsidRPr="006E04CD">
        <w:t xml:space="preserve"> </w:t>
      </w:r>
    </w:p>
  </w:footnote>
  <w:footnote w:id="13">
    <w:p w:rsidR="00000000" w:rsidRDefault="005D131A" w:rsidP="007267B1">
      <w:pPr>
        <w:pStyle w:val="Textonotapie"/>
      </w:pPr>
      <w:r w:rsidRPr="006E04CD">
        <w:rPr>
          <w:vertAlign w:val="superscript"/>
        </w:rPr>
        <w:footnoteRef/>
      </w:r>
      <w:r w:rsidRPr="006E04CD">
        <w:t xml:space="preserve"> </w:t>
      </w:r>
      <w:r w:rsidRPr="00A54C39">
        <w:rPr>
          <w:i/>
        </w:rPr>
        <w:t>Cfr.</w:t>
      </w:r>
      <w:r w:rsidRPr="006E04CD">
        <w:t xml:space="preserve"> AZ Orden XXIII-A, folios 190 a 337.</w:t>
      </w:r>
    </w:p>
  </w:footnote>
  <w:footnote w:id="14">
    <w:p w:rsidR="00000000" w:rsidRDefault="005D131A" w:rsidP="008947F0">
      <w:pPr>
        <w:pStyle w:val="Sinespaciado3"/>
        <w:contextualSpacing/>
        <w:jc w:val="both"/>
      </w:pPr>
      <w:r w:rsidRPr="00BC559D">
        <w:rPr>
          <w:rFonts w:ascii="Times New Roman" w:hAnsi="Times New Roman"/>
          <w:color w:val="000000"/>
          <w:sz w:val="20"/>
          <w:vertAlign w:val="superscript"/>
        </w:rPr>
        <w:footnoteRef/>
      </w:r>
      <w:r w:rsidRPr="00BC559D">
        <w:rPr>
          <w:rFonts w:ascii="Times New Roman" w:hAnsi="Times New Roman"/>
          <w:color w:val="000000"/>
          <w:sz w:val="20"/>
          <w:szCs w:val="20"/>
        </w:rPr>
        <w:t xml:space="preserve"> </w:t>
      </w:r>
      <w:r>
        <w:rPr>
          <w:rFonts w:ascii="Times New Roman" w:hAnsi="Times New Roman"/>
          <w:color w:val="000000"/>
          <w:sz w:val="20"/>
          <w:szCs w:val="20"/>
        </w:rPr>
        <w:t>Es de aclarar</w:t>
      </w:r>
      <w:r w:rsidRPr="00F51C6B">
        <w:rPr>
          <w:rFonts w:ascii="Times New Roman" w:hAnsi="Times New Roman"/>
          <w:color w:val="000000"/>
          <w:sz w:val="20"/>
          <w:szCs w:val="20"/>
        </w:rPr>
        <w:t xml:space="preserve"> que las disposiciones legales o reglamentarias que sirvieron de sustento a la Resolución 548 de 2010 desaparecieron del escenario jurídico, configurándose el fenómeno del decaimiento del acto administrativo,  porque la Corte mediante sentencia C-288 de 2010</w:t>
      </w:r>
      <w:r>
        <w:rPr>
          <w:rFonts w:ascii="Times New Roman" w:hAnsi="Times New Roman"/>
          <w:color w:val="000000"/>
          <w:sz w:val="20"/>
          <w:szCs w:val="20"/>
        </w:rPr>
        <w:t xml:space="preserve"> </w:t>
      </w:r>
      <w:r w:rsidRPr="00F51C6B">
        <w:rPr>
          <w:rFonts w:ascii="Times New Roman" w:hAnsi="Times New Roman"/>
          <w:color w:val="000000"/>
          <w:sz w:val="20"/>
          <w:szCs w:val="20"/>
        </w:rPr>
        <w:t>declaró inexequible el Decreto Legislativo 128 de 2010 que le dio origen.</w:t>
      </w:r>
    </w:p>
  </w:footnote>
  <w:footnote w:id="15">
    <w:p w:rsidR="00000000" w:rsidRDefault="005D131A" w:rsidP="0032779C">
      <w:pPr>
        <w:pStyle w:val="Textonotapie"/>
      </w:pPr>
      <w:r w:rsidRPr="006E04CD">
        <w:rPr>
          <w:vertAlign w:val="superscript"/>
        </w:rPr>
        <w:footnoteRef/>
      </w:r>
      <w:r w:rsidRPr="006E04CD">
        <w:t xml:space="preserve"> </w:t>
      </w:r>
      <w:r w:rsidRPr="00A54C39">
        <w:rPr>
          <w:i/>
        </w:rPr>
        <w:t>Cfr</w:t>
      </w:r>
      <w:r w:rsidRPr="006E04CD">
        <w:t>. AZ Orden XXIII-A, folios 338-342.</w:t>
      </w:r>
    </w:p>
  </w:footnote>
  <w:footnote w:id="16">
    <w:p w:rsidR="00000000" w:rsidRDefault="005D131A" w:rsidP="007C6D56">
      <w:pPr>
        <w:pStyle w:val="Textonotapie"/>
      </w:pPr>
      <w:r w:rsidRPr="006E04CD">
        <w:rPr>
          <w:vertAlign w:val="superscript"/>
        </w:rPr>
        <w:footnoteRef/>
      </w:r>
      <w:r w:rsidRPr="006E04CD">
        <w:t xml:space="preserve"> De conformidad </w:t>
      </w:r>
      <w:r>
        <w:t>con el artículo 5 de la R</w:t>
      </w:r>
      <w:r w:rsidRPr="006E04CD">
        <w:t>esolución</w:t>
      </w:r>
      <w:r>
        <w:t xml:space="preserve"> 3099 de 2008</w:t>
      </w:r>
      <w:r w:rsidRPr="006E04CD">
        <w:t xml:space="preserve">, el Comité se reunirá </w:t>
      </w:r>
      <w:r w:rsidRPr="006E04CD">
        <w:rPr>
          <w:i/>
        </w:rPr>
        <w:t>“por lo menos una (1) vez a la semana”</w:t>
      </w:r>
      <w:r w:rsidRPr="006E04CD">
        <w:t>.</w:t>
      </w:r>
    </w:p>
  </w:footnote>
  <w:footnote w:id="17">
    <w:p w:rsidR="00000000" w:rsidRDefault="005D131A" w:rsidP="006E26F5">
      <w:pPr>
        <w:pStyle w:val="Textonotapie"/>
      </w:pPr>
      <w:r w:rsidRPr="006E04CD">
        <w:rPr>
          <w:vertAlign w:val="superscript"/>
        </w:rPr>
        <w:footnoteRef/>
      </w:r>
      <w:r w:rsidRPr="006E04CD">
        <w:t xml:space="preserve"> </w:t>
      </w:r>
      <w:r w:rsidRPr="00A54C39">
        <w:rPr>
          <w:i/>
        </w:rPr>
        <w:t>Cfr.</w:t>
      </w:r>
      <w:r w:rsidRPr="006E04CD">
        <w:t xml:space="preserve"> AZ Orden XXIII-A, folios 343 a 350.</w:t>
      </w:r>
    </w:p>
  </w:footnote>
  <w:footnote w:id="18">
    <w:p w:rsidR="00000000" w:rsidRDefault="005D131A" w:rsidP="003D3D05">
      <w:pPr>
        <w:pStyle w:val="Textonotapie"/>
      </w:pPr>
      <w:r w:rsidRPr="006E04CD">
        <w:rPr>
          <w:vertAlign w:val="superscript"/>
        </w:rPr>
        <w:footnoteRef/>
      </w:r>
      <w:r w:rsidRPr="006E04CD">
        <w:t xml:space="preserve"> </w:t>
      </w:r>
      <w:r w:rsidRPr="006E04CD">
        <w:rPr>
          <w:lang w:val="es-CO"/>
        </w:rPr>
        <w:t xml:space="preserve">Las EPS del régimen contributivo que respondieron al Auto 106 del 8 de junio de 2010 fueron: Golden Group EPS, Compensar EPS, EPS Sanitas, Salud Vida EPS, Coomeva EPS, Red Salud EPS, Nueva EPS, Salud Cóndor EPS, EPS Servicio Occidental de Salud S.O.S. S.A, Famisanar EPS, Fondo de Pasivo Social Ferrocarriles de Colombia, EPS Comfenalco Antioquia y Valle del Cauca, Colsubsidio, Aliansalud EPS, Salud Total, Seguro Social, Salud Vida EPS, Humanavivir S.A. EPS, Cruz Blanca EPS, Saludcoop EPS y Cafesalud EPS. </w:t>
      </w:r>
      <w:r w:rsidRPr="006E04CD">
        <w:t>Cfr.</w:t>
      </w:r>
      <w:r w:rsidRPr="006E04CD">
        <w:rPr>
          <w:i/>
        </w:rPr>
        <w:t xml:space="preserve"> </w:t>
      </w:r>
      <w:r w:rsidRPr="006E04CD">
        <w:t xml:space="preserve">AZ Orden XXIII-A, folios 351 a 406 y </w:t>
      </w:r>
      <w:r w:rsidRPr="00240ED2">
        <w:t>AZ Orden XXIII-B, folios 407 a 560.</w:t>
      </w:r>
    </w:p>
  </w:footnote>
  <w:footnote w:id="19">
    <w:p w:rsidR="00000000" w:rsidRDefault="005D131A" w:rsidP="003D3D05">
      <w:pPr>
        <w:pStyle w:val="Textonotapie"/>
      </w:pPr>
      <w:r w:rsidRPr="006E04CD">
        <w:rPr>
          <w:vertAlign w:val="superscript"/>
        </w:rPr>
        <w:footnoteRef/>
      </w:r>
      <w:r w:rsidRPr="006E04CD">
        <w:t xml:space="preserve"> Al respecto, citaron el Decreto 1011 de 2006 que en su ar</w:t>
      </w:r>
      <w:r>
        <w:t>tículo 3, numeral 4, indica</w:t>
      </w:r>
      <w:r w:rsidRPr="006E04CD">
        <w:t xml:space="preserve"> que una de las características del Sistema Obligatorio de Garantía de Calidad de Atención en Salud -SOGCS- </w:t>
      </w:r>
      <w:r>
        <w:t xml:space="preserve">es </w:t>
      </w:r>
      <w:r w:rsidRPr="006E04CD">
        <w:t xml:space="preserve">la pertinencia que consiste en </w:t>
      </w:r>
      <w:r w:rsidRPr="006E04CD">
        <w:rPr>
          <w:i/>
        </w:rPr>
        <w:t>“el grado en el cual los usuarios obtienen los servicios que requieren, con la mejor utilización de los recursos de acuerdo con la evidencia científica y sus efectos secundarios son menores que los beneficios potenciales”.</w:t>
      </w:r>
    </w:p>
  </w:footnote>
  <w:footnote w:id="20">
    <w:p w:rsidR="00000000" w:rsidRDefault="005D131A" w:rsidP="003D3D05">
      <w:pPr>
        <w:pStyle w:val="Textonotapie"/>
      </w:pPr>
      <w:r w:rsidRPr="006E04CD">
        <w:rPr>
          <w:vertAlign w:val="superscript"/>
        </w:rPr>
        <w:footnoteRef/>
      </w:r>
      <w:r w:rsidRPr="006E04CD">
        <w:t xml:space="preserve"> Sobre este punto, indicaron que los médicos consideran que la desaprobación de sus fórmulas por parte del CTC es una intromisión en sus competencias, por lo que en ocasiones inducen a los pacientes a interponer acciones de tutela antes o después del trámite ante el comité.</w:t>
      </w:r>
    </w:p>
  </w:footnote>
  <w:footnote w:id="21">
    <w:p w:rsidR="00000000" w:rsidRDefault="005D131A" w:rsidP="000A7E02">
      <w:pPr>
        <w:pStyle w:val="Sinespaciado3"/>
        <w:contextualSpacing/>
        <w:jc w:val="both"/>
      </w:pPr>
      <w:r w:rsidRPr="00BC559D">
        <w:rPr>
          <w:rFonts w:ascii="Times New Roman" w:hAnsi="Times New Roman"/>
          <w:color w:val="000000"/>
          <w:sz w:val="20"/>
          <w:vertAlign w:val="superscript"/>
        </w:rPr>
        <w:footnoteRef/>
      </w:r>
      <w:r w:rsidRPr="00BC559D">
        <w:rPr>
          <w:rFonts w:ascii="Times New Roman" w:hAnsi="Times New Roman"/>
          <w:color w:val="000000"/>
          <w:sz w:val="20"/>
          <w:szCs w:val="20"/>
        </w:rPr>
        <w:t xml:space="preserve"> Las EPS del régimen subsidiado que respondieron al Auto 106 del 8 de junio de 2010 fueron: Famisalud, Comfanorte EPS-S, Comfamiliar, Comfenalco Santander, Comfaca, Comfenalco Tolima, Emssanar, Caprecom, Cajasan, Capresoca, Comfaguajira, Comfacor, Comfama, Comfaboy, Comfaoriente, Comfasucre, Empresas Públicas de Medellín, Comfenalco Quindío, Mutual SER, EPS-S Ambuq ESS, Asmet Salud,  Convida, Coosalud, Ecoopsos, Comfamiliar Camacol, Comfenalco Antioquia, Comfamiliar Huila, Unicajas Comfacundi, Caja de Compensación Familiar de Barrancabermeja CAFABA, Calisalud, Comfamiliar Cartagena,  EMDI Salud, Cafam, Comfachoco.</w:t>
      </w:r>
    </w:p>
  </w:footnote>
  <w:footnote w:id="22">
    <w:p w:rsidR="00000000" w:rsidRDefault="005D131A" w:rsidP="0020719D">
      <w:pPr>
        <w:pStyle w:val="Textonotapie"/>
      </w:pPr>
      <w:r w:rsidRPr="006E04CD">
        <w:rPr>
          <w:vertAlign w:val="superscript"/>
        </w:rPr>
        <w:footnoteRef/>
      </w:r>
      <w:r w:rsidRPr="006E04CD">
        <w:t xml:space="preserve"> </w:t>
      </w:r>
      <w:r w:rsidRPr="006E04CD">
        <w:rPr>
          <w:lang w:val="es-CO"/>
        </w:rPr>
        <w:t xml:space="preserve">Las EPS indígenas que respondieron al Auto 106 del 8 de junio de 2010 fueron: Mallamas, Asociación Indígena del Cauca, Asociación de Cabildos Indígenas del Cesar y la Guajira, Anas Wayuu E.P.S.I., Pijaos Salud, Dusakawi, Manexca. </w:t>
      </w:r>
      <w:r w:rsidRPr="002E1355">
        <w:rPr>
          <w:i/>
        </w:rPr>
        <w:t>Cfr.</w:t>
      </w:r>
      <w:r w:rsidRPr="006E04CD">
        <w:rPr>
          <w:i/>
        </w:rPr>
        <w:t xml:space="preserve"> </w:t>
      </w:r>
      <w:r w:rsidRPr="006E04CD">
        <w:t>AZ Orden XXIII-B, folios 735 a 764.</w:t>
      </w:r>
    </w:p>
  </w:footnote>
  <w:footnote w:id="23">
    <w:p w:rsidR="00000000" w:rsidRDefault="005D131A" w:rsidP="00620E0D">
      <w:pPr>
        <w:pStyle w:val="Sinespaciado3"/>
        <w:contextualSpacing/>
        <w:jc w:val="both"/>
      </w:pPr>
      <w:r w:rsidRPr="00BC559D">
        <w:rPr>
          <w:rFonts w:ascii="Times New Roman" w:hAnsi="Times New Roman"/>
          <w:color w:val="000000"/>
          <w:sz w:val="20"/>
          <w:vertAlign w:val="superscript"/>
        </w:rPr>
        <w:footnoteRef/>
      </w:r>
      <w:r w:rsidRPr="00BC559D">
        <w:rPr>
          <w:rFonts w:ascii="Times New Roman" w:hAnsi="Times New Roman"/>
          <w:color w:val="000000"/>
          <w:sz w:val="20"/>
          <w:szCs w:val="20"/>
        </w:rPr>
        <w:t xml:space="preserve"> Las EPS prepagadas que respondieron al Auto 106 del 8 de junio de 2010 fueron: Grupo SSI, Transmédica, Coomeva, Emermédica, SER S.A., Colsanitas, Medisanitas, EMI S.A., Colmédica, Colpatria.</w:t>
      </w:r>
      <w:r>
        <w:rPr>
          <w:rFonts w:ascii="Times New Roman" w:hAnsi="Times New Roman"/>
          <w:color w:val="000000"/>
          <w:sz w:val="20"/>
          <w:szCs w:val="20"/>
        </w:rPr>
        <w:t xml:space="preserve"> </w:t>
      </w:r>
      <w:r w:rsidRPr="00A54C39">
        <w:rPr>
          <w:rFonts w:ascii="Times New Roman" w:hAnsi="Times New Roman"/>
          <w:i/>
          <w:color w:val="000000"/>
          <w:sz w:val="20"/>
          <w:szCs w:val="20"/>
        </w:rPr>
        <w:t>Cfr.</w:t>
      </w:r>
      <w:r>
        <w:rPr>
          <w:rFonts w:ascii="Times New Roman" w:hAnsi="Times New Roman"/>
          <w:color w:val="000000"/>
          <w:sz w:val="20"/>
          <w:szCs w:val="20"/>
        </w:rPr>
        <w:t xml:space="preserve"> AZ Orden XXIII-B</w:t>
      </w:r>
      <w:r w:rsidRPr="00620E0D">
        <w:rPr>
          <w:rFonts w:ascii="Times New Roman" w:hAnsi="Times New Roman"/>
          <w:color w:val="000000"/>
          <w:sz w:val="20"/>
          <w:szCs w:val="20"/>
        </w:rPr>
        <w:t>, folios</w:t>
      </w:r>
      <w:r>
        <w:rPr>
          <w:rFonts w:ascii="Times New Roman" w:hAnsi="Times New Roman"/>
          <w:color w:val="000000"/>
          <w:sz w:val="20"/>
          <w:szCs w:val="20"/>
        </w:rPr>
        <w:t xml:space="preserve"> 7765 a 803.</w:t>
      </w:r>
    </w:p>
  </w:footnote>
  <w:footnote w:id="24">
    <w:p w:rsidR="00000000" w:rsidRDefault="005D131A" w:rsidP="001839FB">
      <w:pPr>
        <w:pStyle w:val="Textonotapie"/>
      </w:pPr>
      <w:r w:rsidRPr="006E04CD">
        <w:rPr>
          <w:vertAlign w:val="superscript"/>
        </w:rPr>
        <w:footnoteRef/>
      </w:r>
      <w:r w:rsidRPr="006E04CD">
        <w:t xml:space="preserve"> </w:t>
      </w:r>
      <w:r w:rsidRPr="00A54C39">
        <w:rPr>
          <w:i/>
        </w:rPr>
        <w:t>Cfr.</w:t>
      </w:r>
      <w:r w:rsidRPr="006E04CD">
        <w:t xml:space="preserve"> AZ Orden XXIII-C, folios 814 a 815.</w:t>
      </w:r>
    </w:p>
  </w:footnote>
  <w:footnote w:id="25">
    <w:p w:rsidR="00000000" w:rsidRDefault="005D131A" w:rsidP="001839FB">
      <w:pPr>
        <w:pStyle w:val="Textonotapie"/>
      </w:pPr>
      <w:r w:rsidRPr="006E04CD">
        <w:rPr>
          <w:vertAlign w:val="superscript"/>
        </w:rPr>
        <w:footnoteRef/>
      </w:r>
      <w:r w:rsidRPr="006E04CD">
        <w:t xml:space="preserve"> </w:t>
      </w:r>
      <w:r w:rsidRPr="00A54C39">
        <w:rPr>
          <w:i/>
        </w:rPr>
        <w:t>Cfr.</w:t>
      </w:r>
      <w:r w:rsidRPr="006E04CD">
        <w:t xml:space="preserve"> AZ Orden XXIII-C, folios 816 a 822.</w:t>
      </w:r>
    </w:p>
  </w:footnote>
  <w:footnote w:id="26">
    <w:p w:rsidR="00000000" w:rsidRDefault="005D131A" w:rsidP="008D2F04">
      <w:pPr>
        <w:pStyle w:val="Textonotapie"/>
      </w:pPr>
      <w:r w:rsidRPr="006E04CD">
        <w:rPr>
          <w:vertAlign w:val="superscript"/>
        </w:rPr>
        <w:footnoteRef/>
      </w:r>
      <w:r w:rsidRPr="006E04CD">
        <w:t xml:space="preserve"> </w:t>
      </w:r>
      <w:r w:rsidRPr="006E04CD">
        <w:rPr>
          <w:lang w:val="es-CO"/>
        </w:rPr>
        <w:t xml:space="preserve">Las universidades que respondieron al auto 106 del 8 de junio de 2010 fueron: Caja de Previsión Social de la Universidad Industrial de Santander -CAPRUIS-, Universidad Nacional de Colombia, Universidad del Atlántico, Universidad del Cauca. </w:t>
      </w:r>
      <w:r w:rsidRPr="00400359">
        <w:rPr>
          <w:i/>
        </w:rPr>
        <w:t>Cfr.</w:t>
      </w:r>
      <w:r w:rsidRPr="006E04CD">
        <w:t xml:space="preserve"> AZ Orden XXIII-C, folios 804 a 813.</w:t>
      </w:r>
    </w:p>
  </w:footnote>
  <w:footnote w:id="27">
    <w:p w:rsidR="00000000" w:rsidRDefault="005D131A" w:rsidP="000E0D7E">
      <w:pPr>
        <w:pStyle w:val="Textonotapie"/>
      </w:pPr>
      <w:r w:rsidRPr="006E04CD">
        <w:rPr>
          <w:vertAlign w:val="superscript"/>
        </w:rPr>
        <w:footnoteRef/>
      </w:r>
      <w:r w:rsidRPr="006E04CD">
        <w:t xml:space="preserve"> </w:t>
      </w:r>
      <w:r w:rsidRPr="00A54C39">
        <w:rPr>
          <w:i/>
        </w:rPr>
        <w:t>Cfr.</w:t>
      </w:r>
      <w:r w:rsidRPr="006E04CD">
        <w:t xml:space="preserve"> AZ Orden XXIII-C, folios 823 a 824.</w:t>
      </w:r>
    </w:p>
  </w:footnote>
  <w:footnote w:id="28">
    <w:p w:rsidR="00000000" w:rsidRDefault="005D131A" w:rsidP="009A0EA4">
      <w:pPr>
        <w:pStyle w:val="Sinespaciado3"/>
        <w:contextualSpacing/>
        <w:jc w:val="both"/>
      </w:pPr>
      <w:r w:rsidRPr="00BC559D">
        <w:rPr>
          <w:rFonts w:ascii="Times New Roman" w:hAnsi="Times New Roman"/>
          <w:color w:val="000000"/>
          <w:sz w:val="20"/>
          <w:vertAlign w:val="superscript"/>
        </w:rPr>
        <w:footnoteRef/>
      </w:r>
      <w:r w:rsidRPr="00BC559D">
        <w:rPr>
          <w:rFonts w:ascii="Times New Roman" w:hAnsi="Times New Roman"/>
          <w:color w:val="000000"/>
          <w:sz w:val="20"/>
          <w:szCs w:val="20"/>
        </w:rPr>
        <w:t xml:space="preserve"> En la Sentencia C-936 de 2011, la Corte Constitucional declaró la exequibilidad condicionada del artículo 27 de la Ley 1438 en el entendido de que </w:t>
      </w:r>
      <w:r w:rsidRPr="00BC559D">
        <w:rPr>
          <w:rFonts w:ascii="Times New Roman" w:hAnsi="Times New Roman"/>
          <w:i/>
          <w:color w:val="000000"/>
          <w:sz w:val="20"/>
          <w:szCs w:val="20"/>
        </w:rPr>
        <w:t>“</w:t>
      </w:r>
      <w:r w:rsidRPr="00BC559D">
        <w:rPr>
          <w:rFonts w:ascii="Times New Roman" w:hAnsi="Times New Roman"/>
          <w:b/>
          <w:bCs/>
          <w:i/>
          <w:color w:val="000000"/>
          <w:sz w:val="20"/>
          <w:szCs w:val="20"/>
        </w:rPr>
        <w:t>(i)</w:t>
      </w:r>
      <w:r w:rsidRPr="00BC559D">
        <w:rPr>
          <w:rFonts w:ascii="Times New Roman" w:hAnsi="Times New Roman"/>
          <w:i/>
          <w:color w:val="000000"/>
          <w:sz w:val="20"/>
          <w:szCs w:val="20"/>
        </w:rPr>
        <w:t xml:space="preserve"> en los casos en los que el médico tratante indique que existe una urgencia en los términos señalados en la consideración 2.8.2.3., el suministro de los servicios y/o medicamentos excluidos de los planes de beneficios –expresamente o no- no deberá supeditarse ni a la aprobación del Comité Técnico Científico de la respectiva EPS, ni al de </w:t>
      </w:r>
      <w:smartTag w:uri="urn:schemas-microsoft-com:office:smarttags" w:element="PersonName">
        <w:smartTagPr>
          <w:attr w:name="ProductID" w:val="la Junta T￩cnico"/>
        </w:smartTagPr>
        <w:r w:rsidRPr="00BC559D">
          <w:rPr>
            <w:rFonts w:ascii="Times New Roman" w:hAnsi="Times New Roman"/>
            <w:i/>
            <w:color w:val="000000"/>
            <w:sz w:val="20"/>
            <w:szCs w:val="20"/>
          </w:rPr>
          <w:t>la Junta Técnico</w:t>
        </w:r>
      </w:smartTag>
      <w:r w:rsidRPr="00BC559D">
        <w:rPr>
          <w:rFonts w:ascii="Times New Roman" w:hAnsi="Times New Roman"/>
          <w:i/>
          <w:color w:val="000000"/>
          <w:sz w:val="20"/>
          <w:szCs w:val="20"/>
        </w:rPr>
        <w:t xml:space="preserve"> Científica de Pares de </w:t>
      </w:r>
      <w:smartTag w:uri="urn:schemas-microsoft-com:office:smarttags" w:element="PersonName">
        <w:smartTagPr>
          <w:attr w:name="ProductID" w:val="La Superintendencia Nacional"/>
        </w:smartTagPr>
        <w:r w:rsidRPr="00BC559D">
          <w:rPr>
            <w:rFonts w:ascii="Times New Roman" w:hAnsi="Times New Roman"/>
            <w:i/>
            <w:color w:val="000000"/>
            <w:sz w:val="20"/>
            <w:szCs w:val="20"/>
          </w:rPr>
          <w:t>la Superintendencia Nacional</w:t>
        </w:r>
      </w:smartTag>
      <w:r w:rsidRPr="00BC559D">
        <w:rPr>
          <w:rFonts w:ascii="Times New Roman" w:hAnsi="Times New Roman"/>
          <w:i/>
          <w:color w:val="000000"/>
          <w:sz w:val="20"/>
          <w:szCs w:val="20"/>
        </w:rPr>
        <w:t xml:space="preserve"> de Salud</w:t>
      </w:r>
      <w:r w:rsidRPr="00BC559D">
        <w:rPr>
          <w:rFonts w:ascii="Times New Roman" w:hAnsi="Times New Roman"/>
          <w:i/>
          <w:color w:val="000000"/>
          <w:sz w:val="20"/>
          <w:szCs w:val="20"/>
          <w:u w:val="single"/>
        </w:rPr>
        <w:t>,</w:t>
      </w:r>
      <w:r w:rsidRPr="00BC559D">
        <w:rPr>
          <w:rFonts w:ascii="Times New Roman" w:hAnsi="Times New Roman"/>
          <w:i/>
          <w:color w:val="000000"/>
          <w:sz w:val="20"/>
          <w:szCs w:val="20"/>
        </w:rPr>
        <w:t xml:space="preserve"> por las razones expuestas en esta providencia; </w:t>
      </w:r>
      <w:r w:rsidRPr="00BC559D">
        <w:rPr>
          <w:rFonts w:ascii="Times New Roman" w:hAnsi="Times New Roman"/>
          <w:b/>
          <w:bCs/>
          <w:i/>
          <w:color w:val="000000"/>
          <w:sz w:val="20"/>
          <w:szCs w:val="20"/>
        </w:rPr>
        <w:t xml:space="preserve">(ii) </w:t>
      </w:r>
      <w:r w:rsidRPr="00BC559D">
        <w:rPr>
          <w:rFonts w:ascii="Times New Roman" w:hAnsi="Times New Roman"/>
          <w:i/>
          <w:color w:val="000000"/>
          <w:sz w:val="20"/>
          <w:szCs w:val="20"/>
        </w:rPr>
        <w:t xml:space="preserve"> en los demás casos, es decir cuando no existe urgencia ni el CTC autorizó la prestación, si no se cumple el término perentorio de siete días previsto por la disposición censurada para que </w:t>
      </w:r>
      <w:smartTag w:uri="urn:schemas-microsoft-com:office:smarttags" w:element="PersonName">
        <w:smartTagPr>
          <w:attr w:name="ProductID" w:val="la JTCP"/>
        </w:smartTagPr>
        <w:r w:rsidRPr="00BC559D">
          <w:rPr>
            <w:rFonts w:ascii="Times New Roman" w:hAnsi="Times New Roman"/>
            <w:i/>
            <w:color w:val="000000"/>
            <w:sz w:val="20"/>
            <w:szCs w:val="20"/>
          </w:rPr>
          <w:t>la JTCP</w:t>
        </w:r>
      </w:smartTag>
      <w:r w:rsidRPr="00BC559D">
        <w:rPr>
          <w:rFonts w:ascii="Times New Roman" w:hAnsi="Times New Roman"/>
          <w:i/>
          <w:color w:val="000000"/>
          <w:sz w:val="20"/>
          <w:szCs w:val="20"/>
        </w:rPr>
        <w:t xml:space="preserve"> emita su concepto, el servicio debe prestarse de manera inmediata por </w:t>
      </w:r>
      <w:smartTag w:uri="urn:schemas-microsoft-com:office:smarttags" w:element="PersonName">
        <w:smartTagPr>
          <w:attr w:name="ProductID" w:val="La EPS"/>
        </w:smartTagPr>
        <w:r w:rsidRPr="00BC559D">
          <w:rPr>
            <w:rFonts w:ascii="Times New Roman" w:hAnsi="Times New Roman"/>
            <w:i/>
            <w:color w:val="000000"/>
            <w:sz w:val="20"/>
            <w:szCs w:val="20"/>
          </w:rPr>
          <w:t>la EPS</w:t>
        </w:r>
      </w:smartTag>
      <w:r w:rsidRPr="00BC559D">
        <w:rPr>
          <w:rFonts w:ascii="Times New Roman" w:hAnsi="Times New Roman"/>
          <w:i/>
          <w:color w:val="000000"/>
          <w:sz w:val="20"/>
          <w:szCs w:val="20"/>
        </w:rPr>
        <w:t xml:space="preserve">; y </w:t>
      </w:r>
      <w:r w:rsidRPr="00BC559D">
        <w:rPr>
          <w:rFonts w:ascii="Times New Roman" w:hAnsi="Times New Roman"/>
          <w:b/>
          <w:bCs/>
          <w:i/>
          <w:color w:val="000000"/>
          <w:sz w:val="20"/>
          <w:szCs w:val="20"/>
        </w:rPr>
        <w:t>(iii)</w:t>
      </w:r>
      <w:r w:rsidRPr="00BC559D">
        <w:rPr>
          <w:rFonts w:ascii="Times New Roman" w:hAnsi="Times New Roman"/>
          <w:i/>
          <w:color w:val="000000"/>
          <w:sz w:val="20"/>
          <w:szCs w:val="20"/>
        </w:rPr>
        <w:t xml:space="preserve"> la revisión de </w:t>
      </w:r>
      <w:smartTag w:uri="urn:schemas-microsoft-com:office:smarttags" w:element="PersonName">
        <w:smartTagPr>
          <w:attr w:name="ProductID" w:val="la Junta"/>
        </w:smartTagPr>
        <w:r w:rsidRPr="00BC559D">
          <w:rPr>
            <w:rFonts w:ascii="Times New Roman" w:hAnsi="Times New Roman"/>
            <w:i/>
            <w:color w:val="000000"/>
            <w:sz w:val="20"/>
            <w:szCs w:val="20"/>
          </w:rPr>
          <w:t>la Junta</w:t>
        </w:r>
      </w:smartTag>
      <w:r w:rsidRPr="00BC559D">
        <w:rPr>
          <w:rFonts w:ascii="Times New Roman" w:hAnsi="Times New Roman"/>
          <w:i/>
          <w:color w:val="000000"/>
          <w:sz w:val="20"/>
          <w:szCs w:val="20"/>
        </w:rPr>
        <w:t xml:space="preserve"> no suspende las autorizaciones de los comités de servicios no previstos en los planes de beneficios, de forma que las EPS deben suministrarlos de forma inmediata.”</w:t>
      </w:r>
    </w:p>
  </w:footnote>
  <w:footnote w:id="29">
    <w:p w:rsidR="00000000" w:rsidRDefault="005D131A" w:rsidP="00102BB6">
      <w:pPr>
        <w:pStyle w:val="Textonotapie"/>
      </w:pPr>
      <w:r w:rsidRPr="006E04CD">
        <w:rPr>
          <w:vertAlign w:val="superscript"/>
        </w:rPr>
        <w:footnoteRef/>
      </w:r>
      <w:r w:rsidRPr="006E04CD">
        <w:t xml:space="preserve"> </w:t>
      </w:r>
      <w:r w:rsidRPr="00A54C39">
        <w:rPr>
          <w:i/>
        </w:rPr>
        <w:t>Cfr.</w:t>
      </w:r>
      <w:r w:rsidRPr="006E04CD">
        <w:t xml:space="preserve"> AZ</w:t>
      </w:r>
      <w:r>
        <w:t xml:space="preserve"> </w:t>
      </w:r>
      <w:r w:rsidRPr="006E04CD">
        <w:t>Auto 317-B, folios 7 a 47.</w:t>
      </w:r>
    </w:p>
  </w:footnote>
  <w:footnote w:id="30">
    <w:p w:rsidR="00000000" w:rsidRDefault="005D131A" w:rsidP="00C61F11">
      <w:pPr>
        <w:pStyle w:val="Textonotapie"/>
      </w:pPr>
      <w:r w:rsidRPr="006E04CD">
        <w:rPr>
          <w:vertAlign w:val="superscript"/>
        </w:rPr>
        <w:footnoteRef/>
      </w:r>
      <w:r w:rsidRPr="006E04CD">
        <w:t xml:space="preserve"> </w:t>
      </w:r>
      <w:r w:rsidRPr="006E04CD">
        <w:rPr>
          <w:i/>
        </w:rPr>
        <w:t>“Por medio de la cual se reforma el Sistema General de Seguridad Social en Salud y se dictan otras disposiciones”</w:t>
      </w:r>
      <w:r w:rsidRPr="006E04CD">
        <w:t>.</w:t>
      </w:r>
    </w:p>
  </w:footnote>
  <w:footnote w:id="31">
    <w:p w:rsidR="00000000" w:rsidRDefault="005D131A" w:rsidP="0058454B">
      <w:pPr>
        <w:pStyle w:val="Textonotapie"/>
      </w:pPr>
      <w:r w:rsidRPr="006E04CD">
        <w:rPr>
          <w:vertAlign w:val="superscript"/>
        </w:rPr>
        <w:footnoteRef/>
      </w:r>
      <w:r w:rsidRPr="006E04CD">
        <w:t xml:space="preserve"> </w:t>
      </w:r>
      <w:r w:rsidRPr="00A54C39">
        <w:rPr>
          <w:i/>
        </w:rPr>
        <w:t>Cfr.</w:t>
      </w:r>
      <w:r w:rsidRPr="006E04CD">
        <w:t xml:space="preserve"> AZ Auto 317-B, folios 237 a 258.</w:t>
      </w:r>
    </w:p>
  </w:footnote>
  <w:footnote w:id="32">
    <w:p w:rsidR="00000000" w:rsidRDefault="005D131A" w:rsidP="00277B59">
      <w:pPr>
        <w:pStyle w:val="Textonotapie"/>
      </w:pPr>
      <w:r w:rsidRPr="006E04CD">
        <w:rPr>
          <w:vertAlign w:val="superscript"/>
        </w:rPr>
        <w:footnoteRef/>
      </w:r>
      <w:r>
        <w:t xml:space="preserve"> </w:t>
      </w:r>
      <w:r w:rsidRPr="00A54C39">
        <w:rPr>
          <w:i/>
        </w:rPr>
        <w:t>Cfr.</w:t>
      </w:r>
      <w:r w:rsidRPr="006E04CD">
        <w:t xml:space="preserve"> </w:t>
      </w:r>
      <w:r>
        <w:t xml:space="preserve">AZ </w:t>
      </w:r>
      <w:r w:rsidRPr="006E04CD">
        <w:t>Auto 317-</w:t>
      </w:r>
      <w:r>
        <w:t xml:space="preserve"> </w:t>
      </w:r>
      <w:r w:rsidRPr="006E04CD">
        <w:t>B, folios 259 a 26</w:t>
      </w:r>
      <w:r>
        <w:t xml:space="preserve">5, e-mail enviado el 2 de febrero de 2011 por el Director de Salud de Mallamas ESP-I a la Corte Constitucional. </w:t>
      </w:r>
    </w:p>
  </w:footnote>
  <w:footnote w:id="33">
    <w:p w:rsidR="00000000" w:rsidRDefault="005D131A" w:rsidP="007A0D1C">
      <w:pPr>
        <w:pStyle w:val="Textonotapie"/>
      </w:pPr>
      <w:r w:rsidRPr="006E04CD">
        <w:rPr>
          <w:vertAlign w:val="superscript"/>
        </w:rPr>
        <w:footnoteRef/>
      </w:r>
      <w:r w:rsidRPr="006E04CD">
        <w:t xml:space="preserve"> </w:t>
      </w:r>
      <w:r w:rsidRPr="00A54C39">
        <w:rPr>
          <w:i/>
        </w:rPr>
        <w:t>Cfr.</w:t>
      </w:r>
      <w:r w:rsidRPr="006E04CD">
        <w:t xml:space="preserve"> </w:t>
      </w:r>
      <w:r>
        <w:t xml:space="preserve">AZ </w:t>
      </w:r>
      <w:r w:rsidRPr="006E04CD">
        <w:t>Auto 317-</w:t>
      </w:r>
      <w:r>
        <w:t xml:space="preserve"> </w:t>
      </w:r>
      <w:r w:rsidRPr="006E04CD">
        <w:t>B, folios 295 a 327.</w:t>
      </w:r>
    </w:p>
  </w:footnote>
  <w:footnote w:id="34">
    <w:p w:rsidR="00000000" w:rsidRDefault="005D131A" w:rsidP="00225B97">
      <w:pPr>
        <w:pStyle w:val="Textonotapie"/>
      </w:pPr>
      <w:r w:rsidRPr="006E04CD">
        <w:rPr>
          <w:vertAlign w:val="superscript"/>
        </w:rPr>
        <w:footnoteRef/>
      </w:r>
      <w:r>
        <w:t xml:space="preserve"> </w:t>
      </w:r>
      <w:r w:rsidRPr="00A54C39">
        <w:rPr>
          <w:i/>
        </w:rPr>
        <w:t>Cfr.</w:t>
      </w:r>
      <w:r>
        <w:t xml:space="preserve"> AZ </w:t>
      </w:r>
      <w:r w:rsidRPr="006E04CD">
        <w:t>Auto 317-</w:t>
      </w:r>
      <w:r>
        <w:t xml:space="preserve"> </w:t>
      </w:r>
      <w:r w:rsidRPr="006E04CD">
        <w:t>B, folios 328 a 357.</w:t>
      </w:r>
    </w:p>
  </w:footnote>
  <w:footnote w:id="35">
    <w:p w:rsidR="00000000" w:rsidRDefault="005D131A" w:rsidP="00102F4B">
      <w:r w:rsidRPr="00E663CD">
        <w:rPr>
          <w:sz w:val="20"/>
          <w:szCs w:val="20"/>
          <w:vertAlign w:val="superscript"/>
        </w:rPr>
        <w:footnoteRef/>
      </w:r>
      <w:r w:rsidRPr="00E663CD">
        <w:rPr>
          <w:sz w:val="20"/>
          <w:szCs w:val="20"/>
        </w:rPr>
        <w:t xml:space="preserve"> </w:t>
      </w:r>
      <w:r w:rsidRPr="00E663CD">
        <w:rPr>
          <w:sz w:val="20"/>
          <w:szCs w:val="20"/>
          <w:lang w:val="es-CO"/>
        </w:rPr>
        <w:t>El mencionado Auto fue proferido en atención a</w:t>
      </w:r>
      <w:r>
        <w:rPr>
          <w:sz w:val="20"/>
          <w:szCs w:val="20"/>
          <w:lang w:val="es-CO"/>
        </w:rPr>
        <w:t xml:space="preserve"> la sentencia C-936 de 2011 que </w:t>
      </w:r>
      <w:r w:rsidRPr="00E663CD">
        <w:rPr>
          <w:sz w:val="20"/>
          <w:szCs w:val="20"/>
          <w:lang w:val="es-CO"/>
        </w:rPr>
        <w:t xml:space="preserve">declaró exequible el artículo 27 de la Ley 1438 de 2011 </w:t>
      </w:r>
      <w:r w:rsidRPr="00E663CD">
        <w:rPr>
          <w:i/>
          <w:sz w:val="20"/>
          <w:szCs w:val="20"/>
          <w:lang w:val="es-CO"/>
        </w:rPr>
        <w:t>“(i) en el entendido de que en los casos en los que el médico tratante indique que existe una urgencia en los términos señalados en la consideración 2.8.2.3., el suministro de los servicios y/o medicamentos excluidos de los planes de beneficios –expresamente o no- no deberá supeditarse ni a la aprobación del Comité Técnico Científico de la respectiva EPS, ni al de la Junta Técnico Científica de Pares de la Superintendencia Nacional de Salud, por las razones expuestas en esta providencia; (ii) en el entendido de que en los demás casos, es decir cuando no existe urgencia ni el CTC autorizó la prestación, si no se cumple el término perentorio de siete días previsto por la disposición censurada para que la JTCP emita su concepto, el servicio debe prestarse de manera inmediata por la EPS; y (iii) en el entendido de que la revisión de la Junta no suspende las autorizaciones de los comités de servicios no previstos en los planes de beneficios, de forma que las EPS deben suministrarlos de forma inmediata”</w:t>
      </w:r>
      <w:r>
        <w:rPr>
          <w:sz w:val="20"/>
          <w:szCs w:val="20"/>
          <w:lang w:val="es-CO"/>
        </w:rPr>
        <w:t xml:space="preserve">. </w:t>
      </w:r>
    </w:p>
  </w:footnote>
  <w:footnote w:id="36">
    <w:p w:rsidR="00000000" w:rsidRDefault="005D131A" w:rsidP="00206781">
      <w:pPr>
        <w:pStyle w:val="Textonotapie"/>
      </w:pPr>
      <w:r w:rsidRPr="006E04CD">
        <w:rPr>
          <w:vertAlign w:val="superscript"/>
        </w:rPr>
        <w:footnoteRef/>
      </w:r>
      <w:r w:rsidRPr="006E04CD">
        <w:t xml:space="preserve"> </w:t>
      </w:r>
      <w:r w:rsidRPr="00A54C39">
        <w:rPr>
          <w:i/>
        </w:rPr>
        <w:t>Cfr.</w:t>
      </w:r>
      <w:r w:rsidRPr="006E04CD">
        <w:t xml:space="preserve"> AZ Orden XXIII-C, folios </w:t>
      </w:r>
      <w:smartTag w:uri="urn:schemas-microsoft-com:office:smarttags" w:element="metricconverter">
        <w:smartTagPr>
          <w:attr w:name="ProductID" w:val="862 a"/>
        </w:smartTagPr>
        <w:r w:rsidRPr="006E04CD">
          <w:t>862 a</w:t>
        </w:r>
      </w:smartTag>
      <w:r w:rsidRPr="006E04CD">
        <w:t xml:space="preserve"> 865.</w:t>
      </w:r>
    </w:p>
  </w:footnote>
  <w:footnote w:id="37">
    <w:p w:rsidR="00000000" w:rsidRDefault="005D131A" w:rsidP="00F430A1">
      <w:pPr>
        <w:pStyle w:val="Textonotapie"/>
      </w:pPr>
      <w:r w:rsidRPr="006E04CD">
        <w:rPr>
          <w:vertAlign w:val="superscript"/>
        </w:rPr>
        <w:footnoteRef/>
      </w:r>
      <w:r>
        <w:t xml:space="preserve"> Este grupo fue conformado mediante</w:t>
      </w:r>
      <w:r w:rsidRPr="006E04CD">
        <w:t xml:space="preserve"> los autos 120 y 147 de 2011. </w:t>
      </w:r>
    </w:p>
  </w:footnote>
  <w:footnote w:id="38">
    <w:p w:rsidR="00000000" w:rsidRDefault="005D131A" w:rsidP="0095365E">
      <w:pPr>
        <w:pStyle w:val="Textonotapie"/>
      </w:pPr>
      <w:r w:rsidRPr="006E04CD">
        <w:rPr>
          <w:vertAlign w:val="superscript"/>
        </w:rPr>
        <w:footnoteRef/>
      </w:r>
      <w:r w:rsidRPr="006E04CD">
        <w:t xml:space="preserve"> </w:t>
      </w:r>
      <w:r w:rsidRPr="00A54C39">
        <w:rPr>
          <w:i/>
        </w:rPr>
        <w:t xml:space="preserve">Cfr. </w:t>
      </w:r>
      <w:r w:rsidRPr="006E04CD">
        <w:t xml:space="preserve">AZ Orden XXIII-C, folios </w:t>
      </w:r>
      <w:smartTag w:uri="urn:schemas-microsoft-com:office:smarttags" w:element="metricconverter">
        <w:smartTagPr>
          <w:attr w:name="ProductID" w:val="882 a"/>
        </w:smartTagPr>
        <w:r w:rsidRPr="006E04CD">
          <w:t>882 a</w:t>
        </w:r>
      </w:smartTag>
      <w:r w:rsidRPr="006E04CD">
        <w:t xml:space="preserve"> 884.</w:t>
      </w:r>
    </w:p>
  </w:footnote>
  <w:footnote w:id="39">
    <w:p w:rsidR="00000000" w:rsidRDefault="005D131A" w:rsidP="003D3D05">
      <w:pPr>
        <w:pStyle w:val="Textonotapie"/>
      </w:pPr>
      <w:r w:rsidRPr="006E04CD">
        <w:rPr>
          <w:vertAlign w:val="superscript"/>
        </w:rPr>
        <w:footnoteRef/>
      </w:r>
      <w:r w:rsidRPr="006E04CD">
        <w:t xml:space="preserve"> </w:t>
      </w:r>
      <w:r>
        <w:t xml:space="preserve">Escrito de 11 de julio de 2012, </w:t>
      </w:r>
      <w:r w:rsidRPr="006E04CD">
        <w:t xml:space="preserve">AZ Orden XXIII-C, folios </w:t>
      </w:r>
      <w:smartTag w:uri="urn:schemas-microsoft-com:office:smarttags" w:element="metricconverter">
        <w:smartTagPr>
          <w:attr w:name="ProductID" w:val="885 a"/>
        </w:smartTagPr>
        <w:r w:rsidRPr="006E04CD">
          <w:t>885 a</w:t>
        </w:r>
      </w:smartTag>
      <w:r w:rsidRPr="006E04CD">
        <w:t xml:space="preserve"> 899.</w:t>
      </w:r>
    </w:p>
  </w:footnote>
  <w:footnote w:id="40">
    <w:p w:rsidR="00000000" w:rsidRDefault="005D131A" w:rsidP="003D3D05">
      <w:pPr>
        <w:pStyle w:val="Textonotapie"/>
      </w:pPr>
      <w:r w:rsidRPr="006E04CD">
        <w:rPr>
          <w:vertAlign w:val="superscript"/>
        </w:rPr>
        <w:footnoteRef/>
      </w:r>
      <w:r w:rsidRPr="006E04CD">
        <w:t xml:space="preserve"> </w:t>
      </w:r>
      <w:r>
        <w:t xml:space="preserve">Escrito radicado en la Secretaría de la Corte Constitucional el 12 de julio de 2012, </w:t>
      </w:r>
      <w:r w:rsidRPr="006E04CD">
        <w:t>AZ-</w:t>
      </w:r>
      <w:r>
        <w:t>C, Orden XXIII</w:t>
      </w:r>
      <w:r w:rsidRPr="006E04CD">
        <w:t xml:space="preserve">, folios </w:t>
      </w:r>
      <w:smartTag w:uri="urn:schemas-microsoft-com:office:smarttags" w:element="metricconverter">
        <w:smartTagPr>
          <w:attr w:name="ProductID" w:val="900 a"/>
        </w:smartTagPr>
        <w:r w:rsidRPr="006E04CD">
          <w:t>900 a</w:t>
        </w:r>
      </w:smartTag>
      <w:r w:rsidRPr="006E04CD">
        <w:t xml:space="preserve"> 911.</w:t>
      </w:r>
    </w:p>
  </w:footnote>
  <w:footnote w:id="41">
    <w:p w:rsidR="00000000" w:rsidRDefault="005D131A" w:rsidP="00CE4247">
      <w:pPr>
        <w:pStyle w:val="Textonotapie"/>
      </w:pPr>
      <w:r w:rsidRPr="006E04CD">
        <w:rPr>
          <w:vertAlign w:val="superscript"/>
        </w:rPr>
        <w:footnoteRef/>
      </w:r>
      <w:r w:rsidRPr="006E04CD">
        <w:t xml:space="preserve"> </w:t>
      </w:r>
      <w:r w:rsidRPr="00A54C39">
        <w:rPr>
          <w:i/>
        </w:rPr>
        <w:t>Cfr.</w:t>
      </w:r>
      <w:r w:rsidRPr="006E04CD">
        <w:t xml:space="preserve"> AZ Orden XXIII-C, folios </w:t>
      </w:r>
      <w:smartTag w:uri="urn:schemas-microsoft-com:office:smarttags" w:element="metricconverter">
        <w:smartTagPr>
          <w:attr w:name="ProductID" w:val="912 a"/>
        </w:smartTagPr>
        <w:r w:rsidRPr="006E04CD">
          <w:t>912 a</w:t>
        </w:r>
      </w:smartTag>
      <w:r w:rsidRPr="006E04CD">
        <w:t xml:space="preserve"> 919.</w:t>
      </w:r>
    </w:p>
  </w:footnote>
  <w:footnote w:id="42">
    <w:p w:rsidR="00000000" w:rsidRDefault="005D131A" w:rsidP="004574C7">
      <w:pPr>
        <w:pStyle w:val="Textonotapie"/>
      </w:pPr>
      <w:r w:rsidRPr="006E04CD">
        <w:rPr>
          <w:vertAlign w:val="superscript"/>
        </w:rPr>
        <w:footnoteRef/>
      </w:r>
      <w:r w:rsidRPr="006E04CD">
        <w:t xml:space="preserve"> </w:t>
      </w:r>
      <w:r w:rsidRPr="00A54C39">
        <w:rPr>
          <w:i/>
        </w:rPr>
        <w:t>Cfr.</w:t>
      </w:r>
      <w:r w:rsidRPr="006E04CD">
        <w:t xml:space="preserve"> AZ-Orden XXIII-C, folios </w:t>
      </w:r>
      <w:smartTag w:uri="urn:schemas-microsoft-com:office:smarttags" w:element="metricconverter">
        <w:smartTagPr>
          <w:attr w:name="ProductID" w:val="926 a"/>
        </w:smartTagPr>
        <w:r w:rsidRPr="006E04CD">
          <w:t>926 a</w:t>
        </w:r>
      </w:smartTag>
      <w:r w:rsidRPr="006E04CD">
        <w:t xml:space="preserve"> 938.</w:t>
      </w:r>
    </w:p>
  </w:footnote>
  <w:footnote w:id="43">
    <w:p w:rsidR="00000000" w:rsidRDefault="005D131A" w:rsidP="004574C7">
      <w:pPr>
        <w:pStyle w:val="Textonotapie"/>
      </w:pPr>
      <w:r w:rsidRPr="006E04CD">
        <w:rPr>
          <w:vertAlign w:val="superscript"/>
        </w:rPr>
        <w:footnoteRef/>
      </w:r>
      <w:r w:rsidRPr="006E04CD">
        <w:t xml:space="preserve"> </w:t>
      </w:r>
      <w:r w:rsidRPr="00A54C39">
        <w:rPr>
          <w:i/>
        </w:rPr>
        <w:t>Cfr.</w:t>
      </w:r>
      <w:r w:rsidRPr="006E04CD">
        <w:t xml:space="preserve"> AZ-Orden XXIII-C, folios 939 a 941.</w:t>
      </w:r>
    </w:p>
  </w:footnote>
  <w:footnote w:id="44">
    <w:p w:rsidR="00000000" w:rsidRDefault="005D131A">
      <w:pPr>
        <w:pStyle w:val="Textonotapie"/>
      </w:pPr>
      <w:r>
        <w:rPr>
          <w:vertAlign w:val="superscript"/>
        </w:rPr>
        <w:footnoteRef/>
      </w:r>
      <w:r>
        <w:t xml:space="preserve"> </w:t>
      </w:r>
      <w:r>
        <w:rPr>
          <w:lang w:val="es-CO"/>
        </w:rPr>
        <w:t xml:space="preserve">Decreto 1018 de 2007 “por el cual se modifica la estructura de la Superintendencia Nacional de Salud y se dictan otras disposiciones. </w:t>
      </w:r>
    </w:p>
  </w:footnote>
  <w:footnote w:id="45">
    <w:p w:rsidR="00000000" w:rsidRDefault="005D131A" w:rsidP="002F081E">
      <w:pPr>
        <w:pStyle w:val="Textonotapie"/>
      </w:pPr>
      <w:r w:rsidRPr="006E04CD">
        <w:rPr>
          <w:vertAlign w:val="superscript"/>
        </w:rPr>
        <w:footnoteRef/>
      </w:r>
      <w:r w:rsidRPr="006E04CD">
        <w:t xml:space="preserve"> </w:t>
      </w:r>
      <w:r w:rsidRPr="00A54C39">
        <w:rPr>
          <w:i/>
        </w:rPr>
        <w:t>Cfr.</w:t>
      </w:r>
      <w:r w:rsidRPr="006E04CD">
        <w:t xml:space="preserve"> AZ-Orden XXIII-C, folio 942.</w:t>
      </w:r>
    </w:p>
  </w:footnote>
  <w:footnote w:id="46">
    <w:p w:rsidR="00000000" w:rsidRDefault="005D131A" w:rsidP="002F081E">
      <w:pPr>
        <w:pStyle w:val="Textonotapie"/>
      </w:pPr>
      <w:r w:rsidRPr="006E04CD">
        <w:rPr>
          <w:vertAlign w:val="superscript"/>
        </w:rPr>
        <w:footnoteRef/>
      </w:r>
      <w:r w:rsidRPr="006E04CD">
        <w:t xml:space="preserve"> </w:t>
      </w:r>
      <w:r w:rsidRPr="00A54C39">
        <w:rPr>
          <w:i/>
        </w:rPr>
        <w:t>Cfr.</w:t>
      </w:r>
      <w:r w:rsidRPr="006E04CD">
        <w:t xml:space="preserve"> AZ-Orden XXIII-C, folios 943 a 945.</w:t>
      </w:r>
    </w:p>
  </w:footnote>
  <w:footnote w:id="47">
    <w:p w:rsidR="00000000" w:rsidRDefault="005D131A" w:rsidP="002F081E">
      <w:pPr>
        <w:pStyle w:val="Textonotapie"/>
      </w:pPr>
      <w:r w:rsidRPr="006E04CD">
        <w:rPr>
          <w:vertAlign w:val="superscript"/>
        </w:rPr>
        <w:footnoteRef/>
      </w:r>
      <w:r w:rsidRPr="006E04CD">
        <w:t xml:space="preserve"> </w:t>
      </w:r>
      <w:r w:rsidRPr="00A54C39">
        <w:rPr>
          <w:i/>
        </w:rPr>
        <w:t>Cfr.</w:t>
      </w:r>
      <w:r w:rsidRPr="006E04CD">
        <w:t xml:space="preserve"> AZ-Orden XXIII-C, folios 946 a 971.</w:t>
      </w:r>
    </w:p>
  </w:footnote>
  <w:footnote w:id="48">
    <w:p w:rsidR="00000000" w:rsidRDefault="005D131A" w:rsidP="00B77C35">
      <w:pPr>
        <w:pStyle w:val="Textonotapie"/>
      </w:pPr>
      <w:r w:rsidRPr="00BC559D">
        <w:rPr>
          <w:color w:val="000000"/>
          <w:vertAlign w:val="superscript"/>
        </w:rPr>
        <w:footnoteRef/>
      </w:r>
      <w:r w:rsidRPr="00BC559D">
        <w:rPr>
          <w:color w:val="000000"/>
        </w:rPr>
        <w:t xml:space="preserve"> </w:t>
      </w:r>
      <w:r w:rsidRPr="00A54C39">
        <w:rPr>
          <w:i/>
          <w:color w:val="000000"/>
        </w:rPr>
        <w:t>Cfr</w:t>
      </w:r>
      <w:r w:rsidRPr="00A54C39">
        <w:rPr>
          <w:color w:val="000000"/>
        </w:rPr>
        <w:t xml:space="preserve">. </w:t>
      </w:r>
      <w:r w:rsidRPr="00A54C39">
        <w:rPr>
          <w:rStyle w:val="fuenteencabezado1"/>
          <w:rFonts w:ascii="Times New Roman" w:hAnsi="Times New Roman"/>
          <w:b w:val="0"/>
          <w:color w:val="000000"/>
          <w:sz w:val="20"/>
        </w:rPr>
        <w:t>Diario Oficial 48640 del 10 de diciembre de 2012.</w:t>
      </w:r>
    </w:p>
  </w:footnote>
  <w:footnote w:id="49">
    <w:p w:rsidR="00000000" w:rsidRDefault="005D131A" w:rsidP="00503F04">
      <w:pPr>
        <w:pStyle w:val="Textonotapie"/>
      </w:pPr>
      <w:r w:rsidRPr="00A54C39">
        <w:rPr>
          <w:vertAlign w:val="superscript"/>
        </w:rPr>
        <w:footnoteRef/>
      </w:r>
      <w:r w:rsidRPr="00A54C39">
        <w:t xml:space="preserve"> </w:t>
      </w:r>
      <w:r w:rsidRPr="00A54C39">
        <w:rPr>
          <w:i/>
        </w:rPr>
        <w:t>Cfr.</w:t>
      </w:r>
      <w:r w:rsidRPr="00A54C39">
        <w:t xml:space="preserve"> </w:t>
      </w:r>
      <w:r w:rsidRPr="00A54C39">
        <w:rPr>
          <w:lang w:val="es-CO"/>
        </w:rPr>
        <w:t>AZ Orden XXIII-C, folios 990 a 1002.</w:t>
      </w:r>
    </w:p>
  </w:footnote>
  <w:footnote w:id="50">
    <w:p w:rsidR="00000000" w:rsidRDefault="005D131A">
      <w:pPr>
        <w:pStyle w:val="Textonotapie"/>
      </w:pPr>
      <w:r>
        <w:rPr>
          <w:vertAlign w:val="superscript"/>
        </w:rPr>
        <w:footnoteRef/>
      </w:r>
      <w:r>
        <w:t xml:space="preserve"> </w:t>
      </w:r>
      <w:r w:rsidRPr="00A54C39">
        <w:rPr>
          <w:i/>
        </w:rPr>
        <w:t>Cfr.</w:t>
      </w:r>
      <w:r w:rsidRPr="006E04CD">
        <w:t xml:space="preserve"> </w:t>
      </w:r>
      <w:r w:rsidRPr="006E04CD">
        <w:rPr>
          <w:lang w:val="es-CO"/>
        </w:rPr>
        <w:t>AZ Orden XXIII-C, folios</w:t>
      </w:r>
      <w:r>
        <w:rPr>
          <w:lang w:val="es-CO"/>
        </w:rPr>
        <w:t xml:space="preserve"> 978 a 989. </w:t>
      </w:r>
    </w:p>
  </w:footnote>
  <w:footnote w:id="51">
    <w:p w:rsidR="00000000" w:rsidRDefault="005D131A" w:rsidP="00966A6F">
      <w:pPr>
        <w:pStyle w:val="Textonotapie"/>
      </w:pPr>
      <w:r w:rsidRPr="006E04CD">
        <w:rPr>
          <w:vertAlign w:val="superscript"/>
        </w:rPr>
        <w:footnoteRef/>
      </w:r>
      <w:r w:rsidRPr="006E04CD">
        <w:t xml:space="preserve"> </w:t>
      </w:r>
      <w:r w:rsidRPr="00A54C39">
        <w:rPr>
          <w:i/>
        </w:rPr>
        <w:t>Cfr.</w:t>
      </w:r>
      <w:r w:rsidRPr="006E04CD">
        <w:t xml:space="preserve"> AZ Orden XXIII-C, folios </w:t>
      </w:r>
      <w:smartTag w:uri="urn:schemas-microsoft-com:office:smarttags" w:element="metricconverter">
        <w:smartTagPr>
          <w:attr w:name="ProductID" w:val="1003 a"/>
        </w:smartTagPr>
        <w:r w:rsidRPr="006E04CD">
          <w:t>1003 a</w:t>
        </w:r>
      </w:smartTag>
      <w:r w:rsidRPr="006E04CD">
        <w:t xml:space="preserve"> 1007.</w:t>
      </w:r>
      <w:r w:rsidRPr="006E04CD">
        <w:rPr>
          <w:lang w:val="es-CO"/>
        </w:rPr>
        <w:t xml:space="preserve"> </w:t>
      </w:r>
    </w:p>
  </w:footnote>
  <w:footnote w:id="52">
    <w:p w:rsidR="00000000" w:rsidRDefault="005D131A" w:rsidP="003D3D05">
      <w:pPr>
        <w:pStyle w:val="Textonotapie"/>
      </w:pPr>
      <w:r w:rsidRPr="006E04CD">
        <w:rPr>
          <w:vertAlign w:val="superscript"/>
        </w:rPr>
        <w:footnoteRef/>
      </w:r>
      <w:r w:rsidRPr="006E04CD">
        <w:t xml:space="preserve"> Al efecto citó el parágrafo del artículo 6 de la Resolución 3099 de 2008 que establece: </w:t>
      </w:r>
      <w:r w:rsidRPr="006E04CD">
        <w:rPr>
          <w:lang w:val="es-CO"/>
        </w:rPr>
        <w:t>“</w:t>
      </w:r>
      <w:r w:rsidRPr="006E04CD">
        <w:rPr>
          <w:i/>
          <w:lang w:val="es-CO"/>
        </w:rPr>
        <w:t>En ningún caso el Comité Técnico-Científico podrá aprobar tratamientos experimentales ni aquellos medicamentos que se prescriban para la atención de las actividades, procedimientos e intervenciones que se encuentren expresamente excluidos de los Planes de Beneficios…”</w:t>
      </w:r>
    </w:p>
  </w:footnote>
  <w:footnote w:id="53">
    <w:p w:rsidR="00000000" w:rsidRDefault="005D131A" w:rsidP="00FD75A6">
      <w:pPr>
        <w:pStyle w:val="Textonotapie"/>
      </w:pPr>
      <w:r w:rsidRPr="006E04CD">
        <w:rPr>
          <w:vertAlign w:val="superscript"/>
        </w:rPr>
        <w:footnoteRef/>
      </w:r>
      <w:r w:rsidRPr="006E04CD">
        <w:t xml:space="preserve"> </w:t>
      </w:r>
      <w:r w:rsidRPr="00A54C39">
        <w:rPr>
          <w:i/>
        </w:rPr>
        <w:t>Cfr.</w:t>
      </w:r>
      <w:r w:rsidRPr="006E04CD">
        <w:t xml:space="preserve"> AZ Orden XXIII-C, folios </w:t>
      </w:r>
      <w:smartTag w:uri="urn:schemas-microsoft-com:office:smarttags" w:element="metricconverter">
        <w:smartTagPr>
          <w:attr w:name="ProductID" w:val="1008 a"/>
        </w:smartTagPr>
        <w:r w:rsidRPr="006E04CD">
          <w:t>1008 a</w:t>
        </w:r>
      </w:smartTag>
      <w:r w:rsidRPr="006E04CD">
        <w:t xml:space="preserve"> 1042.</w:t>
      </w:r>
    </w:p>
  </w:footnote>
  <w:footnote w:id="54">
    <w:p w:rsidR="00000000" w:rsidRDefault="005D131A">
      <w:pPr>
        <w:pStyle w:val="Textonotapie"/>
      </w:pPr>
      <w:r>
        <w:rPr>
          <w:vertAlign w:val="superscript"/>
        </w:rPr>
        <w:footnoteRef/>
      </w:r>
      <w:r>
        <w:t xml:space="preserve"> </w:t>
      </w:r>
      <w:r w:rsidRPr="006576A1">
        <w:rPr>
          <w:i/>
        </w:rPr>
        <w:t>Cfr.</w:t>
      </w:r>
      <w:r w:rsidRPr="006E04CD">
        <w:t xml:space="preserve"> AZ Orden XXIII-C, folios</w:t>
      </w:r>
      <w:r>
        <w:t xml:space="preserve"> 1046 a 1053. </w:t>
      </w:r>
    </w:p>
  </w:footnote>
  <w:footnote w:id="55">
    <w:p w:rsidR="00000000" w:rsidRDefault="005D131A">
      <w:pPr>
        <w:pStyle w:val="Textonotapie"/>
      </w:pPr>
      <w:r>
        <w:rPr>
          <w:vertAlign w:val="superscript"/>
        </w:rPr>
        <w:footnoteRef/>
      </w:r>
      <w:r>
        <w:t xml:space="preserve"> </w:t>
      </w:r>
      <w:r>
        <w:rPr>
          <w:lang w:val="es-CO"/>
        </w:rPr>
        <w:t xml:space="preserve">Por la cual se establece el procedimiento de recobro ante el Fondo de Solidaridad y Garantía – FOSYGA- y se dictan otras disposiciones. </w:t>
      </w:r>
    </w:p>
  </w:footnote>
  <w:footnote w:id="56">
    <w:p w:rsidR="00000000" w:rsidRDefault="005D131A" w:rsidP="008534A7">
      <w:pPr>
        <w:pStyle w:val="Textonotapie"/>
      </w:pPr>
      <w:r w:rsidRPr="006E04CD">
        <w:rPr>
          <w:vertAlign w:val="superscript"/>
        </w:rPr>
        <w:footnoteRef/>
      </w:r>
      <w:r w:rsidRPr="006E04CD">
        <w:t xml:space="preserve"> </w:t>
      </w:r>
      <w:r w:rsidRPr="00A54C39">
        <w:rPr>
          <w:i/>
        </w:rPr>
        <w:t>Cfr.</w:t>
      </w:r>
      <w:r w:rsidRPr="006E04CD">
        <w:rPr>
          <w:i/>
        </w:rPr>
        <w:t xml:space="preserve"> </w:t>
      </w:r>
      <w:r w:rsidRPr="006E04CD">
        <w:t>AZ Orden XXIII-C, folios 1054 a 1076.</w:t>
      </w:r>
    </w:p>
  </w:footnote>
  <w:footnote w:id="57">
    <w:p w:rsidR="00000000" w:rsidRDefault="005D131A" w:rsidP="003D3D05">
      <w:pPr>
        <w:ind w:right="-92"/>
      </w:pPr>
      <w:r w:rsidRPr="006E04CD">
        <w:rPr>
          <w:sz w:val="20"/>
          <w:szCs w:val="20"/>
          <w:vertAlign w:val="superscript"/>
        </w:rPr>
        <w:footnoteRef/>
      </w:r>
      <w:r w:rsidRPr="006E04CD">
        <w:rPr>
          <w:sz w:val="20"/>
          <w:szCs w:val="20"/>
        </w:rPr>
        <w:t xml:space="preserve"> En dicha escogencia fueron tenidas en cuenta aquellas entidades que, en virtud de los fallos de tutela, han sido responsables de violaciones al derecho a la salud, así como aquellas aseguradoras que figuran con un desempeño bajo en el “Ranking de EPS 2013”.</w:t>
      </w:r>
    </w:p>
  </w:footnote>
  <w:footnote w:id="58">
    <w:p w:rsidR="00000000" w:rsidRDefault="005D131A" w:rsidP="003D3D05">
      <w:pPr>
        <w:pStyle w:val="Textonotapie"/>
      </w:pPr>
      <w:r w:rsidRPr="006E04CD">
        <w:rPr>
          <w:vertAlign w:val="superscript"/>
        </w:rPr>
        <w:footnoteRef/>
      </w:r>
      <w:r w:rsidRPr="006E04CD">
        <w:t xml:space="preserve"> En el Anexo </w:t>
      </w:r>
      <w:r>
        <w:t xml:space="preserve">núm. </w:t>
      </w:r>
      <w:r w:rsidRPr="006E04CD">
        <w:t>1 de la presente providencia se relacionan con mayor detalle las cifras presentadas por las EPS en respuesta del Auto 077 de 2014.</w:t>
      </w:r>
    </w:p>
  </w:footnote>
  <w:footnote w:id="59">
    <w:p w:rsidR="00000000" w:rsidRDefault="005D131A">
      <w:pPr>
        <w:pStyle w:val="Textonotapie"/>
      </w:pPr>
      <w:r>
        <w:rPr>
          <w:vertAlign w:val="superscript"/>
        </w:rPr>
        <w:footnoteRef/>
      </w:r>
      <w:r>
        <w:t xml:space="preserve"> </w:t>
      </w:r>
      <w:r>
        <w:rPr>
          <w:lang w:val="es-CO"/>
        </w:rPr>
        <w:t xml:space="preserve">Las entidades convocadas fueron: a) Proyecto Así Vamos en Salud; b) Mesa por la Vida y Salud de las Mujeres; c) Comisión de Seguimiento de la Sentencia T-760/08 y de Reforma Estructural del Sistema de Salud y Seguridad Social – CSR-; d) Movimiento Social “Pacientes Colombia” y e) Consejos Comunitarios de Nariño. </w:t>
      </w:r>
    </w:p>
  </w:footnote>
  <w:footnote w:id="60">
    <w:p w:rsidR="00000000" w:rsidRDefault="005D131A" w:rsidP="003D3D05">
      <w:pPr>
        <w:pStyle w:val="Textonotapie"/>
      </w:pPr>
      <w:r w:rsidRPr="006E04CD">
        <w:rPr>
          <w:vertAlign w:val="superscript"/>
        </w:rPr>
        <w:footnoteRef/>
      </w:r>
      <w:r w:rsidRPr="006E04CD">
        <w:t xml:space="preserve"> </w:t>
      </w:r>
      <w:r w:rsidRPr="00A54C39">
        <w:rPr>
          <w:i/>
        </w:rPr>
        <w:t>Cfr.</w:t>
      </w:r>
      <w:r w:rsidRPr="006E04CD">
        <w:t xml:space="preserve"> AZ Orden XXIII-C, folios </w:t>
      </w:r>
      <w:smartTag w:uri="urn:schemas-microsoft-com:office:smarttags" w:element="metricconverter">
        <w:smartTagPr>
          <w:attr w:name="ProductID" w:val="1087 a"/>
        </w:smartTagPr>
        <w:r w:rsidRPr="006E04CD">
          <w:t>1087 a</w:t>
        </w:r>
      </w:smartTag>
      <w:r w:rsidRPr="006E04CD">
        <w:t xml:space="preserve"> 1092.</w:t>
      </w:r>
    </w:p>
  </w:footnote>
  <w:footnote w:id="61">
    <w:p w:rsidR="00000000" w:rsidRDefault="005D131A" w:rsidP="00FF2395">
      <w:pPr>
        <w:pStyle w:val="Textonotapie"/>
      </w:pPr>
      <w:r>
        <w:rPr>
          <w:vertAlign w:val="superscript"/>
        </w:rPr>
        <w:footnoteRef/>
      </w:r>
      <w:r>
        <w:t xml:space="preserve"> </w:t>
      </w:r>
      <w:r>
        <w:rPr>
          <w:lang w:val="es-CO"/>
        </w:rPr>
        <w:t>“</w:t>
      </w:r>
      <w:r w:rsidRPr="002D34F9">
        <w:rPr>
          <w:i/>
          <w:lang w:val="es-CO"/>
        </w:rPr>
        <w:t>Por medio del cual se establece el Sistema de Indicadores de Alerta Temprana”</w:t>
      </w:r>
    </w:p>
  </w:footnote>
  <w:footnote w:id="62">
    <w:p w:rsidR="00000000" w:rsidRDefault="005D131A" w:rsidP="00FF2395">
      <w:pPr>
        <w:pStyle w:val="Textonotapie"/>
      </w:pPr>
      <w:r w:rsidRPr="006E04CD">
        <w:rPr>
          <w:vertAlign w:val="superscript"/>
        </w:rPr>
        <w:footnoteRef/>
      </w:r>
      <w:r w:rsidRPr="006E04CD">
        <w:t xml:space="preserve"> </w:t>
      </w:r>
      <w:r w:rsidRPr="006E04CD">
        <w:rPr>
          <w:i/>
        </w:rPr>
        <w:t>“Por medio del cual se modifica la estructura de la Superintendencia Nacional de Salud”</w:t>
      </w:r>
      <w:r w:rsidRPr="006E04CD">
        <w:t>.</w:t>
      </w:r>
    </w:p>
  </w:footnote>
  <w:footnote w:id="63">
    <w:p w:rsidR="00000000" w:rsidRDefault="005D131A">
      <w:pPr>
        <w:pStyle w:val="Textonotapie"/>
      </w:pPr>
      <w:r>
        <w:rPr>
          <w:vertAlign w:val="superscript"/>
        </w:rPr>
        <w:footnoteRef/>
      </w:r>
      <w:r>
        <w:t xml:space="preserve"> </w:t>
      </w:r>
      <w:r w:rsidRPr="00A54C39">
        <w:rPr>
          <w:i/>
        </w:rPr>
        <w:t>Cfr.</w:t>
      </w:r>
      <w:r w:rsidRPr="006E04CD">
        <w:rPr>
          <w:i/>
        </w:rPr>
        <w:t xml:space="preserve"> </w:t>
      </w:r>
      <w:r w:rsidRPr="006E04CD">
        <w:t>AZ Orden XXIII-C, folios</w:t>
      </w:r>
      <w:r>
        <w:t xml:space="preserve"> 1142-1143. </w:t>
      </w:r>
    </w:p>
  </w:footnote>
  <w:footnote w:id="64">
    <w:p w:rsidR="00000000" w:rsidRDefault="005D131A" w:rsidP="00DD2216">
      <w:pPr>
        <w:pStyle w:val="Textonotapie"/>
      </w:pPr>
      <w:r w:rsidRPr="006E04CD">
        <w:rPr>
          <w:vertAlign w:val="superscript"/>
        </w:rPr>
        <w:footnoteRef/>
      </w:r>
      <w:r w:rsidRPr="006E04CD">
        <w:t xml:space="preserve"> </w:t>
      </w:r>
      <w:r w:rsidRPr="00A54C39">
        <w:rPr>
          <w:i/>
        </w:rPr>
        <w:t>Cfr.</w:t>
      </w:r>
      <w:r w:rsidRPr="006E04CD">
        <w:rPr>
          <w:i/>
        </w:rPr>
        <w:t xml:space="preserve"> </w:t>
      </w:r>
      <w:r w:rsidRPr="006E04CD">
        <w:t>AZ Orden XXIII-C, folios 1133 a 1135.</w:t>
      </w:r>
    </w:p>
  </w:footnote>
  <w:footnote w:id="65">
    <w:p w:rsidR="00000000" w:rsidRDefault="005D131A" w:rsidP="0077287F">
      <w:pPr>
        <w:pStyle w:val="Textonotapie"/>
      </w:pPr>
      <w:r w:rsidRPr="006E04CD">
        <w:rPr>
          <w:vertAlign w:val="superscript"/>
        </w:rPr>
        <w:footnoteRef/>
      </w:r>
      <w:r w:rsidRPr="006E04CD">
        <w:t xml:space="preserve"> </w:t>
      </w:r>
      <w:r w:rsidRPr="00A54C39">
        <w:rPr>
          <w:i/>
        </w:rPr>
        <w:t>Cfr.</w:t>
      </w:r>
      <w:r w:rsidRPr="006E04CD">
        <w:rPr>
          <w:i/>
        </w:rPr>
        <w:t xml:space="preserve"> </w:t>
      </w:r>
      <w:r w:rsidRPr="006E04CD">
        <w:t xml:space="preserve">AZ Orden XXIII-C, folios </w:t>
      </w:r>
      <w:r>
        <w:rPr>
          <w:lang w:val="es-CO"/>
        </w:rPr>
        <w:t>1174 a 1192</w:t>
      </w:r>
      <w:r w:rsidRPr="006E04CD">
        <w:rPr>
          <w:lang w:val="es-CO"/>
        </w:rPr>
        <w:t>.</w:t>
      </w:r>
    </w:p>
  </w:footnote>
  <w:footnote w:id="66">
    <w:p w:rsidR="00000000" w:rsidRDefault="005D131A" w:rsidP="003D3D05">
      <w:pPr>
        <w:pStyle w:val="Textonotapie"/>
      </w:pPr>
      <w:r w:rsidRPr="006E04CD">
        <w:rPr>
          <w:vertAlign w:val="superscript"/>
        </w:rPr>
        <w:footnoteRef/>
      </w:r>
      <w:r w:rsidRPr="006E04CD">
        <w:t xml:space="preserve"> Al respecto, es necesario destacar que el 11 de febrero de 2015 fue allegada a esta Corporación una copia del requerimiento hecho</w:t>
      </w:r>
      <w:r>
        <w:t xml:space="preserve"> por la Defensoría</w:t>
      </w:r>
      <w:r w:rsidRPr="006E04CD">
        <w:t xml:space="preserve"> al Ministerio para que suministrara la información necesaria para verificar el cumplimient</w:t>
      </w:r>
      <w:r>
        <w:t xml:space="preserve">o de la sentencia T-760 de 2008 (fs. 1193-1203 AZ-C, </w:t>
      </w:r>
      <w:r w:rsidRPr="006E04CD">
        <w:t>Orden XXIII</w:t>
      </w:r>
      <w:r>
        <w:t xml:space="preserve">). </w:t>
      </w:r>
    </w:p>
  </w:footnote>
  <w:footnote w:id="67">
    <w:p w:rsidR="00000000" w:rsidRDefault="005D131A" w:rsidP="008827FF">
      <w:pPr>
        <w:pStyle w:val="Textonotapie"/>
      </w:pPr>
      <w:r w:rsidRPr="006E04CD">
        <w:rPr>
          <w:vertAlign w:val="superscript"/>
        </w:rPr>
        <w:footnoteRef/>
      </w:r>
      <w:r w:rsidRPr="006E04CD">
        <w:t xml:space="preserve"> </w:t>
      </w:r>
      <w:r w:rsidRPr="00A54C39">
        <w:rPr>
          <w:i/>
        </w:rPr>
        <w:t>Cfr.</w:t>
      </w:r>
      <w:r w:rsidRPr="006E04CD">
        <w:rPr>
          <w:i/>
        </w:rPr>
        <w:t xml:space="preserve"> </w:t>
      </w:r>
      <w:r w:rsidRPr="006E04CD">
        <w:t xml:space="preserve">AZ Orden XXIII-C, folios </w:t>
      </w:r>
      <w:r w:rsidRPr="006E04CD">
        <w:rPr>
          <w:lang w:val="es-CO"/>
        </w:rPr>
        <w:t>1204 a 1215.</w:t>
      </w:r>
    </w:p>
  </w:footnote>
  <w:footnote w:id="68">
    <w:p w:rsidR="00000000" w:rsidRDefault="005D131A" w:rsidP="003D3D05">
      <w:pPr>
        <w:pStyle w:val="Textonotapie"/>
      </w:pPr>
      <w:r w:rsidRPr="00AC2E58">
        <w:rPr>
          <w:sz w:val="18"/>
          <w:szCs w:val="18"/>
          <w:vertAlign w:val="superscript"/>
        </w:rPr>
        <w:footnoteRef/>
      </w:r>
      <w:r w:rsidRPr="00AC2E58">
        <w:rPr>
          <w:sz w:val="18"/>
          <w:szCs w:val="18"/>
        </w:rPr>
        <w:t xml:space="preserve"> Convocada por el Auto 442 de 2015.</w:t>
      </w:r>
    </w:p>
  </w:footnote>
  <w:footnote w:id="69">
    <w:p w:rsidR="005D131A" w:rsidRPr="00AC2E58" w:rsidRDefault="005D131A" w:rsidP="001C10D9">
      <w:pPr>
        <w:pStyle w:val="Textonotapie"/>
        <w:rPr>
          <w:sz w:val="18"/>
          <w:szCs w:val="18"/>
          <w:lang w:val="es-CO"/>
        </w:rPr>
      </w:pPr>
      <w:r w:rsidRPr="00AC2E58">
        <w:rPr>
          <w:sz w:val="18"/>
          <w:szCs w:val="18"/>
          <w:vertAlign w:val="superscript"/>
        </w:rPr>
        <w:footnoteRef/>
      </w:r>
      <w:r w:rsidRPr="00AC2E58">
        <w:rPr>
          <w:sz w:val="18"/>
          <w:szCs w:val="18"/>
        </w:rPr>
        <w:t xml:space="preserve"> </w:t>
      </w:r>
      <w:r>
        <w:rPr>
          <w:sz w:val="18"/>
          <w:szCs w:val="18"/>
        </w:rPr>
        <w:t>“</w:t>
      </w:r>
      <w:r w:rsidRPr="00AC2E58">
        <w:rPr>
          <w:sz w:val="18"/>
          <w:szCs w:val="18"/>
          <w:lang w:val="es-CO"/>
        </w:rPr>
        <w:t>Artículo 9o. criterios para la aprobación de las tecnologías en salud no POS.</w:t>
      </w:r>
      <w:r w:rsidRPr="00AC2E58">
        <w:rPr>
          <w:sz w:val="18"/>
          <w:szCs w:val="18"/>
        </w:rPr>
        <w:t xml:space="preserve"> </w:t>
      </w:r>
      <w:r w:rsidRPr="00AC2E58">
        <w:rPr>
          <w:sz w:val="18"/>
          <w:szCs w:val="18"/>
          <w:lang w:val="es-CO"/>
        </w:rPr>
        <w:t>Para la aprobación de las tecnologías NO POS, el Comité Técnico-Científico (CTC) deberá tener en cuenta los siguientes criterios:</w:t>
      </w:r>
    </w:p>
    <w:p w:rsidR="005D131A" w:rsidRPr="00AC2E58" w:rsidRDefault="005D131A" w:rsidP="001C10D9">
      <w:pPr>
        <w:pStyle w:val="Textonotapie"/>
        <w:rPr>
          <w:sz w:val="18"/>
          <w:szCs w:val="18"/>
          <w:lang w:val="es-CO"/>
        </w:rPr>
      </w:pPr>
      <w:r w:rsidRPr="00AC2E58">
        <w:rPr>
          <w:sz w:val="18"/>
          <w:szCs w:val="18"/>
          <w:lang w:val="es-CO"/>
        </w:rPr>
        <w:t>1. El uso, ejecución o realización de la tecnología en salud no incluida en el Plan Obligatorio de Salud debe estar autorizada por el Instituto Nacional de Vigilancia de Medicamentos y Alimentos (Invima) o las demás entidades u órganos competentes en el país.</w:t>
      </w:r>
    </w:p>
    <w:p w:rsidR="005D131A" w:rsidRPr="00AC2E58" w:rsidRDefault="005D131A" w:rsidP="001C10D9">
      <w:pPr>
        <w:pStyle w:val="Textonotapie"/>
        <w:rPr>
          <w:sz w:val="18"/>
          <w:szCs w:val="18"/>
          <w:lang w:val="es-CO"/>
        </w:rPr>
      </w:pPr>
      <w:r w:rsidRPr="00AC2E58">
        <w:rPr>
          <w:sz w:val="18"/>
          <w:szCs w:val="18"/>
          <w:lang w:val="es-CO"/>
        </w:rPr>
        <w:t>2. Haberse agotado o descartado las posibilidades técnicas y científicas para la promoción, prevención, diagnóstico, tratamiento y rehabilitación de la enfermedad, de las tecnologías contenidas en el POS, sin obtener resultado clínico o paraclínico satisfactorio en el término previsto de sus indicaciones o luego de prever u observar reacciones adversas o intolerancia por el paciente o porque existan indicaciones o contraindicaciones expresas, de lo cual deberá dejarse constancia en la historia clínica.</w:t>
      </w:r>
    </w:p>
    <w:p w:rsidR="005D131A" w:rsidRPr="00AC2E58" w:rsidRDefault="005D131A" w:rsidP="001C10D9">
      <w:pPr>
        <w:pStyle w:val="Textonotapie"/>
        <w:rPr>
          <w:sz w:val="18"/>
          <w:szCs w:val="18"/>
          <w:lang w:val="es-CO"/>
        </w:rPr>
      </w:pPr>
      <w:r w:rsidRPr="00AC2E58">
        <w:rPr>
          <w:sz w:val="18"/>
          <w:szCs w:val="18"/>
          <w:lang w:val="es-CO"/>
        </w:rPr>
        <w:t>3. La tecnología en salud NO POS no deberá corresponder a aquellas cuyo propósito sea cosmético o suntuario, que se encuentre en fase de experimentación o que tenga que ser prestada en el exterior.</w:t>
      </w:r>
    </w:p>
    <w:p w:rsidR="005D131A" w:rsidRPr="00AC2E58" w:rsidRDefault="005D131A" w:rsidP="001C10D9">
      <w:pPr>
        <w:pStyle w:val="Textonotapie"/>
        <w:rPr>
          <w:sz w:val="18"/>
          <w:szCs w:val="18"/>
          <w:lang w:val="es-CO"/>
        </w:rPr>
      </w:pPr>
      <w:r w:rsidRPr="00AC2E58">
        <w:rPr>
          <w:sz w:val="18"/>
          <w:szCs w:val="18"/>
          <w:lang w:val="es-CO"/>
        </w:rPr>
        <w:t>PARÁGRAFO 1o. El Comité Técnico-Científico (CTC) podrá autorizar tratamientos ambulatorios hasta por un máximo de tres (3) meses y si la respuesta al tratamiento es favorable, podrá determinar la periodicidad con la que se continuará autorizando la tecnología en salud NO POS, que en ningún caso será por tiempo indefinido.</w:t>
      </w:r>
    </w:p>
    <w:p w:rsidR="005D131A" w:rsidRPr="00AC2E58" w:rsidRDefault="005D131A" w:rsidP="001C10D9">
      <w:pPr>
        <w:pStyle w:val="Textonotapie"/>
        <w:rPr>
          <w:sz w:val="18"/>
          <w:szCs w:val="18"/>
          <w:lang w:val="es-CO"/>
        </w:rPr>
      </w:pPr>
      <w:r w:rsidRPr="00AC2E58">
        <w:rPr>
          <w:sz w:val="18"/>
          <w:szCs w:val="18"/>
          <w:lang w:val="es-CO"/>
        </w:rPr>
        <w:t>PARÁGRAFO 2o. Para el caso de pacientes con tratamientos crónicos a los cuales se les determine un tratamiento definitivo para el manejo de su patología, los períodos de autorización podrán ser superiores a tres (3) meses y hasta por un (1) año. Al término de este período, el Comité Técnico Científico deberá hacer la evaluación correspondiente y determinar la continuidad o no de la tecnología en salud NO POS.</w:t>
      </w:r>
    </w:p>
    <w:p w:rsidR="00000000" w:rsidRDefault="005D131A" w:rsidP="001C10D9">
      <w:pPr>
        <w:pStyle w:val="Textonotapie"/>
      </w:pPr>
      <w:r w:rsidRPr="00AC2E58">
        <w:rPr>
          <w:sz w:val="18"/>
          <w:szCs w:val="18"/>
          <w:lang w:val="es-CO"/>
        </w:rPr>
        <w:t>PARÁGRAFO 3o. En el acta del Comité Técnico-Científico (CTC) deberá señalarse de forma expresa el cumplimiento de los criterios para la aprobación de las tecnologías en salud NO POS previstos en este artículo.</w:t>
      </w:r>
    </w:p>
  </w:footnote>
  <w:footnote w:id="70">
    <w:p w:rsidR="00000000" w:rsidRDefault="005D131A" w:rsidP="001C10D9">
      <w:pPr>
        <w:pStyle w:val="Textonotapie"/>
      </w:pPr>
      <w:r w:rsidRPr="00AC2E58">
        <w:rPr>
          <w:sz w:val="18"/>
          <w:szCs w:val="18"/>
          <w:vertAlign w:val="superscript"/>
        </w:rPr>
        <w:footnoteRef/>
      </w:r>
      <w:r w:rsidRPr="00AC2E58">
        <w:rPr>
          <w:sz w:val="18"/>
          <w:szCs w:val="18"/>
        </w:rPr>
        <w:t xml:space="preserve"> </w:t>
      </w:r>
      <w:r w:rsidRPr="00AC2E58">
        <w:rPr>
          <w:i/>
          <w:sz w:val="18"/>
          <w:szCs w:val="18"/>
          <w:lang w:val="es-CO"/>
        </w:rPr>
        <w:t>“Artículo 154. Prestaciones no financiadas por el sistema. Son el conjunto de actividades, intervenciones, procedimientos, servicios, tratamientos, medicamentos y otras tecnologías médicas que no podrán ser reconocidas con cargo a los recursos del Sistema General de Seguridad Social en Salud de acuerdo con el listado que elabore la Comisión de Regulación en Salud –CRES–. Esta categoría incluye las prestaciones suntuarias, las exclusivamente cosméticas, las experimentales sin evidencia científica, aquellas que se ofrezcan por fuera del territorio colombiano y las que no sean propias del ámbito de la salud. Los usos no autorizados por la autoridad competente en el caso de medicamentos y dispositivos continuarán por fuera del ámbito de financiación del Sistema General de Seguridad Social en Salud. Mientras el Gobierno Nacional no reglamente la materia, subsistirán las disposiciones reglamentarias vigentes.”</w:t>
      </w:r>
    </w:p>
  </w:footnote>
  <w:footnote w:id="71">
    <w:p w:rsidR="00000000" w:rsidRDefault="005D131A" w:rsidP="001C10D9">
      <w:pPr>
        <w:pStyle w:val="Textonotapie"/>
      </w:pPr>
      <w:r w:rsidRPr="006E04CD">
        <w:rPr>
          <w:vertAlign w:val="superscript"/>
        </w:rPr>
        <w:footnoteRef/>
      </w:r>
      <w:r w:rsidRPr="006E04CD">
        <w:t xml:space="preserve"> </w:t>
      </w:r>
      <w:r w:rsidRPr="00A54C39">
        <w:rPr>
          <w:i/>
          <w:lang w:val="es-CO"/>
        </w:rPr>
        <w:t xml:space="preserve">Cfr. </w:t>
      </w:r>
      <w:r w:rsidRPr="006E04CD">
        <w:rPr>
          <w:lang w:val="es-CO"/>
        </w:rPr>
        <w:t>Sentencia T-760 de 2008.</w:t>
      </w:r>
    </w:p>
  </w:footnote>
  <w:footnote w:id="72">
    <w:p w:rsidR="00000000" w:rsidRDefault="005D131A" w:rsidP="005130B8">
      <w:pPr>
        <w:pStyle w:val="Textonotapie"/>
      </w:pPr>
      <w:r>
        <w:rPr>
          <w:vertAlign w:val="superscript"/>
        </w:rPr>
        <w:footnoteRef/>
      </w:r>
      <w:r>
        <w:t xml:space="preserve"> </w:t>
      </w:r>
      <w:r>
        <w:rPr>
          <w:lang w:val="es-CO"/>
        </w:rPr>
        <w:t xml:space="preserve">En todo caso la solicitud debe cumplir los criterios de los artículo 9 y 10 de la Resolución 5395 de 2013, a saber que: </w:t>
      </w:r>
      <w:r w:rsidRPr="00934D78">
        <w:rPr>
          <w:i/>
          <w:lang w:val="es-CO"/>
        </w:rPr>
        <w:t>i)</w:t>
      </w:r>
      <w:r>
        <w:rPr>
          <w:lang w:val="es-CO"/>
        </w:rPr>
        <w:t xml:space="preserve"> se encuentre en riesgo la vida del paciente; </w:t>
      </w:r>
      <w:r w:rsidRPr="00934D78">
        <w:rPr>
          <w:i/>
          <w:lang w:val="es-CO"/>
        </w:rPr>
        <w:t>ii)</w:t>
      </w:r>
      <w:r>
        <w:rPr>
          <w:i/>
          <w:lang w:val="es-CO"/>
        </w:rPr>
        <w:t xml:space="preserve"> </w:t>
      </w:r>
      <w:r>
        <w:rPr>
          <w:lang w:val="es-CO"/>
        </w:rPr>
        <w:t xml:space="preserve">la tecnología se encuentre registrada por el Invima; </w:t>
      </w:r>
      <w:r w:rsidRPr="00B32834">
        <w:rPr>
          <w:i/>
          <w:lang w:val="es-CO"/>
        </w:rPr>
        <w:t>iii)</w:t>
      </w:r>
      <w:r>
        <w:rPr>
          <w:i/>
          <w:lang w:val="es-CO"/>
        </w:rPr>
        <w:t xml:space="preserve"> </w:t>
      </w:r>
      <w:r>
        <w:rPr>
          <w:lang w:val="es-CO"/>
        </w:rPr>
        <w:t xml:space="preserve">se hayan agotado o descartado las posibilidades técnicas y científicas del POS; y </w:t>
      </w:r>
      <w:r w:rsidRPr="00B32834">
        <w:rPr>
          <w:i/>
          <w:lang w:val="es-CO"/>
        </w:rPr>
        <w:t>iv)</w:t>
      </w:r>
      <w:r>
        <w:rPr>
          <w:i/>
          <w:lang w:val="es-CO"/>
        </w:rPr>
        <w:t xml:space="preserve"> </w:t>
      </w:r>
      <w:r>
        <w:rPr>
          <w:lang w:val="es-CO"/>
        </w:rPr>
        <w:t>no se encuentre en experimentación o sea cosmético o suntuario.</w:t>
      </w:r>
    </w:p>
  </w:footnote>
  <w:footnote w:id="73">
    <w:p w:rsidR="00000000" w:rsidRDefault="005D131A" w:rsidP="005130B8">
      <w:pPr>
        <w:pStyle w:val="Textonotapie"/>
      </w:pPr>
      <w:r>
        <w:rPr>
          <w:vertAlign w:val="superscript"/>
        </w:rPr>
        <w:footnoteRef/>
      </w:r>
      <w:r>
        <w:t xml:space="preserve"> </w:t>
      </w:r>
      <w:r>
        <w:rPr>
          <w:i/>
          <w:lang w:val="es-CO"/>
        </w:rPr>
        <w:t>“Por el cual se aclaran y actualizan integralmente los Planes Obligatorios de salud de los Regímenes Contributivo y Subsidiado”.</w:t>
      </w:r>
    </w:p>
  </w:footnote>
  <w:footnote w:id="74">
    <w:p w:rsidR="00000000" w:rsidRDefault="005D131A" w:rsidP="005130B8">
      <w:pPr>
        <w:pStyle w:val="Textonotapie"/>
      </w:pPr>
      <w:r>
        <w:rPr>
          <w:vertAlign w:val="superscript"/>
        </w:rPr>
        <w:footnoteRef/>
      </w:r>
      <w:r>
        <w:t xml:space="preserve"> </w:t>
      </w:r>
      <w:r>
        <w:rPr>
          <w:i/>
          <w:lang w:val="es-CO"/>
        </w:rPr>
        <w:t>“Por el cual se sustituye el Acuerdo 028 de 2011 que define, aclara y actualiza integralmente el Plan Obligatorio de Salud”.</w:t>
      </w:r>
    </w:p>
  </w:footnote>
  <w:footnote w:id="75">
    <w:p w:rsidR="00000000" w:rsidRDefault="005D131A" w:rsidP="005130B8">
      <w:pPr>
        <w:pStyle w:val="Textonotapie"/>
      </w:pPr>
      <w:r>
        <w:rPr>
          <w:vertAlign w:val="superscript"/>
        </w:rPr>
        <w:footnoteRef/>
      </w:r>
      <w:r>
        <w:t xml:space="preserve"> </w:t>
      </w:r>
      <w:r>
        <w:rPr>
          <w:i/>
          <w:lang w:val="es-CO"/>
        </w:rPr>
        <w:t xml:space="preserve">“Por la cual se define, aclara y actualiza integralmente el Plan Obligatorio de Salud (POS)”. </w:t>
      </w:r>
      <w:r>
        <w:rPr>
          <w:lang w:val="es-CO"/>
        </w:rPr>
        <w:t>Se aclara que esta norma fue derogada por la Resolución 5592 de 2015.</w:t>
      </w:r>
    </w:p>
  </w:footnote>
  <w:footnote w:id="76">
    <w:p w:rsidR="00000000" w:rsidRDefault="005D131A" w:rsidP="005130B8">
      <w:pPr>
        <w:pStyle w:val="Textonotapie"/>
      </w:pPr>
      <w:r>
        <w:rPr>
          <w:vertAlign w:val="superscript"/>
        </w:rPr>
        <w:footnoteRef/>
      </w:r>
      <w:r>
        <w:t xml:space="preserve"> </w:t>
      </w:r>
      <w:r w:rsidRPr="005B703D">
        <w:rPr>
          <w:lang w:val="es-CO"/>
        </w:rPr>
        <w:t>Los servicios excluidos del POS se definieron a partir de una serie de criterios generales que se pueden observar en el Anexo núm. 2 de esta providencia. También se encuentra una tabla de comparación de los servicios explícitamente excluidos según los citados actos administrativos.</w:t>
      </w:r>
      <w:r>
        <w:rPr>
          <w:lang w:val="es-CO"/>
        </w:rPr>
        <w:t xml:space="preserve"> </w:t>
      </w:r>
    </w:p>
  </w:footnote>
  <w:footnote w:id="77">
    <w:p w:rsidR="00000000" w:rsidRDefault="005D131A" w:rsidP="005130B8">
      <w:pPr>
        <w:pStyle w:val="Textonotapie"/>
      </w:pPr>
      <w:r>
        <w:rPr>
          <w:vertAlign w:val="superscript"/>
        </w:rPr>
        <w:footnoteRef/>
      </w:r>
      <w:r>
        <w:t xml:space="preserve"> </w:t>
      </w:r>
      <w:r>
        <w:rPr>
          <w:lang w:val="es-CO"/>
        </w:rPr>
        <w:t xml:space="preserve">Explicó que esta medida surgió en virtud de las divergencias que las entidades recobrantes manifestaban cuando se les imponía la glosa: </w:t>
      </w:r>
      <w:r w:rsidRPr="002C675D">
        <w:rPr>
          <w:i/>
          <w:lang w:val="es-CO"/>
        </w:rPr>
        <w:t>“la tecnología en salud recobrada se encuentra cubierta por el Plan Obligatorio de Salud para la fecha de prestación del servicio”</w:t>
      </w:r>
      <w:r>
        <w:rPr>
          <w:i/>
          <w:lang w:val="es-CO"/>
        </w:rPr>
        <w:t xml:space="preserve">. </w:t>
      </w:r>
      <w:r>
        <w:rPr>
          <w:lang w:val="es-CO"/>
        </w:rPr>
        <w:t>En virtud de ello, el artículo 122 del Decreto Ley 019 de 2012, reglamentado por el Decreto 1865 del mismo año, se adoptó un procedimiento para el saneamiento de cuentas por recobros incursos en dichas divergencias. En ese marco se han proferido las resoluciones 2977 y 4251 de 2012, y 3778 de 2013.</w:t>
      </w:r>
    </w:p>
  </w:footnote>
  <w:footnote w:id="78">
    <w:p w:rsidR="00000000" w:rsidRDefault="005D131A">
      <w:pPr>
        <w:pStyle w:val="Textonotapie"/>
      </w:pPr>
      <w:r>
        <w:rPr>
          <w:vertAlign w:val="superscript"/>
        </w:rPr>
        <w:footnoteRef/>
      </w:r>
      <w:r>
        <w:t xml:space="preserve"> De conformidad con el artículo 154 de la Ley 1450 de 2011.</w:t>
      </w:r>
    </w:p>
  </w:footnote>
  <w:footnote w:id="79">
    <w:p w:rsidR="00000000" w:rsidRDefault="005D131A">
      <w:pPr>
        <w:pStyle w:val="Textonotapie"/>
      </w:pPr>
      <w:r>
        <w:rPr>
          <w:vertAlign w:val="superscript"/>
        </w:rPr>
        <w:footnoteRef/>
      </w:r>
      <w:r>
        <w:t xml:space="preserve"> La relación de estos servicios se extrae del artículo 130 de la Resolución 5521 de 2013.</w:t>
      </w:r>
    </w:p>
  </w:footnote>
  <w:footnote w:id="80">
    <w:p w:rsidR="00000000" w:rsidRDefault="005D131A" w:rsidP="00E43B74">
      <w:pPr>
        <w:pStyle w:val="Textonotapie"/>
      </w:pPr>
      <w:r>
        <w:rPr>
          <w:vertAlign w:val="superscript"/>
        </w:rPr>
        <w:footnoteRef/>
      </w:r>
      <w:r>
        <w:t xml:space="preserve"> </w:t>
      </w:r>
      <w:r>
        <w:rPr>
          <w:lang w:val="es-CO"/>
        </w:rPr>
        <w:t xml:space="preserve">En relación con los trasplantes no se tienen en cuentan para efectos del reconocimiento y pago del Fosyga señalados en la presente nota, aquellos que se consideren experimentales o en etapa de investigación. </w:t>
      </w:r>
    </w:p>
  </w:footnote>
  <w:footnote w:id="81">
    <w:p w:rsidR="00000000" w:rsidRDefault="005D131A" w:rsidP="007F7916">
      <w:pPr>
        <w:pStyle w:val="Textonotapie"/>
      </w:pPr>
      <w:r w:rsidRPr="00AC2E58">
        <w:rPr>
          <w:sz w:val="18"/>
          <w:szCs w:val="18"/>
          <w:vertAlign w:val="superscript"/>
        </w:rPr>
        <w:footnoteRef/>
      </w:r>
      <w:r w:rsidRPr="00AC2E58">
        <w:rPr>
          <w:sz w:val="18"/>
          <w:szCs w:val="18"/>
        </w:rPr>
        <w:t xml:space="preserve"> </w:t>
      </w:r>
      <w:r w:rsidRPr="00AC2E58">
        <w:rPr>
          <w:i/>
          <w:sz w:val="18"/>
          <w:szCs w:val="18"/>
          <w:lang w:val="es-CO"/>
        </w:rPr>
        <w:t>“Artículo 17. Autonomía profesional. Se garantiza la autonomía de los profesionales de la salud para adoptar decisiones sobre el diagnóstico y tratamiento de los pacientes que tienen a su cargo. Esta autonomía será ejercida en el marco de esquemas de autorregulación, la ética, la racionalidad y la evidencia científica. || Se prohíbe todo constreñimiento, presión o restricción del ejercicio profesional que atente contra la autonomía de los profesionales de la salud, así como cualquier abuso en el ejercicio profesional que atente contra la seguridad del paciente. || La vulneración de esta disposición será sancionada por los tribunales u organismos profesionales competentes y por los organismos de inspección, vigilancia y control en el ámbito de sus competencias. || Parágrafo. Queda expresamente prohibida la promoción u otorgamiento de cualquier tipo de prebendas o dádivas a profesionales y trabajadores de la salud en el marco de su ejercicio laboral, sean estas en dinero o en especie por parte de proveedores; empresas farmacéuticas, productoras, distribuidoras o comercializadoras de medicamentos o de insumos, dispositivos y/o equipos médicos o similares.”</w:t>
      </w:r>
    </w:p>
  </w:footnote>
  <w:footnote w:id="82">
    <w:p w:rsidR="00000000" w:rsidRDefault="005D131A">
      <w:pPr>
        <w:pStyle w:val="Textonotapie"/>
      </w:pPr>
      <w:r>
        <w:rPr>
          <w:vertAlign w:val="superscript"/>
        </w:rPr>
        <w:footnoteRef/>
      </w:r>
      <w:r>
        <w:t xml:space="preserve"> El artículo 145 de la Ley 1438 de 2011 derogó expresamente el literal j del artículo 14 de la Ley 1122 de 2007 y consagró que empezaba a regir desde el día de su publicación. Esta fue publicada el 19 de enero de 2011 en el Diario Oficial núm. 47957.</w:t>
      </w:r>
    </w:p>
  </w:footnote>
  <w:footnote w:id="83">
    <w:p w:rsidR="00000000" w:rsidRDefault="005D131A" w:rsidP="00AC2E58">
      <w:pPr>
        <w:pStyle w:val="Textonotapie"/>
      </w:pPr>
      <w:r>
        <w:rPr>
          <w:vertAlign w:val="superscript"/>
        </w:rPr>
        <w:footnoteRef/>
      </w:r>
      <w:r>
        <w:t xml:space="preserve"> </w:t>
      </w:r>
      <w:r w:rsidRPr="00A54C39">
        <w:rPr>
          <w:i/>
        </w:rPr>
        <w:t>Cfr.</w:t>
      </w:r>
      <w:r w:rsidRPr="006E04CD">
        <w:rPr>
          <w:i/>
        </w:rPr>
        <w:t xml:space="preserve"> </w:t>
      </w:r>
      <w:r w:rsidRPr="006E04CD">
        <w:t>AZ</w:t>
      </w:r>
      <w:r>
        <w:t xml:space="preserve"> Orden XXIII-C, folios 1276 a 1299. </w:t>
      </w:r>
    </w:p>
  </w:footnote>
  <w:footnote w:id="84">
    <w:p w:rsidR="00000000" w:rsidRDefault="005D131A">
      <w:pPr>
        <w:pStyle w:val="Textonotapie"/>
      </w:pPr>
      <w:r>
        <w:rPr>
          <w:vertAlign w:val="superscript"/>
        </w:rPr>
        <w:footnoteRef/>
      </w:r>
      <w:r>
        <w:t xml:space="preserve"> </w:t>
      </w:r>
      <w:r>
        <w:rPr>
          <w:i/>
        </w:rPr>
        <w:t>“P</w:t>
      </w:r>
      <w:r w:rsidRPr="00B83589">
        <w:rPr>
          <w:i/>
        </w:rPr>
        <w:t>or la cual se establece el procedimiento de acceso, reporte de prescripción, garantía de suministro, verificación, control, pago y análisis de la información de servicios y tecnologías en salud no cubiertas por el Plan de Beneficios en Salud con cargo a la UPC y se dictan otras disposiciones”</w:t>
      </w:r>
      <w:r>
        <w:rPr>
          <w:i/>
        </w:rPr>
        <w:t>.</w:t>
      </w:r>
    </w:p>
  </w:footnote>
  <w:footnote w:id="85">
    <w:p w:rsidR="00000000" w:rsidRDefault="005D131A">
      <w:pPr>
        <w:pStyle w:val="Textonotapie"/>
      </w:pPr>
      <w:r>
        <w:rPr>
          <w:vertAlign w:val="superscript"/>
        </w:rPr>
        <w:footnoteRef/>
      </w:r>
      <w:r>
        <w:t xml:space="preserve"> </w:t>
      </w:r>
      <w:r w:rsidRPr="00A54C39">
        <w:rPr>
          <w:i/>
        </w:rPr>
        <w:t>Cfr.</w:t>
      </w:r>
      <w:r w:rsidRPr="006E04CD">
        <w:rPr>
          <w:i/>
        </w:rPr>
        <w:t xml:space="preserve"> </w:t>
      </w:r>
      <w:r w:rsidRPr="006E04CD">
        <w:t>AZ</w:t>
      </w:r>
      <w:r>
        <w:t xml:space="preserve"> Orden XXIII-C, folios 1308 a 1317.</w:t>
      </w:r>
    </w:p>
  </w:footnote>
  <w:footnote w:id="86">
    <w:p w:rsidR="00000000" w:rsidRDefault="005D131A">
      <w:pPr>
        <w:pStyle w:val="Textonotapie"/>
      </w:pPr>
      <w:r>
        <w:rPr>
          <w:vertAlign w:val="superscript"/>
        </w:rPr>
        <w:footnoteRef/>
      </w:r>
      <w:r>
        <w:t xml:space="preserve"> </w:t>
      </w:r>
      <w:r w:rsidRPr="00A54C39">
        <w:rPr>
          <w:i/>
        </w:rPr>
        <w:t>Cfr.</w:t>
      </w:r>
      <w:r w:rsidRPr="006E04CD">
        <w:rPr>
          <w:i/>
        </w:rPr>
        <w:t xml:space="preserve"> </w:t>
      </w:r>
      <w:r w:rsidRPr="006E04CD">
        <w:t>AZ</w:t>
      </w:r>
      <w:r>
        <w:t xml:space="preserve"> Orden XXIII-C, folios 1318 a 1320. </w:t>
      </w:r>
    </w:p>
  </w:footnote>
  <w:footnote w:id="87">
    <w:p w:rsidR="00000000" w:rsidRDefault="005D131A">
      <w:pPr>
        <w:pStyle w:val="Textonotapie"/>
      </w:pPr>
      <w:r>
        <w:rPr>
          <w:vertAlign w:val="superscript"/>
        </w:rPr>
        <w:footnoteRef/>
      </w:r>
      <w:r>
        <w:t xml:space="preserve"> </w:t>
      </w:r>
      <w:r w:rsidRPr="00A54C39">
        <w:rPr>
          <w:i/>
        </w:rPr>
        <w:t>Cfr.</w:t>
      </w:r>
      <w:r w:rsidRPr="006E04CD">
        <w:rPr>
          <w:i/>
        </w:rPr>
        <w:t xml:space="preserve"> </w:t>
      </w:r>
      <w:r w:rsidRPr="006E04CD">
        <w:t>AZ</w:t>
      </w:r>
      <w:r>
        <w:t xml:space="preserve"> Orden XXIII-C, folio 1321. </w:t>
      </w:r>
    </w:p>
  </w:footnote>
  <w:footnote w:id="88">
    <w:p w:rsidR="00000000" w:rsidRDefault="005D131A" w:rsidP="003D3D05">
      <w:pPr>
        <w:pStyle w:val="Textonotapie"/>
      </w:pPr>
      <w:r w:rsidRPr="006E04CD">
        <w:rPr>
          <w:vertAlign w:val="superscript"/>
        </w:rPr>
        <w:footnoteRef/>
      </w:r>
      <w:r w:rsidRPr="006E04CD">
        <w:t xml:space="preserve"> </w:t>
      </w:r>
      <w:r w:rsidRPr="006E04CD">
        <w:rPr>
          <w:i/>
        </w:rPr>
        <w:t>“Artículo 25. Protección Judicial: (…) 2. Los Estados Partes se comprometen: (…) c) a garantizar el cumplimiento, por las autoridades competentes, de toda decisión en que se haya estimado procedente el recurso”</w:t>
      </w:r>
      <w:r w:rsidRPr="006E04CD">
        <w:t>.</w:t>
      </w:r>
    </w:p>
  </w:footnote>
  <w:footnote w:id="89">
    <w:p w:rsidR="00000000" w:rsidRDefault="005D131A" w:rsidP="003D3D05">
      <w:pPr>
        <w:pStyle w:val="Textonotapie"/>
      </w:pPr>
      <w:r w:rsidRPr="006E04CD">
        <w:rPr>
          <w:vertAlign w:val="superscript"/>
        </w:rPr>
        <w:footnoteRef/>
      </w:r>
      <w:r w:rsidRPr="006E04CD">
        <w:t xml:space="preserve"> Aprobada por la Ley 16 de 1972.</w:t>
      </w:r>
    </w:p>
  </w:footnote>
  <w:footnote w:id="90">
    <w:p w:rsidR="00000000" w:rsidRDefault="005D131A" w:rsidP="00BB4B36">
      <w:pPr>
        <w:pStyle w:val="Prrafodelista"/>
        <w:tabs>
          <w:tab w:val="left" w:pos="426"/>
        </w:tabs>
        <w:ind w:left="0"/>
      </w:pPr>
      <w:r w:rsidRPr="00B3370F">
        <w:rPr>
          <w:sz w:val="20"/>
          <w:vertAlign w:val="superscript"/>
        </w:rPr>
        <w:footnoteRef/>
      </w:r>
      <w:r>
        <w:t xml:space="preserve"> </w:t>
      </w:r>
      <w:r w:rsidRPr="00814C5D">
        <w:rPr>
          <w:sz w:val="20"/>
          <w:szCs w:val="20"/>
        </w:rPr>
        <w:t>Debe precisarse que en consideración a que el Ministerio de Salud y Protección Social asumió las funciones transferidas por la CRES, de conformidad el Decreto 2560 de 10 de diciembre de 2012</w:t>
      </w:r>
      <w:r w:rsidRPr="00814C5D">
        <w:rPr>
          <w:sz w:val="20"/>
          <w:szCs w:val="20"/>
          <w:vertAlign w:val="superscript"/>
        </w:rPr>
        <w:footnoteRef/>
      </w:r>
      <w:r w:rsidRPr="00814C5D">
        <w:rPr>
          <w:sz w:val="20"/>
          <w:szCs w:val="20"/>
        </w:rPr>
        <w:t xml:space="preserve"> y dado que ya transcurrió el término previsto en el artículo 21</w:t>
      </w:r>
      <w:r w:rsidRPr="00814C5D">
        <w:rPr>
          <w:sz w:val="20"/>
          <w:szCs w:val="20"/>
          <w:vertAlign w:val="superscript"/>
        </w:rPr>
        <w:footnoteRef/>
      </w:r>
      <w:r w:rsidRPr="00814C5D">
        <w:rPr>
          <w:sz w:val="20"/>
          <w:szCs w:val="20"/>
        </w:rPr>
        <w:t xml:space="preserve"> </w:t>
      </w:r>
      <w:r w:rsidRPr="00814C5D">
        <w:rPr>
          <w:i/>
          <w:sz w:val="20"/>
          <w:szCs w:val="20"/>
        </w:rPr>
        <w:t>ibídem</w:t>
      </w:r>
      <w:r w:rsidRPr="00814C5D">
        <w:rPr>
          <w:sz w:val="20"/>
          <w:szCs w:val="20"/>
        </w:rPr>
        <w:t xml:space="preserve">, corresponde a ese ente rector del Sector Administrativo de Salud y Protección Social responder por el cumplimiento de la primera parte del ordinal vigésimo tercero de la Sentencia T-760 de 2008, originalmente a cargo de la extinta CRES. </w:t>
      </w:r>
    </w:p>
  </w:footnote>
  <w:footnote w:id="91">
    <w:p w:rsidR="00000000" w:rsidRDefault="005D131A" w:rsidP="00393006">
      <w:pPr>
        <w:pStyle w:val="Textonotapie"/>
      </w:pPr>
      <w:r w:rsidRPr="0095332D">
        <w:rPr>
          <w:vertAlign w:val="superscript"/>
        </w:rPr>
        <w:footnoteRef/>
      </w:r>
      <w:r w:rsidRPr="0095332D">
        <w:t xml:space="preserve"> Sentencia C-351 de 2013. </w:t>
      </w:r>
    </w:p>
  </w:footnote>
  <w:footnote w:id="92">
    <w:p w:rsidR="00000000" w:rsidRDefault="005D131A" w:rsidP="00393006">
      <w:pPr>
        <w:pStyle w:val="Textonotapie"/>
      </w:pPr>
      <w:r w:rsidRPr="0095332D">
        <w:rPr>
          <w:vertAlign w:val="superscript"/>
        </w:rPr>
        <w:footnoteRef/>
      </w:r>
      <w:r w:rsidRPr="0095332D">
        <w:t xml:space="preserve"> Sentencia C-646 de 2001.</w:t>
      </w:r>
    </w:p>
  </w:footnote>
  <w:footnote w:id="93">
    <w:p w:rsidR="00000000" w:rsidRDefault="005D131A" w:rsidP="00393006">
      <w:pPr>
        <w:pStyle w:val="Textonotapie"/>
      </w:pPr>
      <w:r w:rsidRPr="0095332D">
        <w:rPr>
          <w:vertAlign w:val="superscript"/>
        </w:rPr>
        <w:footnoteRef/>
      </w:r>
      <w:r w:rsidRPr="0095332D">
        <w:t xml:space="preserve"> El control judicial de las políticas públicas como instrumento de inclusión de los derechos humanos. Manuel Fernando Quinche Ramírez y Juan Camilo Rivera Rugeles. 2010.</w:t>
      </w:r>
    </w:p>
  </w:footnote>
  <w:footnote w:id="94">
    <w:p w:rsidR="00000000" w:rsidRDefault="005D131A" w:rsidP="00393006">
      <w:pPr>
        <w:pStyle w:val="Textonotapie"/>
      </w:pPr>
      <w:r w:rsidRPr="0095332D">
        <w:rPr>
          <w:vertAlign w:val="superscript"/>
        </w:rPr>
        <w:footnoteRef/>
      </w:r>
      <w:r w:rsidRPr="0095332D">
        <w:t xml:space="preserve"> Auto 385 de 2010.</w:t>
      </w:r>
    </w:p>
  </w:footnote>
  <w:footnote w:id="95">
    <w:p w:rsidR="00000000" w:rsidRDefault="005D131A" w:rsidP="00393006">
      <w:pPr>
        <w:pStyle w:val="Textonotapie"/>
      </w:pPr>
      <w:r w:rsidRPr="0095332D">
        <w:rPr>
          <w:vertAlign w:val="superscript"/>
        </w:rPr>
        <w:footnoteRef/>
      </w:r>
      <w:r w:rsidRPr="0095332D">
        <w:t xml:space="preserve"> La </w:t>
      </w:r>
      <w:r>
        <w:t>Sentencia T-760</w:t>
      </w:r>
      <w:r w:rsidRPr="0095332D">
        <w:t xml:space="preserve"> fue proferida el 31 de julio de 2008.</w:t>
      </w:r>
    </w:p>
  </w:footnote>
  <w:footnote w:id="96">
    <w:p w:rsidR="00000000" w:rsidRDefault="005D131A" w:rsidP="00393006">
      <w:pPr>
        <w:pStyle w:val="Textonotapie"/>
      </w:pPr>
      <w:r w:rsidRPr="0095332D">
        <w:rPr>
          <w:vertAlign w:val="superscript"/>
        </w:rPr>
        <w:footnoteRef/>
      </w:r>
      <w:r w:rsidRPr="0095332D">
        <w:t xml:space="preserve"> </w:t>
      </w:r>
      <w:r w:rsidRPr="0095332D">
        <w:rPr>
          <w:i/>
        </w:rPr>
        <w:t>Cfr.</w:t>
      </w:r>
      <w:r w:rsidRPr="0095332D">
        <w:t xml:space="preserve"> Auto 263 de 2012.</w:t>
      </w:r>
    </w:p>
  </w:footnote>
  <w:footnote w:id="97">
    <w:p w:rsidR="00000000" w:rsidRDefault="005D131A" w:rsidP="00393006">
      <w:pPr>
        <w:pStyle w:val="Textonotapie"/>
      </w:pPr>
      <w:r w:rsidRPr="0095332D">
        <w:rPr>
          <w:vertAlign w:val="superscript"/>
        </w:rPr>
        <w:footnoteRef/>
      </w:r>
      <w:r w:rsidRPr="0095332D">
        <w:t xml:space="preserve"> </w:t>
      </w:r>
      <w:r w:rsidRPr="0095332D">
        <w:rPr>
          <w:i/>
        </w:rPr>
        <w:t>Cfr.</w:t>
      </w:r>
      <w:r w:rsidRPr="0095332D">
        <w:t xml:space="preserve"> Autos 342A de 2009, 262 de 2012 y 263 de 2012.</w:t>
      </w:r>
    </w:p>
  </w:footnote>
  <w:footnote w:id="98">
    <w:p w:rsidR="00000000" w:rsidRDefault="005D131A" w:rsidP="00393006">
      <w:pPr>
        <w:pStyle w:val="Textonotapie"/>
      </w:pPr>
      <w:r w:rsidRPr="0095332D">
        <w:rPr>
          <w:vertAlign w:val="superscript"/>
        </w:rPr>
        <w:footnoteRef/>
      </w:r>
      <w:r w:rsidRPr="0095332D">
        <w:t xml:space="preserve"> </w:t>
      </w:r>
      <w:r w:rsidRPr="0095332D">
        <w:rPr>
          <w:i/>
        </w:rPr>
        <w:t>Cfr.</w:t>
      </w:r>
      <w:r w:rsidRPr="0095332D">
        <w:t xml:space="preserve"> Autos 260, 261 y 264 de 2012.</w:t>
      </w:r>
    </w:p>
  </w:footnote>
  <w:footnote w:id="99">
    <w:p w:rsidR="00000000" w:rsidRDefault="005D131A" w:rsidP="00393006">
      <w:pPr>
        <w:pStyle w:val="Textonotapie"/>
      </w:pPr>
      <w:r w:rsidRPr="0095332D">
        <w:rPr>
          <w:vertAlign w:val="superscript"/>
        </w:rPr>
        <w:footnoteRef/>
      </w:r>
      <w:r w:rsidRPr="0095332D">
        <w:t xml:space="preserve"> </w:t>
      </w:r>
      <w:r w:rsidRPr="0095332D">
        <w:rPr>
          <w:i/>
        </w:rPr>
        <w:t>Cfr.</w:t>
      </w:r>
      <w:r w:rsidRPr="0095332D">
        <w:t xml:space="preserve"> Auto 144 de 2011.</w:t>
      </w:r>
    </w:p>
  </w:footnote>
  <w:footnote w:id="100">
    <w:p w:rsidR="00000000" w:rsidRDefault="005D131A" w:rsidP="00393006">
      <w:pPr>
        <w:pStyle w:val="Textonotapie"/>
      </w:pPr>
      <w:r w:rsidRPr="0095332D">
        <w:rPr>
          <w:vertAlign w:val="superscript"/>
        </w:rPr>
        <w:footnoteRef/>
      </w:r>
      <w:r w:rsidRPr="0095332D">
        <w:t xml:space="preserve"> </w:t>
      </w:r>
      <w:r w:rsidRPr="0095332D">
        <w:rPr>
          <w:i/>
        </w:rPr>
        <w:t>Cfr</w:t>
      </w:r>
      <w:r w:rsidRPr="0095332D">
        <w:t>. Considerandos núm. 2 y 3.</w:t>
      </w:r>
    </w:p>
  </w:footnote>
  <w:footnote w:id="101">
    <w:p w:rsidR="00000000" w:rsidRDefault="005D131A" w:rsidP="00393006">
      <w:pPr>
        <w:pStyle w:val="Textonotapie"/>
      </w:pPr>
      <w:r w:rsidRPr="001F2D4E">
        <w:rPr>
          <w:vertAlign w:val="superscript"/>
        </w:rPr>
        <w:footnoteRef/>
      </w:r>
      <w:r w:rsidRPr="001F2D4E">
        <w:t xml:space="preserve"> En la citada providencia se indicó que </w:t>
      </w:r>
      <w:r w:rsidRPr="001F2D4E">
        <w:rPr>
          <w:i/>
        </w:rPr>
        <w:t>“</w:t>
      </w:r>
      <w:r w:rsidRPr="001F2D4E">
        <w:rPr>
          <w:i/>
          <w:lang w:val="es-ES_tradnl"/>
        </w:rPr>
        <w:t>Por parámetros de estructura se hará referencia a instrumentos formales, presentados dentro de plazos fijados por la Ley y/o por la jurisprudencia constitucional, en los que el Gobierno Nacional o la entidad regulatoria definen, a partir de una metodología unificada, objetivos, un marco normativo, una estrategia, un plan de acción concreto, un cronograma y unos indicadores de desempeño, con el fin de superar los obstáculos que enfrente la materialización de los logros”.</w:t>
      </w:r>
    </w:p>
  </w:footnote>
  <w:footnote w:id="102">
    <w:p w:rsidR="00000000" w:rsidRDefault="005D131A" w:rsidP="00393006">
      <w:pPr>
        <w:pStyle w:val="Textonotapie"/>
      </w:pPr>
      <w:r w:rsidRPr="001F2D4E">
        <w:rPr>
          <w:vertAlign w:val="superscript"/>
        </w:rPr>
        <w:footnoteRef/>
      </w:r>
      <w:r w:rsidRPr="001F2D4E">
        <w:t xml:space="preserve"> De conformidad con lo señalado en el Auto 226 de 2011, </w:t>
      </w:r>
      <w:r w:rsidRPr="001F2D4E">
        <w:rPr>
          <w:i/>
        </w:rPr>
        <w:t>“Los parámetros de proceso se refieren ya no a un documento o instrumento formal, sino a las acciones concretas realizadas a partir de dicho instrumento por la entidad gubernamental o regulatoria con miras a lograr la actualización integral del plan de beneficios”</w:t>
      </w:r>
      <w:r w:rsidRPr="001F2D4E">
        <w:t>.</w:t>
      </w:r>
    </w:p>
  </w:footnote>
  <w:footnote w:id="103">
    <w:p w:rsidR="00000000" w:rsidRDefault="005D131A" w:rsidP="00393006">
      <w:pPr>
        <w:pStyle w:val="Textonotapie"/>
      </w:pPr>
      <w:r w:rsidRPr="00E90CF2">
        <w:rPr>
          <w:vertAlign w:val="superscript"/>
        </w:rPr>
        <w:footnoteRef/>
      </w:r>
      <w:r w:rsidRPr="00E90CF2">
        <w:t xml:space="preserve"> Se afirmó en el citado Auto 226 que </w:t>
      </w:r>
      <w:r w:rsidRPr="00E90CF2">
        <w:rPr>
          <w:i/>
        </w:rPr>
        <w:t>“los parámetros de resultado reflejan un grado de realización de la actualización integral del plan de beneficios, la cual hace parte de la realización del derecho fundamental a la salud”</w:t>
      </w:r>
      <w:r w:rsidRPr="00E90CF2">
        <w:t>.</w:t>
      </w:r>
    </w:p>
  </w:footnote>
  <w:footnote w:id="104">
    <w:p w:rsidR="00000000" w:rsidRDefault="005D131A" w:rsidP="00393006">
      <w:pPr>
        <w:pStyle w:val="Textonotapie"/>
      </w:pPr>
      <w:r w:rsidRPr="00E90CF2">
        <w:rPr>
          <w:vertAlign w:val="superscript"/>
        </w:rPr>
        <w:footnoteRef/>
      </w:r>
      <w:r w:rsidRPr="00E90CF2">
        <w:t xml:space="preserve"> </w:t>
      </w:r>
      <w:r w:rsidRPr="00E90CF2">
        <w:rPr>
          <w:i/>
        </w:rPr>
        <w:t>Cfr</w:t>
      </w:r>
      <w:r w:rsidRPr="00E90CF2">
        <w:t>. Considerandos núm. 2 y 3.</w:t>
      </w:r>
    </w:p>
  </w:footnote>
  <w:footnote w:id="105">
    <w:p w:rsidR="00000000" w:rsidRDefault="005D131A" w:rsidP="00393006">
      <w:pPr>
        <w:pStyle w:val="Textonotapie"/>
      </w:pPr>
      <w:r w:rsidRPr="00E90CF2">
        <w:rPr>
          <w:vertAlign w:val="superscript"/>
        </w:rPr>
        <w:footnoteRef/>
      </w:r>
      <w:r w:rsidRPr="00E90CF2">
        <w:t xml:space="preserve"> </w:t>
      </w:r>
      <w:r w:rsidRPr="00E90CF2">
        <w:rPr>
          <w:i/>
        </w:rPr>
        <w:t>Cfr.</w:t>
      </w:r>
      <w:r w:rsidRPr="00E90CF2">
        <w:t xml:space="preserve"> Sentencia C-351 de 2013.</w:t>
      </w:r>
    </w:p>
  </w:footnote>
  <w:footnote w:id="106">
    <w:p w:rsidR="00000000" w:rsidRDefault="005D131A" w:rsidP="00393006">
      <w:pPr>
        <w:pStyle w:val="Textonotapie"/>
      </w:pPr>
      <w:r w:rsidRPr="00E90CF2">
        <w:rPr>
          <w:vertAlign w:val="superscript"/>
        </w:rPr>
        <w:footnoteRef/>
      </w:r>
      <w:r w:rsidRPr="00E90CF2">
        <w:t xml:space="preserve"> Entiéndase por </w:t>
      </w:r>
      <w:r w:rsidRPr="00E90CF2">
        <w:rPr>
          <w:b/>
        </w:rPr>
        <w:t>resultado</w:t>
      </w:r>
      <w:r w:rsidRPr="00E90CF2">
        <w:t>, la materialización de las medidas formales adoptadas por la autoridad obligada en el ámbito de acatamiento de la orden examinada.</w:t>
      </w:r>
    </w:p>
  </w:footnote>
  <w:footnote w:id="107">
    <w:p w:rsidR="00000000" w:rsidRDefault="005D131A" w:rsidP="00393006">
      <w:pPr>
        <w:pStyle w:val="Textonotapie"/>
      </w:pPr>
      <w:r w:rsidRPr="00E90CF2">
        <w:rPr>
          <w:vertAlign w:val="superscript"/>
        </w:rPr>
        <w:footnoteRef/>
      </w:r>
      <w:r w:rsidRPr="00E90CF2">
        <w:t xml:space="preserve"> Entiéndase por </w:t>
      </w:r>
      <w:r w:rsidRPr="00E90CF2">
        <w:rPr>
          <w:b/>
        </w:rPr>
        <w:t>avance</w:t>
      </w:r>
      <w:r w:rsidRPr="00E90CF2">
        <w:t>, el efecto medible a partir de indicadores cuantitativos, que permitan comparar, en un periodo de tiempo determinado, la situación existente antes de la adopción de las medidas acreditadas y después de su implementación, siempre que reflejen cambios favorables en la superación de la falla estructural en el sistema de salud.</w:t>
      </w:r>
    </w:p>
  </w:footnote>
  <w:footnote w:id="108">
    <w:p w:rsidR="00000000" w:rsidRDefault="005D131A" w:rsidP="00393006">
      <w:pPr>
        <w:pStyle w:val="Textonotapie"/>
      </w:pPr>
      <w:r w:rsidRPr="00E90CF2">
        <w:rPr>
          <w:vertAlign w:val="superscript"/>
        </w:rPr>
        <w:footnoteRef/>
      </w:r>
      <w:r w:rsidRPr="00E90CF2">
        <w:t xml:space="preserve"> De conformidad con el artículo 277.1 de la Constitución Política corresponde al Procurador General de la Nación vigilar el cumplimiento de las decisiones judiciales</w:t>
      </w:r>
      <w:r>
        <w:t>.</w:t>
      </w:r>
    </w:p>
  </w:footnote>
  <w:footnote w:id="109">
    <w:p w:rsidR="00000000" w:rsidRDefault="005D131A" w:rsidP="00393006">
      <w:pPr>
        <w:pStyle w:val="Textonotapie"/>
      </w:pPr>
      <w:r w:rsidRPr="00F13500">
        <w:rPr>
          <w:vertAlign w:val="superscript"/>
        </w:rPr>
        <w:footnoteRef/>
      </w:r>
      <w:r w:rsidRPr="00F13500">
        <w:t xml:space="preserve"> </w:t>
      </w:r>
      <w:r w:rsidRPr="00F13500">
        <w:rPr>
          <w:i/>
        </w:rPr>
        <w:t xml:space="preserve">Cfr. </w:t>
      </w:r>
      <w:r w:rsidRPr="00F13500">
        <w:t xml:space="preserve">Constitución Política art. 277.1: </w:t>
      </w:r>
      <w:r w:rsidRPr="00F13500">
        <w:rPr>
          <w:i/>
        </w:rPr>
        <w:t>“El Procurador General de la Nación, por sí o por medio de sus delegados y agentes, tendrá las siguientes funciones: 1. Vigilar el cumplimiento de la Constitución, las leyes, las decisiones judiciales y los actos administrativos”</w:t>
      </w:r>
      <w:r w:rsidRPr="00F13500">
        <w:t xml:space="preserve">. || Decreto Ley 262 de 2000 art. 24.1: </w:t>
      </w:r>
      <w:r w:rsidRPr="00F13500">
        <w:rPr>
          <w:i/>
        </w:rPr>
        <w:t>“FUNCIONES PREVENTIVAS Y DE CONTROL DE GESTIÓN. Sin perjuicio de lo dispuesto en la ley, las procuradurías delegadas tienen las siguientes funciones de vigilancia superior, con fines preventivos y de control de gestión: 1. Velar por el cumplimiento de las disposiciones constitucionales y legales, así como de las decisiones judiciales y administrativas”.</w:t>
      </w:r>
      <w:r w:rsidRPr="00F13500">
        <w:t xml:space="preserve"> || </w:t>
      </w:r>
      <w:r w:rsidRPr="00F13500">
        <w:rPr>
          <w:bCs/>
        </w:rPr>
        <w:t>Resolución 490 de 2008, p</w:t>
      </w:r>
      <w:r w:rsidRPr="00F13500">
        <w:rPr>
          <w:bCs/>
          <w:iCs/>
        </w:rPr>
        <w:t xml:space="preserve">or medio de la cual </w:t>
      </w:r>
      <w:r w:rsidRPr="00F13500">
        <w:rPr>
          <w:bCs/>
        </w:rPr>
        <w:t xml:space="preserve">se </w:t>
      </w:r>
      <w:r w:rsidRPr="00F13500">
        <w:rPr>
          <w:bCs/>
          <w:iCs/>
        </w:rPr>
        <w:t xml:space="preserve">crea el Sistema Integral de Prevención </w:t>
      </w:r>
      <w:r w:rsidRPr="00F13500">
        <w:rPr>
          <w:bCs/>
        </w:rPr>
        <w:t xml:space="preserve">y se </w:t>
      </w:r>
      <w:r w:rsidRPr="00F13500">
        <w:rPr>
          <w:bCs/>
          <w:iCs/>
        </w:rPr>
        <w:t xml:space="preserve">establecen los principios </w:t>
      </w:r>
      <w:r w:rsidRPr="00F13500">
        <w:rPr>
          <w:bCs/>
        </w:rPr>
        <w:t xml:space="preserve">y </w:t>
      </w:r>
      <w:r w:rsidRPr="00F13500">
        <w:rPr>
          <w:bCs/>
          <w:iCs/>
        </w:rPr>
        <w:t xml:space="preserve">criterios correspondientes al ejercicio de la función preventiva a cargo de la Procuraduría General de la Nación </w:t>
      </w:r>
      <w:r w:rsidRPr="00F13500">
        <w:rPr>
          <w:bCs/>
        </w:rPr>
        <w:t xml:space="preserve">y se </w:t>
      </w:r>
      <w:r w:rsidRPr="00F13500">
        <w:rPr>
          <w:bCs/>
          <w:iCs/>
        </w:rPr>
        <w:t>dictan otras disposiciones.</w:t>
      </w:r>
    </w:p>
  </w:footnote>
  <w:footnote w:id="110">
    <w:p w:rsidR="00000000" w:rsidRDefault="005D131A" w:rsidP="00393006">
      <w:pPr>
        <w:pStyle w:val="Textonotapie"/>
      </w:pPr>
      <w:r w:rsidRPr="00F13500">
        <w:rPr>
          <w:vertAlign w:val="superscript"/>
        </w:rPr>
        <w:footnoteRef/>
      </w:r>
      <w:r w:rsidRPr="00F13500">
        <w:t xml:space="preserve"> En virtud del artículo 277.6 Superior, corresponde al Procurador General de la Nación ejercer la vigilancia superior de la conducta oficial de quienes desempeñen funciones públicas.</w:t>
      </w:r>
    </w:p>
  </w:footnote>
  <w:footnote w:id="111">
    <w:p w:rsidR="00000000" w:rsidRDefault="005D131A" w:rsidP="003D3D05">
      <w:pPr>
        <w:pStyle w:val="Textonotapie"/>
      </w:pPr>
      <w:r w:rsidRPr="006E04CD">
        <w:rPr>
          <w:vertAlign w:val="superscript"/>
        </w:rPr>
        <w:footnoteRef/>
      </w:r>
      <w:r w:rsidRPr="006E04CD">
        <w:t xml:space="preserve"> </w:t>
      </w:r>
      <w:r w:rsidRPr="006E04CD">
        <w:rPr>
          <w:shd w:val="clear" w:color="auto" w:fill="FFFFFF"/>
        </w:rPr>
        <w:t>En ejercicio de las atribuciones conferidas por lo</w:t>
      </w:r>
      <w:r>
        <w:rPr>
          <w:shd w:val="clear" w:color="auto" w:fill="FFFFFF"/>
        </w:rPr>
        <w:t>s artículos 86 y 241 de la Constitución</w:t>
      </w:r>
      <w:r w:rsidRPr="006E04CD">
        <w:rPr>
          <w:shd w:val="clear" w:color="auto" w:fill="FFFFFF"/>
        </w:rPr>
        <w:t xml:space="preserve"> Política.</w:t>
      </w:r>
    </w:p>
  </w:footnote>
  <w:footnote w:id="112">
    <w:p w:rsidR="00000000" w:rsidRDefault="005D131A" w:rsidP="003D3D05">
      <w:pPr>
        <w:textAlignment w:val="baseline"/>
      </w:pPr>
      <w:r w:rsidRPr="006E04CD">
        <w:rPr>
          <w:sz w:val="20"/>
          <w:szCs w:val="20"/>
          <w:vertAlign w:val="superscript"/>
        </w:rPr>
        <w:footnoteRef/>
      </w:r>
      <w:r w:rsidRPr="006E04CD">
        <w:rPr>
          <w:sz w:val="20"/>
          <w:szCs w:val="20"/>
        </w:rPr>
        <w:t xml:space="preserve"> </w:t>
      </w:r>
      <w:r w:rsidRPr="006E04CD">
        <w:rPr>
          <w:sz w:val="20"/>
          <w:szCs w:val="20"/>
          <w:lang w:val="es-ES_tradnl"/>
        </w:rPr>
        <w:t>Defensoría del Pueblo</w:t>
      </w:r>
      <w:r w:rsidRPr="006E04CD">
        <w:rPr>
          <w:sz w:val="20"/>
          <w:szCs w:val="20"/>
        </w:rPr>
        <w:t xml:space="preserve">. </w:t>
      </w:r>
      <w:r w:rsidRPr="006E04CD">
        <w:rPr>
          <w:sz w:val="20"/>
          <w:szCs w:val="20"/>
          <w:lang w:val="es-ES_tradnl"/>
        </w:rPr>
        <w:t xml:space="preserve">Informe </w:t>
      </w:r>
      <w:r w:rsidRPr="006E04CD">
        <w:rPr>
          <w:i/>
          <w:sz w:val="20"/>
          <w:szCs w:val="20"/>
          <w:lang w:val="es-ES_tradnl"/>
        </w:rPr>
        <w:t>“La tutela y los derechos a la salud y a la seguridad social 2013”</w:t>
      </w:r>
      <w:r w:rsidRPr="006E04CD">
        <w:rPr>
          <w:sz w:val="20"/>
          <w:szCs w:val="20"/>
          <w:lang w:val="es-ES_tradnl"/>
        </w:rPr>
        <w:t xml:space="preserve">, pág. 206. </w:t>
      </w:r>
      <w:r w:rsidRPr="006E04CD">
        <w:rPr>
          <w:sz w:val="20"/>
          <w:szCs w:val="20"/>
          <w:lang w:eastAsia="es-CO"/>
        </w:rPr>
        <w:t xml:space="preserve">Con fundamento en la base de datos de la Corte Constitucional, la Defensoría del Pueblo ha relacionado el número de tutelas en salud presentadas entre 1999 y 2008, así: 1999: 21.301, 2000: 24.843; 2001; 34.319; 2002: 42.734; 2003: 51.944; 2004: 72.033; 2005: 81.017; 2006: 96.226; 2007: 107.238; 2008: 142.957. </w:t>
      </w:r>
      <w:r w:rsidRPr="00393006">
        <w:rPr>
          <w:i/>
          <w:sz w:val="20"/>
          <w:szCs w:val="20"/>
          <w:lang w:eastAsia="es-CO"/>
        </w:rPr>
        <w:t>Cfr.</w:t>
      </w:r>
      <w:r w:rsidRPr="006E04CD">
        <w:rPr>
          <w:sz w:val="20"/>
          <w:szCs w:val="20"/>
          <w:lang w:eastAsia="es-CO"/>
        </w:rPr>
        <w:t xml:space="preserve"> Auto 145 de 2011.</w:t>
      </w:r>
    </w:p>
  </w:footnote>
  <w:footnote w:id="113">
    <w:p w:rsidR="00000000" w:rsidRDefault="005D131A" w:rsidP="003D3D05">
      <w:pPr>
        <w:pStyle w:val="Textonotapie"/>
      </w:pPr>
      <w:r w:rsidRPr="006E04CD">
        <w:rPr>
          <w:vertAlign w:val="superscript"/>
        </w:rPr>
        <w:footnoteRef/>
      </w:r>
      <w:r w:rsidRPr="006E04CD">
        <w:t xml:space="preserve"> Sentencia T-760 de 2008.</w:t>
      </w:r>
    </w:p>
  </w:footnote>
  <w:footnote w:id="114">
    <w:p w:rsidR="00000000" w:rsidRDefault="005D131A" w:rsidP="003D3D05">
      <w:pPr>
        <w:pStyle w:val="Textonotapie"/>
      </w:pPr>
      <w:r w:rsidRPr="006E04CD">
        <w:rPr>
          <w:vertAlign w:val="superscript"/>
        </w:rPr>
        <w:footnoteRef/>
      </w:r>
      <w:r w:rsidRPr="006E04CD">
        <w:t xml:space="preserve"> Dichos principios se encuentran consagrados en el artículo 113 de la Constitución Política, </w:t>
      </w:r>
      <w:r>
        <w:t>según el cual</w:t>
      </w:r>
      <w:r w:rsidRPr="006E04CD">
        <w:t xml:space="preserve">: </w:t>
      </w:r>
      <w:r w:rsidRPr="006E04CD">
        <w:rPr>
          <w:i/>
        </w:rPr>
        <w:t>“Son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r w:rsidRPr="006E04CD">
        <w:t xml:space="preserve">. </w:t>
      </w:r>
    </w:p>
  </w:footnote>
  <w:footnote w:id="115">
    <w:p w:rsidR="00000000" w:rsidRDefault="005D131A" w:rsidP="003D3D05">
      <w:pPr>
        <w:pStyle w:val="Textonotapie"/>
      </w:pPr>
      <w:r w:rsidRPr="006E04CD">
        <w:rPr>
          <w:vertAlign w:val="superscript"/>
        </w:rPr>
        <w:footnoteRef/>
      </w:r>
      <w:r w:rsidRPr="006E04CD">
        <w:t xml:space="preserve"> Auto 141 de 2014.</w:t>
      </w:r>
    </w:p>
  </w:footnote>
  <w:footnote w:id="116">
    <w:p w:rsidR="00000000" w:rsidRDefault="005D131A" w:rsidP="00A85DCB">
      <w:pPr>
        <w:pStyle w:val="Textonotapie"/>
      </w:pPr>
      <w:r w:rsidRPr="00BC559D">
        <w:rPr>
          <w:color w:val="000000"/>
          <w:vertAlign w:val="superscript"/>
        </w:rPr>
        <w:footnoteRef/>
      </w:r>
      <w:r w:rsidRPr="00BC559D">
        <w:rPr>
          <w:color w:val="000000"/>
        </w:rPr>
        <w:t xml:space="preserve"> Sentencia T-760 de 1998. Consideración jurídica 2.2.4.</w:t>
      </w:r>
    </w:p>
  </w:footnote>
  <w:footnote w:id="117">
    <w:p w:rsidR="00000000" w:rsidRDefault="005D131A" w:rsidP="00A85DCB">
      <w:pPr>
        <w:pStyle w:val="Textonotapie"/>
      </w:pPr>
      <w:r w:rsidRPr="00BC559D">
        <w:rPr>
          <w:color w:val="000000"/>
          <w:vertAlign w:val="superscript"/>
        </w:rPr>
        <w:footnoteRef/>
      </w:r>
      <w:r w:rsidRPr="00BC559D">
        <w:rPr>
          <w:color w:val="000000"/>
        </w:rPr>
        <w:t xml:space="preserve"> </w:t>
      </w:r>
      <w:r w:rsidRPr="00BC559D">
        <w:rPr>
          <w:i/>
          <w:color w:val="000000"/>
        </w:rPr>
        <w:t>Ibídem</w:t>
      </w:r>
      <w:r w:rsidRPr="00BC559D">
        <w:rPr>
          <w:color w:val="000000"/>
        </w:rPr>
        <w:t>.</w:t>
      </w:r>
    </w:p>
  </w:footnote>
  <w:footnote w:id="118">
    <w:p w:rsidR="00000000" w:rsidRDefault="005D131A" w:rsidP="00AA584F">
      <w:pPr>
        <w:pStyle w:val="Textonotapie"/>
      </w:pPr>
      <w:r w:rsidRPr="008852E4">
        <w:rPr>
          <w:vertAlign w:val="superscript"/>
        </w:rPr>
        <w:footnoteRef/>
      </w:r>
      <w:r w:rsidRPr="008852E4">
        <w:t xml:space="preserve"> </w:t>
      </w:r>
      <w:r w:rsidRPr="008852E4">
        <w:rPr>
          <w:i/>
          <w:snapToGrid w:val="0"/>
        </w:rPr>
        <w:t>“Por medio de la cual se regula el derecho fundamental a la salud y se dictan otras disposiciones”</w:t>
      </w:r>
      <w:r>
        <w:rPr>
          <w:snapToGrid w:val="0"/>
        </w:rPr>
        <w:t>.</w:t>
      </w:r>
    </w:p>
  </w:footnote>
  <w:footnote w:id="119">
    <w:p w:rsidR="00000000" w:rsidRDefault="005D131A" w:rsidP="00AA584F">
      <w:pPr>
        <w:pStyle w:val="Textonotapie"/>
      </w:pPr>
      <w:r w:rsidRPr="00F86693">
        <w:rPr>
          <w:vertAlign w:val="superscript"/>
        </w:rPr>
        <w:footnoteRef/>
      </w:r>
      <w:r w:rsidRPr="00F86693">
        <w:t xml:space="preserve"> </w:t>
      </w:r>
      <w:r w:rsidRPr="00F86693">
        <w:rPr>
          <w:i/>
        </w:rPr>
        <w:t xml:space="preserve">Cfr. </w:t>
      </w:r>
      <w:r w:rsidRPr="00F86693">
        <w:t>Sentencia C-313 de 2014.</w:t>
      </w:r>
    </w:p>
  </w:footnote>
  <w:footnote w:id="120">
    <w:p w:rsidR="00000000" w:rsidRDefault="005D131A" w:rsidP="00AA584F">
      <w:pPr>
        <w:pStyle w:val="Textonotapie"/>
      </w:pPr>
      <w:r w:rsidRPr="00F86693">
        <w:rPr>
          <w:vertAlign w:val="superscript"/>
        </w:rPr>
        <w:footnoteRef/>
      </w:r>
      <w:r w:rsidRPr="00F86693">
        <w:t xml:space="preserve"> </w:t>
      </w:r>
      <w:r w:rsidRPr="00F86693">
        <w:rPr>
          <w:i/>
        </w:rPr>
        <w:t xml:space="preserve">Cfr. </w:t>
      </w:r>
      <w:r w:rsidRPr="00F86693">
        <w:t xml:space="preserve">Sentencia </w:t>
      </w:r>
      <w:r w:rsidRPr="00F86693">
        <w:rPr>
          <w:bCs/>
          <w:iCs/>
          <w:lang w:val="es-ES_tradnl"/>
        </w:rPr>
        <w:t>C-671 de 2002</w:t>
      </w:r>
      <w:r>
        <w:rPr>
          <w:bCs/>
          <w:iCs/>
          <w:lang w:val="es-ES_tradnl"/>
        </w:rPr>
        <w:t>.</w:t>
      </w:r>
    </w:p>
  </w:footnote>
  <w:footnote w:id="121">
    <w:p w:rsidR="00000000" w:rsidRDefault="005D131A" w:rsidP="00E96439">
      <w:pPr>
        <w:pStyle w:val="Textonotapie"/>
      </w:pPr>
      <w:r>
        <w:rPr>
          <w:vertAlign w:val="superscript"/>
        </w:rPr>
        <w:footnoteRef/>
      </w:r>
      <w:r>
        <w:t xml:space="preserve"> </w:t>
      </w:r>
      <w:r w:rsidRPr="00274931">
        <w:t>Documento</w:t>
      </w:r>
      <w:r>
        <w:t xml:space="preserve"> que</w:t>
      </w:r>
      <w:r w:rsidRPr="00274931">
        <w:t xml:space="preserve"> se encuentra detallado en el numeral 5 del acápite de antecedentes de esta providencia</w:t>
      </w:r>
      <w:r>
        <w:t>.</w:t>
      </w:r>
    </w:p>
  </w:footnote>
  <w:footnote w:id="122">
    <w:p w:rsidR="00000000" w:rsidRDefault="005D131A" w:rsidP="00565394">
      <w:pPr>
        <w:pStyle w:val="Textonotapie"/>
      </w:pPr>
      <w:r w:rsidRPr="006E04CD">
        <w:rPr>
          <w:vertAlign w:val="superscript"/>
        </w:rPr>
        <w:footnoteRef/>
      </w:r>
      <w:r w:rsidRPr="006E04CD">
        <w:t xml:space="preserve"> </w:t>
      </w:r>
      <w:r w:rsidRPr="009132A0">
        <w:rPr>
          <w:i/>
        </w:rPr>
        <w:t>Cfr.</w:t>
      </w:r>
      <w:r w:rsidRPr="006E04CD">
        <w:t xml:space="preserve"> AZ Orden XXIII-A, folios 68 a 79.</w:t>
      </w:r>
    </w:p>
  </w:footnote>
  <w:footnote w:id="123">
    <w:p w:rsidR="00000000" w:rsidRDefault="005D131A" w:rsidP="00565394">
      <w:pPr>
        <w:pStyle w:val="Textonotapie"/>
      </w:pPr>
      <w:r w:rsidRPr="006E04CD">
        <w:rPr>
          <w:vertAlign w:val="superscript"/>
        </w:rPr>
        <w:footnoteRef/>
      </w:r>
      <w:r w:rsidRPr="006E04CD">
        <w:t xml:space="preserve"> </w:t>
      </w:r>
      <w:r w:rsidRPr="00274931">
        <w:rPr>
          <w:i/>
        </w:rPr>
        <w:t>Cfr.</w:t>
      </w:r>
      <w:r w:rsidRPr="006E04CD">
        <w:t xml:space="preserve"> AZ A Folios 102 a 112.</w:t>
      </w:r>
    </w:p>
  </w:footnote>
  <w:footnote w:id="124">
    <w:p w:rsidR="00000000" w:rsidRDefault="005D131A" w:rsidP="00565394">
      <w:pPr>
        <w:pStyle w:val="Textonotapie"/>
      </w:pPr>
      <w:r w:rsidRPr="006E04CD">
        <w:rPr>
          <w:vertAlign w:val="superscript"/>
        </w:rPr>
        <w:footnoteRef/>
      </w:r>
      <w:r w:rsidRPr="006E04CD">
        <w:t xml:space="preserve"> </w:t>
      </w:r>
      <w:r w:rsidRPr="00274931">
        <w:rPr>
          <w:i/>
        </w:rPr>
        <w:t>Cfr.</w:t>
      </w:r>
      <w:r w:rsidRPr="006E04CD">
        <w:t xml:space="preserve"> AZ A Folios 124 a 137.</w:t>
      </w:r>
    </w:p>
  </w:footnote>
  <w:footnote w:id="125">
    <w:p w:rsidR="00000000" w:rsidRDefault="005D131A" w:rsidP="00777CD1">
      <w:pPr>
        <w:pStyle w:val="Prrafodelista"/>
        <w:tabs>
          <w:tab w:val="left" w:pos="567"/>
          <w:tab w:val="left" w:pos="1276"/>
        </w:tabs>
        <w:ind w:left="0"/>
        <w:contextualSpacing/>
      </w:pPr>
      <w:r w:rsidRPr="00777CD1">
        <w:rPr>
          <w:sz w:val="20"/>
          <w:szCs w:val="20"/>
          <w:vertAlign w:val="superscript"/>
        </w:rPr>
        <w:footnoteRef/>
      </w:r>
      <w:r w:rsidRPr="00777CD1">
        <w:rPr>
          <w:sz w:val="20"/>
          <w:szCs w:val="20"/>
        </w:rPr>
        <w:t xml:space="preserve"> Derogado por el art. 145, Ley 1438 de 2011.</w:t>
      </w:r>
    </w:p>
  </w:footnote>
  <w:footnote w:id="126">
    <w:p w:rsidR="00000000" w:rsidRDefault="005D131A">
      <w:pPr>
        <w:pStyle w:val="Textonotapie"/>
      </w:pPr>
      <w:r w:rsidRPr="00777CD1">
        <w:rPr>
          <w:vertAlign w:val="superscript"/>
        </w:rPr>
        <w:footnoteRef/>
      </w:r>
      <w:r w:rsidRPr="00777CD1">
        <w:t xml:space="preserve"> </w:t>
      </w:r>
      <w:r w:rsidRPr="00777CD1">
        <w:rPr>
          <w:lang w:val="es-CO"/>
        </w:rPr>
        <w:t xml:space="preserve">Fundamento 4.4.4.4. Sentencia T-760 de 2008. </w:t>
      </w:r>
    </w:p>
  </w:footnote>
  <w:footnote w:id="127">
    <w:p w:rsidR="00000000" w:rsidRDefault="005D131A" w:rsidP="00723025">
      <w:pPr>
        <w:pStyle w:val="Textonotapie"/>
      </w:pPr>
      <w:r w:rsidRPr="006E04CD">
        <w:rPr>
          <w:vertAlign w:val="superscript"/>
        </w:rPr>
        <w:footnoteRef/>
      </w:r>
      <w:r w:rsidRPr="006E04CD">
        <w:t xml:space="preserve"> </w:t>
      </w:r>
      <w:r w:rsidRPr="006E04CD">
        <w:rPr>
          <w:i/>
          <w:lang w:val="es-CO"/>
        </w:rPr>
        <w:t xml:space="preserve">“Artículo 145. Vigencia y derogatorias. La presente ley rige a partir de la fecha de su publicación y deroga las normas que le sean contrarias, en especial los parágrafos de los artículos 171, 172, 175, 215 y 216 numeral 1 de la Ley 100 de 1993, el parágrafo del artículo 3°, el literal (c) del artículo 13, los literales (d) y </w:t>
      </w:r>
      <w:r w:rsidRPr="006E04CD">
        <w:rPr>
          <w:i/>
          <w:u w:val="single"/>
          <w:lang w:val="es-CO"/>
        </w:rPr>
        <w:t>(j) del artículo 14 de la Ley 1122 de 2007</w:t>
      </w:r>
      <w:r w:rsidRPr="006E04CD">
        <w:rPr>
          <w:i/>
          <w:lang w:val="es-CO"/>
        </w:rPr>
        <w:t xml:space="preserve">, el artículo 121 del Decreto ley 2150 de 1995, el numeral 43.4.2 del artículo 43 y los numerales 44.1.7, 44.2.3 del artículo 44 de la Ley 715 de 2001, así como los artículos relacionados con salud de Ley 1066 de 2006” </w:t>
      </w:r>
      <w:r w:rsidRPr="006E04CD">
        <w:rPr>
          <w:lang w:val="es-CO"/>
        </w:rPr>
        <w:t>(subrayado fuera de texto).</w:t>
      </w:r>
      <w:r w:rsidRPr="006E04CD">
        <w:rPr>
          <w:i/>
          <w:lang w:val="es-CO"/>
        </w:rPr>
        <w:t xml:space="preserve"> </w:t>
      </w:r>
    </w:p>
  </w:footnote>
  <w:footnote w:id="128">
    <w:p w:rsidR="00000000" w:rsidRDefault="005D131A" w:rsidP="00AF6AFE">
      <w:pPr>
        <w:pStyle w:val="Textonotapie"/>
      </w:pPr>
      <w:r>
        <w:rPr>
          <w:vertAlign w:val="superscript"/>
        </w:rPr>
        <w:footnoteRef/>
      </w:r>
      <w:r>
        <w:t xml:space="preserve"> </w:t>
      </w:r>
      <w:r>
        <w:rPr>
          <w:lang w:val="es-CO"/>
        </w:rPr>
        <w:t xml:space="preserve">Artículos 1º a 8. </w:t>
      </w:r>
    </w:p>
  </w:footnote>
  <w:footnote w:id="129">
    <w:p w:rsidR="00000000" w:rsidRDefault="005D131A">
      <w:pPr>
        <w:pStyle w:val="Textonotapie"/>
      </w:pPr>
      <w:r>
        <w:rPr>
          <w:vertAlign w:val="superscript"/>
        </w:rPr>
        <w:footnoteRef/>
      </w:r>
      <w:r>
        <w:t xml:space="preserve"> En igual sentido consultarse considerando 3.2. Auto 263 de 2012. </w:t>
      </w:r>
    </w:p>
  </w:footnote>
  <w:footnote w:id="130">
    <w:p w:rsidR="00000000" w:rsidRDefault="005D131A" w:rsidP="00884B8A">
      <w:pPr>
        <w:pStyle w:val="Textonotapie"/>
      </w:pPr>
      <w:r w:rsidRPr="006E04CD">
        <w:rPr>
          <w:vertAlign w:val="superscript"/>
        </w:rPr>
        <w:footnoteRef/>
      </w:r>
      <w:r w:rsidRPr="006E04CD">
        <w:t xml:space="preserve"> </w:t>
      </w:r>
      <w:r w:rsidRPr="006E04CD">
        <w:rPr>
          <w:i/>
        </w:rPr>
        <w:t xml:space="preserve">“Por la cual se modifica parcialmente la Resolución número 3099 de 2008”. </w:t>
      </w:r>
      <w:r w:rsidRPr="006E04CD">
        <w:rPr>
          <w:lang w:val="es-CO"/>
        </w:rPr>
        <w:t xml:space="preserve">Entró en vigencia el 2 de octubre de 2008, fecha de su publicación en el Diario Oficial 47130. </w:t>
      </w:r>
      <w:r w:rsidRPr="00075088">
        <w:rPr>
          <w:i/>
          <w:lang w:val="es-CO"/>
        </w:rPr>
        <w:t>Cfr.</w:t>
      </w:r>
      <w:r w:rsidRPr="006E04CD">
        <w:rPr>
          <w:lang w:val="es-CO"/>
        </w:rPr>
        <w:t xml:space="preserve"> Artículo 13 de la Resolución 3754 de 2008.</w:t>
      </w:r>
    </w:p>
  </w:footnote>
  <w:footnote w:id="131">
    <w:p w:rsidR="00000000" w:rsidRDefault="005D131A" w:rsidP="00884B8A">
      <w:pPr>
        <w:pStyle w:val="Textonotapie"/>
      </w:pPr>
      <w:r w:rsidRPr="006E04CD">
        <w:rPr>
          <w:vertAlign w:val="superscript"/>
        </w:rPr>
        <w:footnoteRef/>
      </w:r>
      <w:r w:rsidRPr="006E04CD">
        <w:t xml:space="preserve"> </w:t>
      </w:r>
      <w:r w:rsidRPr="006E04CD">
        <w:rPr>
          <w:i/>
        </w:rPr>
        <w:t xml:space="preserve">“Por medio de la cual se adoptan los mecanismos que permitan agilizar los trámites requeridos para la atención en salud de los eventos no incluidos en el Plan Obligatorio de Salud del Régimen Subsidiado – No POS-S de los afiliados al Régimen Subsidiado, por parte de las entidades departamentales y distritales, y municipales certificadas en salud”. </w:t>
      </w:r>
      <w:r w:rsidRPr="006E04CD">
        <w:rPr>
          <w:lang w:val="es-CO"/>
        </w:rPr>
        <w:t>Entró en vigencia el 29 de diciembre de 2008, fecha de su publicación en el Diario Oficial 47217. Cfr. Artículo 9º de la Resolución 5334 de 2008.</w:t>
      </w:r>
    </w:p>
  </w:footnote>
  <w:footnote w:id="132">
    <w:p w:rsidR="00000000" w:rsidRDefault="005D131A" w:rsidP="00884B8A">
      <w:pPr>
        <w:pStyle w:val="Textonotapie"/>
      </w:pPr>
      <w:r w:rsidRPr="006E04CD">
        <w:rPr>
          <w:vertAlign w:val="superscript"/>
        </w:rPr>
        <w:footnoteRef/>
      </w:r>
      <w:r w:rsidRPr="006E04CD">
        <w:t xml:space="preserve"> </w:t>
      </w:r>
      <w:r w:rsidRPr="003467AE">
        <w:rPr>
          <w:i/>
        </w:rPr>
        <w:t xml:space="preserve">Cfr. </w:t>
      </w:r>
      <w:r w:rsidRPr="006E04CD">
        <w:t>AZ Orden XXIII-A, folios 51 a 79.</w:t>
      </w:r>
    </w:p>
  </w:footnote>
  <w:footnote w:id="133">
    <w:p w:rsidR="00000000" w:rsidRDefault="005D131A" w:rsidP="00B95328">
      <w:pPr>
        <w:pStyle w:val="Textonotapie"/>
      </w:pPr>
      <w:r w:rsidRPr="007E37AA">
        <w:rPr>
          <w:vertAlign w:val="superscript"/>
          <w:lang w:eastAsia="x-none"/>
        </w:rPr>
        <w:footnoteRef/>
      </w:r>
      <w:r w:rsidRPr="007E37AA">
        <w:rPr>
          <w:lang w:eastAsia="x-none"/>
        </w:rPr>
        <w:t xml:space="preserve"> </w:t>
      </w:r>
      <w:bookmarkStart w:id="1" w:name="BM91"/>
      <w:r w:rsidRPr="007E37AA">
        <w:rPr>
          <w:lang w:eastAsia="x-none"/>
        </w:rPr>
        <w:t>Código de Procedimiento Administrativo y de lo Contencioso Administrativo - Ley 1437 de 2011 art. 91: </w:t>
      </w:r>
      <w:bookmarkEnd w:id="1"/>
      <w:r w:rsidRPr="007E37AA">
        <w:rPr>
          <w:i/>
          <w:lang w:eastAsia="x-none"/>
        </w:rPr>
        <w:t xml:space="preserve">“Salvo norma expresa en contrario, los actos administrativos en firme serán obligatorios mientras no hayan sido anulados por </w:t>
      </w:r>
      <w:smartTag w:uri="urn:schemas-microsoft-com:office:smarttags" w:element="PersonName">
        <w:smartTagPr>
          <w:attr w:name="ProductID" w:val="la Jurisdicción"/>
        </w:smartTagPr>
        <w:r w:rsidRPr="007E37AA">
          <w:rPr>
            <w:i/>
            <w:lang w:eastAsia="x-none"/>
          </w:rPr>
          <w:t>la Jurisdicción</w:t>
        </w:r>
      </w:smartTag>
      <w:r w:rsidRPr="007E37AA">
        <w:rPr>
          <w:i/>
          <w:lang w:eastAsia="x-none"/>
        </w:rPr>
        <w:t xml:space="preserve"> de lo Contencioso Administrativo. Perderán obligatoriedad y, por lo tanto, no podrán ser ejecutados en los siguientes casos: (…) 2. Cuando desaparezcan sus fundamentos de hecho o de derecho.”</w:t>
      </w:r>
    </w:p>
  </w:footnote>
  <w:footnote w:id="134">
    <w:p w:rsidR="00000000" w:rsidRDefault="005D131A" w:rsidP="00134554">
      <w:pPr>
        <w:pStyle w:val="Textonotapie"/>
      </w:pPr>
      <w:r w:rsidRPr="00447B14">
        <w:rPr>
          <w:sz w:val="19"/>
          <w:szCs w:val="19"/>
          <w:vertAlign w:val="superscript"/>
        </w:rPr>
        <w:footnoteRef/>
      </w:r>
      <w:r w:rsidRPr="00447B14">
        <w:rPr>
          <w:i/>
          <w:sz w:val="19"/>
          <w:szCs w:val="19"/>
        </w:rPr>
        <w:t>“Por la cual se reglamentan los Comités Técnico - Científicos y se establece el procedimiento de recobro ante el Fondo de Solidaridad y Garantía, Fosyga, por concepto de suministro de medicamentos, servicios médicos y prestaciones de salud no incluidos en el Plan Obligatorio de Salud, POS, autorizados por Comité Técnico-Científico y por fallos de tutela”</w:t>
      </w:r>
      <w:r w:rsidRPr="00447B14">
        <w:rPr>
          <w:sz w:val="19"/>
          <w:szCs w:val="19"/>
        </w:rPr>
        <w:t xml:space="preserve">. </w:t>
      </w:r>
    </w:p>
  </w:footnote>
  <w:footnote w:id="135">
    <w:p w:rsidR="005D131A" w:rsidRPr="00447B14" w:rsidRDefault="005D131A" w:rsidP="00075088">
      <w:pPr>
        <w:pStyle w:val="Textonotapie"/>
        <w:rPr>
          <w:sz w:val="19"/>
          <w:szCs w:val="19"/>
        </w:rPr>
      </w:pPr>
      <w:r w:rsidRPr="00447B14">
        <w:rPr>
          <w:sz w:val="19"/>
          <w:szCs w:val="19"/>
          <w:vertAlign w:val="superscript"/>
        </w:rPr>
        <w:footnoteRef/>
      </w:r>
      <w:r w:rsidRPr="00447B14">
        <w:rPr>
          <w:sz w:val="19"/>
          <w:szCs w:val="19"/>
        </w:rPr>
        <w:t xml:space="preserve"> “</w:t>
      </w:r>
      <w:r w:rsidRPr="00447B14">
        <w:rPr>
          <w:b/>
          <w:sz w:val="19"/>
          <w:szCs w:val="19"/>
        </w:rPr>
        <w:t>Artículo 1°. Integración de los Comités Técnico-Científicos.</w:t>
      </w:r>
      <w:r w:rsidRPr="00447B14">
        <w:rPr>
          <w:sz w:val="19"/>
          <w:szCs w:val="19"/>
        </w:rPr>
        <w:t xml:space="preserve"> Las entidades administradoras de planes de beneficios, integrarán un Comité Técnico-Científico, CTC, que estará conformado por un (1) representante de la entidad administradora de planes de beneficios, según corresponda, un (1) representante de las Instituciones Prestadoras de Salud, IPS, y un (1) representante de los usuarios, que tendrá las funciones que se señalan en la presente resolución.</w:t>
      </w:r>
    </w:p>
    <w:p w:rsidR="005D131A" w:rsidRPr="00447B14" w:rsidRDefault="005D131A" w:rsidP="00075088">
      <w:pPr>
        <w:pStyle w:val="Textonotapie"/>
        <w:rPr>
          <w:sz w:val="19"/>
          <w:szCs w:val="19"/>
        </w:rPr>
      </w:pPr>
      <w:r w:rsidRPr="00447B14">
        <w:rPr>
          <w:sz w:val="19"/>
          <w:szCs w:val="19"/>
        </w:rPr>
        <w:t>En las IPS funcionarán los Comités de Farmacia y Terapéutica y un miembro de ellos será el representante de las IPS ante el Comité Técnico-Científico.</w:t>
      </w:r>
    </w:p>
    <w:p w:rsidR="005D131A" w:rsidRPr="00447B14" w:rsidRDefault="005D131A" w:rsidP="00075088">
      <w:pPr>
        <w:pStyle w:val="Textonotapie"/>
        <w:rPr>
          <w:sz w:val="19"/>
          <w:szCs w:val="19"/>
        </w:rPr>
      </w:pPr>
      <w:r w:rsidRPr="00447B14">
        <w:rPr>
          <w:sz w:val="19"/>
          <w:szCs w:val="19"/>
        </w:rPr>
        <w:t>Los Comités Técnico-Científicos deberán integrarse en cada departamento y distrito donde estas entidades hayan sido autorizadas para funcionar por la Superintendencia Nacional de Salud. En todo caso, deberán garantizar la oportunidad y la facilidad de acceso de los afiliados al Comité.</w:t>
      </w:r>
    </w:p>
    <w:p w:rsidR="00000000" w:rsidRDefault="005D131A" w:rsidP="00075088">
      <w:pPr>
        <w:pStyle w:val="Textonotapie"/>
      </w:pPr>
      <w:r w:rsidRPr="00447B14">
        <w:rPr>
          <w:sz w:val="19"/>
          <w:szCs w:val="19"/>
        </w:rPr>
        <w:t xml:space="preserve">El representante legal de cada una de las entidades administradoras de planes de beneficios, deberá reportar en debida forma a la Superintendencia Nacional de Salud el acta de conformación de los Comités, identificando sus integrantes. Así mismo, deberán reportar las sustituciones que se produzcan, identificando de la misma manera a los nuevos integrantes”. </w:t>
      </w:r>
    </w:p>
  </w:footnote>
  <w:footnote w:id="136">
    <w:p w:rsidR="005D131A" w:rsidRPr="00447B14" w:rsidRDefault="005D131A" w:rsidP="00075088">
      <w:pPr>
        <w:pStyle w:val="Textonotapie"/>
        <w:rPr>
          <w:sz w:val="19"/>
          <w:szCs w:val="19"/>
        </w:rPr>
      </w:pPr>
      <w:r w:rsidRPr="00447B14">
        <w:rPr>
          <w:sz w:val="19"/>
          <w:szCs w:val="19"/>
          <w:vertAlign w:val="superscript"/>
        </w:rPr>
        <w:footnoteRef/>
      </w:r>
      <w:r w:rsidRPr="00447B14">
        <w:rPr>
          <w:sz w:val="19"/>
          <w:szCs w:val="19"/>
        </w:rPr>
        <w:t xml:space="preserve"> “</w:t>
      </w:r>
      <w:r w:rsidRPr="00447B14">
        <w:rPr>
          <w:b/>
          <w:sz w:val="19"/>
          <w:szCs w:val="19"/>
        </w:rPr>
        <w:t>Artículo 2°. Requisitos de los miembros del Comité.</w:t>
      </w:r>
      <w:r w:rsidRPr="00447B14">
        <w:rPr>
          <w:sz w:val="19"/>
          <w:szCs w:val="19"/>
        </w:rPr>
        <w:t xml:space="preserve"> El representante de la entidad administradora de planes de beneficios, deberá ser médico con experiencia comprobada de mínimo dos (2) años en el ejercicio profesional.</w:t>
      </w:r>
    </w:p>
    <w:p w:rsidR="00000000" w:rsidRDefault="005D131A" w:rsidP="00075088">
      <w:pPr>
        <w:pStyle w:val="Textonotapie"/>
      </w:pPr>
      <w:r w:rsidRPr="00447B14">
        <w:rPr>
          <w:sz w:val="19"/>
          <w:szCs w:val="19"/>
        </w:rPr>
        <w:t>Los representantes que conforman los Comités Técnico-Científicos deberán presentar una carta de compromiso en la cual manifiesten que a partir del momento de la aceptación del cargo y hasta su retiro, no recibirán ningún tipo de beneficios de compañías productoras y/o distribuidoras de medicamentos, insumos y/o dispositivos. Igualmente, los representantes del Comité no podrán ser representantes legales, miembros de Junta Directiva, administradores y/o socios o tener vínculo laboral o contractual con compañías productoras y/o distribuidoras de medicamentos, insumos y/o dispositivos. El representante de los usuarios no podrá ser empleado de la entidad administradora de planes de beneficios ni de sus filiales”.</w:t>
      </w:r>
    </w:p>
  </w:footnote>
  <w:footnote w:id="137">
    <w:p w:rsidR="005D131A" w:rsidRPr="00447B14" w:rsidRDefault="005D131A" w:rsidP="00075088">
      <w:pPr>
        <w:pStyle w:val="Textonotapie"/>
        <w:rPr>
          <w:sz w:val="19"/>
          <w:szCs w:val="19"/>
        </w:rPr>
      </w:pPr>
      <w:r w:rsidRPr="00447B14">
        <w:rPr>
          <w:sz w:val="19"/>
          <w:szCs w:val="19"/>
          <w:vertAlign w:val="superscript"/>
        </w:rPr>
        <w:footnoteRef/>
      </w:r>
      <w:r w:rsidRPr="00447B14">
        <w:rPr>
          <w:sz w:val="19"/>
          <w:szCs w:val="19"/>
        </w:rPr>
        <w:t xml:space="preserve"> “</w:t>
      </w:r>
      <w:r w:rsidRPr="00447B14">
        <w:rPr>
          <w:b/>
          <w:sz w:val="19"/>
          <w:szCs w:val="19"/>
        </w:rPr>
        <w:t>Artículo 3°. Elección de los representantes.</w:t>
      </w:r>
      <w:r w:rsidRPr="00447B14">
        <w:rPr>
          <w:sz w:val="19"/>
          <w:szCs w:val="19"/>
        </w:rPr>
        <w:t xml:space="preserve"> Las entidades administradoras de planes de beneficios deberán realizar una convocatoria abierta entre sus prestadores de servicios de salud, asociaciones de usuarios o usuarios, que permita la selección objetiva de los representantes en el Comité, garantizando la participación democrática de las entidades y los usuarios.</w:t>
      </w:r>
    </w:p>
    <w:p w:rsidR="00000000" w:rsidRDefault="005D131A" w:rsidP="00075088">
      <w:pPr>
        <w:pStyle w:val="Textonotapie"/>
      </w:pPr>
      <w:r w:rsidRPr="00447B14">
        <w:rPr>
          <w:sz w:val="19"/>
          <w:szCs w:val="19"/>
        </w:rPr>
        <w:t>Parágrafo. Los miembros del Comité serán escogidos con sus respectivos suplentes para un período de dos (2) años, pudiendo ser seleccionados nuevamente para los períodos subsiguientes. En caso de ausencia definitiva de alguno de los miembros, las entidades administradoras de planes de beneficios deberán designar su reemplazo en un término no mayor a un (1) mes calendario, contado a partir de la fecha en que se produzca la ausencia definitiva, con la respectiva notificación a la Superintendencia Nacional de Salud”.</w:t>
      </w:r>
    </w:p>
  </w:footnote>
  <w:footnote w:id="138">
    <w:p w:rsidR="005D131A" w:rsidRPr="00447B14" w:rsidRDefault="005D131A" w:rsidP="007D2BE7">
      <w:pPr>
        <w:pStyle w:val="Textonotapie"/>
        <w:rPr>
          <w:sz w:val="19"/>
          <w:szCs w:val="19"/>
        </w:rPr>
      </w:pPr>
      <w:r w:rsidRPr="00447B14">
        <w:rPr>
          <w:sz w:val="19"/>
          <w:szCs w:val="19"/>
          <w:vertAlign w:val="superscript"/>
        </w:rPr>
        <w:footnoteRef/>
      </w:r>
      <w:r w:rsidRPr="00447B14">
        <w:rPr>
          <w:sz w:val="19"/>
          <w:szCs w:val="19"/>
        </w:rPr>
        <w:t xml:space="preserve"> “</w:t>
      </w:r>
      <w:r w:rsidRPr="00447B14">
        <w:rPr>
          <w:b/>
          <w:sz w:val="19"/>
          <w:szCs w:val="19"/>
        </w:rPr>
        <w:t>Artículo 4°. Funciones.</w:t>
      </w:r>
      <w:r w:rsidRPr="00447B14">
        <w:rPr>
          <w:sz w:val="19"/>
          <w:szCs w:val="19"/>
        </w:rPr>
        <w:t xml:space="preserve"> El Comité Técnico-Científico tendrá las siguientes funciones:</w:t>
      </w:r>
    </w:p>
    <w:p w:rsidR="005D131A" w:rsidRPr="00447B14" w:rsidRDefault="005D131A" w:rsidP="007D2BE7">
      <w:pPr>
        <w:pStyle w:val="Textonotapie"/>
        <w:rPr>
          <w:sz w:val="19"/>
          <w:szCs w:val="19"/>
        </w:rPr>
      </w:pPr>
      <w:r w:rsidRPr="00447B14">
        <w:rPr>
          <w:sz w:val="19"/>
          <w:szCs w:val="19"/>
        </w:rPr>
        <w:t>1. Evaluar, aprobar o desaprobar las prescripciones u órdenes médicas presentadas por los médicos tratantes de los afiliados, de los medicamentos y demás servicios médicos y prestaciones de salud por fuera del Manual Vigente de Medicamentos del Plan Obligatorio de Salud como en el Manual Vigente de Actividades, Intervenciones y Procedimientos del Sistema General de Seguridad Social en Salud manual listado de medicamentos del Plan Obligatorio de Salud, POS.</w:t>
      </w:r>
    </w:p>
    <w:p w:rsidR="005D131A" w:rsidRPr="00447B14" w:rsidRDefault="005D131A" w:rsidP="007D2BE7">
      <w:pPr>
        <w:pStyle w:val="Textonotapie"/>
        <w:rPr>
          <w:sz w:val="19"/>
          <w:szCs w:val="19"/>
        </w:rPr>
      </w:pPr>
      <w:r w:rsidRPr="00447B14">
        <w:rPr>
          <w:sz w:val="19"/>
          <w:szCs w:val="19"/>
        </w:rPr>
        <w:t>2. Justificar técnicamente las decisiones adoptadas, teniendo en cuenta la pertinencia con relación al o los diagnósticos del paciente, para lo cual se elaborarán y suscribirán las respectivas actas.</w:t>
      </w:r>
    </w:p>
    <w:p w:rsidR="00000000" w:rsidRDefault="005D131A" w:rsidP="007D2BE7">
      <w:pPr>
        <w:pStyle w:val="Textonotapie"/>
      </w:pPr>
      <w:r w:rsidRPr="00447B14">
        <w:rPr>
          <w:sz w:val="19"/>
          <w:szCs w:val="19"/>
        </w:rPr>
        <w:t>3. Realizar y remitir al Ministerio, informes trimestrales de los casos autorizados y negados”.</w:t>
      </w:r>
    </w:p>
  </w:footnote>
  <w:footnote w:id="139">
    <w:p w:rsidR="005D131A" w:rsidRPr="00447B14" w:rsidRDefault="005D131A" w:rsidP="007D2BE7">
      <w:pPr>
        <w:pStyle w:val="Textonotapie"/>
        <w:rPr>
          <w:sz w:val="19"/>
          <w:szCs w:val="19"/>
        </w:rPr>
      </w:pPr>
      <w:r w:rsidRPr="00447B14">
        <w:rPr>
          <w:sz w:val="19"/>
          <w:szCs w:val="19"/>
          <w:vertAlign w:val="superscript"/>
        </w:rPr>
        <w:footnoteRef/>
      </w:r>
      <w:r w:rsidRPr="00447B14">
        <w:rPr>
          <w:sz w:val="19"/>
          <w:szCs w:val="19"/>
        </w:rPr>
        <w:t xml:space="preserve"> “</w:t>
      </w:r>
      <w:r w:rsidRPr="00447B14">
        <w:rPr>
          <w:b/>
          <w:sz w:val="19"/>
          <w:szCs w:val="19"/>
        </w:rPr>
        <w:t>Artículo 5°. Reuniones.</w:t>
      </w:r>
      <w:r w:rsidRPr="00447B14">
        <w:rPr>
          <w:sz w:val="19"/>
          <w:szCs w:val="19"/>
        </w:rPr>
        <w:t xml:space="preserve"> El Comité Técnico-Científico se reunirá con la periodicidad requerida para tramitar oportunamente las solicitudes referentes a sus funciones y por lo menos una (1) vez a la semana. De sus decisiones se dejará constancia en un libro de actas debidamente suscritas por los miembros del Comité y foliado, anexando los soportes utilizados como base de la decisión. Cuando no existan casos para someter a consideración del Comité, se dejará la respectiva constancia en el libro de actas.</w:t>
      </w:r>
    </w:p>
    <w:p w:rsidR="00000000" w:rsidRDefault="005D131A" w:rsidP="007D2BE7">
      <w:pPr>
        <w:pStyle w:val="Textonotapie"/>
      </w:pPr>
      <w:r w:rsidRPr="00447B14">
        <w:rPr>
          <w:sz w:val="19"/>
          <w:szCs w:val="19"/>
        </w:rPr>
        <w:t>Las actas que se generen de las reuniones del Comité deberán estar a disposición del Ministerio de la Protección Social y de la Superintendencia Nacional de Salud en el momento en que estas las requieran”.</w:t>
      </w:r>
    </w:p>
  </w:footnote>
  <w:footnote w:id="140">
    <w:p w:rsidR="005D131A" w:rsidRPr="00447B14" w:rsidRDefault="005D131A" w:rsidP="007D2BE7">
      <w:pPr>
        <w:pStyle w:val="Textonotapie"/>
        <w:rPr>
          <w:sz w:val="19"/>
          <w:szCs w:val="19"/>
        </w:rPr>
      </w:pPr>
      <w:r w:rsidRPr="00447B14">
        <w:rPr>
          <w:sz w:val="19"/>
          <w:szCs w:val="19"/>
          <w:vertAlign w:val="superscript"/>
        </w:rPr>
        <w:footnoteRef/>
      </w:r>
      <w:r w:rsidRPr="00447B14">
        <w:rPr>
          <w:sz w:val="19"/>
          <w:szCs w:val="19"/>
        </w:rPr>
        <w:t xml:space="preserve"> “</w:t>
      </w:r>
      <w:r w:rsidRPr="00447B14">
        <w:rPr>
          <w:b/>
          <w:sz w:val="19"/>
          <w:szCs w:val="19"/>
        </w:rPr>
        <w:t>Artículo 6°. Criterios para la evaluación, aprobación o desaprobación.</w:t>
      </w:r>
      <w:r w:rsidRPr="00447B14">
        <w:rPr>
          <w:sz w:val="19"/>
          <w:szCs w:val="19"/>
        </w:rPr>
        <w:t xml:space="preserve"> El Comité Técnico-Científico deberá tener en cuenta para la evaluación, aprobación o desaprobación de los medicamentos y demás servicios médicos y prestaciones de salud, no incluidos tanto en el Manual de Medicamentos, como en el Manual de actividades, intervenciones y procedimientos del Plan Obligatorio de Salud, los siguientes criterios:</w:t>
      </w:r>
    </w:p>
    <w:p w:rsidR="005D131A" w:rsidRPr="00447B14" w:rsidRDefault="005D131A" w:rsidP="007D2BE7">
      <w:pPr>
        <w:pStyle w:val="Textonotapie"/>
        <w:rPr>
          <w:sz w:val="19"/>
          <w:szCs w:val="19"/>
        </w:rPr>
      </w:pPr>
      <w:r w:rsidRPr="00447B14">
        <w:rPr>
          <w:sz w:val="19"/>
          <w:szCs w:val="19"/>
        </w:rPr>
        <w:t>a) La prescripción de medicamentos y demás servicios médicos y prestaciones de salud, no incluidos en el Manual de Medicamentos del Plan Obligatorio de Salud solo podrá realizarse por el personal autorizado de la entidad administradora de planes de beneficios. No se tendrán como válidas transcripciones de prescripciones de profesionales que no pertenezcan a la red de servicios de cada una de ellas;</w:t>
      </w:r>
    </w:p>
    <w:p w:rsidR="005D131A" w:rsidRPr="00447B14" w:rsidRDefault="005D131A" w:rsidP="007D2BE7">
      <w:pPr>
        <w:pStyle w:val="Textonotapie"/>
        <w:rPr>
          <w:sz w:val="19"/>
          <w:szCs w:val="19"/>
        </w:rPr>
      </w:pPr>
      <w:r w:rsidRPr="00447B14">
        <w:rPr>
          <w:sz w:val="19"/>
          <w:szCs w:val="19"/>
        </w:rPr>
        <w:t>b) Solo podrán prescribirse medicamentos, servicios médicos y prestaciones de salud que se encuentren debidamente autorizados para su uso y ejecución o realización por las respectivas normas vigente en el país como las expedidas por el Invima y las referentes a la habilitación de servicios en el Sistema de Garantía de la Calidad de los servicios de salud;</w:t>
      </w:r>
    </w:p>
    <w:p w:rsidR="005D131A" w:rsidRPr="00447B14" w:rsidRDefault="005D131A" w:rsidP="007D2BE7">
      <w:pPr>
        <w:pStyle w:val="Textonotapie"/>
        <w:rPr>
          <w:sz w:val="19"/>
          <w:szCs w:val="19"/>
        </w:rPr>
      </w:pPr>
      <w:r w:rsidRPr="00447B14">
        <w:rPr>
          <w:sz w:val="19"/>
          <w:szCs w:val="19"/>
        </w:rPr>
        <w:t>c) La prescripción de los medicamentos y/o servicios médicos y prestaciones de salud, será consecuencia de haber utilizado, agotado o descartado las posibilidades técnicas y científicas para la promoción, prevención, diagnóstico, tratamiento y rehabilitación de la enfermedad contenidas tanto en el Manual Vigente de Medicamentos del Plan Obligatorio de Salud como en el Manual Vigente de Actividades, Intervenciones y Procedimientos del Sistema General de Seguridad Social en Salud, sin obtener resultado clínico o paraclínico satisfactorio en el término previsto de sus indicaciones o de prever u observar reacciones adversas o intolerancia por el paciente o porque existan indicaciones o contraindicaciones expresas. De lo anterior se deberá dejar constancia en la historia clínica;</w:t>
      </w:r>
    </w:p>
    <w:p w:rsidR="005D131A" w:rsidRPr="00447B14" w:rsidRDefault="005D131A" w:rsidP="007D2BE7">
      <w:pPr>
        <w:pStyle w:val="Textonotapie"/>
        <w:rPr>
          <w:sz w:val="19"/>
          <w:szCs w:val="19"/>
        </w:rPr>
      </w:pPr>
      <w:r w:rsidRPr="00447B14">
        <w:rPr>
          <w:sz w:val="19"/>
          <w:szCs w:val="19"/>
        </w:rPr>
        <w:t>d) Debe existir un riesgo inminente para la vida o salud del paciente, lo cual debe ser demostrable y constar en la historia clínica respectiva.</w:t>
      </w:r>
    </w:p>
    <w:p w:rsidR="00000000" w:rsidRDefault="005D131A" w:rsidP="007D2BE7">
      <w:pPr>
        <w:pStyle w:val="Textonotapie"/>
      </w:pPr>
      <w:r w:rsidRPr="00447B14">
        <w:rPr>
          <w:sz w:val="19"/>
          <w:szCs w:val="19"/>
        </w:rPr>
        <w:t>Parágrafo. En ningún caso el Comité Técnico-Científico podrá aprobar tratamientos experimentales ni aquellos medicamentos que se prescriban para la atención de las actividades, procedimientos e intervenciones que se encuentren expresamente excluidos de los Planes de Beneficios conforme al artículo 13 y 18 de la Resolución 5261 de 1994 y demás normas que la adicionen, modifiquen o deroguen.</w:t>
      </w:r>
    </w:p>
  </w:footnote>
  <w:footnote w:id="141">
    <w:p w:rsidR="005D131A" w:rsidRPr="00447B14" w:rsidRDefault="005D131A" w:rsidP="007D2BE7">
      <w:pPr>
        <w:pStyle w:val="Textonotapie"/>
        <w:rPr>
          <w:sz w:val="19"/>
          <w:szCs w:val="19"/>
        </w:rPr>
      </w:pPr>
      <w:r w:rsidRPr="00447B14">
        <w:rPr>
          <w:sz w:val="19"/>
          <w:szCs w:val="19"/>
          <w:vertAlign w:val="superscript"/>
        </w:rPr>
        <w:footnoteRef/>
      </w:r>
      <w:r w:rsidRPr="00447B14">
        <w:rPr>
          <w:sz w:val="19"/>
          <w:szCs w:val="19"/>
        </w:rPr>
        <w:t xml:space="preserve"> “</w:t>
      </w:r>
      <w:r w:rsidRPr="00447B14">
        <w:rPr>
          <w:b/>
          <w:sz w:val="19"/>
          <w:szCs w:val="19"/>
        </w:rPr>
        <w:t>Artículo 7°. Procedimiento para la evaluación, aprobación y desaprobación.</w:t>
      </w:r>
      <w:r w:rsidRPr="00447B14">
        <w:rPr>
          <w:sz w:val="19"/>
          <w:szCs w:val="19"/>
        </w:rPr>
        <w:t xml:space="preserve"> Modificado por el art. 7, Resolución Min. Protección 3086 de 2012. Las prescripciones u órdenes médicas deberán ser presentadas al Comité por el médico tratante y se tramitarán conforme al siguiente procedimiento:</w:t>
      </w:r>
    </w:p>
    <w:p w:rsidR="005D131A" w:rsidRPr="00447B14" w:rsidRDefault="005D131A" w:rsidP="007D2BE7">
      <w:pPr>
        <w:pStyle w:val="Textonotapie"/>
        <w:rPr>
          <w:sz w:val="19"/>
          <w:szCs w:val="19"/>
        </w:rPr>
      </w:pPr>
      <w:r w:rsidRPr="00447B14">
        <w:rPr>
          <w:sz w:val="19"/>
          <w:szCs w:val="19"/>
        </w:rPr>
        <w:t>a) La o las prescripciones u órdenes médicas y justificación en caso de ser un medicamento no incluido en el Manual de Medicamentos del Plan Obligatorio de Salud, POS, será presentada y debidamente sustentadas por escrito por el médico tratante adjuntando la epicrisis o resumen de historia clínica del paciente, el nombre del medicamento en su denominación común internacional, identificar su grupo terapéutico, principio(s) activo(s) individuales o combinados, concentración, forma farmacéutica, número de días/tratamiento, número de dosis/día y cantidad autorizada del medicamento solicitado y el nombre del medicamento en su denominación común internacional del medicamento o de los medicamentos incluidos en el Plan Obligatorio de Salud del mismo grupo terapéutico que se remplazan o sustituyen, con la descripción de su principio(s) activo(s), concentración y forma farmacéutica, y el número de días/tratamiento y dosis equivalentes al medicamento autorizado, y si es necesario, la información sobre resultados de ayudas diagnósticas, información bibliográfica, situaciones clínicas particulares y casuística;</w:t>
      </w:r>
    </w:p>
    <w:p w:rsidR="005D131A" w:rsidRPr="00447B14" w:rsidRDefault="005D131A" w:rsidP="007D2BE7">
      <w:pPr>
        <w:pStyle w:val="Textonotapie"/>
        <w:rPr>
          <w:sz w:val="19"/>
          <w:szCs w:val="19"/>
        </w:rPr>
      </w:pPr>
      <w:r w:rsidRPr="00447B14">
        <w:rPr>
          <w:sz w:val="19"/>
          <w:szCs w:val="19"/>
        </w:rPr>
        <w:t>b) La o las prescripciones u órdenes médicas y justificación en caso de ser un servicio médico o prestación de salud no incluido en el Plan Obligatorio de Salud, POS, será presentada y debidamente sustentada por escrito por el médico tratante adjuntando la epicris:s o resumen de historia clínica del paciente y la identificación del o los servicios médicos y prestaciones de salud incluidos en el Plan Obligatorio de Salud, que se remplazan o sustituyen, equivalentes al o los servicios médicos y prestaciones de salud autorizados, y si es necesario, la información sobre resultados de ayudas diagnósticas, información bibliográfica, situaciones clínicas particulares y casuística;</w:t>
      </w:r>
    </w:p>
    <w:p w:rsidR="005D131A" w:rsidRPr="00447B14" w:rsidRDefault="005D131A" w:rsidP="007D2BE7">
      <w:pPr>
        <w:pStyle w:val="Textonotapie"/>
        <w:rPr>
          <w:sz w:val="19"/>
          <w:szCs w:val="19"/>
        </w:rPr>
      </w:pPr>
      <w:r w:rsidRPr="00447B14">
        <w:rPr>
          <w:sz w:val="19"/>
          <w:szCs w:val="19"/>
        </w:rPr>
        <w:t>c) El Comité, dentro de la siguiente sesión a la presentación de la o las prescripciones u órdenes médicas y justificación por parte del médico tratante, deberá establecer su pertinencia y decidir sobre la petición presentada mediante la elaboración de la respectiva acta;</w:t>
      </w:r>
    </w:p>
    <w:p w:rsidR="005D131A" w:rsidRPr="00447B14" w:rsidRDefault="005D131A" w:rsidP="007D2BE7">
      <w:pPr>
        <w:pStyle w:val="Textonotapie"/>
        <w:rPr>
          <w:sz w:val="19"/>
          <w:szCs w:val="19"/>
        </w:rPr>
      </w:pPr>
      <w:r w:rsidRPr="00447B14">
        <w:rPr>
          <w:sz w:val="19"/>
          <w:szCs w:val="19"/>
        </w:rPr>
        <w:t>d) Si se requiere allegar información o documentación adicional, en la misma sesión, el Comité la solicitará al médico tratante, quien debe suministrarla dentro de los dos (2) días siguientes. Así mismo, si se requiere conceptos adicionales al emitido por el médico tratante, se solicitarán entre profesionales de la salud de la misma especialidad en el término anteriormente establecido. El Comité, dentro de la semana siguiente, deberá decidir sobre la autorización o negación de la petición formulada;</w:t>
      </w:r>
    </w:p>
    <w:p w:rsidR="005D131A" w:rsidRPr="00447B14" w:rsidRDefault="005D131A" w:rsidP="007D2BE7">
      <w:pPr>
        <w:pStyle w:val="Textonotapie"/>
        <w:rPr>
          <w:sz w:val="19"/>
          <w:szCs w:val="19"/>
        </w:rPr>
      </w:pPr>
      <w:r w:rsidRPr="00447B14">
        <w:rPr>
          <w:sz w:val="19"/>
          <w:szCs w:val="19"/>
        </w:rPr>
        <w:t>e) El Comité podrá autorizar tratamientos ambulatorios hasta por un máximo de tres (3) meses, tiempo que se considera pertinente para que el Comité Técnico-Científico nuevamente analice el caso y si la respuesta al tratamiento es favorable, determine la periodicidad con la que se continuará autorizando y suministrando el medicamento, el que en ningún caso podrá ser por tiempo indefinido.</w:t>
      </w:r>
    </w:p>
    <w:p w:rsidR="005D131A" w:rsidRPr="00447B14" w:rsidRDefault="005D131A" w:rsidP="007D2BE7">
      <w:pPr>
        <w:pStyle w:val="Textonotapie"/>
        <w:rPr>
          <w:sz w:val="19"/>
          <w:szCs w:val="19"/>
        </w:rPr>
      </w:pPr>
      <w:r w:rsidRPr="00447B14">
        <w:rPr>
          <w:sz w:val="19"/>
          <w:szCs w:val="19"/>
        </w:rPr>
        <w:t>Para el caso de pacientes con tratamientos crónicos a los cuales y después de haber realizado el proceso antes mencionado se les determine un tiempo de tratamiento definitivo para el manejo de su patología, los períodos de autorización podrán ser superiores a tres (3) meses y hasta por un (1) año, en cuyo caso el Comité Técnico-Científico deberá hacer la evaluación por lo menos una (1) vez al año y determinar la continuidad o suspensión del tratamiento.</w:t>
      </w:r>
    </w:p>
    <w:p w:rsidR="005D131A" w:rsidRPr="00447B14" w:rsidRDefault="005D131A" w:rsidP="007D2BE7">
      <w:pPr>
        <w:pStyle w:val="Textonotapie"/>
        <w:rPr>
          <w:sz w:val="19"/>
          <w:szCs w:val="19"/>
        </w:rPr>
      </w:pPr>
      <w:r w:rsidRPr="00447B14">
        <w:rPr>
          <w:sz w:val="19"/>
          <w:szCs w:val="19"/>
        </w:rPr>
        <w:t>Una vez autorizado por parte del Comité Técnico-Científico el medicamento, servicio médico o prestación de salud no incluido en el Manual Vigente de Medicamentos del Plan Obligatorio de Salud o en el Manual Vigente de Actividades, Intervenciones y Procedimientos del Sistema General de Seguridad Social en Salud, la entidad administradora de planes de beneficios deberá garantizar el suministro del medicamento, servicio médico o prestación de salud al usuario y tendrá la posibilidad de solicitar el recobro correspondiente ante el Fosyga, de conformidad con lo establecido en la presente resolución. En el caso de las Entidades Promotoras de Salud del Régimen Subsidiado, deberán presentar el recobro ante las entidades territoriales competentes.</w:t>
      </w:r>
    </w:p>
    <w:p w:rsidR="005D131A" w:rsidRPr="00447B14" w:rsidRDefault="005D131A" w:rsidP="007D2BE7">
      <w:pPr>
        <w:pStyle w:val="Textonotapie"/>
        <w:rPr>
          <w:sz w:val="19"/>
          <w:szCs w:val="19"/>
        </w:rPr>
      </w:pPr>
      <w:r w:rsidRPr="00447B14">
        <w:rPr>
          <w:sz w:val="19"/>
          <w:szCs w:val="19"/>
        </w:rPr>
        <w:t>Artículo 8°. Excepciones. En situaciones de urgencia manifiesta, es decir, cuando esté en riesgo la vida del paciente, no aplicará el procedimiento para la autorización previsto en la presente resolución, teniendo el médico tratante la posibilidad de decidir sobre el medicamento, servicio médico o prestación de salud a utilizar, previa verificación del cumplimiento de los criterios de autorización establecidos en la presente resolución.</w:t>
      </w:r>
    </w:p>
    <w:p w:rsidR="00000000" w:rsidRDefault="005D131A" w:rsidP="007D2BE7">
      <w:pPr>
        <w:pStyle w:val="Textonotapie"/>
      </w:pPr>
      <w:r w:rsidRPr="00447B14">
        <w:rPr>
          <w:sz w:val="19"/>
          <w:szCs w:val="19"/>
        </w:rPr>
        <w:t>Sin perjuicio de lo anterior, el médico tratante deberá presentar el caso ante el Comité Técnico-Científico en cualquiera de las dos (2) sesiones siguientes a la ocurrencia del hecho, quien, mediante un análisis del caso, confirmará o no la decisión adoptada y autorizará la continuidad en el suministro del medicamento, servicio médico o prestación de salud si es del caso”.</w:t>
      </w:r>
    </w:p>
  </w:footnote>
  <w:footnote w:id="142">
    <w:p w:rsidR="00000000" w:rsidRDefault="005D131A" w:rsidP="0074403D">
      <w:pPr>
        <w:pStyle w:val="Textonotapie"/>
      </w:pPr>
      <w:r w:rsidRPr="006E04CD">
        <w:rPr>
          <w:vertAlign w:val="superscript"/>
        </w:rPr>
        <w:footnoteRef/>
      </w:r>
      <w:r w:rsidRPr="006E04CD">
        <w:t xml:space="preserve"> </w:t>
      </w:r>
      <w:r w:rsidRPr="003467AE">
        <w:rPr>
          <w:i/>
          <w:lang w:val="es-CO"/>
        </w:rPr>
        <w:t>Cfr.</w:t>
      </w:r>
      <w:r w:rsidRPr="006E04CD">
        <w:rPr>
          <w:lang w:val="es-CO"/>
        </w:rPr>
        <w:t xml:space="preserve"> Consejo de Estado, Sala de lo Contencioso Administrativo, Sección Primera. Exp. 2008-000369-00. Según consulta efectuada el 10 de marzo del año en curso, desde el 9 de diciembre de 2014 el proceso se encuentra en despacho para fallo. </w:t>
      </w:r>
    </w:p>
  </w:footnote>
  <w:footnote w:id="143">
    <w:p w:rsidR="00000000" w:rsidRDefault="005D131A" w:rsidP="00291764">
      <w:pPr>
        <w:pStyle w:val="Textonotapie"/>
      </w:pPr>
      <w:r w:rsidRPr="006E04CD">
        <w:rPr>
          <w:vertAlign w:val="superscript"/>
        </w:rPr>
        <w:footnoteRef/>
      </w:r>
      <w:r w:rsidRPr="006E04CD">
        <w:t xml:space="preserve"> </w:t>
      </w:r>
      <w:r w:rsidRPr="006E04CD">
        <w:rPr>
          <w:lang w:val="es-CO"/>
        </w:rPr>
        <w:t>En este punto se recuerda que solo a raíz de la Sentencia T-760 de 2008 (órdenes 21 y 22), el Gobierno igualó gradualmente el POS: i) Acuerdo 004 de 2009 unificó los planes para la población comprendida entre los 0 y los 12 años de edad; ii) Acuerdo 011 de 2010 para los adolescentes entre los 12 y 18 años; iii) Acuerdo 027 de 2011 para quienes tengan 60 o más años de edad</w:t>
      </w:r>
      <w:r>
        <w:rPr>
          <w:lang w:val="es-CO"/>
        </w:rPr>
        <w:t xml:space="preserve"> </w:t>
      </w:r>
      <w:r w:rsidRPr="006E04CD">
        <w:rPr>
          <w:lang w:val="es-CO"/>
        </w:rPr>
        <w:t>y iv) Acuerdo 32 de 2012 para las personas de 18 a 59 años de edad. Antes las prestaciones contenidas en los planes de beneficios de ambos regímenes eran diferentes.</w:t>
      </w:r>
    </w:p>
  </w:footnote>
  <w:footnote w:id="144">
    <w:p w:rsidR="00000000" w:rsidRDefault="005D131A" w:rsidP="00291764">
      <w:pPr>
        <w:pStyle w:val="Textonotapie"/>
      </w:pPr>
      <w:r w:rsidRPr="006E04CD">
        <w:rPr>
          <w:vertAlign w:val="superscript"/>
        </w:rPr>
        <w:footnoteRef/>
      </w:r>
      <w:r w:rsidRPr="006E04CD">
        <w:t xml:space="preserve"> </w:t>
      </w:r>
      <w:r w:rsidRPr="006E04CD">
        <w:rPr>
          <w:i/>
        </w:rPr>
        <w:t>“Por medio de la cual se unifica el procedimiento de recobro por concepto de tecnologías en salud no incluidas en el plan de beneficios, suministradas a los afiliados del Régimen Subsidiado en Salud, a cargo del respectivo ente territorial y se dictan otras disposiciones”</w:t>
      </w:r>
      <w:r w:rsidRPr="006E04CD">
        <w:t>. Entró en vigencia el 1º de mayo de 2014 por disposición expresa de su artículo 8º.</w:t>
      </w:r>
    </w:p>
  </w:footnote>
  <w:footnote w:id="145">
    <w:p w:rsidR="00000000" w:rsidRDefault="005D131A" w:rsidP="00291764">
      <w:pPr>
        <w:pStyle w:val="Textonotapie"/>
      </w:pPr>
      <w:r w:rsidRPr="006E04CD">
        <w:rPr>
          <w:vertAlign w:val="superscript"/>
        </w:rPr>
        <w:footnoteRef/>
      </w:r>
      <w:r w:rsidRPr="006E04CD">
        <w:t xml:space="preserve"> </w:t>
      </w:r>
      <w:r w:rsidRPr="006E04CD">
        <w:rPr>
          <w:i/>
        </w:rPr>
        <w:t xml:space="preserve">“Por la cual se establece el procedimiento de recobro ante el Fondo de Solidaridad y Garantía (Fosyga) y se dictan otras disposiciones.” </w:t>
      </w:r>
      <w:r w:rsidRPr="006E04CD">
        <w:rPr>
          <w:lang w:val="es-CO"/>
        </w:rPr>
        <w:t>Entró en vigencia el 27 de diciembre de 2013, fecha de su publicación en el Diario Oficial 49016. Cfr. Artículo 54 de la Resolución 5395 de 2013.</w:t>
      </w:r>
    </w:p>
  </w:footnote>
  <w:footnote w:id="146">
    <w:p w:rsidR="00000000" w:rsidRDefault="005D131A" w:rsidP="00291764">
      <w:pPr>
        <w:pStyle w:val="Textonotapie"/>
      </w:pPr>
      <w:r w:rsidRPr="006E04CD">
        <w:rPr>
          <w:i/>
          <w:vertAlign w:val="superscript"/>
        </w:rPr>
        <w:footnoteRef/>
      </w:r>
      <w:r w:rsidRPr="006E04CD">
        <w:rPr>
          <w:i/>
        </w:rPr>
        <w:t xml:space="preserve"> </w:t>
      </w:r>
      <w:r w:rsidRPr="006E04CD">
        <w:rPr>
          <w:i/>
          <w:lang w:val="es-CO"/>
        </w:rPr>
        <w:t>“Por la cual se establece el procedimiento para el cobro y pago de servicios y tecnologías sin cobertura en el Plan Obligatorio de Salud suministradas a los afiliados del Régimen Subsidiado”</w:t>
      </w:r>
      <w:r w:rsidRPr="006E04CD">
        <w:rPr>
          <w:lang w:val="es-CO"/>
        </w:rPr>
        <w:t>. Entró en vigencia el 7 de mayo de 2015, fecha de su publicación en el Diario Oficial 49504. Cfr. Artículo 19 de la Resolución 1479 de 2015.</w:t>
      </w:r>
    </w:p>
  </w:footnote>
  <w:footnote w:id="147">
    <w:p w:rsidR="005D131A" w:rsidRPr="003467AE" w:rsidRDefault="005D131A" w:rsidP="00BA6D81">
      <w:pPr>
        <w:pStyle w:val="Textonotapie"/>
        <w:rPr>
          <w:i/>
        </w:rPr>
      </w:pPr>
      <w:r>
        <w:rPr>
          <w:vertAlign w:val="superscript"/>
        </w:rPr>
        <w:footnoteRef/>
      </w:r>
      <w:r>
        <w:t xml:space="preserve"> </w:t>
      </w:r>
      <w:r w:rsidRPr="00035594">
        <w:t>Artículo 4o. Funciones</w:t>
      </w:r>
      <w:r w:rsidRPr="003467AE">
        <w:rPr>
          <w:i/>
        </w:rPr>
        <w:t xml:space="preserve">. </w:t>
      </w:r>
      <w:r>
        <w:rPr>
          <w:i/>
        </w:rPr>
        <w:t>“</w:t>
      </w:r>
      <w:r w:rsidRPr="003467AE">
        <w:rPr>
          <w:i/>
        </w:rPr>
        <w:t>El Comité Técnico-Científico tendrá las siguientes funciones:</w:t>
      </w:r>
    </w:p>
    <w:p w:rsidR="005D131A" w:rsidRPr="003467AE" w:rsidRDefault="005D131A" w:rsidP="00BA6D81">
      <w:pPr>
        <w:pStyle w:val="Textonotapie"/>
        <w:rPr>
          <w:i/>
        </w:rPr>
      </w:pPr>
      <w:r w:rsidRPr="003467AE">
        <w:rPr>
          <w:i/>
        </w:rPr>
        <w:t>1. Analizar para su autorización las solicitudes presentadas por los médicos tratantes de los afiliados, el suministro de medicamentos por fuera del listado de medicamentos del Plan Obligatorio de Salud, POS, adoptado por el Acuerdo 228 del CNSSS y demás normas que lo modifiquen, adicionen o sustituyan.</w:t>
      </w:r>
    </w:p>
    <w:p w:rsidR="005D131A" w:rsidRPr="003467AE" w:rsidRDefault="005D131A" w:rsidP="00BA6D81">
      <w:pPr>
        <w:pStyle w:val="Textonotapie"/>
        <w:rPr>
          <w:i/>
        </w:rPr>
      </w:pPr>
      <w:r w:rsidRPr="003467AE">
        <w:rPr>
          <w:i/>
        </w:rPr>
        <w:t>2. Justificar técnicamente las decisiones adoptadas, para lo cual se elaborarán y suscribirán las respectivas actas.</w:t>
      </w:r>
    </w:p>
    <w:p w:rsidR="005D131A" w:rsidRPr="003467AE" w:rsidRDefault="005D131A" w:rsidP="00BA6D81">
      <w:pPr>
        <w:pStyle w:val="Textonotapie"/>
        <w:rPr>
          <w:i/>
        </w:rPr>
      </w:pPr>
      <w:r w:rsidRPr="003467AE">
        <w:rPr>
          <w:i/>
        </w:rPr>
        <w:t>3. Realizar evaluaciones trimestrales de los casos autorizados y el seguimiento sobre el resultado de la salud de los pacientes a quienes se les autorizaron dichos tratamientos.</w:t>
      </w:r>
    </w:p>
    <w:p w:rsidR="00000000" w:rsidRDefault="005D131A" w:rsidP="00BA6D81">
      <w:pPr>
        <w:pStyle w:val="Textonotapie"/>
      </w:pPr>
      <w:r w:rsidRPr="003467AE">
        <w:rPr>
          <w:i/>
        </w:rPr>
        <w:t>4. Presentar al Ministerio de la Protección Social y a las autoridades competentes cuando estas los soliciten, los informes relacionados con su objeto y funciones (…)”</w:t>
      </w:r>
      <w:r>
        <w:t>.</w:t>
      </w:r>
    </w:p>
  </w:footnote>
  <w:footnote w:id="148">
    <w:p w:rsidR="00000000" w:rsidRDefault="005D131A" w:rsidP="00BA6D81">
      <w:pPr>
        <w:pStyle w:val="Textonotapie"/>
      </w:pPr>
      <w:r>
        <w:rPr>
          <w:vertAlign w:val="superscript"/>
        </w:rPr>
        <w:footnoteRef/>
      </w:r>
      <w:r>
        <w:t xml:space="preserve"> </w:t>
      </w:r>
      <w:r>
        <w:rPr>
          <w:lang w:val="es-CO"/>
        </w:rPr>
        <w:t xml:space="preserve">Artículo 4, Resolución 3099 de 2008. </w:t>
      </w:r>
    </w:p>
  </w:footnote>
  <w:footnote w:id="149">
    <w:p w:rsidR="00000000" w:rsidRDefault="005D131A" w:rsidP="00076B35">
      <w:pPr>
        <w:pStyle w:val="Textonotapie"/>
      </w:pPr>
      <w:r>
        <w:rPr>
          <w:vertAlign w:val="superscript"/>
        </w:rPr>
        <w:footnoteRef/>
      </w:r>
      <w:r>
        <w:t xml:space="preserve"> El valor </w:t>
      </w:r>
      <w:r w:rsidRPr="00C211C5">
        <w:rPr>
          <w:i/>
        </w:rPr>
        <w:t>“sin identificar”</w:t>
      </w:r>
      <w:r>
        <w:t xml:space="preserve"> corresponde a servicios prestados por las EPS que no se encuentran debidamente identificadas. El Ministerio dilucidó que a partir de la vigencia 2008 se implementaron mecanismos para mejorar la consistencia de la información registrada en la base de datos del Fosyga. </w:t>
      </w:r>
    </w:p>
  </w:footnote>
  <w:footnote w:id="150">
    <w:p w:rsidR="00000000" w:rsidRDefault="005D131A" w:rsidP="00076B35">
      <w:pPr>
        <w:pStyle w:val="Textonotapie"/>
      </w:pPr>
      <w:r w:rsidRPr="000809A2">
        <w:rPr>
          <w:vertAlign w:val="superscript"/>
        </w:rPr>
        <w:footnoteRef/>
      </w:r>
      <w:r w:rsidRPr="000809A2">
        <w:t xml:space="preserve"> Las cifras de recobro de todos los servicios excluidos del POS se encuentran en la </w:t>
      </w:r>
      <w:r w:rsidRPr="000809A2">
        <w:fldChar w:fldCharType="begin"/>
      </w:r>
      <w:r w:rsidRPr="000809A2">
        <w:instrText xml:space="preserve"> REF _Ref448759205 \h  \* MERGEFORMAT </w:instrText>
      </w:r>
      <w:r w:rsidRPr="000809A2">
        <w:fldChar w:fldCharType="separate"/>
      </w:r>
      <w:r>
        <w:rPr>
          <w:b/>
          <w:bCs/>
        </w:rPr>
        <w:t>¡Error! No se encuentra el origen de la referencia.</w:t>
      </w:r>
      <w:r w:rsidRPr="000809A2">
        <w:fldChar w:fldCharType="end"/>
      </w:r>
      <w:r w:rsidRPr="000809A2">
        <w:t xml:space="preserve"> de esta providencia. </w:t>
      </w:r>
    </w:p>
  </w:footnote>
  <w:footnote w:id="151">
    <w:p w:rsidR="00000000" w:rsidRDefault="005D131A" w:rsidP="00076B35">
      <w:pPr>
        <w:pStyle w:val="Textonotapie"/>
      </w:pPr>
      <w:r>
        <w:rPr>
          <w:vertAlign w:val="superscript"/>
        </w:rPr>
        <w:footnoteRef/>
      </w:r>
      <w:r>
        <w:t xml:space="preserve"> </w:t>
      </w:r>
      <w:r w:rsidRPr="008E44FA">
        <w:t>Se aclara que las cifras correspondientes a 2008 no pueden ser tenidas en cuenta, debido a que no se especificó si ellas correspondían a todo el año o solo al periodo posterior a la expedición de la Resolución 3099 de 2008.</w:t>
      </w:r>
    </w:p>
  </w:footnote>
  <w:footnote w:id="152">
    <w:p w:rsidR="00000000" w:rsidRDefault="005D131A" w:rsidP="00076B35">
      <w:pPr>
        <w:pStyle w:val="Textonotapie"/>
      </w:pPr>
      <w:r>
        <w:rPr>
          <w:vertAlign w:val="superscript"/>
        </w:rPr>
        <w:footnoteRef/>
      </w:r>
      <w:r>
        <w:t xml:space="preserve"> </w:t>
      </w:r>
      <w:r w:rsidRPr="008E44FA">
        <w:t xml:space="preserve">Se recuerda que a la luz del Auto 411 de 2015, un avance es el </w:t>
      </w:r>
      <w:r w:rsidRPr="008E44FA">
        <w:rPr>
          <w:i/>
        </w:rPr>
        <w:t>“efecto medible a partir de indicadores cuantitativo, que permitan comparar, en un periodo de tiempo determinado, la situación existente antes de la adopción de las medidas acreditadas y después de su implementación, siempre que reflejen cambios favorables en la superación de la falla estructural en el sistema de salud”</w:t>
      </w:r>
      <w:r w:rsidRPr="008E44FA">
        <w:t>.</w:t>
      </w:r>
    </w:p>
  </w:footnote>
  <w:footnote w:id="153">
    <w:p w:rsidR="00000000" w:rsidRDefault="005D131A" w:rsidP="009438BB">
      <w:pPr>
        <w:pStyle w:val="Textonotapie"/>
      </w:pPr>
      <w:r w:rsidRPr="006E04CD">
        <w:rPr>
          <w:vertAlign w:val="superscript"/>
        </w:rPr>
        <w:footnoteRef/>
      </w:r>
      <w:r w:rsidRPr="006E04CD">
        <w:t xml:space="preserve"> </w:t>
      </w:r>
      <w:r w:rsidRPr="00A05F9B">
        <w:rPr>
          <w:i/>
        </w:rPr>
        <w:t>Cfr.</w:t>
      </w:r>
      <w:r w:rsidRPr="006E04CD">
        <w:t xml:space="preserve"> AZ Orden XXIII-C, folios </w:t>
      </w:r>
      <w:smartTag w:uri="urn:schemas-microsoft-com:office:smarttags" w:element="metricconverter">
        <w:smartTagPr>
          <w:attr w:name="ProductID" w:val="1003 a"/>
        </w:smartTagPr>
        <w:r w:rsidRPr="006E04CD">
          <w:t>1003 a</w:t>
        </w:r>
      </w:smartTag>
      <w:r w:rsidRPr="006E04CD">
        <w:t xml:space="preserve"> 1007.</w:t>
      </w:r>
    </w:p>
  </w:footnote>
  <w:footnote w:id="154">
    <w:p w:rsidR="00000000" w:rsidRDefault="005D131A">
      <w:pPr>
        <w:pStyle w:val="Textonotapie"/>
      </w:pPr>
      <w:r>
        <w:rPr>
          <w:vertAlign w:val="superscript"/>
        </w:rPr>
        <w:footnoteRef/>
      </w:r>
      <w:r>
        <w:t xml:space="preserve"> “</w:t>
      </w:r>
      <w:r w:rsidRPr="009438BB">
        <w:rPr>
          <w:i/>
        </w:rPr>
        <w:t>Parágrafo. En ningún caso el Comité Técnico-Científico podrá aprobar tratamientos experimentales ni aquellos medicamentos que se prescriban para la atención de las actividades, procedimientos e intervenciones que se encuentren expresamente excluidos de los Planes de Beneficios conforme al artículo 13 y 18 de la Resolución 5261 de 1994 y demás normas que la a</w:t>
      </w:r>
      <w:r>
        <w:rPr>
          <w:i/>
        </w:rPr>
        <w:t>dicionen, modifiquen o deroguen”.</w:t>
      </w:r>
    </w:p>
  </w:footnote>
  <w:footnote w:id="155">
    <w:p w:rsidR="00000000" w:rsidRDefault="005D131A" w:rsidP="009438BB">
      <w:r w:rsidRPr="006E04CD">
        <w:rPr>
          <w:sz w:val="20"/>
          <w:szCs w:val="20"/>
          <w:vertAlign w:val="superscript"/>
        </w:rPr>
        <w:footnoteRef/>
      </w:r>
      <w:r w:rsidRPr="006E04CD">
        <w:rPr>
          <w:sz w:val="20"/>
          <w:szCs w:val="20"/>
        </w:rPr>
        <w:t xml:space="preserve"> </w:t>
      </w:r>
      <w:r w:rsidRPr="00490D15">
        <w:rPr>
          <w:i/>
          <w:sz w:val="20"/>
          <w:szCs w:val="20"/>
        </w:rPr>
        <w:t>Cfr.</w:t>
      </w:r>
      <w:r w:rsidRPr="006E04CD">
        <w:rPr>
          <w:sz w:val="20"/>
          <w:szCs w:val="20"/>
        </w:rPr>
        <w:t xml:space="preserve"> AZ Orden XXIII-A, folios </w:t>
      </w:r>
      <w:smartTag w:uri="urn:schemas-microsoft-com:office:smarttags" w:element="metricconverter">
        <w:smartTagPr>
          <w:attr w:name="ProductID" w:val="102 a"/>
        </w:smartTagPr>
        <w:r w:rsidRPr="006E04CD">
          <w:rPr>
            <w:sz w:val="20"/>
            <w:szCs w:val="20"/>
          </w:rPr>
          <w:t>102 a</w:t>
        </w:r>
      </w:smartTag>
      <w:r w:rsidRPr="006E04CD">
        <w:rPr>
          <w:sz w:val="20"/>
          <w:szCs w:val="20"/>
        </w:rPr>
        <w:t xml:space="preserve"> 112 y 338-342.</w:t>
      </w:r>
    </w:p>
  </w:footnote>
  <w:footnote w:id="156">
    <w:p w:rsidR="00000000" w:rsidRDefault="005D131A" w:rsidP="009438BB">
      <w:pPr>
        <w:pStyle w:val="Textonotapie"/>
      </w:pPr>
      <w:r w:rsidRPr="006E04CD">
        <w:rPr>
          <w:vertAlign w:val="superscript"/>
        </w:rPr>
        <w:footnoteRef/>
      </w:r>
      <w:r w:rsidRPr="006E04CD">
        <w:t xml:space="preserve"> </w:t>
      </w:r>
      <w:r w:rsidRPr="00A05F9B">
        <w:rPr>
          <w:i/>
        </w:rPr>
        <w:t>Cfr.</w:t>
      </w:r>
      <w:r w:rsidRPr="006E04CD">
        <w:rPr>
          <w:i/>
        </w:rPr>
        <w:t xml:space="preserve"> </w:t>
      </w:r>
      <w:r w:rsidRPr="006E04CD">
        <w:t>AZ Orden XXIII-A, folios 351 a 406 y AZ Orden XXIII-B, folios 407 a 560.</w:t>
      </w:r>
    </w:p>
  </w:footnote>
  <w:footnote w:id="157">
    <w:p w:rsidR="00000000" w:rsidRDefault="005D131A" w:rsidP="009B1745">
      <w:pPr>
        <w:pStyle w:val="Textonotapie"/>
        <w:tabs>
          <w:tab w:val="right" w:pos="9123"/>
        </w:tabs>
      </w:pPr>
      <w:r w:rsidRPr="006E04CD">
        <w:rPr>
          <w:vertAlign w:val="superscript"/>
        </w:rPr>
        <w:footnoteRef/>
      </w:r>
      <w:r w:rsidRPr="006E04CD">
        <w:t xml:space="preserve"> </w:t>
      </w:r>
      <w:r w:rsidRPr="00A05F9B">
        <w:rPr>
          <w:i/>
        </w:rPr>
        <w:t>Cfr.</w:t>
      </w:r>
      <w:r w:rsidRPr="006E04CD">
        <w:t xml:space="preserve"> AZ Orden XXIII-A, folios 32 a 37.</w:t>
      </w:r>
      <w:r w:rsidRPr="006E04CD">
        <w:tab/>
      </w:r>
    </w:p>
  </w:footnote>
  <w:footnote w:id="158">
    <w:p w:rsidR="00000000" w:rsidRDefault="005D131A" w:rsidP="009B1745">
      <w:pPr>
        <w:pStyle w:val="Textonotapie"/>
      </w:pPr>
      <w:r w:rsidRPr="006E04CD">
        <w:rPr>
          <w:vertAlign w:val="superscript"/>
        </w:rPr>
        <w:footnoteRef/>
      </w:r>
      <w:r w:rsidRPr="006E04CD">
        <w:t xml:space="preserve"> </w:t>
      </w:r>
      <w:r w:rsidRPr="00A05F9B">
        <w:rPr>
          <w:i/>
        </w:rPr>
        <w:t>Cfr.</w:t>
      </w:r>
      <w:r w:rsidRPr="006E04CD">
        <w:t xml:space="preserve"> AZ Orden XXIII-A, folios 87 a 98.</w:t>
      </w:r>
    </w:p>
  </w:footnote>
  <w:footnote w:id="159">
    <w:p w:rsidR="00000000" w:rsidRDefault="005D131A" w:rsidP="00400493">
      <w:pPr>
        <w:pStyle w:val="Textonotapie"/>
      </w:pPr>
      <w:r w:rsidRPr="006E04CD">
        <w:rPr>
          <w:vertAlign w:val="superscript"/>
        </w:rPr>
        <w:footnoteRef/>
      </w:r>
      <w:r w:rsidRPr="006E04CD">
        <w:t xml:space="preserve"> </w:t>
      </w:r>
      <w:r w:rsidRPr="006E04CD">
        <w:rPr>
          <w:lang w:val="es-CO"/>
        </w:rPr>
        <w:t>Caja de previsión social de la UIS -CAPRUIS-, Universidad Nacional de Colombia, Universidad del Atlántico, Universidad del Cauca,</w:t>
      </w:r>
      <w:r w:rsidRPr="006E04CD">
        <w:t xml:space="preserve"> Universidad de Antioquia, Universidad de Nariño y CSR. Cfr. AZ Auto 317-B, folios 237 a 265 y AZ Orden XXIII-C, folios 804 a 813. </w:t>
      </w:r>
    </w:p>
  </w:footnote>
  <w:footnote w:id="160">
    <w:p w:rsidR="00000000" w:rsidRDefault="005D131A" w:rsidP="0074403D">
      <w:pPr>
        <w:pStyle w:val="Textonotapie"/>
      </w:pPr>
      <w:r w:rsidRPr="006E04CD">
        <w:rPr>
          <w:vertAlign w:val="superscript"/>
        </w:rPr>
        <w:footnoteRef/>
      </w:r>
      <w:r>
        <w:t xml:space="preserve"> Artículos 6 y 7</w:t>
      </w:r>
      <w:r w:rsidRPr="006E04CD">
        <w:t xml:space="preserve"> de la Resolución 3099 de 2008.</w:t>
      </w:r>
    </w:p>
  </w:footnote>
  <w:footnote w:id="161">
    <w:p w:rsidR="00000000" w:rsidRDefault="005D131A" w:rsidP="0074403D">
      <w:pPr>
        <w:pStyle w:val="Textonotapie"/>
      </w:pPr>
      <w:r w:rsidRPr="006E04CD">
        <w:rPr>
          <w:vertAlign w:val="superscript"/>
        </w:rPr>
        <w:footnoteRef/>
      </w:r>
      <w:r w:rsidRPr="006E04CD">
        <w:t xml:space="preserve"> </w:t>
      </w:r>
      <w:r w:rsidRPr="006E04CD">
        <w:rPr>
          <w:lang w:val="es-CO"/>
        </w:rPr>
        <w:t xml:space="preserve">Al respecto, la Corte explicó que una lectura garantista del plan de beneficios se orienta a garantizar el goce efectivo de los derechos, la expansiva entiende financiados la mayor cantidad de servicios y la restrictiva supone financiados la menor cantidad de tecnologías. </w:t>
      </w:r>
      <w:r w:rsidRPr="005B703D">
        <w:rPr>
          <w:i/>
          <w:lang w:val="es-CO"/>
        </w:rPr>
        <w:t>Cfr.</w:t>
      </w:r>
      <w:r w:rsidRPr="006E04CD">
        <w:rPr>
          <w:lang w:val="es-CO"/>
        </w:rPr>
        <w:t xml:space="preserve"> Sentencia T-760</w:t>
      </w:r>
      <w:r>
        <w:rPr>
          <w:lang w:val="es-CO"/>
        </w:rPr>
        <w:t xml:space="preserve"> de 2008, considerando 5.1.1.2.</w:t>
      </w:r>
    </w:p>
  </w:footnote>
  <w:footnote w:id="162">
    <w:p w:rsidR="00000000" w:rsidRDefault="005D131A" w:rsidP="0074403D">
      <w:pPr>
        <w:pStyle w:val="Textonotapie"/>
      </w:pPr>
      <w:r w:rsidRPr="006E04CD">
        <w:rPr>
          <w:vertAlign w:val="superscript"/>
        </w:rPr>
        <w:footnoteRef/>
      </w:r>
      <w:r w:rsidRPr="006E04CD">
        <w:t xml:space="preserve"> </w:t>
      </w:r>
      <w:r w:rsidRPr="005B703D">
        <w:rPr>
          <w:i/>
          <w:lang w:val="es-CO"/>
        </w:rPr>
        <w:t>Cfr.</w:t>
      </w:r>
      <w:r w:rsidRPr="006E04CD">
        <w:rPr>
          <w:lang w:val="es-CO"/>
        </w:rPr>
        <w:t xml:space="preserve"> Sentencia T-760 d</w:t>
      </w:r>
      <w:r>
        <w:rPr>
          <w:lang w:val="es-CO"/>
        </w:rPr>
        <w:t>e 2008, considerando 6.1.1.1.3.</w:t>
      </w:r>
    </w:p>
  </w:footnote>
  <w:footnote w:id="163">
    <w:p w:rsidR="00000000" w:rsidRDefault="005D131A" w:rsidP="000D6800">
      <w:pPr>
        <w:pStyle w:val="Textonotapie"/>
      </w:pPr>
      <w:r w:rsidRPr="006E04CD">
        <w:rPr>
          <w:vertAlign w:val="superscript"/>
        </w:rPr>
        <w:footnoteRef/>
      </w:r>
      <w:r w:rsidRPr="006E04CD">
        <w:t xml:space="preserve"> Artículo 4º de la Resolución 3099 de 2008.</w:t>
      </w:r>
    </w:p>
  </w:footnote>
  <w:footnote w:id="164">
    <w:p w:rsidR="00000000" w:rsidRDefault="005D131A" w:rsidP="00F20B7E">
      <w:pPr>
        <w:pStyle w:val="Textonotapie"/>
      </w:pPr>
      <w:r w:rsidRPr="00F20B7E">
        <w:rPr>
          <w:vertAlign w:val="superscript"/>
        </w:rPr>
        <w:footnoteRef/>
      </w:r>
      <w:r w:rsidRPr="00F20B7E">
        <w:t xml:space="preserve"> Mediante la cual recordó a las IPS y EPS su obligación de adelantar y aceptar el trámite del CTC en casos de urgencia manifiesta</w:t>
      </w:r>
      <w:r>
        <w:t>.</w:t>
      </w:r>
    </w:p>
  </w:footnote>
  <w:footnote w:id="165">
    <w:p w:rsidR="00000000" w:rsidRDefault="005D131A" w:rsidP="007F7309">
      <w:pPr>
        <w:pStyle w:val="Textonotapie"/>
      </w:pPr>
      <w:r w:rsidRPr="006E04CD">
        <w:rPr>
          <w:vertAlign w:val="superscript"/>
        </w:rPr>
        <w:footnoteRef/>
      </w:r>
      <w:r w:rsidRPr="006E04CD">
        <w:t xml:space="preserve"> Cfr. Sentencia C-936 de 2011.</w:t>
      </w:r>
    </w:p>
  </w:footnote>
  <w:footnote w:id="166">
    <w:p w:rsidR="00000000" w:rsidRDefault="005D131A" w:rsidP="007F7309">
      <w:pPr>
        <w:pStyle w:val="Textonotapie"/>
      </w:pPr>
      <w:r w:rsidRPr="006E04CD">
        <w:rPr>
          <w:vertAlign w:val="superscript"/>
        </w:rPr>
        <w:footnoteRef/>
      </w:r>
      <w:r w:rsidRPr="006E04CD">
        <w:t xml:space="preserve"> Definición consagrada en el artículo 3 del Decreto 492 de 1990, por el cual se reglamenta parcialmente los servicios de urgencias y se dictan otras disposiciones. Esta definición fuer reiterada en la sentencia C-936 de 2011 y en el Auto 066 de 2012.</w:t>
      </w:r>
    </w:p>
  </w:footnote>
  <w:footnote w:id="167">
    <w:p w:rsidR="00000000" w:rsidRDefault="005D131A" w:rsidP="00F558F7">
      <w:r w:rsidRPr="00E663CD">
        <w:rPr>
          <w:sz w:val="20"/>
          <w:szCs w:val="20"/>
          <w:vertAlign w:val="superscript"/>
        </w:rPr>
        <w:footnoteRef/>
      </w:r>
      <w:r w:rsidRPr="00E663CD">
        <w:rPr>
          <w:sz w:val="20"/>
          <w:szCs w:val="20"/>
        </w:rPr>
        <w:t xml:space="preserve"> </w:t>
      </w:r>
      <w:r w:rsidRPr="00E663CD">
        <w:rPr>
          <w:sz w:val="20"/>
          <w:szCs w:val="20"/>
          <w:lang w:val="es-CO"/>
        </w:rPr>
        <w:t>El mencionado Auto fue proferido en atención a</w:t>
      </w:r>
      <w:r>
        <w:rPr>
          <w:sz w:val="20"/>
          <w:szCs w:val="20"/>
          <w:lang w:val="es-CO"/>
        </w:rPr>
        <w:t xml:space="preserve"> la sentencia C-936 de 2011 que </w:t>
      </w:r>
      <w:r w:rsidRPr="00E663CD">
        <w:rPr>
          <w:sz w:val="20"/>
          <w:szCs w:val="20"/>
          <w:lang w:val="es-CO"/>
        </w:rPr>
        <w:t xml:space="preserve">declaró exequible el artículo 27 de la Ley 1438 de 2011 </w:t>
      </w:r>
      <w:r w:rsidRPr="00E663CD">
        <w:rPr>
          <w:i/>
          <w:sz w:val="20"/>
          <w:szCs w:val="20"/>
          <w:lang w:val="es-CO"/>
        </w:rPr>
        <w:t>“(i) en el entendido de que en los casos en los que el médico tratante indique que existe una urgencia en los términos señalados en la consideración 2.8.2.3., el suministro de los servicios y/o medicamentos excluidos de los planes de beneficios –expresamente o no- no deberá supeditarse ni a la aprobación del Comité Técnico Científico de la respectiva EPS, ni al de la Junta Técnico Científica de Pares de la Superintendencia Nacional de Salud, por las razones expuestas en esta providencia; (ii) en el entendido de que en los demás casos, es decir cuando no existe urgencia ni el CTC autorizó la prestación, si no se cumple el término perentorio de siete días previsto por la disposición censurada para que la JTCP emita su concepto, el servicio debe prestarse de manera inmediata por la EPS; y (iii) en el entendido de que la revisión de la Junta no suspende las autorizaciones de los comités de servicios no previstos en los planes de beneficios, de forma que las EPS deben suministrarlos de forma inmediata”</w:t>
      </w:r>
      <w:r>
        <w:rPr>
          <w:sz w:val="20"/>
          <w:szCs w:val="20"/>
          <w:lang w:val="es-CO"/>
        </w:rPr>
        <w:t xml:space="preserve">. </w:t>
      </w:r>
    </w:p>
  </w:footnote>
  <w:footnote w:id="168">
    <w:p w:rsidR="00000000" w:rsidRDefault="005D131A" w:rsidP="00E577D6">
      <w:pPr>
        <w:pStyle w:val="Textonotapie"/>
      </w:pPr>
      <w:r w:rsidRPr="00A54C39">
        <w:rPr>
          <w:vertAlign w:val="superscript"/>
        </w:rPr>
        <w:footnoteRef/>
      </w:r>
      <w:r w:rsidRPr="00A54C39">
        <w:t xml:space="preserve"> </w:t>
      </w:r>
      <w:r w:rsidRPr="00A54C39">
        <w:rPr>
          <w:i/>
        </w:rPr>
        <w:t>Cfr.</w:t>
      </w:r>
      <w:r w:rsidRPr="00A54C39">
        <w:t xml:space="preserve"> </w:t>
      </w:r>
      <w:r w:rsidRPr="00A54C39">
        <w:rPr>
          <w:lang w:val="es-CO"/>
        </w:rPr>
        <w:t>AZ Orden XXIII-C, folios 990 a 1002.</w:t>
      </w:r>
    </w:p>
  </w:footnote>
  <w:footnote w:id="169">
    <w:p w:rsidR="00000000" w:rsidRDefault="005D131A">
      <w:pPr>
        <w:pStyle w:val="Textonotapie"/>
      </w:pPr>
      <w:r>
        <w:rPr>
          <w:vertAlign w:val="superscript"/>
        </w:rPr>
        <w:footnoteRef/>
      </w:r>
      <w:r>
        <w:t xml:space="preserve"> </w:t>
      </w:r>
      <w:r>
        <w:rPr>
          <w:lang w:val="es-CO"/>
        </w:rPr>
        <w:t xml:space="preserve">Ver numeral 16, capítulo de antecedentes. </w:t>
      </w:r>
    </w:p>
  </w:footnote>
  <w:footnote w:id="170">
    <w:p w:rsidR="00000000" w:rsidRDefault="005D131A" w:rsidP="00585F78">
      <w:pPr>
        <w:pStyle w:val="Textonotapie"/>
      </w:pPr>
      <w:r>
        <w:rPr>
          <w:vertAlign w:val="superscript"/>
        </w:rPr>
        <w:footnoteRef/>
      </w:r>
      <w:r>
        <w:t xml:space="preserve"> </w:t>
      </w:r>
      <w:r w:rsidRPr="006576A1">
        <w:rPr>
          <w:i/>
        </w:rPr>
        <w:t>Cfr.</w:t>
      </w:r>
      <w:r w:rsidRPr="006E04CD">
        <w:t xml:space="preserve"> AZ Orden XXIII-C, folios</w:t>
      </w:r>
      <w:r>
        <w:t xml:space="preserve"> 1046 a 1053. </w:t>
      </w:r>
    </w:p>
  </w:footnote>
  <w:footnote w:id="171">
    <w:p w:rsidR="00000000" w:rsidRDefault="005D131A" w:rsidP="00E577D6">
      <w:pPr>
        <w:pStyle w:val="Textonotapie"/>
      </w:pPr>
      <w:r>
        <w:rPr>
          <w:vertAlign w:val="superscript"/>
        </w:rPr>
        <w:footnoteRef/>
      </w:r>
      <w:r>
        <w:t xml:space="preserve"> </w:t>
      </w:r>
      <w:r>
        <w:rPr>
          <w:lang w:val="es-CO"/>
        </w:rPr>
        <w:t xml:space="preserve">Por la cual se establece el procedimiento de recobro ante el Fondo de Solidaridad y Garantía -Fosyga- y se dictan otras disposiciones. </w:t>
      </w:r>
    </w:p>
  </w:footnote>
  <w:footnote w:id="172">
    <w:p w:rsidR="00000000" w:rsidRDefault="005D131A">
      <w:pPr>
        <w:pStyle w:val="Textonotapie"/>
      </w:pPr>
      <w:r>
        <w:rPr>
          <w:vertAlign w:val="superscript"/>
        </w:rPr>
        <w:footnoteRef/>
      </w:r>
      <w:r>
        <w:t xml:space="preserve"> </w:t>
      </w:r>
      <w:r w:rsidRPr="00A54C39">
        <w:rPr>
          <w:i/>
        </w:rPr>
        <w:t>Cfr.</w:t>
      </w:r>
      <w:r w:rsidRPr="00A54C39">
        <w:t xml:space="preserve"> </w:t>
      </w:r>
      <w:r w:rsidRPr="00A54C39">
        <w:rPr>
          <w:lang w:val="es-CO"/>
        </w:rPr>
        <w:t>AZ Orden XXIII-C, folios</w:t>
      </w:r>
      <w:r>
        <w:rPr>
          <w:lang w:val="es-CO"/>
        </w:rPr>
        <w:t xml:space="preserve"> 1232 a 1250. </w:t>
      </w:r>
    </w:p>
  </w:footnote>
  <w:footnote w:id="173">
    <w:p w:rsidR="00000000" w:rsidRDefault="005D131A" w:rsidP="00B13A94">
      <w:r w:rsidRPr="009A4C9E">
        <w:rPr>
          <w:sz w:val="20"/>
          <w:vertAlign w:val="superscript"/>
        </w:rPr>
        <w:footnoteRef/>
      </w:r>
      <w:r w:rsidRPr="009A4C9E">
        <w:rPr>
          <w:sz w:val="20"/>
          <w:szCs w:val="20"/>
        </w:rPr>
        <w:t xml:space="preserve"> </w:t>
      </w:r>
      <w:r w:rsidRPr="009A4C9E">
        <w:rPr>
          <w:i/>
          <w:sz w:val="20"/>
          <w:szCs w:val="20"/>
        </w:rPr>
        <w:t>“por medio de la cual se regula el derecho fundamental a la salud y se dictan otras disposiciones”</w:t>
      </w:r>
      <w:r w:rsidRPr="009A4C9E">
        <w:rPr>
          <w:sz w:val="20"/>
          <w:szCs w:val="20"/>
        </w:rPr>
        <w:t xml:space="preserve">. El artículo 6 de esa disposición enlistó los elementos y principios que comportan el derecho a la salud dentro de los cuales se destacan los de universalidad, equidad, continuidad, sostenibilidad, solidaridad y eficiencia, este último principio hace referencia a que </w:t>
      </w:r>
      <w:r w:rsidRPr="009A4C9E">
        <w:rPr>
          <w:i/>
          <w:sz w:val="20"/>
          <w:szCs w:val="20"/>
        </w:rPr>
        <w:t>“el sistema de salud debe procurar por la mejor utilización social y económica de los recursos, servicios y tecnologías disponibles para garantizar el derecho a la salud de toda la población”</w:t>
      </w:r>
      <w:r w:rsidRPr="009A4C9E">
        <w:rPr>
          <w:sz w:val="20"/>
          <w:szCs w:val="20"/>
        </w:rPr>
        <w:t xml:space="preserve">. </w:t>
      </w:r>
    </w:p>
  </w:footnote>
  <w:footnote w:id="174">
    <w:p w:rsidR="00000000" w:rsidRDefault="005D131A">
      <w:pPr>
        <w:pStyle w:val="Textonotapie"/>
      </w:pPr>
      <w:r>
        <w:rPr>
          <w:vertAlign w:val="superscript"/>
        </w:rPr>
        <w:footnoteRef/>
      </w:r>
      <w:r>
        <w:t xml:space="preserve"> P</w:t>
      </w:r>
      <w:r w:rsidRPr="00E335E2">
        <w:t>or medio de la cual “se establece el procedimiento de acceso, reporte de prescripción, garantía del suministro, verificación, control, pago y análisis de la información de servicios y tecnologías en salud no cubiertas por el Plan de Beneficios en Salud con cargo a la UPC y se dictan otras disposiciones”</w:t>
      </w:r>
    </w:p>
  </w:footnote>
  <w:footnote w:id="175">
    <w:p w:rsidR="00000000" w:rsidRDefault="005D131A" w:rsidP="00B13A94">
      <w:pPr>
        <w:pStyle w:val="Textonotapie"/>
      </w:pPr>
      <w:r w:rsidRPr="009A4C9E">
        <w:rPr>
          <w:vertAlign w:val="superscript"/>
        </w:rPr>
        <w:footnoteRef/>
      </w:r>
      <w:r w:rsidRPr="009A4C9E">
        <w:t xml:space="preserve"> 15 de abril de 2016. </w:t>
      </w:r>
    </w:p>
  </w:footnote>
  <w:footnote w:id="176">
    <w:p w:rsidR="00000000" w:rsidRDefault="005D131A" w:rsidP="00102A1C">
      <w:pPr>
        <w:pStyle w:val="Textonotapie"/>
      </w:pPr>
      <w:r>
        <w:rPr>
          <w:vertAlign w:val="superscript"/>
        </w:rPr>
        <w:footnoteRef/>
      </w:r>
      <w:r>
        <w:t xml:space="preserve"> </w:t>
      </w:r>
      <w:r w:rsidRPr="00A54C39">
        <w:rPr>
          <w:i/>
        </w:rPr>
        <w:t>Cfr.</w:t>
      </w:r>
      <w:r w:rsidRPr="006E04CD">
        <w:rPr>
          <w:i/>
        </w:rPr>
        <w:t xml:space="preserve"> </w:t>
      </w:r>
      <w:r w:rsidRPr="006E04CD">
        <w:t>AZ</w:t>
      </w:r>
      <w:r>
        <w:t xml:space="preserve"> Orden XXIII-C, folios 1318 a 1320. </w:t>
      </w:r>
    </w:p>
  </w:footnote>
  <w:footnote w:id="177">
    <w:p w:rsidR="005D131A" w:rsidRPr="001A0B49" w:rsidRDefault="005D131A" w:rsidP="00102A1C">
      <w:pPr>
        <w:pStyle w:val="Textonotapie"/>
        <w:rPr>
          <w:lang w:val="es-CO"/>
        </w:rPr>
      </w:pPr>
      <w:r>
        <w:rPr>
          <w:vertAlign w:val="superscript"/>
        </w:rPr>
        <w:footnoteRef/>
      </w:r>
      <w:r>
        <w:t xml:space="preserve"> </w:t>
      </w:r>
      <w:r w:rsidRPr="00A54C39">
        <w:rPr>
          <w:i/>
        </w:rPr>
        <w:t>Cfr.</w:t>
      </w:r>
      <w:r w:rsidRPr="006E04CD">
        <w:rPr>
          <w:i/>
        </w:rPr>
        <w:t xml:space="preserve"> </w:t>
      </w:r>
      <w:r w:rsidRPr="006E04CD">
        <w:t>AZ</w:t>
      </w:r>
      <w:r>
        <w:t xml:space="preserve"> Orden XXIII-C, folio 1321. </w:t>
      </w:r>
    </w:p>
    <w:p w:rsidR="00000000" w:rsidRDefault="008F61EE" w:rsidP="00102A1C">
      <w:pPr>
        <w:pStyle w:val="Textonotapie"/>
      </w:pPr>
    </w:p>
  </w:footnote>
  <w:footnote w:id="178">
    <w:p w:rsidR="00000000" w:rsidRDefault="005D131A">
      <w:pPr>
        <w:pStyle w:val="Textonotapie"/>
      </w:pPr>
      <w:r>
        <w:rPr>
          <w:vertAlign w:val="superscript"/>
        </w:rPr>
        <w:footnoteRef/>
      </w:r>
      <w:r>
        <w:t xml:space="preserve"> </w:t>
      </w:r>
      <w:r>
        <w:rPr>
          <w:lang w:val="es-CO"/>
        </w:rPr>
        <w:t xml:space="preserve">Artículo 2 de la Resolución 2158 de 2016. </w:t>
      </w:r>
    </w:p>
  </w:footnote>
  <w:footnote w:id="179">
    <w:p w:rsidR="00000000" w:rsidRDefault="005D131A">
      <w:pPr>
        <w:pStyle w:val="Textonotapie"/>
      </w:pPr>
      <w:r>
        <w:rPr>
          <w:vertAlign w:val="superscript"/>
        </w:rPr>
        <w:footnoteRef/>
      </w:r>
      <w:r>
        <w:t xml:space="preserve"> </w:t>
      </w:r>
      <w:r>
        <w:rPr>
          <w:lang w:val="es-CO"/>
        </w:rPr>
        <w:t xml:space="preserve">Sentencia T-760, orden 23 primer inciso. </w:t>
      </w:r>
    </w:p>
  </w:footnote>
  <w:footnote w:id="180">
    <w:p w:rsidR="005D131A" w:rsidRPr="003A37D7" w:rsidRDefault="005D131A" w:rsidP="003A37D7">
      <w:pPr>
        <w:tabs>
          <w:tab w:val="left" w:pos="3536"/>
        </w:tabs>
        <w:ind w:right="-40"/>
        <w:rPr>
          <w:i/>
          <w:sz w:val="20"/>
          <w:szCs w:val="20"/>
        </w:rPr>
      </w:pPr>
      <w:r w:rsidRPr="003A37D7">
        <w:rPr>
          <w:sz w:val="20"/>
          <w:szCs w:val="20"/>
          <w:vertAlign w:val="superscript"/>
        </w:rPr>
        <w:footnoteRef/>
      </w:r>
      <w:r w:rsidRPr="003A37D7">
        <w:rPr>
          <w:sz w:val="20"/>
          <w:szCs w:val="20"/>
        </w:rPr>
        <w:t xml:space="preserve"> ARTÍCULO 5.</w:t>
      </w:r>
      <w:r w:rsidRPr="003A37D7">
        <w:rPr>
          <w:i/>
          <w:sz w:val="20"/>
          <w:szCs w:val="20"/>
        </w:rPr>
        <w:t xml:space="preserve"> “REPORTE DE LA PRESCRIPCIÓN DE SERVICIOS Y TECNOLOGÍAS EN SALUD NO CUBIERTAS EN EL PLAN DE BENEFICIOS EN SALUD CON CARGO A LA UPC. La prescripción de los servicios y tecnologías en salud no cubiertas en el Plan de Beneficios en Salud con cargo a la UPC será realizada por el profesional de la salud tratante, a través del aplicativo que para tal efecto disponga este Ministerio, el cual operará mediante la plataforma tecnológica del Sistema Integral de Información de la Protección Social (Sispro), con diligenciamiento en línea o de acuerdo con los mecanismos tecnológicos disponibles en la c</w:t>
      </w:r>
      <w:r>
        <w:rPr>
          <w:i/>
          <w:sz w:val="20"/>
          <w:szCs w:val="20"/>
        </w:rPr>
        <w:t>orrespondiente área geográfica.</w:t>
      </w:r>
    </w:p>
    <w:p w:rsidR="005D131A" w:rsidRPr="003A37D7" w:rsidRDefault="005D131A" w:rsidP="003A37D7">
      <w:pPr>
        <w:tabs>
          <w:tab w:val="left" w:pos="3536"/>
        </w:tabs>
        <w:ind w:right="-40"/>
        <w:rPr>
          <w:i/>
          <w:sz w:val="20"/>
          <w:szCs w:val="20"/>
        </w:rPr>
      </w:pPr>
      <w:r w:rsidRPr="003A37D7">
        <w:rPr>
          <w:i/>
          <w:sz w:val="20"/>
          <w:szCs w:val="20"/>
        </w:rPr>
        <w:t>La información reportada por el profesional de la salud tratante, será dispuesta a través de mecanismos seguros a las Entidades Administradoras de Planes de Beneficios (EAPB), a las Entidades Obligadas a Compensar (EOC), a los Prestadores de Servicios de Salud, al Fondo de Solidaridad y Garantía (Fosyga), o quien haga sus veces, y de manera agregada, a los organismos de inspección, vigilan</w:t>
      </w:r>
      <w:r>
        <w:rPr>
          <w:i/>
          <w:sz w:val="20"/>
          <w:szCs w:val="20"/>
        </w:rPr>
        <w:t>cia y control que lo requieran.</w:t>
      </w:r>
    </w:p>
    <w:p w:rsidR="005D131A" w:rsidRPr="003A37D7" w:rsidRDefault="005D131A" w:rsidP="003A37D7">
      <w:pPr>
        <w:tabs>
          <w:tab w:val="left" w:pos="3536"/>
        </w:tabs>
        <w:ind w:right="-40"/>
        <w:rPr>
          <w:i/>
          <w:sz w:val="20"/>
          <w:szCs w:val="20"/>
        </w:rPr>
      </w:pPr>
      <w:r w:rsidRPr="003A37D7">
        <w:rPr>
          <w:i/>
          <w:sz w:val="20"/>
          <w:szCs w:val="20"/>
        </w:rPr>
        <w:t>En los casos en que aplique, las Entidades Administradoras de Planes de Beneficios (EAPB), o a las Entidades Obligadas a Compensar (EOC), serán responsables de adelantar el reporte de la prescripción de servicios y tecnologías en salud no cubiertas en el Plan de Beneficios en Salud con cargo a la UPC, cuando estos sean orden</w:t>
      </w:r>
      <w:r>
        <w:rPr>
          <w:i/>
          <w:sz w:val="20"/>
          <w:szCs w:val="20"/>
        </w:rPr>
        <w:t>ados mediante fallos de tutela.</w:t>
      </w:r>
    </w:p>
    <w:p w:rsidR="005D131A" w:rsidRPr="003A37D7" w:rsidRDefault="005D131A" w:rsidP="003A37D7">
      <w:pPr>
        <w:tabs>
          <w:tab w:val="left" w:pos="3536"/>
        </w:tabs>
        <w:ind w:right="-40"/>
        <w:rPr>
          <w:i/>
          <w:sz w:val="20"/>
          <w:szCs w:val="20"/>
        </w:rPr>
      </w:pPr>
      <w:r w:rsidRPr="003A37D7">
        <w:rPr>
          <w:i/>
          <w:sz w:val="20"/>
          <w:szCs w:val="20"/>
        </w:rPr>
        <w:t>PARÁGRAFO 1o. Una vez el profesional de la salud tratante finalice el diligenciamiento de la prescripción en el aplicativo de que trata el presente artículo, se asignará un número de prescripción el cual deberá reportar la entidad recobrante en la presentación del recobro/cobro ante el Fondo de Solidaridad y Garantía (F</w:t>
      </w:r>
      <w:r>
        <w:rPr>
          <w:i/>
          <w:sz w:val="20"/>
          <w:szCs w:val="20"/>
        </w:rPr>
        <w:t>osyga), o quien haga sus veces.</w:t>
      </w:r>
    </w:p>
    <w:p w:rsidR="005D131A" w:rsidRPr="003A37D7" w:rsidRDefault="005D131A" w:rsidP="003A37D7">
      <w:pPr>
        <w:tabs>
          <w:tab w:val="left" w:pos="3536"/>
        </w:tabs>
        <w:ind w:right="-40"/>
        <w:rPr>
          <w:i/>
          <w:sz w:val="20"/>
          <w:szCs w:val="20"/>
        </w:rPr>
      </w:pPr>
      <w:r w:rsidRPr="003A37D7">
        <w:rPr>
          <w:i/>
          <w:sz w:val="20"/>
          <w:szCs w:val="20"/>
        </w:rPr>
        <w:t>PARÁGRAFO 2o. En caso de que el profesional de la salud tratante no cuente con acceso al aplicativo en el momento de la prescripción, lo podrá diligenciar una vez disponga de los mecanismos tecnológicos con que cuente, en un tiempo no mayor a 48 horas. Sin embargo, únicamente se asignará el número de prescripción una vez se reali</w:t>
      </w:r>
      <w:r>
        <w:rPr>
          <w:i/>
          <w:sz w:val="20"/>
          <w:szCs w:val="20"/>
        </w:rPr>
        <w:t>ce el reporte en el aplicativo.</w:t>
      </w:r>
    </w:p>
    <w:p w:rsidR="005D131A" w:rsidRPr="003A37D7" w:rsidRDefault="005D131A" w:rsidP="003A37D7">
      <w:pPr>
        <w:tabs>
          <w:tab w:val="left" w:pos="3536"/>
        </w:tabs>
        <w:ind w:right="-40"/>
        <w:rPr>
          <w:i/>
          <w:sz w:val="20"/>
          <w:szCs w:val="20"/>
        </w:rPr>
      </w:pPr>
      <w:r w:rsidRPr="003A37D7">
        <w:rPr>
          <w:i/>
          <w:sz w:val="20"/>
          <w:szCs w:val="20"/>
        </w:rPr>
        <w:t>PARÁGRAFO 3o. Los Prestadores de Servicios de Salud, las Entidades Administradoras de Planes de Beneficios (EAPB), y Entidades Obligadas a Compensar (EOC), serán responsables en el marco de sus obligaciones, de la infraestructura tecnológica necesaria para el reporte de la prescripción a través del aplicati</w:t>
      </w:r>
      <w:r>
        <w:rPr>
          <w:i/>
          <w:sz w:val="20"/>
          <w:szCs w:val="20"/>
        </w:rPr>
        <w:t>vo a que refiere este artículo.</w:t>
      </w:r>
    </w:p>
    <w:p w:rsidR="005D131A" w:rsidRPr="003A37D7" w:rsidRDefault="005D131A" w:rsidP="003A37D7">
      <w:pPr>
        <w:tabs>
          <w:tab w:val="left" w:pos="3536"/>
        </w:tabs>
        <w:ind w:right="-40"/>
        <w:rPr>
          <w:i/>
          <w:sz w:val="20"/>
          <w:szCs w:val="20"/>
        </w:rPr>
      </w:pPr>
      <w:r w:rsidRPr="003A37D7">
        <w:rPr>
          <w:i/>
          <w:sz w:val="20"/>
          <w:szCs w:val="20"/>
        </w:rPr>
        <w:t>PARÁGRAFO 4o. Una vez generado el número de prescripción, los datos consignados no podrán ser modificados. En caso de requerir una modificación, se emitirá un nuevo número de prescripción asociado al que se modifica. Esta modificación solamente podrá ser realizada por el profesional de la salud tratante que realizó la prescripción inicial, dentro de las 48 hor</w:t>
      </w:r>
      <w:r>
        <w:rPr>
          <w:i/>
          <w:sz w:val="20"/>
          <w:szCs w:val="20"/>
        </w:rPr>
        <w:t>as siguientes a su realización.</w:t>
      </w:r>
    </w:p>
    <w:p w:rsidR="005D131A" w:rsidRPr="003A37D7" w:rsidRDefault="005D131A" w:rsidP="003A37D7">
      <w:pPr>
        <w:tabs>
          <w:tab w:val="left" w:pos="3536"/>
        </w:tabs>
        <w:ind w:right="-40"/>
        <w:rPr>
          <w:i/>
          <w:sz w:val="20"/>
          <w:szCs w:val="20"/>
        </w:rPr>
      </w:pPr>
      <w:r w:rsidRPr="003A37D7">
        <w:rPr>
          <w:i/>
          <w:sz w:val="20"/>
          <w:szCs w:val="20"/>
        </w:rPr>
        <w:t>PARÁGRAFO 5o. El reporte de la prescripción que realiza el profesional de la salud tratante y, por tanto, la decisión tomada por este, así como los datos allí consignados, no podrán ser modificados por las Entidades Administradoras de Planes de Beneficios (EAPB), Entidades Obligadas a compensar (EOC), o Prestadoras de Servicios Salud (IPS), quienes tampoco podrán solicitar soportes adicionales para efectos de la garantía del suministro del servicio o tecnología en salud no cubierta en el Plan de Benefici</w:t>
      </w:r>
      <w:r>
        <w:rPr>
          <w:i/>
          <w:sz w:val="20"/>
          <w:szCs w:val="20"/>
        </w:rPr>
        <w:t>os en Salud con cargo a la UPC.</w:t>
      </w:r>
    </w:p>
    <w:p w:rsidR="00000000" w:rsidRDefault="005D131A" w:rsidP="003A37D7">
      <w:pPr>
        <w:tabs>
          <w:tab w:val="left" w:pos="3536"/>
        </w:tabs>
        <w:ind w:right="-40"/>
      </w:pPr>
      <w:r w:rsidRPr="003A37D7">
        <w:rPr>
          <w:i/>
          <w:sz w:val="20"/>
          <w:szCs w:val="20"/>
        </w:rPr>
        <w:t>PARÁGRAFO 6o. El Ministerio de Salud y Protección Social dispondrá el acceso a la información a través del aplicativo de reporte de la prescripción de servicios y tecnologías en salud no cubiertas en el Plan de Beneficios en Salud con cargo a la UPC, garantizando la protección de datos personales de acuerdo con la competencia de las entidades que lo solicite”.</w:t>
      </w:r>
    </w:p>
  </w:footnote>
  <w:footnote w:id="181">
    <w:p w:rsidR="00000000" w:rsidRDefault="005D131A" w:rsidP="00266CCA">
      <w:pPr>
        <w:pStyle w:val="Textonotapie"/>
      </w:pPr>
      <w:r w:rsidRPr="00372125">
        <w:rPr>
          <w:vertAlign w:val="superscript"/>
        </w:rPr>
        <w:footnoteRef/>
      </w:r>
      <w:r>
        <w:t xml:space="preserve"> Artículo 9</w:t>
      </w:r>
      <w:r w:rsidRPr="00372125">
        <w:t xml:space="preserve">, Resolución 1328 de 2016.  </w:t>
      </w:r>
    </w:p>
  </w:footnote>
  <w:footnote w:id="182">
    <w:p w:rsidR="00000000" w:rsidRDefault="005D131A">
      <w:pPr>
        <w:pStyle w:val="Textonotapie"/>
      </w:pPr>
      <w:r>
        <w:rPr>
          <w:vertAlign w:val="superscript"/>
        </w:rPr>
        <w:footnoteRef/>
      </w:r>
      <w:r>
        <w:t xml:space="preserve"> </w:t>
      </w:r>
      <w:r>
        <w:rPr>
          <w:lang w:val="es-CO"/>
        </w:rPr>
        <w:t xml:space="preserve">Consideración núm. </w:t>
      </w:r>
      <w:r w:rsidRPr="00C2565F">
        <w:rPr>
          <w:lang w:val="es-CO"/>
        </w:rPr>
        <w:t>6.1.3.1.6.</w:t>
      </w:r>
    </w:p>
  </w:footnote>
  <w:footnote w:id="183">
    <w:p w:rsidR="005D131A" w:rsidRPr="00827B12" w:rsidRDefault="005D131A" w:rsidP="00266CCA">
      <w:pPr>
        <w:spacing w:line="240" w:lineRule="atLeast"/>
        <w:rPr>
          <w:sz w:val="19"/>
          <w:szCs w:val="19"/>
        </w:rPr>
      </w:pPr>
      <w:r w:rsidRPr="00827B12">
        <w:rPr>
          <w:sz w:val="19"/>
          <w:szCs w:val="19"/>
          <w:vertAlign w:val="superscript"/>
        </w:rPr>
        <w:footnoteRef/>
      </w:r>
      <w:r w:rsidRPr="00827B12">
        <w:rPr>
          <w:sz w:val="19"/>
          <w:szCs w:val="19"/>
        </w:rPr>
        <w:t xml:space="preserve"> “Por la cual se definen los procedimientos y condiciones de inscripción de los Prestadores de Servicios de Salud y de habilitación de servicios de salud”. Artículo 2º Campo de aplicación. La presente resolución aplica a:</w:t>
      </w:r>
    </w:p>
    <w:p w:rsidR="005D131A" w:rsidRPr="00827B12" w:rsidRDefault="005D131A" w:rsidP="00266CCA">
      <w:pPr>
        <w:spacing w:line="240" w:lineRule="atLeast"/>
        <w:rPr>
          <w:sz w:val="19"/>
          <w:szCs w:val="19"/>
        </w:rPr>
      </w:pPr>
      <w:r w:rsidRPr="00827B12">
        <w:rPr>
          <w:sz w:val="19"/>
          <w:szCs w:val="19"/>
        </w:rPr>
        <w:t>2.1. Las Instituciones Prestadoras de Servicios de Salud.</w:t>
      </w:r>
    </w:p>
    <w:p w:rsidR="005D131A" w:rsidRPr="00827B12" w:rsidRDefault="005D131A" w:rsidP="00266CCA">
      <w:pPr>
        <w:spacing w:line="240" w:lineRule="atLeast"/>
        <w:rPr>
          <w:sz w:val="19"/>
          <w:szCs w:val="19"/>
        </w:rPr>
      </w:pPr>
      <w:r w:rsidRPr="00827B12">
        <w:rPr>
          <w:sz w:val="19"/>
          <w:szCs w:val="19"/>
        </w:rPr>
        <w:t>2.2 Los Profesionales Independientes de Salud.</w:t>
      </w:r>
    </w:p>
    <w:p w:rsidR="005D131A" w:rsidRPr="00827B12" w:rsidRDefault="005D131A" w:rsidP="00266CCA">
      <w:pPr>
        <w:spacing w:line="240" w:lineRule="atLeast"/>
        <w:rPr>
          <w:sz w:val="19"/>
          <w:szCs w:val="19"/>
        </w:rPr>
      </w:pPr>
      <w:r w:rsidRPr="00827B12">
        <w:rPr>
          <w:sz w:val="19"/>
          <w:szCs w:val="19"/>
        </w:rPr>
        <w:t>2.3. Los Servicios de Transporte Especial de Pacientes.</w:t>
      </w:r>
    </w:p>
    <w:p w:rsidR="005D131A" w:rsidRPr="00827B12" w:rsidRDefault="005D131A" w:rsidP="00266CCA">
      <w:pPr>
        <w:spacing w:line="240" w:lineRule="atLeast"/>
        <w:rPr>
          <w:sz w:val="19"/>
          <w:szCs w:val="19"/>
        </w:rPr>
      </w:pPr>
      <w:r w:rsidRPr="00827B12">
        <w:rPr>
          <w:sz w:val="19"/>
          <w:szCs w:val="19"/>
        </w:rPr>
        <w:t>2.4. Las entidades con objeto social diferente a la prestación de servicios de salud, que por requerimientos propios de su actividad, brinden de manera exclusiva servicios de baja complejidad y consulta especializada, que no incluyan servicios de hospitalización ni quirúrgicos.</w:t>
      </w:r>
    </w:p>
    <w:p w:rsidR="00000000" w:rsidRDefault="005D131A" w:rsidP="00266CCA">
      <w:pPr>
        <w:spacing w:line="240" w:lineRule="atLeast"/>
      </w:pPr>
      <w:r w:rsidRPr="00827B12">
        <w:rPr>
          <w:sz w:val="19"/>
          <w:szCs w:val="19"/>
        </w:rPr>
        <w:t>2.5. Las Entidades Departamentales y Distritales de Salud, en lo de su competencia.</w:t>
      </w:r>
    </w:p>
  </w:footnote>
  <w:footnote w:id="184">
    <w:p w:rsidR="00000000" w:rsidRDefault="005D131A" w:rsidP="00266CCA">
      <w:pPr>
        <w:pStyle w:val="Textonotapie"/>
      </w:pPr>
      <w:r w:rsidRPr="00827B12">
        <w:rPr>
          <w:sz w:val="19"/>
          <w:szCs w:val="19"/>
          <w:vertAlign w:val="superscript"/>
        </w:rPr>
        <w:footnoteRef/>
      </w:r>
      <w:r w:rsidRPr="00827B12">
        <w:rPr>
          <w:sz w:val="19"/>
          <w:szCs w:val="19"/>
        </w:rPr>
        <w:t xml:space="preserve"> Artículo 4, Resolución 1328 de 2016.  </w:t>
      </w:r>
    </w:p>
  </w:footnote>
  <w:footnote w:id="185">
    <w:p w:rsidR="005D131A" w:rsidRPr="00827B12" w:rsidRDefault="005D131A" w:rsidP="000973C0">
      <w:pPr>
        <w:pStyle w:val="Textonotapie"/>
        <w:rPr>
          <w:sz w:val="19"/>
          <w:szCs w:val="19"/>
        </w:rPr>
      </w:pPr>
      <w:r w:rsidRPr="00827B12">
        <w:rPr>
          <w:sz w:val="19"/>
          <w:szCs w:val="19"/>
          <w:vertAlign w:val="superscript"/>
        </w:rPr>
        <w:footnoteRef/>
      </w:r>
      <w:r w:rsidRPr="00827B12">
        <w:rPr>
          <w:sz w:val="19"/>
          <w:szCs w:val="19"/>
        </w:rPr>
        <w:t xml:space="preserve"> Requisitos para realizar la prescripción de servicios y tecnologías en salud no cubiertas en el Plan de Beneficios en Salud cargo a la UPC. “La prescripción de servicios y tecnologías en salud no cubiertas por el Plan de Beneficios en Salud con cargo a la UPC, deberá realizarse por el profesional de salud tratante, quien para el efecto, deberá estar inscrito en el Registro de Talento Humano en Salud - RETHUS de su respectiva profesión; encontrarse habilitado en el Registro Especial de Prestadores de Servicios de Salud — REPS y observar los siguientes requisitos:</w:t>
      </w:r>
    </w:p>
    <w:p w:rsidR="005D131A" w:rsidRPr="00827B12" w:rsidRDefault="005D131A" w:rsidP="000973C0">
      <w:pPr>
        <w:pStyle w:val="Textonotapie"/>
        <w:rPr>
          <w:sz w:val="19"/>
          <w:szCs w:val="19"/>
        </w:rPr>
      </w:pPr>
      <w:r w:rsidRPr="00827B12">
        <w:rPr>
          <w:sz w:val="19"/>
          <w:szCs w:val="19"/>
        </w:rPr>
        <w:t>1. Que el servicio o la(s) tecnología(s) en salud no se encuentre cubierta(s) en el Plan de Beneficios en Salud con cargo a la UPC.</w:t>
      </w:r>
    </w:p>
    <w:p w:rsidR="005D131A" w:rsidRPr="00827B12" w:rsidRDefault="005D131A" w:rsidP="000973C0">
      <w:pPr>
        <w:pStyle w:val="Textonotapie"/>
        <w:rPr>
          <w:sz w:val="19"/>
          <w:szCs w:val="19"/>
        </w:rPr>
      </w:pPr>
      <w:r w:rsidRPr="00827B12">
        <w:rPr>
          <w:sz w:val="19"/>
          <w:szCs w:val="19"/>
        </w:rPr>
        <w:t>2. Que el uso, ejecución o realización del servicio o tecnología en salud no cubierta en el Plan de Beneficios en Salud con cargo a la UPC haya sido autorizado por el Instituto Nacional de Vigilancia de Medicamentos y Alimentos (INVIMA) en el caso de medicamentos o dispositivos o las demás entidades u órganos competentes en el país.</w:t>
      </w:r>
    </w:p>
    <w:p w:rsidR="005D131A" w:rsidRPr="00827B12" w:rsidRDefault="005D131A" w:rsidP="000973C0">
      <w:pPr>
        <w:pStyle w:val="Textonotapie"/>
        <w:rPr>
          <w:sz w:val="19"/>
          <w:szCs w:val="19"/>
        </w:rPr>
      </w:pPr>
      <w:r w:rsidRPr="00827B12">
        <w:rPr>
          <w:sz w:val="19"/>
          <w:szCs w:val="19"/>
        </w:rPr>
        <w:t>3. Que se hayan agotado o descartado las posibilidades técnicas y científicas para la promoción, prevención, diagnóstico, tratamiento, rehabilitación y paliación de la enfermedad, de las tecnologías contenidas en el Plan de Beneficios en Salud con cargo a la UPC y no se haya obtenido resultado clínico o paraclínico satisfactorio en el término previsto de sus indicaciones, o se hayan previsto u observado reacciones adversas o intolerancia por el paciente, o existan indicaciones o contraindicaciones expresas, de todo lo cual, deberá dejarse constancia en la historia clínica</w:t>
      </w:r>
    </w:p>
    <w:p w:rsidR="005D131A" w:rsidRPr="00827B12" w:rsidRDefault="005D131A" w:rsidP="000973C0">
      <w:pPr>
        <w:pStyle w:val="Textonotapie"/>
        <w:rPr>
          <w:sz w:val="19"/>
          <w:szCs w:val="19"/>
        </w:rPr>
      </w:pPr>
      <w:r w:rsidRPr="00827B12">
        <w:rPr>
          <w:sz w:val="19"/>
          <w:szCs w:val="19"/>
        </w:rPr>
        <w:t>4. Que la decisión de prescribir un servido o la tecnología en salud no cubierta en el Plan de Beneficios en Salud con cargo a la UPC, sea consecuente con la evidencia científica disponible. En caso de que existan protocolos, guías y procedimientos desarrollados en el país deberá tomarlos como referencia.</w:t>
      </w:r>
    </w:p>
    <w:p w:rsidR="005D131A" w:rsidRPr="00827B12" w:rsidRDefault="005D131A" w:rsidP="000973C0">
      <w:pPr>
        <w:pStyle w:val="Textonotapie"/>
        <w:rPr>
          <w:sz w:val="19"/>
          <w:szCs w:val="19"/>
        </w:rPr>
      </w:pPr>
      <w:r w:rsidRPr="00827B12">
        <w:rPr>
          <w:sz w:val="19"/>
          <w:szCs w:val="19"/>
        </w:rPr>
        <w:t>5. Cuando los servicios o tecnologías en salud no cubiertas en el Plan de Beneficios en Salud con cargo a la UPC, correspondan a aquellas cuyo propósito sea cosmético o suntuario, sin evidencia científica sobre seguridad, eficacia y efectividad clínica o que se encuentren en fase de experimentación y en los casos en los cuales la prestación tenga que ser prestada en el exterior, deberá tener en cuenta las disposiciones contenidas en el artículo 12 de la presente Resolución.</w:t>
      </w:r>
    </w:p>
    <w:p w:rsidR="005D131A" w:rsidRPr="00827B12" w:rsidRDefault="005D131A" w:rsidP="000973C0">
      <w:pPr>
        <w:pStyle w:val="Textonotapie"/>
        <w:rPr>
          <w:sz w:val="19"/>
          <w:szCs w:val="19"/>
        </w:rPr>
      </w:pPr>
      <w:r w:rsidRPr="00827B12">
        <w:rPr>
          <w:sz w:val="19"/>
          <w:szCs w:val="19"/>
        </w:rPr>
        <w:t>6. Tratándose de tratamientos ambulatorios ordenados por primera vez al paciente, la prescripción podrá efectuarse hasta por un término máximo de tres (3) meses. Si la respuesta al tratamiento es favorable, el profesional de la salud tratante determinará la periodicidad con la que se continuará prescribiendo el servicio o la tecnología en salud no cubierta en el Plan de Beneficios en Salud con cargo a la UPC, sin que en ningún caso se pueda ordenar por tiempo indefinido.</w:t>
      </w:r>
    </w:p>
    <w:p w:rsidR="005D131A" w:rsidRPr="00827B12" w:rsidRDefault="005D131A" w:rsidP="000973C0">
      <w:pPr>
        <w:pStyle w:val="Textonotapie"/>
        <w:rPr>
          <w:sz w:val="19"/>
          <w:szCs w:val="19"/>
        </w:rPr>
      </w:pPr>
      <w:r w:rsidRPr="00827B12">
        <w:rPr>
          <w:sz w:val="19"/>
          <w:szCs w:val="19"/>
        </w:rPr>
        <w:t>7. Tratándose de pacientes con enfermedades crónicas, respecto de los cuales se determine un tratamiento definitivo para el manejo de su patología, los períodos de prescripción podrán ser superiores a tres (3) meses y hasta por doce (12) meses. Al término de este período, el profesional de la salud tratante deberá hacer la evaluación correspondiente y determinar la continuidad o no del servicio o de la tecnología en salud no cubierta en el Plan de Beneficios en Salud con cargo a la UPC.</w:t>
      </w:r>
    </w:p>
    <w:p w:rsidR="00000000" w:rsidRDefault="005D131A">
      <w:pPr>
        <w:pStyle w:val="Textonotapie"/>
      </w:pPr>
      <w:r w:rsidRPr="00827B12">
        <w:rPr>
          <w:sz w:val="19"/>
          <w:szCs w:val="19"/>
        </w:rPr>
        <w:t>8. Consignar de forma expresa en la historia clínica del paciente, el cumplimiento de los criterios a que se refiere el artículo precedente para la prescripción de servicios y tecnologías en salud no cubiertas en el Plan de Beneficios en Salud con cargo a la UPC”.</w:t>
      </w:r>
    </w:p>
  </w:footnote>
  <w:footnote w:id="186">
    <w:p w:rsidR="005D131A" w:rsidRPr="00827B12" w:rsidRDefault="005D131A" w:rsidP="000973C0">
      <w:pPr>
        <w:pStyle w:val="Textonotapie"/>
        <w:rPr>
          <w:sz w:val="19"/>
          <w:szCs w:val="19"/>
        </w:rPr>
      </w:pPr>
      <w:r w:rsidRPr="00827B12">
        <w:rPr>
          <w:sz w:val="19"/>
          <w:szCs w:val="19"/>
          <w:vertAlign w:val="superscript"/>
        </w:rPr>
        <w:footnoteRef/>
      </w:r>
      <w:r w:rsidRPr="00827B12">
        <w:rPr>
          <w:sz w:val="19"/>
          <w:szCs w:val="19"/>
        </w:rPr>
        <w:t xml:space="preserve"> Criterios para la prescripción. “El profesional de la salud que prescribe servicios y tecnologías en salud no cubiertas en el Plan de Beneficios en Salud con cargo a la UPC, deberá tener en cuenta los siguientes criterios:</w:t>
      </w:r>
    </w:p>
    <w:p w:rsidR="005D131A" w:rsidRPr="00827B12" w:rsidRDefault="005D131A" w:rsidP="000973C0">
      <w:pPr>
        <w:pStyle w:val="Textonotapie"/>
        <w:rPr>
          <w:sz w:val="19"/>
          <w:szCs w:val="19"/>
        </w:rPr>
      </w:pPr>
      <w:r w:rsidRPr="00827B12">
        <w:rPr>
          <w:sz w:val="19"/>
          <w:szCs w:val="19"/>
        </w:rPr>
        <w:t>1. Justificar técnicamente las decisiones adoptadas, teniendo en cuenta la pertinencia con relación al o los diagnósticos, para lo cual dejará constancia en la historia clínica del paciente, así como el registro de la información sobre los resultados de las ayudas diagnósticas e información bibliográfica que sustenten su decisión.</w:t>
      </w:r>
    </w:p>
    <w:p w:rsidR="005D131A" w:rsidRPr="00827B12" w:rsidRDefault="005D131A" w:rsidP="000973C0">
      <w:pPr>
        <w:pStyle w:val="Textonotapie"/>
        <w:rPr>
          <w:sz w:val="19"/>
          <w:szCs w:val="19"/>
        </w:rPr>
      </w:pPr>
      <w:r w:rsidRPr="00827B12">
        <w:rPr>
          <w:sz w:val="19"/>
          <w:szCs w:val="19"/>
        </w:rPr>
        <w:t>2. Comunicar al paciente con claridad, el motivo por el cual no se utiliza el servicio o la tecnología en salud cubierta por el Plan de Beneficios en Salud con cargo a la UPC así como, los resultados esperados, posibles efectos adversos y complicaciones de las tecnologías en salud no cubiertas por dicho Plan. Cuando no existan en el Plan de Beneficios en Salud con cargo a la UPC medicamentos, procedimientos o insumos que se puedan considerar reemplazados o sustituidos, el profesional de la salud tratante, deberá manifestar esta situación en la historia clínica, soportada con la evidencia científica de acuerdo con la normativa referida en el numeral 4 del artículo precedente.</w:t>
      </w:r>
    </w:p>
    <w:p w:rsidR="005D131A" w:rsidRPr="00827B12" w:rsidRDefault="005D131A" w:rsidP="000973C0">
      <w:pPr>
        <w:pStyle w:val="Textonotapie"/>
        <w:rPr>
          <w:sz w:val="19"/>
          <w:szCs w:val="19"/>
        </w:rPr>
      </w:pPr>
      <w:r w:rsidRPr="00827B12">
        <w:rPr>
          <w:sz w:val="19"/>
          <w:szCs w:val="19"/>
        </w:rPr>
        <w:t>3. En caso de que la tecnología en salud no cubierta en el Plan de Beneficios en Salud con cargo a la UPC corresponda a un medicamento, el profesional de la salud tratante lo prescribirá de acuerdo a lo previsto en los artículos 16 y 17 del Decreto 2200 de 2005 o la norma que los modifique, adicione o sustituya.</w:t>
      </w:r>
    </w:p>
    <w:p w:rsidR="005D131A" w:rsidRPr="00827B12" w:rsidRDefault="005D131A" w:rsidP="000973C0">
      <w:pPr>
        <w:pStyle w:val="Textonotapie"/>
        <w:rPr>
          <w:sz w:val="19"/>
          <w:szCs w:val="19"/>
        </w:rPr>
      </w:pPr>
      <w:r w:rsidRPr="00827B12">
        <w:rPr>
          <w:sz w:val="19"/>
          <w:szCs w:val="19"/>
        </w:rPr>
        <w:t>4. En caso de que la tecnología en salud no cubierta en el Plan de Beneficios en Salud con cargo a la UPC corresponda a un procedimiento, se entienden incluidos en este los insumos, materiales o dispositivos médicos necesarios para su realización, por lo que no se requerirá la prescripción separada de los mismos, excepto en los casos definidos en el Plan de Beneficios en Salud con cargo a la UPC o en actos administrativos del Ministerio de Salud y Protección Social, en los cuales la normativa indique de forma explícita que no hace parte de la cobertura del mismo.</w:t>
      </w:r>
    </w:p>
    <w:p w:rsidR="005D131A" w:rsidRPr="00827B12" w:rsidRDefault="005D131A" w:rsidP="000973C0">
      <w:pPr>
        <w:pStyle w:val="Textonotapie"/>
        <w:rPr>
          <w:sz w:val="19"/>
          <w:szCs w:val="19"/>
        </w:rPr>
      </w:pPr>
      <w:r w:rsidRPr="00827B12">
        <w:rPr>
          <w:sz w:val="19"/>
          <w:szCs w:val="19"/>
        </w:rPr>
        <w:t>5. En caso de que la tecnología en salud no cubierta en el Plan de Beneficios en Salud con cargo a la UPC corresponda a insumos, materiales o dispositivos médicos, indicar el procedimiento en el cual se utilizará, cuando haya lugar a ello.</w:t>
      </w:r>
    </w:p>
    <w:p w:rsidR="005D131A" w:rsidRPr="00827B12" w:rsidRDefault="005D131A" w:rsidP="000973C0">
      <w:pPr>
        <w:pStyle w:val="Textonotapie"/>
        <w:rPr>
          <w:sz w:val="19"/>
          <w:szCs w:val="19"/>
        </w:rPr>
      </w:pPr>
      <w:r w:rsidRPr="00827B12">
        <w:rPr>
          <w:sz w:val="19"/>
          <w:szCs w:val="19"/>
        </w:rPr>
        <w:t>6. Cuando la tecnología en salud no cubierta en el Plan de Beneficios en Salud con cargo a la UPC se trate de procedimientos, deberá utilizar la Codificación Única de Procedimientos (CUPS), definida en la Resolución 4678 de 2015 y las normas que la modifiquen, adicionen o sustituyan.</w:t>
      </w:r>
    </w:p>
    <w:p w:rsidR="00000000" w:rsidRDefault="005D131A">
      <w:pPr>
        <w:pStyle w:val="Textonotapie"/>
      </w:pPr>
      <w:r w:rsidRPr="00827B12">
        <w:rPr>
          <w:sz w:val="19"/>
          <w:szCs w:val="19"/>
        </w:rPr>
        <w:t>7. Diligenciar de forma completa los datos solicitados en el reporte de la prescripción de servicios y tecnologías en salud no cubiertas en el Plan de Beneficios en Salud con cargo a la UPC”.</w:t>
      </w:r>
    </w:p>
  </w:footnote>
  <w:footnote w:id="187">
    <w:p w:rsidR="00000000" w:rsidRDefault="005D131A" w:rsidP="002C4D9D">
      <w:pPr>
        <w:pStyle w:val="Textonotapie"/>
      </w:pPr>
      <w:r w:rsidRPr="00827B12">
        <w:rPr>
          <w:sz w:val="19"/>
          <w:szCs w:val="19"/>
          <w:vertAlign w:val="superscript"/>
        </w:rPr>
        <w:footnoteRef/>
      </w:r>
      <w:r w:rsidRPr="00827B12">
        <w:rPr>
          <w:sz w:val="19"/>
          <w:szCs w:val="19"/>
        </w:rPr>
        <w:t xml:space="preserve"> Resolución 2158 de 2016, “Artículo 2. Modifíquese el Articulo 81 de la Resolución No. 1328 del 2016, el cual, quedará así: Artículo 81. Vigencia y derogatoria: La presente resolución entra en vigencia a partir de la fecha de su publicación y sus disposiciones serán exigibles a partir del primero (1) de septiembre del 2016, fecha a partir de la cual quedará derogada la Resolución 5395 del 2013, salvo lo previsto en el título ll que se mantiene vigente para el procedimiento de cobro y pago de servicios y tecnologías sin cobertura en el Plan de Beneficios suministrados a los afiliados del régimen subsidiado."</w:t>
      </w:r>
    </w:p>
  </w:footnote>
  <w:footnote w:id="188">
    <w:p w:rsidR="005D131A" w:rsidRPr="00827B12" w:rsidRDefault="005D131A" w:rsidP="001516B2">
      <w:pPr>
        <w:pStyle w:val="Textonotapie"/>
        <w:rPr>
          <w:i/>
          <w:sz w:val="19"/>
          <w:szCs w:val="19"/>
        </w:rPr>
      </w:pPr>
      <w:r w:rsidRPr="00827B12">
        <w:rPr>
          <w:sz w:val="19"/>
          <w:szCs w:val="19"/>
          <w:vertAlign w:val="superscript"/>
        </w:rPr>
        <w:footnoteRef/>
      </w:r>
      <w:r w:rsidRPr="00827B12">
        <w:rPr>
          <w:sz w:val="19"/>
          <w:szCs w:val="19"/>
        </w:rPr>
        <w:t xml:space="preserve"> </w:t>
      </w:r>
      <w:r w:rsidRPr="00827B12">
        <w:rPr>
          <w:i/>
          <w:sz w:val="19"/>
          <w:szCs w:val="19"/>
        </w:rPr>
        <w:t>“Artículo 15. Prestaciones de salud. 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w:t>
      </w:r>
    </w:p>
    <w:p w:rsidR="005D131A" w:rsidRPr="00827B12" w:rsidRDefault="005D131A" w:rsidP="001516B2">
      <w:pPr>
        <w:pStyle w:val="Textonotapie"/>
        <w:rPr>
          <w:i/>
          <w:sz w:val="19"/>
          <w:szCs w:val="19"/>
        </w:rPr>
      </w:pPr>
      <w:r w:rsidRPr="00827B12">
        <w:rPr>
          <w:i/>
          <w:sz w:val="19"/>
          <w:szCs w:val="19"/>
        </w:rPr>
        <w:t>En todo caso, los recursos públicos asignados a la salud no podrán destinarse a financiar servicios y tecnologías en los que se advierta alguno de los siguientes criterios:</w:t>
      </w:r>
    </w:p>
    <w:p w:rsidR="005D131A" w:rsidRPr="00827B12" w:rsidRDefault="005D131A" w:rsidP="001516B2">
      <w:pPr>
        <w:pStyle w:val="Textonotapie"/>
        <w:rPr>
          <w:i/>
          <w:sz w:val="19"/>
          <w:szCs w:val="19"/>
        </w:rPr>
      </w:pPr>
      <w:r w:rsidRPr="00827B12">
        <w:rPr>
          <w:i/>
          <w:sz w:val="19"/>
          <w:szCs w:val="19"/>
        </w:rPr>
        <w:t>a) Que tengan como finalidad principal un propósito cosmético o suntuario no relacionado con la recuperación o mantenimiento de la capacidad funcional o vital de las personas;</w:t>
      </w:r>
    </w:p>
    <w:p w:rsidR="005D131A" w:rsidRPr="00827B12" w:rsidRDefault="005D131A" w:rsidP="001516B2">
      <w:pPr>
        <w:pStyle w:val="Textonotapie"/>
        <w:rPr>
          <w:i/>
          <w:sz w:val="19"/>
          <w:szCs w:val="19"/>
        </w:rPr>
      </w:pPr>
      <w:r w:rsidRPr="00827B12">
        <w:rPr>
          <w:i/>
          <w:sz w:val="19"/>
          <w:szCs w:val="19"/>
        </w:rPr>
        <w:t>b) Que no exista evidencia científica sobre su seguridad y eficacia clínica;</w:t>
      </w:r>
    </w:p>
    <w:p w:rsidR="005D131A" w:rsidRPr="00827B12" w:rsidRDefault="005D131A" w:rsidP="001516B2">
      <w:pPr>
        <w:pStyle w:val="Textonotapie"/>
        <w:rPr>
          <w:i/>
          <w:sz w:val="19"/>
          <w:szCs w:val="19"/>
        </w:rPr>
      </w:pPr>
      <w:r w:rsidRPr="00827B12">
        <w:rPr>
          <w:i/>
          <w:sz w:val="19"/>
          <w:szCs w:val="19"/>
        </w:rPr>
        <w:t>c) Que no exista evidencia científica sobre su efectividad clínica;</w:t>
      </w:r>
    </w:p>
    <w:p w:rsidR="005D131A" w:rsidRPr="00827B12" w:rsidRDefault="005D131A" w:rsidP="001516B2">
      <w:pPr>
        <w:pStyle w:val="Textonotapie"/>
        <w:rPr>
          <w:i/>
          <w:sz w:val="19"/>
          <w:szCs w:val="19"/>
        </w:rPr>
      </w:pPr>
      <w:r w:rsidRPr="00827B12">
        <w:rPr>
          <w:i/>
          <w:sz w:val="19"/>
          <w:szCs w:val="19"/>
        </w:rPr>
        <w:t>d) Que su uso no haya sido autorizado por la autoridad competente;</w:t>
      </w:r>
    </w:p>
    <w:p w:rsidR="005D131A" w:rsidRPr="00827B12" w:rsidRDefault="005D131A" w:rsidP="001516B2">
      <w:pPr>
        <w:pStyle w:val="Textonotapie"/>
        <w:rPr>
          <w:i/>
          <w:sz w:val="19"/>
          <w:szCs w:val="19"/>
        </w:rPr>
      </w:pPr>
      <w:r w:rsidRPr="00827B12">
        <w:rPr>
          <w:i/>
          <w:sz w:val="19"/>
          <w:szCs w:val="19"/>
        </w:rPr>
        <w:t>e) Que se encuentren en fase de experimentación;</w:t>
      </w:r>
    </w:p>
    <w:p w:rsidR="005D131A" w:rsidRPr="00827B12" w:rsidRDefault="005D131A" w:rsidP="001516B2">
      <w:pPr>
        <w:pStyle w:val="Textonotapie"/>
        <w:rPr>
          <w:i/>
          <w:sz w:val="19"/>
          <w:szCs w:val="19"/>
        </w:rPr>
      </w:pPr>
      <w:r w:rsidRPr="00827B12">
        <w:rPr>
          <w:i/>
          <w:sz w:val="19"/>
          <w:szCs w:val="19"/>
        </w:rPr>
        <w:t>f) Que tengan que ser prestados en el exterior.</w:t>
      </w:r>
    </w:p>
    <w:p w:rsidR="005D131A" w:rsidRPr="00827B12" w:rsidRDefault="005D131A" w:rsidP="001516B2">
      <w:pPr>
        <w:pStyle w:val="Textonotapie"/>
        <w:rPr>
          <w:i/>
          <w:sz w:val="19"/>
          <w:szCs w:val="19"/>
        </w:rPr>
      </w:pPr>
      <w:r w:rsidRPr="00827B12">
        <w:rPr>
          <w:i/>
          <w:sz w:val="19"/>
          <w:szCs w:val="19"/>
        </w:rPr>
        <w:t>Los servicios o tecnologías que cumplan con esos criterios serán explícitamente excluidos por el Ministerio de Salud y Protección Social o la autoridad competente que determine la ley ordinaria, previo un procedimiento técnico-científico, de carácter público, colectivo, participativo y transparente. En cualquier caso, se deberá evaluar y considerar el criterio de expertos independientes de alto nivel, de las asociaciones profesionales de la especialidad correspondiente y de los pacientes que serían potencialmente afectados con la decisión de exclusión. Las decisiones de exclusión no podrán resultar en el fraccionamiento de un servicio de salud previamente cubierto, y ser contrarias al principio de integralidad e interculturalidad.</w:t>
      </w:r>
    </w:p>
    <w:p w:rsidR="005D131A" w:rsidRPr="00827B12" w:rsidRDefault="005D131A" w:rsidP="001516B2">
      <w:pPr>
        <w:pStyle w:val="Textonotapie"/>
        <w:rPr>
          <w:i/>
          <w:sz w:val="19"/>
          <w:szCs w:val="19"/>
        </w:rPr>
      </w:pPr>
      <w:r w:rsidRPr="00827B12">
        <w:rPr>
          <w:i/>
          <w:sz w:val="19"/>
          <w:szCs w:val="19"/>
        </w:rPr>
        <w:t>Para ampliar progresivamente los beneficios la ley ordinaria determinará un mecanismo técnico-científico, de carácter público, colectivo, participativo y transparente.</w:t>
      </w:r>
    </w:p>
    <w:p w:rsidR="005D131A" w:rsidRPr="00827B12" w:rsidRDefault="005D131A" w:rsidP="001516B2">
      <w:pPr>
        <w:pStyle w:val="Textonotapie"/>
        <w:rPr>
          <w:i/>
          <w:sz w:val="19"/>
          <w:szCs w:val="19"/>
        </w:rPr>
      </w:pPr>
      <w:r w:rsidRPr="00827B12">
        <w:rPr>
          <w:i/>
          <w:sz w:val="19"/>
          <w:szCs w:val="19"/>
        </w:rPr>
        <w:t>Parágrafo 1°. El Ministerio de Salud y Protección Social tendrá hasta dos años para implementar lo señalado en el presente artículo. En este lapso el Ministerio podrá desarrollar el mecanismo técnico, participativo y transparente para excluir servicios o tecnologías de salud.</w:t>
      </w:r>
    </w:p>
    <w:p w:rsidR="005D131A" w:rsidRPr="00827B12" w:rsidRDefault="005D131A" w:rsidP="001516B2">
      <w:pPr>
        <w:pStyle w:val="Textonotapie"/>
        <w:rPr>
          <w:i/>
          <w:sz w:val="19"/>
          <w:szCs w:val="19"/>
        </w:rPr>
      </w:pPr>
      <w:r w:rsidRPr="00827B12">
        <w:rPr>
          <w:i/>
          <w:sz w:val="19"/>
          <w:szCs w:val="19"/>
        </w:rPr>
        <w:t>Parágrafo 2°. Sin perjuicio de las acciones de tutela presentadas para proteger directamente el derecho a la salud, la acción de tutela también procederá para garantizar, entre otros, el derecho a la salud contra las providencias proferidas para decidir sobre las demandas de nulidad y otras acciones contencioso administrativas.</w:t>
      </w:r>
    </w:p>
    <w:p w:rsidR="00000000" w:rsidRDefault="005D131A" w:rsidP="001516B2">
      <w:pPr>
        <w:pStyle w:val="Textonotapie"/>
      </w:pPr>
      <w:r w:rsidRPr="00827B12">
        <w:rPr>
          <w:i/>
          <w:sz w:val="19"/>
          <w:szCs w:val="19"/>
        </w:rPr>
        <w:t>Parágrafo 3°. Bajo ninguna circunstancia deberá entenderse que los criterios de exclusión definidos en el presente artículo, afectarán el acceso a tratamientos a las personas que sufren enfermedades raras o huérfanas”</w:t>
      </w:r>
      <w:r w:rsidRPr="00827B12">
        <w:rPr>
          <w:sz w:val="19"/>
          <w:szCs w:val="19"/>
        </w:rPr>
        <w:t xml:space="preserve">. </w:t>
      </w:r>
    </w:p>
  </w:footnote>
  <w:footnote w:id="189">
    <w:p w:rsidR="005D131A" w:rsidRPr="00827B12" w:rsidRDefault="005D131A" w:rsidP="003A3B00">
      <w:pPr>
        <w:pStyle w:val="Textonotapie"/>
      </w:pPr>
      <w:r w:rsidRPr="00827B12">
        <w:rPr>
          <w:vertAlign w:val="superscript"/>
        </w:rPr>
        <w:footnoteRef/>
      </w:r>
      <w:r w:rsidRPr="00827B12">
        <w:t xml:space="preserve"> Artículo 12. Prescripciones excepcionales de servicios o tecnologías explícitamente excluidas. “Cuando el profesional de la salud tratante prescriba alguno de los servicios o tecnologías explícitamente excluidas, deberá consultar en cada caso particular, la pertinencia de su utilización, a la Junta de Profesionales de la Salud que se constituya de conformidad con lo establecido en el siguiente capítulo y atendiendo las reglas que se señalan a continuación:</w:t>
      </w:r>
    </w:p>
    <w:p w:rsidR="005D131A" w:rsidRPr="00827B12" w:rsidRDefault="005D131A" w:rsidP="003A3B00">
      <w:pPr>
        <w:pStyle w:val="Textonotapie"/>
      </w:pPr>
      <w:r w:rsidRPr="00827B12">
        <w:t>1. La prescripción que realice el profesional de la salud tratante de estos servicios o tecnologías, se hará a través del aplicativo de que trata este acto administrativo.</w:t>
      </w:r>
    </w:p>
    <w:p w:rsidR="005D131A" w:rsidRPr="00827B12" w:rsidRDefault="005D131A" w:rsidP="003A3B00">
      <w:pPr>
        <w:pStyle w:val="Textonotapie"/>
      </w:pPr>
      <w:r w:rsidRPr="00827B12">
        <w:t xml:space="preserve">2. Las Entidades Administradoras de Planes de Beneficios (EAPB), y las Entidades Obligadas a Compensar (EOC), una vez cuenten con el concepto de la Junta de Profesionales de la Salud, deberán registrar la decisión en dicho aplicativo. </w:t>
      </w:r>
    </w:p>
    <w:p w:rsidR="005D131A" w:rsidRPr="00827B12" w:rsidRDefault="005D131A" w:rsidP="003A3B00">
      <w:pPr>
        <w:pStyle w:val="Textonotapie"/>
      </w:pPr>
      <w:r w:rsidRPr="00827B12">
        <w:t xml:space="preserve">3. Cuando la prescripción de estos servicios o tecnologías se realice por un profesional de una IPS que cuente con Juntas de Profesionales de la Salud, la solicitud de concepto se realizará al interior de la misma. </w:t>
      </w:r>
    </w:p>
    <w:p w:rsidR="005D131A" w:rsidRPr="00827B12" w:rsidRDefault="005D131A" w:rsidP="003A3B00">
      <w:pPr>
        <w:pStyle w:val="Textonotapie"/>
      </w:pPr>
      <w:r w:rsidRPr="00827B12">
        <w:t xml:space="preserve">4. Cuando la prescripción de estos servicios o tecnologías sea realizada por un profesional de una IPS que no cuente con Juntas de Profesionales de la Salud, o por un profesional habilitado como prestador de servicios independiente, deberá dar aplicación a lo dispuesto en la presente resolución y la entidad encargada del afiliado solicitará el concepto de una Junta de Profesionales de la Salud de su red de prestadores. </w:t>
      </w:r>
    </w:p>
    <w:p w:rsidR="005D131A" w:rsidRPr="00827B12" w:rsidRDefault="005D131A" w:rsidP="003A3B00">
      <w:pPr>
        <w:pStyle w:val="Textonotapie"/>
      </w:pPr>
      <w:r w:rsidRPr="00827B12">
        <w:t>5. Cuando exista urgencia vital, esto es, en caso de riesgo inminente para la vida o salud del paciente; o cuando se trate de las víctimas de que trata el artículo 3o de la Ley 1448 de 2011, respecto de los servicios contenidos en el artículo 54 de la mencionada Ley, no se aplicará el procedimiento para la autorización de que trata el presente artículo, casos en los cuales el profesional de la salud tratante tiene la posibilidad de decidir sobre el servicio o la tecnología a utilizar, previa verificación del cumplimiento de lo establecido en los artículos 9o y 10 de la presente resolución.</w:t>
      </w:r>
    </w:p>
    <w:p w:rsidR="00000000" w:rsidRDefault="005D131A" w:rsidP="003A3B00">
      <w:pPr>
        <w:pStyle w:val="Textonotapie"/>
      </w:pPr>
      <w:r w:rsidRPr="00827B12">
        <w:t>En las situaciones mencionadas, el profesional de la salud tratante deberá presentar el caso ante la Junta de Profesionales de la Salud, dentro de los cinco (5) días siguientes al suministro del servicio o tecnología, órgano que confirmará o no la decisión adoptada y autorizará la continuidad en el suministro de la misma”.</w:t>
      </w:r>
    </w:p>
  </w:footnote>
  <w:footnote w:id="190">
    <w:p w:rsidR="00000000" w:rsidRDefault="005D131A" w:rsidP="00567637">
      <w:pPr>
        <w:pStyle w:val="Textonotapie"/>
      </w:pPr>
      <w:r w:rsidRPr="004C325A">
        <w:rPr>
          <w:vertAlign w:val="superscript"/>
        </w:rPr>
        <w:footnoteRef/>
      </w:r>
      <w:r w:rsidRPr="004C325A">
        <w:t xml:space="preserve"> La EPS remitió el formulario con estas siglas que podrían significar que la información no está disponible.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EB2"/>
    <w:multiLevelType w:val="hybridMultilevel"/>
    <w:tmpl w:val="8EF8429A"/>
    <w:lvl w:ilvl="0" w:tplc="5E96276A">
      <w:start w:val="13"/>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857F20"/>
    <w:multiLevelType w:val="hybridMultilevel"/>
    <w:tmpl w:val="62500D22"/>
    <w:lvl w:ilvl="0" w:tplc="2B34B1F0">
      <w:start w:val="1"/>
      <w:numFmt w:val="lowerRoman"/>
      <w:lvlText w:val="%1)"/>
      <w:lvlJc w:val="left"/>
      <w:pPr>
        <w:ind w:left="1440" w:hanging="720"/>
      </w:pPr>
      <w:rPr>
        <w:rFonts w:cs="Times New Roman" w:hint="default"/>
        <w:i/>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
    <w:nsid w:val="07306D2E"/>
    <w:multiLevelType w:val="hybridMultilevel"/>
    <w:tmpl w:val="A3940776"/>
    <w:lvl w:ilvl="0" w:tplc="EB105A6E">
      <w:start w:val="1"/>
      <w:numFmt w:val="decimal"/>
      <w:lvlText w:val="%1."/>
      <w:lvlJc w:val="left"/>
      <w:pPr>
        <w:ind w:left="480" w:hanging="360"/>
      </w:pPr>
      <w:rPr>
        <w:rFonts w:cs="Times New Roman" w:hint="default"/>
      </w:rPr>
    </w:lvl>
    <w:lvl w:ilvl="1" w:tplc="240A0019">
      <w:start w:val="1"/>
      <w:numFmt w:val="lowerLetter"/>
      <w:lvlText w:val="%2."/>
      <w:lvlJc w:val="left"/>
      <w:pPr>
        <w:ind w:left="1200" w:hanging="360"/>
      </w:pPr>
      <w:rPr>
        <w:rFonts w:cs="Times New Roman"/>
      </w:rPr>
    </w:lvl>
    <w:lvl w:ilvl="2" w:tplc="240A001B" w:tentative="1">
      <w:start w:val="1"/>
      <w:numFmt w:val="lowerRoman"/>
      <w:lvlText w:val="%3."/>
      <w:lvlJc w:val="right"/>
      <w:pPr>
        <w:ind w:left="1920" w:hanging="180"/>
      </w:pPr>
      <w:rPr>
        <w:rFonts w:cs="Times New Roman"/>
      </w:rPr>
    </w:lvl>
    <w:lvl w:ilvl="3" w:tplc="240A000F" w:tentative="1">
      <w:start w:val="1"/>
      <w:numFmt w:val="decimal"/>
      <w:lvlText w:val="%4."/>
      <w:lvlJc w:val="left"/>
      <w:pPr>
        <w:ind w:left="2640" w:hanging="360"/>
      </w:pPr>
      <w:rPr>
        <w:rFonts w:cs="Times New Roman"/>
      </w:rPr>
    </w:lvl>
    <w:lvl w:ilvl="4" w:tplc="240A0019" w:tentative="1">
      <w:start w:val="1"/>
      <w:numFmt w:val="lowerLetter"/>
      <w:lvlText w:val="%5."/>
      <w:lvlJc w:val="left"/>
      <w:pPr>
        <w:ind w:left="3360" w:hanging="360"/>
      </w:pPr>
      <w:rPr>
        <w:rFonts w:cs="Times New Roman"/>
      </w:rPr>
    </w:lvl>
    <w:lvl w:ilvl="5" w:tplc="240A001B" w:tentative="1">
      <w:start w:val="1"/>
      <w:numFmt w:val="lowerRoman"/>
      <w:lvlText w:val="%6."/>
      <w:lvlJc w:val="right"/>
      <w:pPr>
        <w:ind w:left="4080" w:hanging="180"/>
      </w:pPr>
      <w:rPr>
        <w:rFonts w:cs="Times New Roman"/>
      </w:rPr>
    </w:lvl>
    <w:lvl w:ilvl="6" w:tplc="240A000F" w:tentative="1">
      <w:start w:val="1"/>
      <w:numFmt w:val="decimal"/>
      <w:lvlText w:val="%7."/>
      <w:lvlJc w:val="left"/>
      <w:pPr>
        <w:ind w:left="4800" w:hanging="360"/>
      </w:pPr>
      <w:rPr>
        <w:rFonts w:cs="Times New Roman"/>
      </w:rPr>
    </w:lvl>
    <w:lvl w:ilvl="7" w:tplc="240A0019" w:tentative="1">
      <w:start w:val="1"/>
      <w:numFmt w:val="lowerLetter"/>
      <w:lvlText w:val="%8."/>
      <w:lvlJc w:val="left"/>
      <w:pPr>
        <w:ind w:left="5520" w:hanging="360"/>
      </w:pPr>
      <w:rPr>
        <w:rFonts w:cs="Times New Roman"/>
      </w:rPr>
    </w:lvl>
    <w:lvl w:ilvl="8" w:tplc="240A001B" w:tentative="1">
      <w:start w:val="1"/>
      <w:numFmt w:val="lowerRoman"/>
      <w:lvlText w:val="%9."/>
      <w:lvlJc w:val="right"/>
      <w:pPr>
        <w:ind w:left="6240" w:hanging="180"/>
      </w:pPr>
      <w:rPr>
        <w:rFonts w:cs="Times New Roman"/>
      </w:rPr>
    </w:lvl>
  </w:abstractNum>
  <w:abstractNum w:abstractNumId="3">
    <w:nsid w:val="0DA52FE5"/>
    <w:multiLevelType w:val="multilevel"/>
    <w:tmpl w:val="3B06E106"/>
    <w:lvl w:ilvl="0">
      <w:start w:val="1"/>
      <w:numFmt w:val="decimal"/>
      <w:lvlText w:val="%1."/>
      <w:lvlJc w:val="left"/>
      <w:pPr>
        <w:ind w:left="6598" w:hanging="360"/>
      </w:pPr>
      <w:rPr>
        <w:rFonts w:cs="Times New Roman" w:hint="default"/>
        <w:sz w:val="28"/>
        <w:szCs w:val="28"/>
      </w:rPr>
    </w:lvl>
    <w:lvl w:ilvl="1">
      <w:start w:val="1"/>
      <w:numFmt w:val="decimal"/>
      <w:isLgl/>
      <w:lvlText w:val="%1.%2."/>
      <w:lvlJc w:val="left"/>
      <w:pPr>
        <w:ind w:left="720" w:hanging="720"/>
      </w:pPr>
      <w:rPr>
        <w:rFonts w:ascii="Times New Roman" w:hAnsi="Times New Roman" w:cs="Times New Roman" w:hint="default"/>
        <w:b w:val="0"/>
        <w:i w:val="0"/>
        <w:sz w:val="26"/>
        <w:szCs w:val="26"/>
      </w:rPr>
    </w:lvl>
    <w:lvl w:ilvl="2">
      <w:start w:val="1"/>
      <w:numFmt w:val="decimal"/>
      <w:isLgl/>
      <w:lvlText w:val="%1.%2.%3."/>
      <w:lvlJc w:val="left"/>
      <w:pPr>
        <w:ind w:left="2705" w:hanging="720"/>
      </w:pPr>
      <w:rPr>
        <w:rFonts w:ascii="Times New Roman" w:hAnsi="Times New Roman" w:cs="Times New Roman" w:hint="default"/>
        <w:b w:val="0"/>
        <w:i w:val="0"/>
        <w:sz w:val="26"/>
        <w:szCs w:val="26"/>
      </w:rPr>
    </w:lvl>
    <w:lvl w:ilvl="3">
      <w:start w:val="1"/>
      <w:numFmt w:val="decimal"/>
      <w:isLgl/>
      <w:lvlText w:val="%1.%2.%3.%4."/>
      <w:lvlJc w:val="left"/>
      <w:pPr>
        <w:ind w:left="1790" w:hanging="1080"/>
      </w:pPr>
      <w:rPr>
        <w:rFonts w:cs="Times New Roman" w:hint="default"/>
        <w:b w:val="0"/>
        <w:i w:val="0"/>
        <w:sz w:val="26"/>
        <w:szCs w:val="26"/>
      </w:rPr>
    </w:lvl>
    <w:lvl w:ilvl="4">
      <w:start w:val="1"/>
      <w:numFmt w:val="decimal"/>
      <w:isLgl/>
      <w:lvlText w:val="%1.%2.%3.%4.%5."/>
      <w:lvlJc w:val="left"/>
      <w:pPr>
        <w:ind w:left="1080" w:hanging="1080"/>
      </w:pPr>
      <w:rPr>
        <w:rFonts w:cs="Times New Roman" w:hint="default"/>
        <w:i w:val="0"/>
        <w:sz w:val="26"/>
        <w:szCs w:val="26"/>
      </w:rPr>
    </w:lvl>
    <w:lvl w:ilvl="5">
      <w:start w:val="1"/>
      <w:numFmt w:val="decimal"/>
      <w:isLgl/>
      <w:lvlText w:val="%1.%2.%3.%4.%5.%6."/>
      <w:lvlJc w:val="left"/>
      <w:pPr>
        <w:ind w:left="5126" w:hanging="1440"/>
      </w:pPr>
      <w:rPr>
        <w:rFonts w:cs="Times New Roman" w:hint="default"/>
        <w:i w:val="0"/>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nsid w:val="0E7B41CC"/>
    <w:multiLevelType w:val="multilevel"/>
    <w:tmpl w:val="DBC25086"/>
    <w:lvl w:ilvl="0">
      <w:start w:val="1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0EC4336E"/>
    <w:multiLevelType w:val="hybridMultilevel"/>
    <w:tmpl w:val="9B66211A"/>
    <w:lvl w:ilvl="0" w:tplc="6220ED74">
      <w:start w:val="1"/>
      <w:numFmt w:val="lowerRoman"/>
      <w:lvlText w:val="(%1)"/>
      <w:lvlJc w:val="left"/>
      <w:pPr>
        <w:ind w:left="1080" w:hanging="720"/>
      </w:pPr>
      <w:rPr>
        <w:rFonts w:cs="Times New Roman" w:hint="default"/>
        <w:i/>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0FDA3F0B"/>
    <w:multiLevelType w:val="hybridMultilevel"/>
    <w:tmpl w:val="DE4EDEDA"/>
    <w:lvl w:ilvl="0" w:tplc="BCD6E42A">
      <w:start w:val="448"/>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3A83F00"/>
    <w:multiLevelType w:val="hybridMultilevel"/>
    <w:tmpl w:val="069C0CE6"/>
    <w:lvl w:ilvl="0" w:tplc="EEBC4296">
      <w:start w:val="9"/>
      <w:numFmt w:val="bullet"/>
      <w:lvlText w:val="-"/>
      <w:lvlJc w:val="left"/>
      <w:pPr>
        <w:tabs>
          <w:tab w:val="num" w:pos="1068"/>
        </w:tabs>
        <w:ind w:left="1068" w:hanging="360"/>
      </w:pPr>
      <w:rPr>
        <w:rFonts w:ascii="Times New Roman" w:eastAsia="Times New Roman" w:hAnsi="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1604425E"/>
    <w:multiLevelType w:val="hybridMultilevel"/>
    <w:tmpl w:val="62500D22"/>
    <w:lvl w:ilvl="0" w:tplc="2B34B1F0">
      <w:start w:val="1"/>
      <w:numFmt w:val="lowerRoman"/>
      <w:lvlText w:val="%1)"/>
      <w:lvlJc w:val="left"/>
      <w:pPr>
        <w:ind w:left="1440" w:hanging="720"/>
      </w:pPr>
      <w:rPr>
        <w:rFonts w:cs="Times New Roman" w:hint="default"/>
        <w:i/>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9">
    <w:nsid w:val="17E318ED"/>
    <w:multiLevelType w:val="multilevel"/>
    <w:tmpl w:val="4DB229F4"/>
    <w:lvl w:ilvl="0">
      <w:start w:val="2"/>
      <w:numFmt w:val="decimal"/>
      <w:lvlText w:val="%1."/>
      <w:lvlJc w:val="left"/>
      <w:pPr>
        <w:ind w:left="675" w:hanging="675"/>
      </w:pPr>
      <w:rPr>
        <w:rFonts w:cs="Times New Roman" w:hint="default"/>
        <w:b/>
      </w:rPr>
    </w:lvl>
    <w:lvl w:ilvl="1">
      <w:start w:val="4"/>
      <w:numFmt w:val="decimal"/>
      <w:lvlText w:val="%1.%2."/>
      <w:lvlJc w:val="left"/>
      <w:pPr>
        <w:ind w:left="720" w:hanging="720"/>
      </w:pPr>
      <w:rPr>
        <w:rFonts w:cs="Times New Roman" w:hint="default"/>
        <w:b w:val="0"/>
      </w:rPr>
    </w:lvl>
    <w:lvl w:ilvl="2">
      <w:start w:val="3"/>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0">
    <w:nsid w:val="19701CD3"/>
    <w:multiLevelType w:val="hybridMultilevel"/>
    <w:tmpl w:val="0EB829C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1AB42864"/>
    <w:multiLevelType w:val="hybridMultilevel"/>
    <w:tmpl w:val="3C620BF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nsid w:val="1E4913C2"/>
    <w:multiLevelType w:val="hybridMultilevel"/>
    <w:tmpl w:val="62500D22"/>
    <w:lvl w:ilvl="0" w:tplc="2B34B1F0">
      <w:start w:val="1"/>
      <w:numFmt w:val="lowerRoman"/>
      <w:lvlText w:val="%1)"/>
      <w:lvlJc w:val="left"/>
      <w:pPr>
        <w:ind w:left="1440" w:hanging="720"/>
      </w:pPr>
      <w:rPr>
        <w:rFonts w:cs="Times New Roman" w:hint="default"/>
        <w:i/>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3">
    <w:nsid w:val="1F0A069E"/>
    <w:multiLevelType w:val="multilevel"/>
    <w:tmpl w:val="F32A4FE8"/>
    <w:lvl w:ilvl="0">
      <w:start w:val="5"/>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2624D6C"/>
    <w:multiLevelType w:val="hybridMultilevel"/>
    <w:tmpl w:val="62500D22"/>
    <w:lvl w:ilvl="0" w:tplc="2B34B1F0">
      <w:start w:val="1"/>
      <w:numFmt w:val="lowerRoman"/>
      <w:lvlText w:val="%1)"/>
      <w:lvlJc w:val="left"/>
      <w:pPr>
        <w:ind w:left="1440" w:hanging="720"/>
      </w:pPr>
      <w:rPr>
        <w:rFonts w:cs="Times New Roman" w:hint="default"/>
        <w:i/>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5">
    <w:nsid w:val="258E7793"/>
    <w:multiLevelType w:val="multilevel"/>
    <w:tmpl w:val="408EE028"/>
    <w:lvl w:ilvl="0">
      <w:start w:val="2"/>
      <w:numFmt w:val="decimal"/>
      <w:lvlText w:val="%1."/>
      <w:lvlJc w:val="left"/>
      <w:pPr>
        <w:ind w:left="408" w:hanging="40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26874FBF"/>
    <w:multiLevelType w:val="hybridMultilevel"/>
    <w:tmpl w:val="1A94ED6C"/>
    <w:lvl w:ilvl="0" w:tplc="4BDA743A">
      <w:start w:val="11"/>
      <w:numFmt w:val="decimal"/>
      <w:lvlText w:val="%1."/>
      <w:lvlJc w:val="left"/>
      <w:pPr>
        <w:ind w:left="48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
    <w:nsid w:val="26EB4077"/>
    <w:multiLevelType w:val="hybridMultilevel"/>
    <w:tmpl w:val="62500D22"/>
    <w:lvl w:ilvl="0" w:tplc="2B34B1F0">
      <w:start w:val="1"/>
      <w:numFmt w:val="lowerRoman"/>
      <w:lvlText w:val="%1)"/>
      <w:lvlJc w:val="left"/>
      <w:pPr>
        <w:ind w:left="1440" w:hanging="720"/>
      </w:pPr>
      <w:rPr>
        <w:rFonts w:cs="Times New Roman" w:hint="default"/>
        <w:i/>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8">
    <w:nsid w:val="2A1B180A"/>
    <w:multiLevelType w:val="hybridMultilevel"/>
    <w:tmpl w:val="62500D22"/>
    <w:lvl w:ilvl="0" w:tplc="2B34B1F0">
      <w:start w:val="1"/>
      <w:numFmt w:val="lowerRoman"/>
      <w:lvlText w:val="%1)"/>
      <w:lvlJc w:val="left"/>
      <w:pPr>
        <w:ind w:left="1440" w:hanging="720"/>
      </w:pPr>
      <w:rPr>
        <w:rFonts w:cs="Times New Roman" w:hint="default"/>
        <w:i/>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9">
    <w:nsid w:val="306431BA"/>
    <w:multiLevelType w:val="multilevel"/>
    <w:tmpl w:val="D3783420"/>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3D0B1A52"/>
    <w:multiLevelType w:val="hybridMultilevel"/>
    <w:tmpl w:val="62500D22"/>
    <w:lvl w:ilvl="0" w:tplc="2B34B1F0">
      <w:start w:val="1"/>
      <w:numFmt w:val="lowerRoman"/>
      <w:lvlText w:val="%1)"/>
      <w:lvlJc w:val="left"/>
      <w:pPr>
        <w:ind w:left="1440" w:hanging="720"/>
      </w:pPr>
      <w:rPr>
        <w:rFonts w:cs="Times New Roman" w:hint="default"/>
        <w:i/>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1">
    <w:nsid w:val="3FEA24C3"/>
    <w:multiLevelType w:val="hybridMultilevel"/>
    <w:tmpl w:val="B8F41034"/>
    <w:lvl w:ilvl="0" w:tplc="19E0305A">
      <w:start w:val="1"/>
      <w:numFmt w:val="decimal"/>
      <w:lvlText w:val="%1."/>
      <w:lvlJc w:val="left"/>
      <w:pPr>
        <w:tabs>
          <w:tab w:val="num" w:pos="340"/>
        </w:tabs>
      </w:pPr>
      <w:rPr>
        <w:rFonts w:cs="Times New Roman" w:hint="default"/>
        <w:b w:val="0"/>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405368DC"/>
    <w:multiLevelType w:val="hybridMultilevel"/>
    <w:tmpl w:val="62500D22"/>
    <w:lvl w:ilvl="0" w:tplc="2B34B1F0">
      <w:start w:val="1"/>
      <w:numFmt w:val="lowerRoman"/>
      <w:lvlText w:val="%1)"/>
      <w:lvlJc w:val="left"/>
      <w:pPr>
        <w:ind w:left="1440" w:hanging="720"/>
      </w:pPr>
      <w:rPr>
        <w:rFonts w:cs="Times New Roman" w:hint="default"/>
        <w:i/>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3">
    <w:nsid w:val="44A06ABB"/>
    <w:multiLevelType w:val="multilevel"/>
    <w:tmpl w:val="2E2CA07C"/>
    <w:lvl w:ilvl="0">
      <w:start w:val="1"/>
      <w:numFmt w:val="decimal"/>
      <w:lvlText w:val="%1."/>
      <w:lvlJc w:val="left"/>
      <w:pPr>
        <w:ind w:left="360" w:hanging="360"/>
      </w:pPr>
      <w:rPr>
        <w:rFonts w:cs="Times New Roman"/>
      </w:rPr>
    </w:lvl>
    <w:lvl w:ilvl="1">
      <w:start w:val="1"/>
      <w:numFmt w:val="decimal"/>
      <w:lvlText w:val="%1.%2."/>
      <w:lvlJc w:val="left"/>
      <w:pPr>
        <w:ind w:left="8087"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7DD2F95"/>
    <w:multiLevelType w:val="multilevel"/>
    <w:tmpl w:val="B05660E0"/>
    <w:lvl w:ilvl="0">
      <w:start w:val="2"/>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4B9E3C28"/>
    <w:multiLevelType w:val="multilevel"/>
    <w:tmpl w:val="8670D9F2"/>
    <w:lvl w:ilvl="0">
      <w:start w:val="14"/>
      <w:numFmt w:val="decimal"/>
      <w:lvlText w:val="%1."/>
      <w:lvlJc w:val="left"/>
      <w:pPr>
        <w:ind w:left="525" w:hanging="525"/>
      </w:pPr>
      <w:rPr>
        <w:rFonts w:cs="Times New Roman" w:hint="default"/>
        <w:b/>
      </w:rPr>
    </w:lvl>
    <w:lvl w:ilvl="1">
      <w:start w:val="1"/>
      <w:numFmt w:val="decimal"/>
      <w:lvlText w:val="%1.%2."/>
      <w:lvlJc w:val="left"/>
      <w:pPr>
        <w:ind w:left="2421" w:hanging="720"/>
      </w:pPr>
      <w:rPr>
        <w:rFonts w:cs="Times New Roman" w:hint="default"/>
        <w:b w:val="0"/>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6">
    <w:nsid w:val="4D1E359F"/>
    <w:multiLevelType w:val="hybridMultilevel"/>
    <w:tmpl w:val="62500D22"/>
    <w:lvl w:ilvl="0" w:tplc="2B34B1F0">
      <w:start w:val="1"/>
      <w:numFmt w:val="lowerRoman"/>
      <w:lvlText w:val="%1)"/>
      <w:lvlJc w:val="left"/>
      <w:pPr>
        <w:ind w:left="1440" w:hanging="720"/>
      </w:pPr>
      <w:rPr>
        <w:rFonts w:cs="Times New Roman" w:hint="default"/>
        <w:i/>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7">
    <w:nsid w:val="51DB0C21"/>
    <w:multiLevelType w:val="hybridMultilevel"/>
    <w:tmpl w:val="F106FF24"/>
    <w:lvl w:ilvl="0" w:tplc="2B34B1F0">
      <w:start w:val="1"/>
      <w:numFmt w:val="lowerRoman"/>
      <w:lvlText w:val="%1)"/>
      <w:lvlJc w:val="left"/>
      <w:pPr>
        <w:ind w:left="720" w:hanging="360"/>
      </w:pPr>
      <w:rPr>
        <w:rFonts w:cs="Times New Roman" w:hint="default"/>
        <w:i/>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4231C30"/>
    <w:multiLevelType w:val="hybridMultilevel"/>
    <w:tmpl w:val="1F1A8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5212867"/>
    <w:multiLevelType w:val="hybridMultilevel"/>
    <w:tmpl w:val="74623816"/>
    <w:lvl w:ilvl="0" w:tplc="52E45382">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0">
    <w:nsid w:val="56AD6F3F"/>
    <w:multiLevelType w:val="hybridMultilevel"/>
    <w:tmpl w:val="920A2F0A"/>
    <w:lvl w:ilvl="0" w:tplc="02E44BA0">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92526E7"/>
    <w:multiLevelType w:val="hybridMultilevel"/>
    <w:tmpl w:val="450A1466"/>
    <w:lvl w:ilvl="0" w:tplc="7FA67BBA">
      <w:start w:val="1"/>
      <w:numFmt w:val="upperRoman"/>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2">
    <w:nsid w:val="5B9D4F89"/>
    <w:multiLevelType w:val="hybridMultilevel"/>
    <w:tmpl w:val="30C8E7A8"/>
    <w:lvl w:ilvl="0" w:tplc="C35E8052">
      <w:start w:val="1"/>
      <w:numFmt w:val="lowerRoman"/>
      <w:lvlText w:val="%1)"/>
      <w:lvlJc w:val="left"/>
      <w:pPr>
        <w:ind w:left="1080" w:hanging="72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612052E7"/>
    <w:multiLevelType w:val="multilevel"/>
    <w:tmpl w:val="141E28D8"/>
    <w:lvl w:ilvl="0">
      <w:start w:val="2"/>
      <w:numFmt w:val="decimal"/>
      <w:lvlText w:val="%1."/>
      <w:lvlJc w:val="left"/>
      <w:pPr>
        <w:ind w:left="408" w:hanging="408"/>
      </w:pPr>
      <w:rPr>
        <w:rFonts w:cs="Times New Roman" w:hint="default"/>
        <w:b/>
        <w:sz w:val="26"/>
        <w:szCs w:val="26"/>
      </w:rPr>
    </w:lvl>
    <w:lvl w:ilvl="1">
      <w:start w:val="4"/>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270283D"/>
    <w:multiLevelType w:val="hybridMultilevel"/>
    <w:tmpl w:val="62500D22"/>
    <w:lvl w:ilvl="0" w:tplc="2B34B1F0">
      <w:start w:val="1"/>
      <w:numFmt w:val="lowerRoman"/>
      <w:lvlText w:val="%1)"/>
      <w:lvlJc w:val="left"/>
      <w:pPr>
        <w:ind w:left="1440" w:hanging="720"/>
      </w:pPr>
      <w:rPr>
        <w:rFonts w:cs="Times New Roman" w:hint="default"/>
        <w:i/>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5">
    <w:nsid w:val="62A525A5"/>
    <w:multiLevelType w:val="hybridMultilevel"/>
    <w:tmpl w:val="62500D22"/>
    <w:lvl w:ilvl="0" w:tplc="2B34B1F0">
      <w:start w:val="1"/>
      <w:numFmt w:val="lowerRoman"/>
      <w:lvlText w:val="%1)"/>
      <w:lvlJc w:val="left"/>
      <w:pPr>
        <w:ind w:left="1440" w:hanging="720"/>
      </w:pPr>
      <w:rPr>
        <w:rFonts w:cs="Times New Roman" w:hint="default"/>
        <w:i/>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6">
    <w:nsid w:val="648460C4"/>
    <w:multiLevelType w:val="hybridMultilevel"/>
    <w:tmpl w:val="62500D22"/>
    <w:lvl w:ilvl="0" w:tplc="2B34B1F0">
      <w:start w:val="1"/>
      <w:numFmt w:val="lowerRoman"/>
      <w:lvlText w:val="%1)"/>
      <w:lvlJc w:val="left"/>
      <w:pPr>
        <w:ind w:left="1440" w:hanging="720"/>
      </w:pPr>
      <w:rPr>
        <w:rFonts w:cs="Times New Roman" w:hint="default"/>
        <w:i/>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7">
    <w:nsid w:val="67C83350"/>
    <w:multiLevelType w:val="multilevel"/>
    <w:tmpl w:val="1A188B52"/>
    <w:lvl w:ilvl="0">
      <w:start w:val="2"/>
      <w:numFmt w:val="decimal"/>
      <w:lvlText w:val="%1."/>
      <w:lvlJc w:val="left"/>
      <w:pPr>
        <w:ind w:left="675" w:hanging="675"/>
      </w:pPr>
      <w:rPr>
        <w:rFonts w:cs="Times New Roman" w:hint="default"/>
        <w:b/>
      </w:rPr>
    </w:lvl>
    <w:lvl w:ilvl="1">
      <w:start w:val="4"/>
      <w:numFmt w:val="decimal"/>
      <w:lvlText w:val="%1.%2."/>
      <w:lvlJc w:val="left"/>
      <w:pPr>
        <w:ind w:left="720" w:hanging="720"/>
      </w:pPr>
      <w:rPr>
        <w:rFonts w:cs="Times New Roman" w:hint="default"/>
        <w:b w:val="0"/>
      </w:rPr>
    </w:lvl>
    <w:lvl w:ilvl="2">
      <w:start w:val="2"/>
      <w:numFmt w:val="decimal"/>
      <w:lvlText w:val="%1.%2.%3."/>
      <w:lvlJc w:val="left"/>
      <w:pPr>
        <w:ind w:left="2847"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8">
    <w:nsid w:val="68E744BB"/>
    <w:multiLevelType w:val="multilevel"/>
    <w:tmpl w:val="1B9C7652"/>
    <w:lvl w:ilvl="0">
      <w:start w:val="3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BE02BF1"/>
    <w:multiLevelType w:val="multilevel"/>
    <w:tmpl w:val="3D98433A"/>
    <w:lvl w:ilvl="0">
      <w:start w:val="1"/>
      <w:numFmt w:val="decimal"/>
      <w:lvlText w:val="%1."/>
      <w:lvlJc w:val="left"/>
      <w:pPr>
        <w:tabs>
          <w:tab w:val="num" w:pos="585"/>
        </w:tabs>
        <w:ind w:left="585" w:hanging="525"/>
      </w:pPr>
      <w:rPr>
        <w:rFonts w:cs="Times New Roman" w:hint="default"/>
        <w:i w:val="0"/>
      </w:rPr>
    </w:lvl>
    <w:lvl w:ilvl="1">
      <w:start w:val="2"/>
      <w:numFmt w:val="decimal"/>
      <w:isLgl/>
      <w:lvlText w:val="%1.%2."/>
      <w:lvlJc w:val="left"/>
      <w:pPr>
        <w:tabs>
          <w:tab w:val="num" w:pos="780"/>
        </w:tabs>
        <w:ind w:left="780" w:hanging="720"/>
      </w:pPr>
      <w:rPr>
        <w:rFonts w:cs="Times New Roman" w:hint="default"/>
      </w:rPr>
    </w:lvl>
    <w:lvl w:ilvl="2">
      <w:start w:val="1"/>
      <w:numFmt w:val="decimal"/>
      <w:isLgl/>
      <w:lvlText w:val="%1.%2.%3."/>
      <w:lvlJc w:val="left"/>
      <w:pPr>
        <w:tabs>
          <w:tab w:val="num" w:pos="780"/>
        </w:tabs>
        <w:ind w:left="78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40"/>
        </w:tabs>
        <w:ind w:left="1140" w:hanging="1080"/>
      </w:pPr>
      <w:rPr>
        <w:rFonts w:cs="Times New Roman" w:hint="default"/>
      </w:rPr>
    </w:lvl>
    <w:lvl w:ilvl="5">
      <w:start w:val="1"/>
      <w:numFmt w:val="decimal"/>
      <w:isLgl/>
      <w:lvlText w:val="%1.%2.%3.%4.%5.%6."/>
      <w:lvlJc w:val="left"/>
      <w:pPr>
        <w:tabs>
          <w:tab w:val="num" w:pos="1500"/>
        </w:tabs>
        <w:ind w:left="1500" w:hanging="1440"/>
      </w:pPr>
      <w:rPr>
        <w:rFonts w:cs="Times New Roman" w:hint="default"/>
      </w:rPr>
    </w:lvl>
    <w:lvl w:ilvl="6">
      <w:start w:val="1"/>
      <w:numFmt w:val="decimal"/>
      <w:isLgl/>
      <w:lvlText w:val="%1.%2.%3.%4.%5.%6.%7."/>
      <w:lvlJc w:val="left"/>
      <w:pPr>
        <w:tabs>
          <w:tab w:val="num" w:pos="1500"/>
        </w:tabs>
        <w:ind w:left="1500" w:hanging="1440"/>
      </w:pPr>
      <w:rPr>
        <w:rFonts w:cs="Times New Roman" w:hint="default"/>
      </w:rPr>
    </w:lvl>
    <w:lvl w:ilvl="7">
      <w:start w:val="1"/>
      <w:numFmt w:val="decimal"/>
      <w:isLgl/>
      <w:lvlText w:val="%1.%2.%3.%4.%5.%6.%7.%8."/>
      <w:lvlJc w:val="left"/>
      <w:pPr>
        <w:tabs>
          <w:tab w:val="num" w:pos="1860"/>
        </w:tabs>
        <w:ind w:left="1860" w:hanging="1800"/>
      </w:pPr>
      <w:rPr>
        <w:rFonts w:cs="Times New Roman" w:hint="default"/>
      </w:rPr>
    </w:lvl>
    <w:lvl w:ilvl="8">
      <w:start w:val="1"/>
      <w:numFmt w:val="decimal"/>
      <w:isLgl/>
      <w:lvlText w:val="%1.%2.%3.%4.%5.%6.%7.%8.%9."/>
      <w:lvlJc w:val="left"/>
      <w:pPr>
        <w:tabs>
          <w:tab w:val="num" w:pos="1860"/>
        </w:tabs>
        <w:ind w:left="1860" w:hanging="1800"/>
      </w:pPr>
      <w:rPr>
        <w:rFonts w:cs="Times New Roman" w:hint="default"/>
      </w:rPr>
    </w:lvl>
  </w:abstractNum>
  <w:abstractNum w:abstractNumId="40">
    <w:nsid w:val="6CBE7204"/>
    <w:multiLevelType w:val="multilevel"/>
    <w:tmpl w:val="938E30DC"/>
    <w:lvl w:ilvl="0">
      <w:start w:val="7"/>
      <w:numFmt w:val="decimal"/>
      <w:lvlText w:val="%1."/>
      <w:lvlJc w:val="left"/>
      <w:pPr>
        <w:ind w:left="450" w:hanging="450"/>
      </w:pPr>
      <w:rPr>
        <w:rFonts w:cs="Times New Roman" w:hint="default"/>
      </w:rPr>
    </w:lvl>
    <w:lvl w:ilvl="1">
      <w:start w:val="2"/>
      <w:numFmt w:val="decimal"/>
      <w:lvlText w:val="%1.%2."/>
      <w:lvlJc w:val="left"/>
      <w:pPr>
        <w:ind w:left="840" w:hanging="720"/>
      </w:pPr>
      <w:rPr>
        <w:rFonts w:cs="Times New Roman" w:hint="default"/>
      </w:rPr>
    </w:lvl>
    <w:lvl w:ilvl="2">
      <w:start w:val="1"/>
      <w:numFmt w:val="decimal"/>
      <w:lvlText w:val="%1.%2.%3."/>
      <w:lvlJc w:val="left"/>
      <w:pPr>
        <w:ind w:left="960" w:hanging="72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920" w:hanging="144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41">
    <w:nsid w:val="6DED729F"/>
    <w:multiLevelType w:val="hybridMultilevel"/>
    <w:tmpl w:val="9FCAAAD0"/>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2">
    <w:nsid w:val="72FC7A6B"/>
    <w:multiLevelType w:val="hybridMultilevel"/>
    <w:tmpl w:val="F106FF24"/>
    <w:lvl w:ilvl="0" w:tplc="2B34B1F0">
      <w:start w:val="1"/>
      <w:numFmt w:val="lowerRoman"/>
      <w:lvlText w:val="%1)"/>
      <w:lvlJc w:val="left"/>
      <w:pPr>
        <w:ind w:left="720" w:hanging="360"/>
      </w:pPr>
      <w:rPr>
        <w:rFonts w:cs="Times New Roman" w:hint="default"/>
        <w:i/>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6317A3D"/>
    <w:multiLevelType w:val="hybridMultilevel"/>
    <w:tmpl w:val="62500D22"/>
    <w:lvl w:ilvl="0" w:tplc="2B34B1F0">
      <w:start w:val="1"/>
      <w:numFmt w:val="lowerRoman"/>
      <w:lvlText w:val="%1)"/>
      <w:lvlJc w:val="left"/>
      <w:pPr>
        <w:ind w:left="1440" w:hanging="720"/>
      </w:pPr>
      <w:rPr>
        <w:rFonts w:cs="Times New Roman" w:hint="default"/>
        <w:i/>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num w:numId="1">
    <w:abstractNumId w:val="21"/>
  </w:num>
  <w:num w:numId="2">
    <w:abstractNumId w:val="31"/>
  </w:num>
  <w:num w:numId="3">
    <w:abstractNumId w:val="23"/>
  </w:num>
  <w:num w:numId="4">
    <w:abstractNumId w:val="3"/>
  </w:num>
  <w:num w:numId="5">
    <w:abstractNumId w:val="28"/>
  </w:num>
  <w:num w:numId="6">
    <w:abstractNumId w:val="36"/>
  </w:num>
  <w:num w:numId="7">
    <w:abstractNumId w:val="43"/>
  </w:num>
  <w:num w:numId="8">
    <w:abstractNumId w:val="14"/>
  </w:num>
  <w:num w:numId="9">
    <w:abstractNumId w:val="20"/>
  </w:num>
  <w:num w:numId="10">
    <w:abstractNumId w:val="12"/>
  </w:num>
  <w:num w:numId="11">
    <w:abstractNumId w:val="26"/>
  </w:num>
  <w:num w:numId="12">
    <w:abstractNumId w:val="22"/>
  </w:num>
  <w:num w:numId="13">
    <w:abstractNumId w:val="17"/>
  </w:num>
  <w:num w:numId="14">
    <w:abstractNumId w:val="8"/>
  </w:num>
  <w:num w:numId="15">
    <w:abstractNumId w:val="34"/>
  </w:num>
  <w:num w:numId="16">
    <w:abstractNumId w:val="18"/>
  </w:num>
  <w:num w:numId="17">
    <w:abstractNumId w:val="35"/>
  </w:num>
  <w:num w:numId="18">
    <w:abstractNumId w:val="0"/>
  </w:num>
  <w:num w:numId="19">
    <w:abstractNumId w:val="27"/>
  </w:num>
  <w:num w:numId="20">
    <w:abstractNumId w:val="42"/>
  </w:num>
  <w:num w:numId="21">
    <w:abstractNumId w:val="29"/>
  </w:num>
  <w:num w:numId="22">
    <w:abstractNumId w:val="38"/>
  </w:num>
  <w:num w:numId="23">
    <w:abstractNumId w:val="25"/>
  </w:num>
  <w:num w:numId="24">
    <w:abstractNumId w:val="1"/>
  </w:num>
  <w:num w:numId="25">
    <w:abstractNumId w:val="6"/>
  </w:num>
  <w:num w:numId="26">
    <w:abstractNumId w:val="39"/>
  </w:num>
  <w:num w:numId="27">
    <w:abstractNumId w:val="10"/>
  </w:num>
  <w:num w:numId="28">
    <w:abstractNumId w:val="30"/>
  </w:num>
  <w:num w:numId="29">
    <w:abstractNumId w:val="16"/>
  </w:num>
  <w:num w:numId="30">
    <w:abstractNumId w:val="4"/>
  </w:num>
  <w:num w:numId="31">
    <w:abstractNumId w:val="7"/>
  </w:num>
  <w:num w:numId="32">
    <w:abstractNumId w:val="40"/>
  </w:num>
  <w:num w:numId="33">
    <w:abstractNumId w:val="2"/>
  </w:num>
  <w:num w:numId="34">
    <w:abstractNumId w:val="11"/>
  </w:num>
  <w:num w:numId="35">
    <w:abstractNumId w:val="32"/>
  </w:num>
  <w:num w:numId="36">
    <w:abstractNumId w:val="24"/>
  </w:num>
  <w:num w:numId="37">
    <w:abstractNumId w:val="37"/>
  </w:num>
  <w:num w:numId="38">
    <w:abstractNumId w:val="13"/>
  </w:num>
  <w:num w:numId="39">
    <w:abstractNumId w:val="9"/>
  </w:num>
  <w:num w:numId="40">
    <w:abstractNumId w:val="41"/>
  </w:num>
  <w:num w:numId="41">
    <w:abstractNumId w:val="19"/>
  </w:num>
  <w:num w:numId="42">
    <w:abstractNumId w:val="5"/>
  </w:num>
  <w:num w:numId="43">
    <w:abstractNumId w:val="33"/>
  </w:num>
  <w:num w:numId="4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A3"/>
    <w:rsid w:val="000002DE"/>
    <w:rsid w:val="000007FF"/>
    <w:rsid w:val="00000813"/>
    <w:rsid w:val="00000A15"/>
    <w:rsid w:val="00000A4A"/>
    <w:rsid w:val="00000C59"/>
    <w:rsid w:val="00000D7D"/>
    <w:rsid w:val="00001122"/>
    <w:rsid w:val="000012EC"/>
    <w:rsid w:val="000017A2"/>
    <w:rsid w:val="000028CF"/>
    <w:rsid w:val="00002BAF"/>
    <w:rsid w:val="000035D0"/>
    <w:rsid w:val="00003AA8"/>
    <w:rsid w:val="000041FA"/>
    <w:rsid w:val="00004B5C"/>
    <w:rsid w:val="00005AAA"/>
    <w:rsid w:val="00005F43"/>
    <w:rsid w:val="0000623C"/>
    <w:rsid w:val="00006E86"/>
    <w:rsid w:val="000073F5"/>
    <w:rsid w:val="00010350"/>
    <w:rsid w:val="00010712"/>
    <w:rsid w:val="00010FAC"/>
    <w:rsid w:val="00011DAF"/>
    <w:rsid w:val="0001331C"/>
    <w:rsid w:val="000135E4"/>
    <w:rsid w:val="00013C89"/>
    <w:rsid w:val="00013E16"/>
    <w:rsid w:val="000143B0"/>
    <w:rsid w:val="0001506B"/>
    <w:rsid w:val="00015B69"/>
    <w:rsid w:val="00015D51"/>
    <w:rsid w:val="00015ECA"/>
    <w:rsid w:val="000163E3"/>
    <w:rsid w:val="0001712C"/>
    <w:rsid w:val="000172F8"/>
    <w:rsid w:val="00017492"/>
    <w:rsid w:val="00020BE1"/>
    <w:rsid w:val="00020E49"/>
    <w:rsid w:val="00021040"/>
    <w:rsid w:val="000211C0"/>
    <w:rsid w:val="0002128D"/>
    <w:rsid w:val="0002147C"/>
    <w:rsid w:val="000216DC"/>
    <w:rsid w:val="000217DB"/>
    <w:rsid w:val="00021C33"/>
    <w:rsid w:val="000238CB"/>
    <w:rsid w:val="00023FB5"/>
    <w:rsid w:val="00024383"/>
    <w:rsid w:val="0002569C"/>
    <w:rsid w:val="000262F2"/>
    <w:rsid w:val="00026B1D"/>
    <w:rsid w:val="00027576"/>
    <w:rsid w:val="0003079B"/>
    <w:rsid w:val="00030B2C"/>
    <w:rsid w:val="00030F7D"/>
    <w:rsid w:val="0003177E"/>
    <w:rsid w:val="00031FFE"/>
    <w:rsid w:val="00032931"/>
    <w:rsid w:val="00032CDB"/>
    <w:rsid w:val="00032E26"/>
    <w:rsid w:val="000332F0"/>
    <w:rsid w:val="00034136"/>
    <w:rsid w:val="0003466D"/>
    <w:rsid w:val="00034A1D"/>
    <w:rsid w:val="00034D74"/>
    <w:rsid w:val="00034F20"/>
    <w:rsid w:val="00035594"/>
    <w:rsid w:val="00035E9A"/>
    <w:rsid w:val="0003764D"/>
    <w:rsid w:val="00037D1C"/>
    <w:rsid w:val="00040105"/>
    <w:rsid w:val="000403C9"/>
    <w:rsid w:val="000406F0"/>
    <w:rsid w:val="000407CF"/>
    <w:rsid w:val="000412ED"/>
    <w:rsid w:val="000421D2"/>
    <w:rsid w:val="00042531"/>
    <w:rsid w:val="00042634"/>
    <w:rsid w:val="00042A6E"/>
    <w:rsid w:val="00042C99"/>
    <w:rsid w:val="00043208"/>
    <w:rsid w:val="0004492B"/>
    <w:rsid w:val="0004668B"/>
    <w:rsid w:val="00046E50"/>
    <w:rsid w:val="000470E2"/>
    <w:rsid w:val="0004737E"/>
    <w:rsid w:val="0005021F"/>
    <w:rsid w:val="00050519"/>
    <w:rsid w:val="00050B42"/>
    <w:rsid w:val="0005114C"/>
    <w:rsid w:val="0005312F"/>
    <w:rsid w:val="0005361B"/>
    <w:rsid w:val="00053ADB"/>
    <w:rsid w:val="00053F1C"/>
    <w:rsid w:val="00054A6A"/>
    <w:rsid w:val="000559FA"/>
    <w:rsid w:val="00055C86"/>
    <w:rsid w:val="00055CCF"/>
    <w:rsid w:val="0005610D"/>
    <w:rsid w:val="00056F8F"/>
    <w:rsid w:val="00057CDD"/>
    <w:rsid w:val="00060FE5"/>
    <w:rsid w:val="000614BE"/>
    <w:rsid w:val="00061892"/>
    <w:rsid w:val="0006199F"/>
    <w:rsid w:val="00061E22"/>
    <w:rsid w:val="00062899"/>
    <w:rsid w:val="000630F6"/>
    <w:rsid w:val="0006334A"/>
    <w:rsid w:val="00063758"/>
    <w:rsid w:val="0006461D"/>
    <w:rsid w:val="00065CB0"/>
    <w:rsid w:val="00066CA9"/>
    <w:rsid w:val="00067D38"/>
    <w:rsid w:val="00070559"/>
    <w:rsid w:val="00070801"/>
    <w:rsid w:val="0007095C"/>
    <w:rsid w:val="00071BC4"/>
    <w:rsid w:val="00072E3F"/>
    <w:rsid w:val="00074D91"/>
    <w:rsid w:val="00074E0D"/>
    <w:rsid w:val="00074F4D"/>
    <w:rsid w:val="00075024"/>
    <w:rsid w:val="00075088"/>
    <w:rsid w:val="000763F2"/>
    <w:rsid w:val="00076813"/>
    <w:rsid w:val="00076B35"/>
    <w:rsid w:val="000777EC"/>
    <w:rsid w:val="00080260"/>
    <w:rsid w:val="00080464"/>
    <w:rsid w:val="000805CD"/>
    <w:rsid w:val="000809A2"/>
    <w:rsid w:val="00080F0A"/>
    <w:rsid w:val="00081589"/>
    <w:rsid w:val="00081590"/>
    <w:rsid w:val="00081CDD"/>
    <w:rsid w:val="00081EF5"/>
    <w:rsid w:val="000820F5"/>
    <w:rsid w:val="00082DA2"/>
    <w:rsid w:val="00084242"/>
    <w:rsid w:val="00084491"/>
    <w:rsid w:val="0008449A"/>
    <w:rsid w:val="00084943"/>
    <w:rsid w:val="000851E4"/>
    <w:rsid w:val="00085EF5"/>
    <w:rsid w:val="00085F44"/>
    <w:rsid w:val="000869EF"/>
    <w:rsid w:val="00086EB1"/>
    <w:rsid w:val="0008701A"/>
    <w:rsid w:val="00087547"/>
    <w:rsid w:val="0008776C"/>
    <w:rsid w:val="00091010"/>
    <w:rsid w:val="00091048"/>
    <w:rsid w:val="00091338"/>
    <w:rsid w:val="0009148C"/>
    <w:rsid w:val="0009225F"/>
    <w:rsid w:val="000923BA"/>
    <w:rsid w:val="00092D9B"/>
    <w:rsid w:val="00093E06"/>
    <w:rsid w:val="0009456A"/>
    <w:rsid w:val="00095EDC"/>
    <w:rsid w:val="000962C0"/>
    <w:rsid w:val="00096C1C"/>
    <w:rsid w:val="000970A1"/>
    <w:rsid w:val="000973C0"/>
    <w:rsid w:val="000976E1"/>
    <w:rsid w:val="00097EB0"/>
    <w:rsid w:val="00097F77"/>
    <w:rsid w:val="000A03B5"/>
    <w:rsid w:val="000A05F9"/>
    <w:rsid w:val="000A08FD"/>
    <w:rsid w:val="000A0E80"/>
    <w:rsid w:val="000A1271"/>
    <w:rsid w:val="000A2C31"/>
    <w:rsid w:val="000A31E8"/>
    <w:rsid w:val="000A3513"/>
    <w:rsid w:val="000A357A"/>
    <w:rsid w:val="000A46FB"/>
    <w:rsid w:val="000A4A3C"/>
    <w:rsid w:val="000A6646"/>
    <w:rsid w:val="000A7264"/>
    <w:rsid w:val="000A7D0F"/>
    <w:rsid w:val="000A7E02"/>
    <w:rsid w:val="000A7F28"/>
    <w:rsid w:val="000B1CEC"/>
    <w:rsid w:val="000B2AEE"/>
    <w:rsid w:val="000B2C04"/>
    <w:rsid w:val="000B3842"/>
    <w:rsid w:val="000B49C5"/>
    <w:rsid w:val="000B4C22"/>
    <w:rsid w:val="000B4CCF"/>
    <w:rsid w:val="000B4E76"/>
    <w:rsid w:val="000B52B8"/>
    <w:rsid w:val="000B5367"/>
    <w:rsid w:val="000B53F6"/>
    <w:rsid w:val="000B554E"/>
    <w:rsid w:val="000B7659"/>
    <w:rsid w:val="000B7AEB"/>
    <w:rsid w:val="000C0810"/>
    <w:rsid w:val="000C10EE"/>
    <w:rsid w:val="000C14D8"/>
    <w:rsid w:val="000C191B"/>
    <w:rsid w:val="000C2C62"/>
    <w:rsid w:val="000C41C8"/>
    <w:rsid w:val="000C44D1"/>
    <w:rsid w:val="000C53A3"/>
    <w:rsid w:val="000C5775"/>
    <w:rsid w:val="000C5AB7"/>
    <w:rsid w:val="000C5C02"/>
    <w:rsid w:val="000C60D6"/>
    <w:rsid w:val="000C60F8"/>
    <w:rsid w:val="000C7895"/>
    <w:rsid w:val="000C7C8D"/>
    <w:rsid w:val="000D29FB"/>
    <w:rsid w:val="000D2A47"/>
    <w:rsid w:val="000D3740"/>
    <w:rsid w:val="000D3DA6"/>
    <w:rsid w:val="000D410F"/>
    <w:rsid w:val="000D4D7A"/>
    <w:rsid w:val="000D4FE1"/>
    <w:rsid w:val="000D52D5"/>
    <w:rsid w:val="000D55CE"/>
    <w:rsid w:val="000D57E6"/>
    <w:rsid w:val="000D5AD6"/>
    <w:rsid w:val="000D5F18"/>
    <w:rsid w:val="000D6800"/>
    <w:rsid w:val="000D74E5"/>
    <w:rsid w:val="000D7D42"/>
    <w:rsid w:val="000E0353"/>
    <w:rsid w:val="000E0D7E"/>
    <w:rsid w:val="000E0DA6"/>
    <w:rsid w:val="000E0EC4"/>
    <w:rsid w:val="000E0F2D"/>
    <w:rsid w:val="000E1A30"/>
    <w:rsid w:val="000E26EB"/>
    <w:rsid w:val="000E36EA"/>
    <w:rsid w:val="000E479F"/>
    <w:rsid w:val="000E49E3"/>
    <w:rsid w:val="000E5CB7"/>
    <w:rsid w:val="000E6BA4"/>
    <w:rsid w:val="000E7141"/>
    <w:rsid w:val="000E74CB"/>
    <w:rsid w:val="000F13F2"/>
    <w:rsid w:val="000F2913"/>
    <w:rsid w:val="000F3D9E"/>
    <w:rsid w:val="000F42D4"/>
    <w:rsid w:val="000F4973"/>
    <w:rsid w:val="000F4E36"/>
    <w:rsid w:val="000F4EE9"/>
    <w:rsid w:val="000F62F0"/>
    <w:rsid w:val="000F66D7"/>
    <w:rsid w:val="000F7353"/>
    <w:rsid w:val="000F7B3E"/>
    <w:rsid w:val="000F7BBE"/>
    <w:rsid w:val="000F7C07"/>
    <w:rsid w:val="00100011"/>
    <w:rsid w:val="001004EE"/>
    <w:rsid w:val="00100794"/>
    <w:rsid w:val="0010081E"/>
    <w:rsid w:val="0010093F"/>
    <w:rsid w:val="00100B90"/>
    <w:rsid w:val="00100BC8"/>
    <w:rsid w:val="00101839"/>
    <w:rsid w:val="00102A1C"/>
    <w:rsid w:val="00102BB6"/>
    <w:rsid w:val="00102CB0"/>
    <w:rsid w:val="00102F4B"/>
    <w:rsid w:val="00103398"/>
    <w:rsid w:val="00103A35"/>
    <w:rsid w:val="001041CD"/>
    <w:rsid w:val="00105641"/>
    <w:rsid w:val="0010623D"/>
    <w:rsid w:val="001075DA"/>
    <w:rsid w:val="00110678"/>
    <w:rsid w:val="0011080D"/>
    <w:rsid w:val="00110870"/>
    <w:rsid w:val="00111283"/>
    <w:rsid w:val="001115BF"/>
    <w:rsid w:val="00112EB2"/>
    <w:rsid w:val="00113380"/>
    <w:rsid w:val="00113D43"/>
    <w:rsid w:val="00114A38"/>
    <w:rsid w:val="00114F79"/>
    <w:rsid w:val="001151F0"/>
    <w:rsid w:val="00117CC1"/>
    <w:rsid w:val="00120094"/>
    <w:rsid w:val="001207A5"/>
    <w:rsid w:val="00120DDD"/>
    <w:rsid w:val="001215A3"/>
    <w:rsid w:val="00124B63"/>
    <w:rsid w:val="00125C6C"/>
    <w:rsid w:val="001263A8"/>
    <w:rsid w:val="001312BE"/>
    <w:rsid w:val="00131A8E"/>
    <w:rsid w:val="00132D0D"/>
    <w:rsid w:val="00133C1A"/>
    <w:rsid w:val="001343FC"/>
    <w:rsid w:val="0013440A"/>
    <w:rsid w:val="00134554"/>
    <w:rsid w:val="00134BB9"/>
    <w:rsid w:val="00135FBC"/>
    <w:rsid w:val="0013689B"/>
    <w:rsid w:val="00136DEC"/>
    <w:rsid w:val="00137581"/>
    <w:rsid w:val="001376FA"/>
    <w:rsid w:val="00137B56"/>
    <w:rsid w:val="00137EB0"/>
    <w:rsid w:val="00140330"/>
    <w:rsid w:val="00140924"/>
    <w:rsid w:val="00141D35"/>
    <w:rsid w:val="001420D8"/>
    <w:rsid w:val="00142107"/>
    <w:rsid w:val="001435DD"/>
    <w:rsid w:val="0014385E"/>
    <w:rsid w:val="00144210"/>
    <w:rsid w:val="001450E2"/>
    <w:rsid w:val="0014540E"/>
    <w:rsid w:val="0014640D"/>
    <w:rsid w:val="001471BF"/>
    <w:rsid w:val="00147549"/>
    <w:rsid w:val="001475CA"/>
    <w:rsid w:val="0014764D"/>
    <w:rsid w:val="001478CC"/>
    <w:rsid w:val="00147F62"/>
    <w:rsid w:val="001501F1"/>
    <w:rsid w:val="00150563"/>
    <w:rsid w:val="001508BA"/>
    <w:rsid w:val="001508FC"/>
    <w:rsid w:val="00151442"/>
    <w:rsid w:val="001516B2"/>
    <w:rsid w:val="00151FFE"/>
    <w:rsid w:val="001522C5"/>
    <w:rsid w:val="00152356"/>
    <w:rsid w:val="001527BF"/>
    <w:rsid w:val="0015346D"/>
    <w:rsid w:val="00153771"/>
    <w:rsid w:val="00153D40"/>
    <w:rsid w:val="001555FA"/>
    <w:rsid w:val="00156916"/>
    <w:rsid w:val="00156BEF"/>
    <w:rsid w:val="001571C5"/>
    <w:rsid w:val="001576E1"/>
    <w:rsid w:val="0016159A"/>
    <w:rsid w:val="001620F1"/>
    <w:rsid w:val="001622CB"/>
    <w:rsid w:val="001627B5"/>
    <w:rsid w:val="00162AF6"/>
    <w:rsid w:val="00162FC2"/>
    <w:rsid w:val="001639E6"/>
    <w:rsid w:val="00163F7F"/>
    <w:rsid w:val="001641CB"/>
    <w:rsid w:val="00164D97"/>
    <w:rsid w:val="00164E3E"/>
    <w:rsid w:val="00166489"/>
    <w:rsid w:val="00166ACA"/>
    <w:rsid w:val="0016744B"/>
    <w:rsid w:val="00167E2B"/>
    <w:rsid w:val="00170748"/>
    <w:rsid w:val="001712F0"/>
    <w:rsid w:val="00171694"/>
    <w:rsid w:val="00171BB0"/>
    <w:rsid w:val="00171C55"/>
    <w:rsid w:val="001720F3"/>
    <w:rsid w:val="00172D91"/>
    <w:rsid w:val="00172F0F"/>
    <w:rsid w:val="0017383A"/>
    <w:rsid w:val="00173A11"/>
    <w:rsid w:val="00173A94"/>
    <w:rsid w:val="001803C7"/>
    <w:rsid w:val="001805B6"/>
    <w:rsid w:val="0018062C"/>
    <w:rsid w:val="00180660"/>
    <w:rsid w:val="001812F4"/>
    <w:rsid w:val="00181DC8"/>
    <w:rsid w:val="00181E83"/>
    <w:rsid w:val="00181F55"/>
    <w:rsid w:val="0018359C"/>
    <w:rsid w:val="001836B3"/>
    <w:rsid w:val="001839FB"/>
    <w:rsid w:val="00183AA0"/>
    <w:rsid w:val="00184387"/>
    <w:rsid w:val="0018448B"/>
    <w:rsid w:val="001846B2"/>
    <w:rsid w:val="001846CC"/>
    <w:rsid w:val="00186561"/>
    <w:rsid w:val="00186A0D"/>
    <w:rsid w:val="00186C36"/>
    <w:rsid w:val="00186FBB"/>
    <w:rsid w:val="00187CE1"/>
    <w:rsid w:val="00190ACD"/>
    <w:rsid w:val="00190C5A"/>
    <w:rsid w:val="00191422"/>
    <w:rsid w:val="00191995"/>
    <w:rsid w:val="00191B99"/>
    <w:rsid w:val="00191F89"/>
    <w:rsid w:val="00192CAB"/>
    <w:rsid w:val="00193B86"/>
    <w:rsid w:val="00193CB1"/>
    <w:rsid w:val="00193F1F"/>
    <w:rsid w:val="00194A82"/>
    <w:rsid w:val="0019543B"/>
    <w:rsid w:val="00195463"/>
    <w:rsid w:val="001957DD"/>
    <w:rsid w:val="00197568"/>
    <w:rsid w:val="00197870"/>
    <w:rsid w:val="001A0156"/>
    <w:rsid w:val="001A046E"/>
    <w:rsid w:val="001A04C9"/>
    <w:rsid w:val="001A0B49"/>
    <w:rsid w:val="001A187D"/>
    <w:rsid w:val="001A2548"/>
    <w:rsid w:val="001A2F65"/>
    <w:rsid w:val="001A32ED"/>
    <w:rsid w:val="001A4744"/>
    <w:rsid w:val="001A4AC9"/>
    <w:rsid w:val="001A5545"/>
    <w:rsid w:val="001A68C9"/>
    <w:rsid w:val="001A7341"/>
    <w:rsid w:val="001A7A24"/>
    <w:rsid w:val="001B0510"/>
    <w:rsid w:val="001B0A1C"/>
    <w:rsid w:val="001B276A"/>
    <w:rsid w:val="001B279F"/>
    <w:rsid w:val="001B2DE6"/>
    <w:rsid w:val="001B3BFF"/>
    <w:rsid w:val="001B5841"/>
    <w:rsid w:val="001B5AC6"/>
    <w:rsid w:val="001B68DD"/>
    <w:rsid w:val="001B7DA8"/>
    <w:rsid w:val="001B7DF1"/>
    <w:rsid w:val="001C0C3F"/>
    <w:rsid w:val="001C10D9"/>
    <w:rsid w:val="001C1E2E"/>
    <w:rsid w:val="001C4CA9"/>
    <w:rsid w:val="001C58D3"/>
    <w:rsid w:val="001C62A0"/>
    <w:rsid w:val="001C72A5"/>
    <w:rsid w:val="001C775E"/>
    <w:rsid w:val="001C77C9"/>
    <w:rsid w:val="001D00AF"/>
    <w:rsid w:val="001D02F8"/>
    <w:rsid w:val="001D05B9"/>
    <w:rsid w:val="001D1067"/>
    <w:rsid w:val="001D2358"/>
    <w:rsid w:val="001D2450"/>
    <w:rsid w:val="001D27BF"/>
    <w:rsid w:val="001D2B0C"/>
    <w:rsid w:val="001D313C"/>
    <w:rsid w:val="001D4C04"/>
    <w:rsid w:val="001D4EEB"/>
    <w:rsid w:val="001D5975"/>
    <w:rsid w:val="001D5B42"/>
    <w:rsid w:val="001D5B53"/>
    <w:rsid w:val="001D6310"/>
    <w:rsid w:val="001D6BAE"/>
    <w:rsid w:val="001D7176"/>
    <w:rsid w:val="001D7236"/>
    <w:rsid w:val="001D79B5"/>
    <w:rsid w:val="001E0169"/>
    <w:rsid w:val="001E0F1E"/>
    <w:rsid w:val="001E243F"/>
    <w:rsid w:val="001E32F5"/>
    <w:rsid w:val="001E33A5"/>
    <w:rsid w:val="001E372F"/>
    <w:rsid w:val="001E3BD7"/>
    <w:rsid w:val="001E452B"/>
    <w:rsid w:val="001E5F7E"/>
    <w:rsid w:val="001E5FD1"/>
    <w:rsid w:val="001E62F5"/>
    <w:rsid w:val="001E6721"/>
    <w:rsid w:val="001E6AFA"/>
    <w:rsid w:val="001E7A20"/>
    <w:rsid w:val="001E7F96"/>
    <w:rsid w:val="001E7FDE"/>
    <w:rsid w:val="001F0C28"/>
    <w:rsid w:val="001F13C6"/>
    <w:rsid w:val="001F2387"/>
    <w:rsid w:val="001F2A15"/>
    <w:rsid w:val="001F2BA0"/>
    <w:rsid w:val="001F2D4E"/>
    <w:rsid w:val="001F369E"/>
    <w:rsid w:val="001F4686"/>
    <w:rsid w:val="001F4A83"/>
    <w:rsid w:val="001F4D8C"/>
    <w:rsid w:val="001F59DB"/>
    <w:rsid w:val="001F5F5E"/>
    <w:rsid w:val="001F678F"/>
    <w:rsid w:val="001F67BD"/>
    <w:rsid w:val="001F69A6"/>
    <w:rsid w:val="001F6E6D"/>
    <w:rsid w:val="001F763C"/>
    <w:rsid w:val="001F77DB"/>
    <w:rsid w:val="001F7898"/>
    <w:rsid w:val="002003BE"/>
    <w:rsid w:val="002011BE"/>
    <w:rsid w:val="002014FE"/>
    <w:rsid w:val="00201BE0"/>
    <w:rsid w:val="002025FA"/>
    <w:rsid w:val="002027AF"/>
    <w:rsid w:val="00202CBA"/>
    <w:rsid w:val="002036CA"/>
    <w:rsid w:val="00203B71"/>
    <w:rsid w:val="002043DD"/>
    <w:rsid w:val="00204599"/>
    <w:rsid w:val="00205048"/>
    <w:rsid w:val="00205E9F"/>
    <w:rsid w:val="00206781"/>
    <w:rsid w:val="0020719D"/>
    <w:rsid w:val="00207342"/>
    <w:rsid w:val="00207AE9"/>
    <w:rsid w:val="00207AFD"/>
    <w:rsid w:val="00211124"/>
    <w:rsid w:val="00211586"/>
    <w:rsid w:val="00211751"/>
    <w:rsid w:val="0021222F"/>
    <w:rsid w:val="0021274E"/>
    <w:rsid w:val="002127BC"/>
    <w:rsid w:val="002127E6"/>
    <w:rsid w:val="002129E2"/>
    <w:rsid w:val="00212AA1"/>
    <w:rsid w:val="00212FB2"/>
    <w:rsid w:val="00213635"/>
    <w:rsid w:val="00213D3F"/>
    <w:rsid w:val="002141F0"/>
    <w:rsid w:val="002144F2"/>
    <w:rsid w:val="00214EF5"/>
    <w:rsid w:val="0021532B"/>
    <w:rsid w:val="00215CB3"/>
    <w:rsid w:val="002162F9"/>
    <w:rsid w:val="002204FE"/>
    <w:rsid w:val="002205AC"/>
    <w:rsid w:val="00220E2B"/>
    <w:rsid w:val="002214C6"/>
    <w:rsid w:val="002218DC"/>
    <w:rsid w:val="0022260D"/>
    <w:rsid w:val="00222C94"/>
    <w:rsid w:val="0022302A"/>
    <w:rsid w:val="0022397E"/>
    <w:rsid w:val="002239FA"/>
    <w:rsid w:val="00223A0B"/>
    <w:rsid w:val="0022409E"/>
    <w:rsid w:val="00224618"/>
    <w:rsid w:val="002250D5"/>
    <w:rsid w:val="00225604"/>
    <w:rsid w:val="002257C0"/>
    <w:rsid w:val="002258B3"/>
    <w:rsid w:val="00225B97"/>
    <w:rsid w:val="00225C52"/>
    <w:rsid w:val="00226BFE"/>
    <w:rsid w:val="00226E1A"/>
    <w:rsid w:val="00227192"/>
    <w:rsid w:val="0023019F"/>
    <w:rsid w:val="00230418"/>
    <w:rsid w:val="00230724"/>
    <w:rsid w:val="002309E6"/>
    <w:rsid w:val="00231522"/>
    <w:rsid w:val="00231991"/>
    <w:rsid w:val="0023250D"/>
    <w:rsid w:val="002337B4"/>
    <w:rsid w:val="00233870"/>
    <w:rsid w:val="00234212"/>
    <w:rsid w:val="00234835"/>
    <w:rsid w:val="002348A2"/>
    <w:rsid w:val="00234A53"/>
    <w:rsid w:val="00234E0D"/>
    <w:rsid w:val="0023559A"/>
    <w:rsid w:val="00235CB6"/>
    <w:rsid w:val="00235EB0"/>
    <w:rsid w:val="00235F89"/>
    <w:rsid w:val="0023658F"/>
    <w:rsid w:val="002367C5"/>
    <w:rsid w:val="00236B6E"/>
    <w:rsid w:val="00237141"/>
    <w:rsid w:val="002377EB"/>
    <w:rsid w:val="0024083F"/>
    <w:rsid w:val="00240950"/>
    <w:rsid w:val="00240ED2"/>
    <w:rsid w:val="002414EF"/>
    <w:rsid w:val="00241C96"/>
    <w:rsid w:val="002426E3"/>
    <w:rsid w:val="00243022"/>
    <w:rsid w:val="002432C7"/>
    <w:rsid w:val="00243910"/>
    <w:rsid w:val="00243ACC"/>
    <w:rsid w:val="002444AE"/>
    <w:rsid w:val="0024495A"/>
    <w:rsid w:val="00244F64"/>
    <w:rsid w:val="00244F8D"/>
    <w:rsid w:val="002454A0"/>
    <w:rsid w:val="0024574C"/>
    <w:rsid w:val="00245AC8"/>
    <w:rsid w:val="00245DDB"/>
    <w:rsid w:val="0024622D"/>
    <w:rsid w:val="002464B4"/>
    <w:rsid w:val="002464CA"/>
    <w:rsid w:val="002469EC"/>
    <w:rsid w:val="00246BB8"/>
    <w:rsid w:val="00247781"/>
    <w:rsid w:val="00247B8A"/>
    <w:rsid w:val="002501F9"/>
    <w:rsid w:val="00252225"/>
    <w:rsid w:val="00252810"/>
    <w:rsid w:val="00253667"/>
    <w:rsid w:val="00253B68"/>
    <w:rsid w:val="00253B96"/>
    <w:rsid w:val="002557A6"/>
    <w:rsid w:val="00255DF6"/>
    <w:rsid w:val="00256A1F"/>
    <w:rsid w:val="00257C9E"/>
    <w:rsid w:val="00257E84"/>
    <w:rsid w:val="00260AAB"/>
    <w:rsid w:val="00261452"/>
    <w:rsid w:val="002615C4"/>
    <w:rsid w:val="00261EDA"/>
    <w:rsid w:val="0026220E"/>
    <w:rsid w:val="00262C02"/>
    <w:rsid w:val="002630C5"/>
    <w:rsid w:val="002638C2"/>
    <w:rsid w:val="00264395"/>
    <w:rsid w:val="002644B5"/>
    <w:rsid w:val="00264F14"/>
    <w:rsid w:val="00266B3A"/>
    <w:rsid w:val="00266BBF"/>
    <w:rsid w:val="00266CCA"/>
    <w:rsid w:val="002670FB"/>
    <w:rsid w:val="00267A7A"/>
    <w:rsid w:val="00270614"/>
    <w:rsid w:val="00270785"/>
    <w:rsid w:val="0027124B"/>
    <w:rsid w:val="002713DA"/>
    <w:rsid w:val="00272524"/>
    <w:rsid w:val="0027254C"/>
    <w:rsid w:val="00272606"/>
    <w:rsid w:val="0027313E"/>
    <w:rsid w:val="00273249"/>
    <w:rsid w:val="00273D5E"/>
    <w:rsid w:val="0027464A"/>
    <w:rsid w:val="00274931"/>
    <w:rsid w:val="002757FC"/>
    <w:rsid w:val="00275EA0"/>
    <w:rsid w:val="002763C5"/>
    <w:rsid w:val="0027664D"/>
    <w:rsid w:val="00276887"/>
    <w:rsid w:val="00276B77"/>
    <w:rsid w:val="00276C12"/>
    <w:rsid w:val="00276CEB"/>
    <w:rsid w:val="00277B59"/>
    <w:rsid w:val="00277BAA"/>
    <w:rsid w:val="0028021E"/>
    <w:rsid w:val="0028025B"/>
    <w:rsid w:val="0028030F"/>
    <w:rsid w:val="00280917"/>
    <w:rsid w:val="00281DF1"/>
    <w:rsid w:val="00281E3F"/>
    <w:rsid w:val="00282935"/>
    <w:rsid w:val="0028354A"/>
    <w:rsid w:val="0028390D"/>
    <w:rsid w:val="00283F96"/>
    <w:rsid w:val="00284238"/>
    <w:rsid w:val="00285589"/>
    <w:rsid w:val="0028616F"/>
    <w:rsid w:val="00286EB7"/>
    <w:rsid w:val="00287EB6"/>
    <w:rsid w:val="00290036"/>
    <w:rsid w:val="00290AEE"/>
    <w:rsid w:val="00290D74"/>
    <w:rsid w:val="00291310"/>
    <w:rsid w:val="0029134F"/>
    <w:rsid w:val="00291754"/>
    <w:rsid w:val="00291764"/>
    <w:rsid w:val="00291ED9"/>
    <w:rsid w:val="002923BF"/>
    <w:rsid w:val="00292C5C"/>
    <w:rsid w:val="00293954"/>
    <w:rsid w:val="00293990"/>
    <w:rsid w:val="00293E9D"/>
    <w:rsid w:val="00294420"/>
    <w:rsid w:val="00294A08"/>
    <w:rsid w:val="00294E5D"/>
    <w:rsid w:val="0029554A"/>
    <w:rsid w:val="00296A83"/>
    <w:rsid w:val="00296E22"/>
    <w:rsid w:val="00296EE5"/>
    <w:rsid w:val="00296F14"/>
    <w:rsid w:val="00297C5C"/>
    <w:rsid w:val="00297E15"/>
    <w:rsid w:val="002A1AD6"/>
    <w:rsid w:val="002A2215"/>
    <w:rsid w:val="002A2828"/>
    <w:rsid w:val="002A2A88"/>
    <w:rsid w:val="002A3644"/>
    <w:rsid w:val="002A3AC7"/>
    <w:rsid w:val="002A3D28"/>
    <w:rsid w:val="002A67EE"/>
    <w:rsid w:val="002A6B0E"/>
    <w:rsid w:val="002A6DB3"/>
    <w:rsid w:val="002B0514"/>
    <w:rsid w:val="002B11A8"/>
    <w:rsid w:val="002B212D"/>
    <w:rsid w:val="002B2983"/>
    <w:rsid w:val="002B2C24"/>
    <w:rsid w:val="002B300B"/>
    <w:rsid w:val="002B3EE1"/>
    <w:rsid w:val="002B7520"/>
    <w:rsid w:val="002B79A3"/>
    <w:rsid w:val="002B7BEE"/>
    <w:rsid w:val="002C0052"/>
    <w:rsid w:val="002C056D"/>
    <w:rsid w:val="002C0743"/>
    <w:rsid w:val="002C307A"/>
    <w:rsid w:val="002C3C94"/>
    <w:rsid w:val="002C3FCF"/>
    <w:rsid w:val="002C4D9D"/>
    <w:rsid w:val="002C6441"/>
    <w:rsid w:val="002C6606"/>
    <w:rsid w:val="002C675D"/>
    <w:rsid w:val="002C6A2B"/>
    <w:rsid w:val="002C6BF2"/>
    <w:rsid w:val="002C7986"/>
    <w:rsid w:val="002C7E9E"/>
    <w:rsid w:val="002D0C81"/>
    <w:rsid w:val="002D15C0"/>
    <w:rsid w:val="002D16DC"/>
    <w:rsid w:val="002D1731"/>
    <w:rsid w:val="002D23EA"/>
    <w:rsid w:val="002D34F9"/>
    <w:rsid w:val="002D3A65"/>
    <w:rsid w:val="002D4065"/>
    <w:rsid w:val="002D4724"/>
    <w:rsid w:val="002D5375"/>
    <w:rsid w:val="002D5990"/>
    <w:rsid w:val="002D73F6"/>
    <w:rsid w:val="002D764F"/>
    <w:rsid w:val="002E038A"/>
    <w:rsid w:val="002E06A3"/>
    <w:rsid w:val="002E1355"/>
    <w:rsid w:val="002E145A"/>
    <w:rsid w:val="002E1D42"/>
    <w:rsid w:val="002E1E93"/>
    <w:rsid w:val="002E4514"/>
    <w:rsid w:val="002E4C34"/>
    <w:rsid w:val="002E5603"/>
    <w:rsid w:val="002E5CCF"/>
    <w:rsid w:val="002E66CB"/>
    <w:rsid w:val="002E6D9D"/>
    <w:rsid w:val="002E70A4"/>
    <w:rsid w:val="002E72A9"/>
    <w:rsid w:val="002E7E5F"/>
    <w:rsid w:val="002F00B5"/>
    <w:rsid w:val="002F0596"/>
    <w:rsid w:val="002F081E"/>
    <w:rsid w:val="002F104A"/>
    <w:rsid w:val="002F1BC2"/>
    <w:rsid w:val="002F294F"/>
    <w:rsid w:val="002F2E3F"/>
    <w:rsid w:val="002F2F4D"/>
    <w:rsid w:val="002F32B4"/>
    <w:rsid w:val="002F350B"/>
    <w:rsid w:val="002F3666"/>
    <w:rsid w:val="002F423F"/>
    <w:rsid w:val="002F4894"/>
    <w:rsid w:val="002F4CCC"/>
    <w:rsid w:val="002F4D7E"/>
    <w:rsid w:val="002F5B49"/>
    <w:rsid w:val="002F6A7B"/>
    <w:rsid w:val="002F6C78"/>
    <w:rsid w:val="002F6D7F"/>
    <w:rsid w:val="002F6E38"/>
    <w:rsid w:val="0030048F"/>
    <w:rsid w:val="003007BD"/>
    <w:rsid w:val="003010D6"/>
    <w:rsid w:val="003011D7"/>
    <w:rsid w:val="003015B3"/>
    <w:rsid w:val="00301AB2"/>
    <w:rsid w:val="00302395"/>
    <w:rsid w:val="00302C52"/>
    <w:rsid w:val="00303661"/>
    <w:rsid w:val="00303DF1"/>
    <w:rsid w:val="00303ED8"/>
    <w:rsid w:val="003046FA"/>
    <w:rsid w:val="00304CD7"/>
    <w:rsid w:val="00304E7A"/>
    <w:rsid w:val="00305695"/>
    <w:rsid w:val="003059A3"/>
    <w:rsid w:val="003068C9"/>
    <w:rsid w:val="00307C20"/>
    <w:rsid w:val="00307D67"/>
    <w:rsid w:val="003106EA"/>
    <w:rsid w:val="003111ED"/>
    <w:rsid w:val="00311FF9"/>
    <w:rsid w:val="0031208C"/>
    <w:rsid w:val="003130E9"/>
    <w:rsid w:val="00313351"/>
    <w:rsid w:val="00314398"/>
    <w:rsid w:val="0031474A"/>
    <w:rsid w:val="00314E4B"/>
    <w:rsid w:val="003154D4"/>
    <w:rsid w:val="00315D90"/>
    <w:rsid w:val="00315FCF"/>
    <w:rsid w:val="003160BF"/>
    <w:rsid w:val="0031665C"/>
    <w:rsid w:val="003204C2"/>
    <w:rsid w:val="00320B52"/>
    <w:rsid w:val="003212F6"/>
    <w:rsid w:val="00321C52"/>
    <w:rsid w:val="003222A9"/>
    <w:rsid w:val="00322C55"/>
    <w:rsid w:val="00322CF1"/>
    <w:rsid w:val="00322EA1"/>
    <w:rsid w:val="00323003"/>
    <w:rsid w:val="00323942"/>
    <w:rsid w:val="00324120"/>
    <w:rsid w:val="003245C0"/>
    <w:rsid w:val="00326A89"/>
    <w:rsid w:val="00326E30"/>
    <w:rsid w:val="0032715B"/>
    <w:rsid w:val="003276C2"/>
    <w:rsid w:val="0032779C"/>
    <w:rsid w:val="00327BDE"/>
    <w:rsid w:val="00327D24"/>
    <w:rsid w:val="00327EC0"/>
    <w:rsid w:val="00327F10"/>
    <w:rsid w:val="00330535"/>
    <w:rsid w:val="00330969"/>
    <w:rsid w:val="00331090"/>
    <w:rsid w:val="0033140A"/>
    <w:rsid w:val="00331831"/>
    <w:rsid w:val="0033184D"/>
    <w:rsid w:val="00331C78"/>
    <w:rsid w:val="003320FF"/>
    <w:rsid w:val="00332B4A"/>
    <w:rsid w:val="0033335F"/>
    <w:rsid w:val="00333529"/>
    <w:rsid w:val="003347BE"/>
    <w:rsid w:val="00335751"/>
    <w:rsid w:val="00335BD3"/>
    <w:rsid w:val="00336528"/>
    <w:rsid w:val="0033727F"/>
    <w:rsid w:val="00337781"/>
    <w:rsid w:val="00340369"/>
    <w:rsid w:val="003405B2"/>
    <w:rsid w:val="00340682"/>
    <w:rsid w:val="00340E2F"/>
    <w:rsid w:val="00341060"/>
    <w:rsid w:val="003410A3"/>
    <w:rsid w:val="0034163B"/>
    <w:rsid w:val="00341B68"/>
    <w:rsid w:val="00341EB4"/>
    <w:rsid w:val="00342C61"/>
    <w:rsid w:val="00343594"/>
    <w:rsid w:val="00343B8C"/>
    <w:rsid w:val="0034432C"/>
    <w:rsid w:val="00344615"/>
    <w:rsid w:val="003449B8"/>
    <w:rsid w:val="00345407"/>
    <w:rsid w:val="003456DF"/>
    <w:rsid w:val="00345879"/>
    <w:rsid w:val="003458DC"/>
    <w:rsid w:val="0034634E"/>
    <w:rsid w:val="003467AE"/>
    <w:rsid w:val="0034758B"/>
    <w:rsid w:val="00347D3A"/>
    <w:rsid w:val="00347D68"/>
    <w:rsid w:val="003500E1"/>
    <w:rsid w:val="003513ED"/>
    <w:rsid w:val="00352783"/>
    <w:rsid w:val="00352F30"/>
    <w:rsid w:val="00354136"/>
    <w:rsid w:val="00354251"/>
    <w:rsid w:val="003545C3"/>
    <w:rsid w:val="00355447"/>
    <w:rsid w:val="0035598E"/>
    <w:rsid w:val="00356CE5"/>
    <w:rsid w:val="003573C2"/>
    <w:rsid w:val="003577D5"/>
    <w:rsid w:val="00357ADB"/>
    <w:rsid w:val="00361239"/>
    <w:rsid w:val="00361696"/>
    <w:rsid w:val="0036291F"/>
    <w:rsid w:val="00362ECE"/>
    <w:rsid w:val="0036337D"/>
    <w:rsid w:val="00363D35"/>
    <w:rsid w:val="00364B01"/>
    <w:rsid w:val="00365A30"/>
    <w:rsid w:val="00365AF0"/>
    <w:rsid w:val="00365F08"/>
    <w:rsid w:val="00366328"/>
    <w:rsid w:val="00366758"/>
    <w:rsid w:val="00366BC9"/>
    <w:rsid w:val="00370B23"/>
    <w:rsid w:val="00372125"/>
    <w:rsid w:val="003725FA"/>
    <w:rsid w:val="00372D2B"/>
    <w:rsid w:val="00372E0B"/>
    <w:rsid w:val="003732AB"/>
    <w:rsid w:val="00373E88"/>
    <w:rsid w:val="003741AF"/>
    <w:rsid w:val="00375797"/>
    <w:rsid w:val="003772CB"/>
    <w:rsid w:val="0037731D"/>
    <w:rsid w:val="00377928"/>
    <w:rsid w:val="00377BDC"/>
    <w:rsid w:val="00380CED"/>
    <w:rsid w:val="003813A7"/>
    <w:rsid w:val="0038219B"/>
    <w:rsid w:val="00382692"/>
    <w:rsid w:val="00382B6B"/>
    <w:rsid w:val="003833EB"/>
    <w:rsid w:val="00383612"/>
    <w:rsid w:val="00383970"/>
    <w:rsid w:val="00383EED"/>
    <w:rsid w:val="0038456B"/>
    <w:rsid w:val="003846E7"/>
    <w:rsid w:val="0038651C"/>
    <w:rsid w:val="00386BCB"/>
    <w:rsid w:val="00387102"/>
    <w:rsid w:val="00387182"/>
    <w:rsid w:val="00387874"/>
    <w:rsid w:val="00391771"/>
    <w:rsid w:val="003917DB"/>
    <w:rsid w:val="003926E6"/>
    <w:rsid w:val="00392E4D"/>
    <w:rsid w:val="00393006"/>
    <w:rsid w:val="003931B5"/>
    <w:rsid w:val="00393880"/>
    <w:rsid w:val="00393DF4"/>
    <w:rsid w:val="0039483A"/>
    <w:rsid w:val="00394FB4"/>
    <w:rsid w:val="0039502C"/>
    <w:rsid w:val="003952D1"/>
    <w:rsid w:val="0039551D"/>
    <w:rsid w:val="00395A48"/>
    <w:rsid w:val="00395B9D"/>
    <w:rsid w:val="00396D6D"/>
    <w:rsid w:val="003970BC"/>
    <w:rsid w:val="003971C8"/>
    <w:rsid w:val="003A04E9"/>
    <w:rsid w:val="003A0662"/>
    <w:rsid w:val="003A1583"/>
    <w:rsid w:val="003A1AC0"/>
    <w:rsid w:val="003A1E85"/>
    <w:rsid w:val="003A2255"/>
    <w:rsid w:val="003A2795"/>
    <w:rsid w:val="003A37D7"/>
    <w:rsid w:val="003A3B00"/>
    <w:rsid w:val="003A415F"/>
    <w:rsid w:val="003A4CDF"/>
    <w:rsid w:val="003A50D3"/>
    <w:rsid w:val="003A5D4A"/>
    <w:rsid w:val="003A6623"/>
    <w:rsid w:val="003A696A"/>
    <w:rsid w:val="003A7757"/>
    <w:rsid w:val="003A77B8"/>
    <w:rsid w:val="003A7D3B"/>
    <w:rsid w:val="003B0900"/>
    <w:rsid w:val="003B0F66"/>
    <w:rsid w:val="003B16F1"/>
    <w:rsid w:val="003B2495"/>
    <w:rsid w:val="003B2C9F"/>
    <w:rsid w:val="003B33A3"/>
    <w:rsid w:val="003B342B"/>
    <w:rsid w:val="003B3DCE"/>
    <w:rsid w:val="003B3E30"/>
    <w:rsid w:val="003B491A"/>
    <w:rsid w:val="003B51C2"/>
    <w:rsid w:val="003B52EE"/>
    <w:rsid w:val="003B74FA"/>
    <w:rsid w:val="003B7996"/>
    <w:rsid w:val="003C08BD"/>
    <w:rsid w:val="003C0B15"/>
    <w:rsid w:val="003C0BD4"/>
    <w:rsid w:val="003C15C8"/>
    <w:rsid w:val="003C17B3"/>
    <w:rsid w:val="003C1AFA"/>
    <w:rsid w:val="003C2F20"/>
    <w:rsid w:val="003C3027"/>
    <w:rsid w:val="003C3278"/>
    <w:rsid w:val="003C3916"/>
    <w:rsid w:val="003C463F"/>
    <w:rsid w:val="003C4BB6"/>
    <w:rsid w:val="003C529C"/>
    <w:rsid w:val="003C61C1"/>
    <w:rsid w:val="003C6687"/>
    <w:rsid w:val="003C6C0A"/>
    <w:rsid w:val="003C780D"/>
    <w:rsid w:val="003C7E8B"/>
    <w:rsid w:val="003C7EB7"/>
    <w:rsid w:val="003D073A"/>
    <w:rsid w:val="003D0956"/>
    <w:rsid w:val="003D0AAC"/>
    <w:rsid w:val="003D0B42"/>
    <w:rsid w:val="003D220C"/>
    <w:rsid w:val="003D22BF"/>
    <w:rsid w:val="003D26C9"/>
    <w:rsid w:val="003D38AC"/>
    <w:rsid w:val="003D3D05"/>
    <w:rsid w:val="003D47D0"/>
    <w:rsid w:val="003D4EA5"/>
    <w:rsid w:val="003D4F7B"/>
    <w:rsid w:val="003D5B92"/>
    <w:rsid w:val="003D6311"/>
    <w:rsid w:val="003D66C0"/>
    <w:rsid w:val="003D6A4D"/>
    <w:rsid w:val="003D72E4"/>
    <w:rsid w:val="003E0C09"/>
    <w:rsid w:val="003E172E"/>
    <w:rsid w:val="003E266F"/>
    <w:rsid w:val="003E268F"/>
    <w:rsid w:val="003E2A99"/>
    <w:rsid w:val="003E2F5D"/>
    <w:rsid w:val="003E31FC"/>
    <w:rsid w:val="003E3BD3"/>
    <w:rsid w:val="003E3D61"/>
    <w:rsid w:val="003E3EEE"/>
    <w:rsid w:val="003E3F14"/>
    <w:rsid w:val="003E446A"/>
    <w:rsid w:val="003E4CA9"/>
    <w:rsid w:val="003E4F17"/>
    <w:rsid w:val="003E507A"/>
    <w:rsid w:val="003E57C9"/>
    <w:rsid w:val="003E5D14"/>
    <w:rsid w:val="003E7C95"/>
    <w:rsid w:val="003E7DE8"/>
    <w:rsid w:val="003E7EEF"/>
    <w:rsid w:val="003F0845"/>
    <w:rsid w:val="003F0B4C"/>
    <w:rsid w:val="003F1752"/>
    <w:rsid w:val="003F197C"/>
    <w:rsid w:val="003F20E5"/>
    <w:rsid w:val="003F26C6"/>
    <w:rsid w:val="003F2B97"/>
    <w:rsid w:val="003F2E2A"/>
    <w:rsid w:val="003F33DC"/>
    <w:rsid w:val="003F5413"/>
    <w:rsid w:val="003F5AB9"/>
    <w:rsid w:val="003F5DAF"/>
    <w:rsid w:val="003F6169"/>
    <w:rsid w:val="003F79B9"/>
    <w:rsid w:val="003F7AC1"/>
    <w:rsid w:val="00400359"/>
    <w:rsid w:val="00400493"/>
    <w:rsid w:val="004009AC"/>
    <w:rsid w:val="004014B2"/>
    <w:rsid w:val="0040153D"/>
    <w:rsid w:val="0040328D"/>
    <w:rsid w:val="004034CF"/>
    <w:rsid w:val="004038A5"/>
    <w:rsid w:val="0040485F"/>
    <w:rsid w:val="00404F74"/>
    <w:rsid w:val="00406596"/>
    <w:rsid w:val="00410DD4"/>
    <w:rsid w:val="004123CA"/>
    <w:rsid w:val="004139EA"/>
    <w:rsid w:val="0041415F"/>
    <w:rsid w:val="004143F2"/>
    <w:rsid w:val="00414E70"/>
    <w:rsid w:val="00414F75"/>
    <w:rsid w:val="00415310"/>
    <w:rsid w:val="00416042"/>
    <w:rsid w:val="00416E28"/>
    <w:rsid w:val="0041778E"/>
    <w:rsid w:val="0042048E"/>
    <w:rsid w:val="00420FD0"/>
    <w:rsid w:val="004212D4"/>
    <w:rsid w:val="00421D57"/>
    <w:rsid w:val="0042239E"/>
    <w:rsid w:val="00423359"/>
    <w:rsid w:val="00423575"/>
    <w:rsid w:val="004236D7"/>
    <w:rsid w:val="004244E5"/>
    <w:rsid w:val="004244E7"/>
    <w:rsid w:val="004254F5"/>
    <w:rsid w:val="00425894"/>
    <w:rsid w:val="004259F2"/>
    <w:rsid w:val="00426053"/>
    <w:rsid w:val="00426A42"/>
    <w:rsid w:val="00426F1C"/>
    <w:rsid w:val="00427CE4"/>
    <w:rsid w:val="00430296"/>
    <w:rsid w:val="00430C68"/>
    <w:rsid w:val="00430DA5"/>
    <w:rsid w:val="00431E7B"/>
    <w:rsid w:val="004320A3"/>
    <w:rsid w:val="0043325A"/>
    <w:rsid w:val="00433537"/>
    <w:rsid w:val="004346E0"/>
    <w:rsid w:val="00434D14"/>
    <w:rsid w:val="00437188"/>
    <w:rsid w:val="004373E3"/>
    <w:rsid w:val="00437C39"/>
    <w:rsid w:val="00437F6B"/>
    <w:rsid w:val="00440B15"/>
    <w:rsid w:val="004419E1"/>
    <w:rsid w:val="00441BEF"/>
    <w:rsid w:val="00441E08"/>
    <w:rsid w:val="00442081"/>
    <w:rsid w:val="004425EB"/>
    <w:rsid w:val="0044263A"/>
    <w:rsid w:val="00442962"/>
    <w:rsid w:val="00442B04"/>
    <w:rsid w:val="00442D61"/>
    <w:rsid w:val="0044307D"/>
    <w:rsid w:val="0044321B"/>
    <w:rsid w:val="004434B6"/>
    <w:rsid w:val="0044388F"/>
    <w:rsid w:val="00443D24"/>
    <w:rsid w:val="004446A0"/>
    <w:rsid w:val="004456E9"/>
    <w:rsid w:val="00445E8A"/>
    <w:rsid w:val="00446C39"/>
    <w:rsid w:val="00447B14"/>
    <w:rsid w:val="00447C7C"/>
    <w:rsid w:val="00447FEF"/>
    <w:rsid w:val="004503D3"/>
    <w:rsid w:val="00450E59"/>
    <w:rsid w:val="004516E6"/>
    <w:rsid w:val="0045177F"/>
    <w:rsid w:val="0045249E"/>
    <w:rsid w:val="00452595"/>
    <w:rsid w:val="00453FE3"/>
    <w:rsid w:val="00454453"/>
    <w:rsid w:val="004548E5"/>
    <w:rsid w:val="00455F2F"/>
    <w:rsid w:val="004564E4"/>
    <w:rsid w:val="00456B1B"/>
    <w:rsid w:val="00456F6E"/>
    <w:rsid w:val="004574C7"/>
    <w:rsid w:val="00457D1C"/>
    <w:rsid w:val="00457EA1"/>
    <w:rsid w:val="004606C7"/>
    <w:rsid w:val="0046199E"/>
    <w:rsid w:val="0046289C"/>
    <w:rsid w:val="004628D9"/>
    <w:rsid w:val="00462A91"/>
    <w:rsid w:val="00464110"/>
    <w:rsid w:val="00465153"/>
    <w:rsid w:val="00465326"/>
    <w:rsid w:val="00465B89"/>
    <w:rsid w:val="004670DB"/>
    <w:rsid w:val="004672BC"/>
    <w:rsid w:val="00467FEE"/>
    <w:rsid w:val="00470068"/>
    <w:rsid w:val="004700EE"/>
    <w:rsid w:val="00470B34"/>
    <w:rsid w:val="00472C79"/>
    <w:rsid w:val="00473517"/>
    <w:rsid w:val="00473BFE"/>
    <w:rsid w:val="004740F4"/>
    <w:rsid w:val="0047440B"/>
    <w:rsid w:val="004746AC"/>
    <w:rsid w:val="004752CB"/>
    <w:rsid w:val="00475782"/>
    <w:rsid w:val="00475C55"/>
    <w:rsid w:val="004760A7"/>
    <w:rsid w:val="00476CBB"/>
    <w:rsid w:val="00476E7A"/>
    <w:rsid w:val="00477225"/>
    <w:rsid w:val="00477685"/>
    <w:rsid w:val="00477C48"/>
    <w:rsid w:val="004806BC"/>
    <w:rsid w:val="00480B67"/>
    <w:rsid w:val="00481096"/>
    <w:rsid w:val="00481166"/>
    <w:rsid w:val="0048183E"/>
    <w:rsid w:val="0048234A"/>
    <w:rsid w:val="004829BA"/>
    <w:rsid w:val="00482AF1"/>
    <w:rsid w:val="00483182"/>
    <w:rsid w:val="004832CF"/>
    <w:rsid w:val="004835E8"/>
    <w:rsid w:val="00484252"/>
    <w:rsid w:val="00484598"/>
    <w:rsid w:val="004847F1"/>
    <w:rsid w:val="00484A14"/>
    <w:rsid w:val="00484B33"/>
    <w:rsid w:val="00485165"/>
    <w:rsid w:val="00485A3A"/>
    <w:rsid w:val="00485ECE"/>
    <w:rsid w:val="00485EE6"/>
    <w:rsid w:val="004860CD"/>
    <w:rsid w:val="00486229"/>
    <w:rsid w:val="004865A0"/>
    <w:rsid w:val="0048796F"/>
    <w:rsid w:val="00490298"/>
    <w:rsid w:val="00490D15"/>
    <w:rsid w:val="00490E89"/>
    <w:rsid w:val="0049139D"/>
    <w:rsid w:val="0049196A"/>
    <w:rsid w:val="00493919"/>
    <w:rsid w:val="00494A78"/>
    <w:rsid w:val="00495A41"/>
    <w:rsid w:val="00495B4C"/>
    <w:rsid w:val="00496136"/>
    <w:rsid w:val="00496190"/>
    <w:rsid w:val="004963F8"/>
    <w:rsid w:val="00496B0A"/>
    <w:rsid w:val="00496E4A"/>
    <w:rsid w:val="004A07A0"/>
    <w:rsid w:val="004A149A"/>
    <w:rsid w:val="004A161D"/>
    <w:rsid w:val="004A26C4"/>
    <w:rsid w:val="004A2DF2"/>
    <w:rsid w:val="004A370E"/>
    <w:rsid w:val="004A4B92"/>
    <w:rsid w:val="004A4E40"/>
    <w:rsid w:val="004A57AE"/>
    <w:rsid w:val="004A57E6"/>
    <w:rsid w:val="004A66CB"/>
    <w:rsid w:val="004A6ADA"/>
    <w:rsid w:val="004A6F34"/>
    <w:rsid w:val="004A700C"/>
    <w:rsid w:val="004A795D"/>
    <w:rsid w:val="004A7ADE"/>
    <w:rsid w:val="004A7C8A"/>
    <w:rsid w:val="004B0463"/>
    <w:rsid w:val="004B0A90"/>
    <w:rsid w:val="004B0B2B"/>
    <w:rsid w:val="004B0E44"/>
    <w:rsid w:val="004B13F3"/>
    <w:rsid w:val="004B187F"/>
    <w:rsid w:val="004B1A58"/>
    <w:rsid w:val="004B2356"/>
    <w:rsid w:val="004B3252"/>
    <w:rsid w:val="004B3D89"/>
    <w:rsid w:val="004B443C"/>
    <w:rsid w:val="004B5081"/>
    <w:rsid w:val="004B5351"/>
    <w:rsid w:val="004B628A"/>
    <w:rsid w:val="004B63A1"/>
    <w:rsid w:val="004B789E"/>
    <w:rsid w:val="004C04FA"/>
    <w:rsid w:val="004C1264"/>
    <w:rsid w:val="004C15AB"/>
    <w:rsid w:val="004C2362"/>
    <w:rsid w:val="004C2497"/>
    <w:rsid w:val="004C258B"/>
    <w:rsid w:val="004C263F"/>
    <w:rsid w:val="004C2706"/>
    <w:rsid w:val="004C306F"/>
    <w:rsid w:val="004C325A"/>
    <w:rsid w:val="004C3608"/>
    <w:rsid w:val="004C4010"/>
    <w:rsid w:val="004C4F67"/>
    <w:rsid w:val="004C5119"/>
    <w:rsid w:val="004C5EB1"/>
    <w:rsid w:val="004C5FF3"/>
    <w:rsid w:val="004C6361"/>
    <w:rsid w:val="004C636C"/>
    <w:rsid w:val="004C688F"/>
    <w:rsid w:val="004C6AB2"/>
    <w:rsid w:val="004C71B7"/>
    <w:rsid w:val="004C7F67"/>
    <w:rsid w:val="004D02E0"/>
    <w:rsid w:val="004D04DE"/>
    <w:rsid w:val="004D0896"/>
    <w:rsid w:val="004D0BCF"/>
    <w:rsid w:val="004D16B2"/>
    <w:rsid w:val="004D2746"/>
    <w:rsid w:val="004D2BBD"/>
    <w:rsid w:val="004D35DE"/>
    <w:rsid w:val="004D534C"/>
    <w:rsid w:val="004D5C4B"/>
    <w:rsid w:val="004D5EDF"/>
    <w:rsid w:val="004D67EF"/>
    <w:rsid w:val="004D6D7E"/>
    <w:rsid w:val="004D7978"/>
    <w:rsid w:val="004D7C27"/>
    <w:rsid w:val="004E074B"/>
    <w:rsid w:val="004E0E08"/>
    <w:rsid w:val="004E0FF6"/>
    <w:rsid w:val="004E1084"/>
    <w:rsid w:val="004E1E96"/>
    <w:rsid w:val="004E3454"/>
    <w:rsid w:val="004E35E8"/>
    <w:rsid w:val="004E3C37"/>
    <w:rsid w:val="004E3D1A"/>
    <w:rsid w:val="004E4A4A"/>
    <w:rsid w:val="004E4AAA"/>
    <w:rsid w:val="004E5A0D"/>
    <w:rsid w:val="004E5A63"/>
    <w:rsid w:val="004E6414"/>
    <w:rsid w:val="004E66E4"/>
    <w:rsid w:val="004E75E2"/>
    <w:rsid w:val="004F05F4"/>
    <w:rsid w:val="004F1BFD"/>
    <w:rsid w:val="004F1DAD"/>
    <w:rsid w:val="004F237C"/>
    <w:rsid w:val="004F2695"/>
    <w:rsid w:val="004F2FBC"/>
    <w:rsid w:val="004F3332"/>
    <w:rsid w:val="004F3C3C"/>
    <w:rsid w:val="004F3DF4"/>
    <w:rsid w:val="004F5D03"/>
    <w:rsid w:val="004F612D"/>
    <w:rsid w:val="004F69CE"/>
    <w:rsid w:val="004F7909"/>
    <w:rsid w:val="005006B1"/>
    <w:rsid w:val="00500DE1"/>
    <w:rsid w:val="00500E55"/>
    <w:rsid w:val="00501056"/>
    <w:rsid w:val="00501A78"/>
    <w:rsid w:val="00502210"/>
    <w:rsid w:val="00503500"/>
    <w:rsid w:val="005035F2"/>
    <w:rsid w:val="00503818"/>
    <w:rsid w:val="00503F04"/>
    <w:rsid w:val="00504FD9"/>
    <w:rsid w:val="00505ABA"/>
    <w:rsid w:val="0050627C"/>
    <w:rsid w:val="005063A9"/>
    <w:rsid w:val="005065B1"/>
    <w:rsid w:val="00506DB7"/>
    <w:rsid w:val="00507565"/>
    <w:rsid w:val="00507A4F"/>
    <w:rsid w:val="00507B95"/>
    <w:rsid w:val="0051073C"/>
    <w:rsid w:val="00510C03"/>
    <w:rsid w:val="00510D60"/>
    <w:rsid w:val="005130B8"/>
    <w:rsid w:val="00514B98"/>
    <w:rsid w:val="00514C0B"/>
    <w:rsid w:val="00514C6D"/>
    <w:rsid w:val="00517438"/>
    <w:rsid w:val="00520B41"/>
    <w:rsid w:val="00520DB3"/>
    <w:rsid w:val="00521FEB"/>
    <w:rsid w:val="00522196"/>
    <w:rsid w:val="005224E0"/>
    <w:rsid w:val="00522A83"/>
    <w:rsid w:val="00524B08"/>
    <w:rsid w:val="00524BCA"/>
    <w:rsid w:val="00524E77"/>
    <w:rsid w:val="00525336"/>
    <w:rsid w:val="00525580"/>
    <w:rsid w:val="005271FB"/>
    <w:rsid w:val="0052738E"/>
    <w:rsid w:val="00527428"/>
    <w:rsid w:val="0052742A"/>
    <w:rsid w:val="00530C98"/>
    <w:rsid w:val="005312DC"/>
    <w:rsid w:val="0053179B"/>
    <w:rsid w:val="005336E1"/>
    <w:rsid w:val="00534127"/>
    <w:rsid w:val="005347AF"/>
    <w:rsid w:val="005347F5"/>
    <w:rsid w:val="00534F4D"/>
    <w:rsid w:val="005356DF"/>
    <w:rsid w:val="00536060"/>
    <w:rsid w:val="00536061"/>
    <w:rsid w:val="005362C4"/>
    <w:rsid w:val="0053646C"/>
    <w:rsid w:val="00536A77"/>
    <w:rsid w:val="00536DE7"/>
    <w:rsid w:val="005407E8"/>
    <w:rsid w:val="005409FF"/>
    <w:rsid w:val="00540BFA"/>
    <w:rsid w:val="00540F07"/>
    <w:rsid w:val="005414B6"/>
    <w:rsid w:val="00541FE2"/>
    <w:rsid w:val="0054345D"/>
    <w:rsid w:val="00543C45"/>
    <w:rsid w:val="00545B7E"/>
    <w:rsid w:val="00545D14"/>
    <w:rsid w:val="00546729"/>
    <w:rsid w:val="00547A59"/>
    <w:rsid w:val="00550164"/>
    <w:rsid w:val="00550A57"/>
    <w:rsid w:val="005512C9"/>
    <w:rsid w:val="005512FE"/>
    <w:rsid w:val="0055176A"/>
    <w:rsid w:val="00551951"/>
    <w:rsid w:val="00551E01"/>
    <w:rsid w:val="005520FF"/>
    <w:rsid w:val="0055250F"/>
    <w:rsid w:val="0055262B"/>
    <w:rsid w:val="00552C0F"/>
    <w:rsid w:val="00553011"/>
    <w:rsid w:val="00553152"/>
    <w:rsid w:val="00553F1F"/>
    <w:rsid w:val="005545F2"/>
    <w:rsid w:val="0055544E"/>
    <w:rsid w:val="005564D9"/>
    <w:rsid w:val="0055673D"/>
    <w:rsid w:val="00556ACE"/>
    <w:rsid w:val="00556B84"/>
    <w:rsid w:val="00556FB7"/>
    <w:rsid w:val="00557152"/>
    <w:rsid w:val="005577BA"/>
    <w:rsid w:val="00557C42"/>
    <w:rsid w:val="00561226"/>
    <w:rsid w:val="00561D97"/>
    <w:rsid w:val="00562144"/>
    <w:rsid w:val="00562211"/>
    <w:rsid w:val="005628ED"/>
    <w:rsid w:val="00562E15"/>
    <w:rsid w:val="00562F60"/>
    <w:rsid w:val="00563F42"/>
    <w:rsid w:val="005643B1"/>
    <w:rsid w:val="00564417"/>
    <w:rsid w:val="00564EF5"/>
    <w:rsid w:val="00564FFF"/>
    <w:rsid w:val="00565394"/>
    <w:rsid w:val="005654BD"/>
    <w:rsid w:val="005656E6"/>
    <w:rsid w:val="00566384"/>
    <w:rsid w:val="00566ABB"/>
    <w:rsid w:val="00567188"/>
    <w:rsid w:val="005675C7"/>
    <w:rsid w:val="00567637"/>
    <w:rsid w:val="0056791B"/>
    <w:rsid w:val="00570CD0"/>
    <w:rsid w:val="00570E9A"/>
    <w:rsid w:val="00571022"/>
    <w:rsid w:val="005714B1"/>
    <w:rsid w:val="00573471"/>
    <w:rsid w:val="0057365F"/>
    <w:rsid w:val="005739EE"/>
    <w:rsid w:val="00573B63"/>
    <w:rsid w:val="00573FEE"/>
    <w:rsid w:val="005746C9"/>
    <w:rsid w:val="00574C83"/>
    <w:rsid w:val="0057514A"/>
    <w:rsid w:val="005753C7"/>
    <w:rsid w:val="00575754"/>
    <w:rsid w:val="005759F9"/>
    <w:rsid w:val="00575B29"/>
    <w:rsid w:val="0057604B"/>
    <w:rsid w:val="00577024"/>
    <w:rsid w:val="005779D9"/>
    <w:rsid w:val="00577B82"/>
    <w:rsid w:val="00577D4F"/>
    <w:rsid w:val="00577FF0"/>
    <w:rsid w:val="00581242"/>
    <w:rsid w:val="005818E3"/>
    <w:rsid w:val="00582895"/>
    <w:rsid w:val="005829D9"/>
    <w:rsid w:val="00582E34"/>
    <w:rsid w:val="00582EB6"/>
    <w:rsid w:val="00582ECB"/>
    <w:rsid w:val="00583350"/>
    <w:rsid w:val="00583932"/>
    <w:rsid w:val="005839C3"/>
    <w:rsid w:val="00583EA2"/>
    <w:rsid w:val="0058454B"/>
    <w:rsid w:val="005851AC"/>
    <w:rsid w:val="005855AD"/>
    <w:rsid w:val="00585F42"/>
    <w:rsid w:val="00585F78"/>
    <w:rsid w:val="0058615A"/>
    <w:rsid w:val="00586BFF"/>
    <w:rsid w:val="00586DFA"/>
    <w:rsid w:val="00586FD0"/>
    <w:rsid w:val="00587028"/>
    <w:rsid w:val="00587D4A"/>
    <w:rsid w:val="00587DDA"/>
    <w:rsid w:val="005908F4"/>
    <w:rsid w:val="005909E5"/>
    <w:rsid w:val="00590ACF"/>
    <w:rsid w:val="0059168D"/>
    <w:rsid w:val="00591A20"/>
    <w:rsid w:val="00591D36"/>
    <w:rsid w:val="00592007"/>
    <w:rsid w:val="005924D0"/>
    <w:rsid w:val="00592554"/>
    <w:rsid w:val="00592A0A"/>
    <w:rsid w:val="00592ADE"/>
    <w:rsid w:val="00592C22"/>
    <w:rsid w:val="0059311C"/>
    <w:rsid w:val="0059355F"/>
    <w:rsid w:val="0059393E"/>
    <w:rsid w:val="00593C26"/>
    <w:rsid w:val="00594505"/>
    <w:rsid w:val="0059489B"/>
    <w:rsid w:val="00594CEF"/>
    <w:rsid w:val="00595AC0"/>
    <w:rsid w:val="00595D69"/>
    <w:rsid w:val="00596684"/>
    <w:rsid w:val="0059692E"/>
    <w:rsid w:val="00596EC0"/>
    <w:rsid w:val="00597095"/>
    <w:rsid w:val="00597B0B"/>
    <w:rsid w:val="005A0120"/>
    <w:rsid w:val="005A0D88"/>
    <w:rsid w:val="005A0EB4"/>
    <w:rsid w:val="005A21C1"/>
    <w:rsid w:val="005A2424"/>
    <w:rsid w:val="005A2AE7"/>
    <w:rsid w:val="005A2F96"/>
    <w:rsid w:val="005A3657"/>
    <w:rsid w:val="005A3797"/>
    <w:rsid w:val="005A3A80"/>
    <w:rsid w:val="005A45BF"/>
    <w:rsid w:val="005A5AF4"/>
    <w:rsid w:val="005A5C2B"/>
    <w:rsid w:val="005A7CDD"/>
    <w:rsid w:val="005B1759"/>
    <w:rsid w:val="005B379D"/>
    <w:rsid w:val="005B3A6C"/>
    <w:rsid w:val="005B4063"/>
    <w:rsid w:val="005B5364"/>
    <w:rsid w:val="005B55D4"/>
    <w:rsid w:val="005B6663"/>
    <w:rsid w:val="005B69BE"/>
    <w:rsid w:val="005B703D"/>
    <w:rsid w:val="005B78E6"/>
    <w:rsid w:val="005C0F18"/>
    <w:rsid w:val="005C19BA"/>
    <w:rsid w:val="005C1CCB"/>
    <w:rsid w:val="005C2605"/>
    <w:rsid w:val="005C29BD"/>
    <w:rsid w:val="005C2CE5"/>
    <w:rsid w:val="005C32C1"/>
    <w:rsid w:val="005C330D"/>
    <w:rsid w:val="005C37A5"/>
    <w:rsid w:val="005C44BB"/>
    <w:rsid w:val="005C4843"/>
    <w:rsid w:val="005C63C1"/>
    <w:rsid w:val="005C7691"/>
    <w:rsid w:val="005C78FF"/>
    <w:rsid w:val="005D00C8"/>
    <w:rsid w:val="005D0F3F"/>
    <w:rsid w:val="005D12FE"/>
    <w:rsid w:val="005D131A"/>
    <w:rsid w:val="005D195C"/>
    <w:rsid w:val="005D3233"/>
    <w:rsid w:val="005D332E"/>
    <w:rsid w:val="005D4174"/>
    <w:rsid w:val="005D5550"/>
    <w:rsid w:val="005D5C11"/>
    <w:rsid w:val="005D5C5F"/>
    <w:rsid w:val="005D6C62"/>
    <w:rsid w:val="005D732F"/>
    <w:rsid w:val="005D7678"/>
    <w:rsid w:val="005D7DD3"/>
    <w:rsid w:val="005E109E"/>
    <w:rsid w:val="005E25E1"/>
    <w:rsid w:val="005E270B"/>
    <w:rsid w:val="005E2C6A"/>
    <w:rsid w:val="005E38BA"/>
    <w:rsid w:val="005E3FB3"/>
    <w:rsid w:val="005E4716"/>
    <w:rsid w:val="005E4DF9"/>
    <w:rsid w:val="005E56BD"/>
    <w:rsid w:val="005E5D20"/>
    <w:rsid w:val="005E5F8A"/>
    <w:rsid w:val="005E61BE"/>
    <w:rsid w:val="005E6B37"/>
    <w:rsid w:val="005E6E5A"/>
    <w:rsid w:val="005E7735"/>
    <w:rsid w:val="005E7AE2"/>
    <w:rsid w:val="005E7BAD"/>
    <w:rsid w:val="005F139E"/>
    <w:rsid w:val="005F1F40"/>
    <w:rsid w:val="005F2AB4"/>
    <w:rsid w:val="005F3310"/>
    <w:rsid w:val="005F3E0B"/>
    <w:rsid w:val="005F3FF0"/>
    <w:rsid w:val="005F4166"/>
    <w:rsid w:val="005F4C78"/>
    <w:rsid w:val="005F5C1E"/>
    <w:rsid w:val="005F605C"/>
    <w:rsid w:val="005F643D"/>
    <w:rsid w:val="0060013B"/>
    <w:rsid w:val="00601700"/>
    <w:rsid w:val="00603A74"/>
    <w:rsid w:val="0060465C"/>
    <w:rsid w:val="00604BB5"/>
    <w:rsid w:val="00605816"/>
    <w:rsid w:val="00605886"/>
    <w:rsid w:val="00605B89"/>
    <w:rsid w:val="006062C1"/>
    <w:rsid w:val="006068C9"/>
    <w:rsid w:val="00606D9C"/>
    <w:rsid w:val="00606F1E"/>
    <w:rsid w:val="00607C44"/>
    <w:rsid w:val="00607F34"/>
    <w:rsid w:val="0061069F"/>
    <w:rsid w:val="00610CDF"/>
    <w:rsid w:val="00611D20"/>
    <w:rsid w:val="00611E0F"/>
    <w:rsid w:val="006131A0"/>
    <w:rsid w:val="0061343F"/>
    <w:rsid w:val="006134DA"/>
    <w:rsid w:val="00613715"/>
    <w:rsid w:val="00613799"/>
    <w:rsid w:val="006146DD"/>
    <w:rsid w:val="00615286"/>
    <w:rsid w:val="0061540A"/>
    <w:rsid w:val="006155D0"/>
    <w:rsid w:val="006155FB"/>
    <w:rsid w:val="006167E2"/>
    <w:rsid w:val="00616A30"/>
    <w:rsid w:val="00617657"/>
    <w:rsid w:val="0062026E"/>
    <w:rsid w:val="00620315"/>
    <w:rsid w:val="00620386"/>
    <w:rsid w:val="0062055A"/>
    <w:rsid w:val="0062056D"/>
    <w:rsid w:val="00620747"/>
    <w:rsid w:val="00620A1C"/>
    <w:rsid w:val="00620DCC"/>
    <w:rsid w:val="00620E0D"/>
    <w:rsid w:val="0062124C"/>
    <w:rsid w:val="006214F1"/>
    <w:rsid w:val="0062197E"/>
    <w:rsid w:val="006227B8"/>
    <w:rsid w:val="00623E8D"/>
    <w:rsid w:val="00625C67"/>
    <w:rsid w:val="006265EA"/>
    <w:rsid w:val="0062697D"/>
    <w:rsid w:val="00626A73"/>
    <w:rsid w:val="00627C9A"/>
    <w:rsid w:val="006300AB"/>
    <w:rsid w:val="006307C5"/>
    <w:rsid w:val="00630DD5"/>
    <w:rsid w:val="00631A23"/>
    <w:rsid w:val="00633219"/>
    <w:rsid w:val="006332BA"/>
    <w:rsid w:val="006333CE"/>
    <w:rsid w:val="00633CD6"/>
    <w:rsid w:val="006347A6"/>
    <w:rsid w:val="006355C2"/>
    <w:rsid w:val="006357AE"/>
    <w:rsid w:val="00636395"/>
    <w:rsid w:val="00636B53"/>
    <w:rsid w:val="0063741C"/>
    <w:rsid w:val="0063786A"/>
    <w:rsid w:val="00637A41"/>
    <w:rsid w:val="00640E0E"/>
    <w:rsid w:val="0064101F"/>
    <w:rsid w:val="00641706"/>
    <w:rsid w:val="00641789"/>
    <w:rsid w:val="0064185B"/>
    <w:rsid w:val="00642CBF"/>
    <w:rsid w:val="00644014"/>
    <w:rsid w:val="006442EB"/>
    <w:rsid w:val="0064433E"/>
    <w:rsid w:val="00644667"/>
    <w:rsid w:val="0064492A"/>
    <w:rsid w:val="00644AC5"/>
    <w:rsid w:val="00644C69"/>
    <w:rsid w:val="00646853"/>
    <w:rsid w:val="0064752C"/>
    <w:rsid w:val="006505CB"/>
    <w:rsid w:val="00650B70"/>
    <w:rsid w:val="00650C31"/>
    <w:rsid w:val="00650C7A"/>
    <w:rsid w:val="00650DFA"/>
    <w:rsid w:val="00651847"/>
    <w:rsid w:val="00652A2B"/>
    <w:rsid w:val="00652B10"/>
    <w:rsid w:val="00652DB7"/>
    <w:rsid w:val="00653AF7"/>
    <w:rsid w:val="00653C81"/>
    <w:rsid w:val="0065466A"/>
    <w:rsid w:val="006560F8"/>
    <w:rsid w:val="00657077"/>
    <w:rsid w:val="00657129"/>
    <w:rsid w:val="006576A1"/>
    <w:rsid w:val="0065788D"/>
    <w:rsid w:val="006602AF"/>
    <w:rsid w:val="00660B0B"/>
    <w:rsid w:val="00661596"/>
    <w:rsid w:val="006623A0"/>
    <w:rsid w:val="006626A6"/>
    <w:rsid w:val="00662959"/>
    <w:rsid w:val="00662DE4"/>
    <w:rsid w:val="00663100"/>
    <w:rsid w:val="00663222"/>
    <w:rsid w:val="00664FD5"/>
    <w:rsid w:val="0066507D"/>
    <w:rsid w:val="0066534E"/>
    <w:rsid w:val="00665DBB"/>
    <w:rsid w:val="00665E28"/>
    <w:rsid w:val="00665EA4"/>
    <w:rsid w:val="00665F97"/>
    <w:rsid w:val="006661B7"/>
    <w:rsid w:val="0066634D"/>
    <w:rsid w:val="006663A3"/>
    <w:rsid w:val="00667690"/>
    <w:rsid w:val="00670276"/>
    <w:rsid w:val="00670B4A"/>
    <w:rsid w:val="00671731"/>
    <w:rsid w:val="00671983"/>
    <w:rsid w:val="006735BF"/>
    <w:rsid w:val="006735CB"/>
    <w:rsid w:val="0067429B"/>
    <w:rsid w:val="00674766"/>
    <w:rsid w:val="00674D45"/>
    <w:rsid w:val="00674EBD"/>
    <w:rsid w:val="00675137"/>
    <w:rsid w:val="0067528F"/>
    <w:rsid w:val="006757DD"/>
    <w:rsid w:val="00675B38"/>
    <w:rsid w:val="006763DF"/>
    <w:rsid w:val="0067649C"/>
    <w:rsid w:val="00676867"/>
    <w:rsid w:val="00676919"/>
    <w:rsid w:val="006800A9"/>
    <w:rsid w:val="006802C7"/>
    <w:rsid w:val="0068041A"/>
    <w:rsid w:val="0068061C"/>
    <w:rsid w:val="0068098F"/>
    <w:rsid w:val="00682569"/>
    <w:rsid w:val="00682AFB"/>
    <w:rsid w:val="00682D6A"/>
    <w:rsid w:val="006830B5"/>
    <w:rsid w:val="006835CF"/>
    <w:rsid w:val="00684204"/>
    <w:rsid w:val="00684547"/>
    <w:rsid w:val="0068463A"/>
    <w:rsid w:val="006846E9"/>
    <w:rsid w:val="00684F70"/>
    <w:rsid w:val="00685908"/>
    <w:rsid w:val="00686051"/>
    <w:rsid w:val="006867A4"/>
    <w:rsid w:val="00686ECC"/>
    <w:rsid w:val="00687256"/>
    <w:rsid w:val="006875B3"/>
    <w:rsid w:val="006903CE"/>
    <w:rsid w:val="00691A96"/>
    <w:rsid w:val="00691DA9"/>
    <w:rsid w:val="0069231D"/>
    <w:rsid w:val="00692BB0"/>
    <w:rsid w:val="00693714"/>
    <w:rsid w:val="00693791"/>
    <w:rsid w:val="00693DD3"/>
    <w:rsid w:val="00694E93"/>
    <w:rsid w:val="00694FFA"/>
    <w:rsid w:val="00695315"/>
    <w:rsid w:val="00695ECA"/>
    <w:rsid w:val="00696176"/>
    <w:rsid w:val="006A00D1"/>
    <w:rsid w:val="006A0625"/>
    <w:rsid w:val="006A066B"/>
    <w:rsid w:val="006A07B6"/>
    <w:rsid w:val="006A1433"/>
    <w:rsid w:val="006A1F3E"/>
    <w:rsid w:val="006A1F98"/>
    <w:rsid w:val="006A2272"/>
    <w:rsid w:val="006A2BEA"/>
    <w:rsid w:val="006A550C"/>
    <w:rsid w:val="006A7549"/>
    <w:rsid w:val="006A75D1"/>
    <w:rsid w:val="006B08CB"/>
    <w:rsid w:val="006B18C7"/>
    <w:rsid w:val="006B19BF"/>
    <w:rsid w:val="006B1A48"/>
    <w:rsid w:val="006B1B7B"/>
    <w:rsid w:val="006B2B9B"/>
    <w:rsid w:val="006B61FE"/>
    <w:rsid w:val="006B6FD6"/>
    <w:rsid w:val="006B735E"/>
    <w:rsid w:val="006B7E20"/>
    <w:rsid w:val="006C076E"/>
    <w:rsid w:val="006C0936"/>
    <w:rsid w:val="006C0C17"/>
    <w:rsid w:val="006C0DB5"/>
    <w:rsid w:val="006C0E1F"/>
    <w:rsid w:val="006C116F"/>
    <w:rsid w:val="006C1ABF"/>
    <w:rsid w:val="006C230D"/>
    <w:rsid w:val="006C258E"/>
    <w:rsid w:val="006C2778"/>
    <w:rsid w:val="006C2D86"/>
    <w:rsid w:val="006C3137"/>
    <w:rsid w:val="006C3B83"/>
    <w:rsid w:val="006C4713"/>
    <w:rsid w:val="006C4D88"/>
    <w:rsid w:val="006C4E7E"/>
    <w:rsid w:val="006C5304"/>
    <w:rsid w:val="006C56C1"/>
    <w:rsid w:val="006C59C3"/>
    <w:rsid w:val="006C5A75"/>
    <w:rsid w:val="006C5B06"/>
    <w:rsid w:val="006C61F9"/>
    <w:rsid w:val="006C6703"/>
    <w:rsid w:val="006C680E"/>
    <w:rsid w:val="006C7104"/>
    <w:rsid w:val="006C721B"/>
    <w:rsid w:val="006D00FD"/>
    <w:rsid w:val="006D0125"/>
    <w:rsid w:val="006D0C27"/>
    <w:rsid w:val="006D13D5"/>
    <w:rsid w:val="006D221C"/>
    <w:rsid w:val="006D2845"/>
    <w:rsid w:val="006D315F"/>
    <w:rsid w:val="006D34A0"/>
    <w:rsid w:val="006D389E"/>
    <w:rsid w:val="006D3DAD"/>
    <w:rsid w:val="006D4053"/>
    <w:rsid w:val="006D47C1"/>
    <w:rsid w:val="006D49D0"/>
    <w:rsid w:val="006D6154"/>
    <w:rsid w:val="006D6479"/>
    <w:rsid w:val="006D67B2"/>
    <w:rsid w:val="006D6987"/>
    <w:rsid w:val="006D6BF8"/>
    <w:rsid w:val="006D76CF"/>
    <w:rsid w:val="006E01A9"/>
    <w:rsid w:val="006E04CD"/>
    <w:rsid w:val="006E1097"/>
    <w:rsid w:val="006E17F6"/>
    <w:rsid w:val="006E26F5"/>
    <w:rsid w:val="006E2847"/>
    <w:rsid w:val="006E37D4"/>
    <w:rsid w:val="006E458F"/>
    <w:rsid w:val="006E54BE"/>
    <w:rsid w:val="006E59D6"/>
    <w:rsid w:val="006E5E42"/>
    <w:rsid w:val="006E73B1"/>
    <w:rsid w:val="006E7520"/>
    <w:rsid w:val="006E759C"/>
    <w:rsid w:val="006F0512"/>
    <w:rsid w:val="006F107B"/>
    <w:rsid w:val="006F1724"/>
    <w:rsid w:val="006F21E4"/>
    <w:rsid w:val="006F329B"/>
    <w:rsid w:val="006F3332"/>
    <w:rsid w:val="006F3B01"/>
    <w:rsid w:val="006F43F2"/>
    <w:rsid w:val="006F45E2"/>
    <w:rsid w:val="006F4FAD"/>
    <w:rsid w:val="006F601B"/>
    <w:rsid w:val="006F68ED"/>
    <w:rsid w:val="006F6AF0"/>
    <w:rsid w:val="006F75BF"/>
    <w:rsid w:val="006F77E2"/>
    <w:rsid w:val="00700204"/>
    <w:rsid w:val="00700292"/>
    <w:rsid w:val="007010C9"/>
    <w:rsid w:val="00701936"/>
    <w:rsid w:val="00702E5D"/>
    <w:rsid w:val="007035A1"/>
    <w:rsid w:val="0070362A"/>
    <w:rsid w:val="007037C5"/>
    <w:rsid w:val="00704077"/>
    <w:rsid w:val="00704480"/>
    <w:rsid w:val="0070448E"/>
    <w:rsid w:val="00704B61"/>
    <w:rsid w:val="0070514B"/>
    <w:rsid w:val="00705F49"/>
    <w:rsid w:val="00706980"/>
    <w:rsid w:val="007070BB"/>
    <w:rsid w:val="00707601"/>
    <w:rsid w:val="0071013F"/>
    <w:rsid w:val="0071103F"/>
    <w:rsid w:val="0071173F"/>
    <w:rsid w:val="00711A2A"/>
    <w:rsid w:val="00711CAA"/>
    <w:rsid w:val="00712AB7"/>
    <w:rsid w:val="0071373E"/>
    <w:rsid w:val="007139E1"/>
    <w:rsid w:val="0071441A"/>
    <w:rsid w:val="00715161"/>
    <w:rsid w:val="00715ED1"/>
    <w:rsid w:val="0071734C"/>
    <w:rsid w:val="007206C5"/>
    <w:rsid w:val="00721582"/>
    <w:rsid w:val="0072212E"/>
    <w:rsid w:val="007221BE"/>
    <w:rsid w:val="00723025"/>
    <w:rsid w:val="007240E8"/>
    <w:rsid w:val="0072410C"/>
    <w:rsid w:val="00724155"/>
    <w:rsid w:val="0072417A"/>
    <w:rsid w:val="007245C7"/>
    <w:rsid w:val="00725A10"/>
    <w:rsid w:val="00725C5A"/>
    <w:rsid w:val="007267B1"/>
    <w:rsid w:val="00726A35"/>
    <w:rsid w:val="00730515"/>
    <w:rsid w:val="007309EC"/>
    <w:rsid w:val="00730CCB"/>
    <w:rsid w:val="007314B4"/>
    <w:rsid w:val="007314C6"/>
    <w:rsid w:val="007318C0"/>
    <w:rsid w:val="00731DC1"/>
    <w:rsid w:val="007320AB"/>
    <w:rsid w:val="0073289F"/>
    <w:rsid w:val="00734AA3"/>
    <w:rsid w:val="00734DE9"/>
    <w:rsid w:val="007355A0"/>
    <w:rsid w:val="00735E36"/>
    <w:rsid w:val="00736404"/>
    <w:rsid w:val="0073718F"/>
    <w:rsid w:val="007375D5"/>
    <w:rsid w:val="00737FBB"/>
    <w:rsid w:val="00740176"/>
    <w:rsid w:val="007403CD"/>
    <w:rsid w:val="007415E8"/>
    <w:rsid w:val="007429FD"/>
    <w:rsid w:val="00742B02"/>
    <w:rsid w:val="00743966"/>
    <w:rsid w:val="00743E5E"/>
    <w:rsid w:val="0074403D"/>
    <w:rsid w:val="00744172"/>
    <w:rsid w:val="007443EA"/>
    <w:rsid w:val="00744B04"/>
    <w:rsid w:val="00745050"/>
    <w:rsid w:val="00747207"/>
    <w:rsid w:val="00747537"/>
    <w:rsid w:val="00747C0C"/>
    <w:rsid w:val="00750299"/>
    <w:rsid w:val="00750460"/>
    <w:rsid w:val="00750AE4"/>
    <w:rsid w:val="00750AEA"/>
    <w:rsid w:val="00751929"/>
    <w:rsid w:val="0075229A"/>
    <w:rsid w:val="007524AE"/>
    <w:rsid w:val="00752CC8"/>
    <w:rsid w:val="00753465"/>
    <w:rsid w:val="007534C2"/>
    <w:rsid w:val="007537AD"/>
    <w:rsid w:val="007551F6"/>
    <w:rsid w:val="00755527"/>
    <w:rsid w:val="007558CA"/>
    <w:rsid w:val="007572E2"/>
    <w:rsid w:val="00760162"/>
    <w:rsid w:val="007611D3"/>
    <w:rsid w:val="00761470"/>
    <w:rsid w:val="00762198"/>
    <w:rsid w:val="007624B4"/>
    <w:rsid w:val="007633C8"/>
    <w:rsid w:val="00763546"/>
    <w:rsid w:val="007644E9"/>
    <w:rsid w:val="00764B98"/>
    <w:rsid w:val="00764DE2"/>
    <w:rsid w:val="0076528E"/>
    <w:rsid w:val="00766832"/>
    <w:rsid w:val="0076686F"/>
    <w:rsid w:val="00766931"/>
    <w:rsid w:val="007669A5"/>
    <w:rsid w:val="00766BD8"/>
    <w:rsid w:val="0076744A"/>
    <w:rsid w:val="00767C7B"/>
    <w:rsid w:val="0077128D"/>
    <w:rsid w:val="007714B0"/>
    <w:rsid w:val="0077287F"/>
    <w:rsid w:val="00773B15"/>
    <w:rsid w:val="0077552B"/>
    <w:rsid w:val="00775902"/>
    <w:rsid w:val="007772B7"/>
    <w:rsid w:val="007775D1"/>
    <w:rsid w:val="00777CD1"/>
    <w:rsid w:val="00780E8C"/>
    <w:rsid w:val="00780EFD"/>
    <w:rsid w:val="0078141C"/>
    <w:rsid w:val="007823C2"/>
    <w:rsid w:val="007829CE"/>
    <w:rsid w:val="00782A1A"/>
    <w:rsid w:val="00783A4C"/>
    <w:rsid w:val="00784881"/>
    <w:rsid w:val="007849C1"/>
    <w:rsid w:val="00784C6D"/>
    <w:rsid w:val="00785791"/>
    <w:rsid w:val="00786942"/>
    <w:rsid w:val="00786E31"/>
    <w:rsid w:val="007875E5"/>
    <w:rsid w:val="00787696"/>
    <w:rsid w:val="007876AB"/>
    <w:rsid w:val="007878D3"/>
    <w:rsid w:val="00790872"/>
    <w:rsid w:val="00790A97"/>
    <w:rsid w:val="007914A6"/>
    <w:rsid w:val="007915DC"/>
    <w:rsid w:val="00791616"/>
    <w:rsid w:val="00791A03"/>
    <w:rsid w:val="00791F0D"/>
    <w:rsid w:val="007935CA"/>
    <w:rsid w:val="00793D0D"/>
    <w:rsid w:val="00793F20"/>
    <w:rsid w:val="00794DB9"/>
    <w:rsid w:val="00794EC0"/>
    <w:rsid w:val="0079503D"/>
    <w:rsid w:val="00795222"/>
    <w:rsid w:val="0079559E"/>
    <w:rsid w:val="00795F77"/>
    <w:rsid w:val="0079676F"/>
    <w:rsid w:val="00796C35"/>
    <w:rsid w:val="007970D4"/>
    <w:rsid w:val="007973E5"/>
    <w:rsid w:val="007979B9"/>
    <w:rsid w:val="00797B5D"/>
    <w:rsid w:val="00797D49"/>
    <w:rsid w:val="007A06D2"/>
    <w:rsid w:val="007A0D1C"/>
    <w:rsid w:val="007A11FB"/>
    <w:rsid w:val="007A1F23"/>
    <w:rsid w:val="007A224F"/>
    <w:rsid w:val="007A2B3A"/>
    <w:rsid w:val="007A374E"/>
    <w:rsid w:val="007A392B"/>
    <w:rsid w:val="007A3E57"/>
    <w:rsid w:val="007A4000"/>
    <w:rsid w:val="007A41FF"/>
    <w:rsid w:val="007A4641"/>
    <w:rsid w:val="007A4BCF"/>
    <w:rsid w:val="007A52F5"/>
    <w:rsid w:val="007A5EAA"/>
    <w:rsid w:val="007A6003"/>
    <w:rsid w:val="007A6701"/>
    <w:rsid w:val="007A70CE"/>
    <w:rsid w:val="007B00B2"/>
    <w:rsid w:val="007B10EB"/>
    <w:rsid w:val="007B1958"/>
    <w:rsid w:val="007B20A6"/>
    <w:rsid w:val="007B3030"/>
    <w:rsid w:val="007B318C"/>
    <w:rsid w:val="007B369D"/>
    <w:rsid w:val="007B3F2E"/>
    <w:rsid w:val="007B4683"/>
    <w:rsid w:val="007B4DA9"/>
    <w:rsid w:val="007B539E"/>
    <w:rsid w:val="007B55AB"/>
    <w:rsid w:val="007B5C89"/>
    <w:rsid w:val="007B722D"/>
    <w:rsid w:val="007B793E"/>
    <w:rsid w:val="007B7DC3"/>
    <w:rsid w:val="007C03C4"/>
    <w:rsid w:val="007C128D"/>
    <w:rsid w:val="007C1588"/>
    <w:rsid w:val="007C16C7"/>
    <w:rsid w:val="007C1F85"/>
    <w:rsid w:val="007C21BB"/>
    <w:rsid w:val="007C2CE1"/>
    <w:rsid w:val="007C2E5A"/>
    <w:rsid w:val="007C2E73"/>
    <w:rsid w:val="007C4A78"/>
    <w:rsid w:val="007C6826"/>
    <w:rsid w:val="007C6D56"/>
    <w:rsid w:val="007C6F3B"/>
    <w:rsid w:val="007C741A"/>
    <w:rsid w:val="007D02B0"/>
    <w:rsid w:val="007D0C33"/>
    <w:rsid w:val="007D0C80"/>
    <w:rsid w:val="007D14B6"/>
    <w:rsid w:val="007D17FF"/>
    <w:rsid w:val="007D20B5"/>
    <w:rsid w:val="007D2BE7"/>
    <w:rsid w:val="007D2D77"/>
    <w:rsid w:val="007D3370"/>
    <w:rsid w:val="007D3B29"/>
    <w:rsid w:val="007D3C5B"/>
    <w:rsid w:val="007D4E46"/>
    <w:rsid w:val="007D66B5"/>
    <w:rsid w:val="007D6C20"/>
    <w:rsid w:val="007D6D7F"/>
    <w:rsid w:val="007D6F42"/>
    <w:rsid w:val="007D7071"/>
    <w:rsid w:val="007E0198"/>
    <w:rsid w:val="007E12EC"/>
    <w:rsid w:val="007E1586"/>
    <w:rsid w:val="007E180B"/>
    <w:rsid w:val="007E183F"/>
    <w:rsid w:val="007E2EAC"/>
    <w:rsid w:val="007E37AA"/>
    <w:rsid w:val="007E3E9D"/>
    <w:rsid w:val="007E41D0"/>
    <w:rsid w:val="007E46DF"/>
    <w:rsid w:val="007E5AA9"/>
    <w:rsid w:val="007E5EFB"/>
    <w:rsid w:val="007E7DA1"/>
    <w:rsid w:val="007F0255"/>
    <w:rsid w:val="007F06F8"/>
    <w:rsid w:val="007F1025"/>
    <w:rsid w:val="007F19DE"/>
    <w:rsid w:val="007F1CF1"/>
    <w:rsid w:val="007F22FD"/>
    <w:rsid w:val="007F23A4"/>
    <w:rsid w:val="007F26AE"/>
    <w:rsid w:val="007F2B9B"/>
    <w:rsid w:val="007F42C9"/>
    <w:rsid w:val="007F55D7"/>
    <w:rsid w:val="007F5862"/>
    <w:rsid w:val="007F5896"/>
    <w:rsid w:val="007F5D43"/>
    <w:rsid w:val="007F64A0"/>
    <w:rsid w:val="007F6749"/>
    <w:rsid w:val="007F6A92"/>
    <w:rsid w:val="007F7309"/>
    <w:rsid w:val="007F7916"/>
    <w:rsid w:val="007F7D33"/>
    <w:rsid w:val="008011AD"/>
    <w:rsid w:val="008016F0"/>
    <w:rsid w:val="00801E34"/>
    <w:rsid w:val="0080238E"/>
    <w:rsid w:val="0080249F"/>
    <w:rsid w:val="00802606"/>
    <w:rsid w:val="0080273F"/>
    <w:rsid w:val="00802806"/>
    <w:rsid w:val="00803EBF"/>
    <w:rsid w:val="00804AA0"/>
    <w:rsid w:val="008053BF"/>
    <w:rsid w:val="00807276"/>
    <w:rsid w:val="00807CA0"/>
    <w:rsid w:val="00807E31"/>
    <w:rsid w:val="00810025"/>
    <w:rsid w:val="00810AD7"/>
    <w:rsid w:val="00810B19"/>
    <w:rsid w:val="00810DC2"/>
    <w:rsid w:val="00811C08"/>
    <w:rsid w:val="00811E31"/>
    <w:rsid w:val="00812A71"/>
    <w:rsid w:val="00812C57"/>
    <w:rsid w:val="00814C5D"/>
    <w:rsid w:val="008158BD"/>
    <w:rsid w:val="008160A2"/>
    <w:rsid w:val="008162F4"/>
    <w:rsid w:val="008163BB"/>
    <w:rsid w:val="0081647E"/>
    <w:rsid w:val="0081698A"/>
    <w:rsid w:val="00816CCA"/>
    <w:rsid w:val="00816CFA"/>
    <w:rsid w:val="00817406"/>
    <w:rsid w:val="00817ABF"/>
    <w:rsid w:val="00817BF4"/>
    <w:rsid w:val="00817C5D"/>
    <w:rsid w:val="0082077E"/>
    <w:rsid w:val="00820909"/>
    <w:rsid w:val="00821618"/>
    <w:rsid w:val="008217D9"/>
    <w:rsid w:val="00821E6D"/>
    <w:rsid w:val="0082219B"/>
    <w:rsid w:val="00822588"/>
    <w:rsid w:val="008232E5"/>
    <w:rsid w:val="0082438B"/>
    <w:rsid w:val="00824ED8"/>
    <w:rsid w:val="00825344"/>
    <w:rsid w:val="00825440"/>
    <w:rsid w:val="00826047"/>
    <w:rsid w:val="00826364"/>
    <w:rsid w:val="00827B12"/>
    <w:rsid w:val="008306D1"/>
    <w:rsid w:val="00830A5B"/>
    <w:rsid w:val="00830A66"/>
    <w:rsid w:val="0083103A"/>
    <w:rsid w:val="00831EC8"/>
    <w:rsid w:val="00832805"/>
    <w:rsid w:val="00833A95"/>
    <w:rsid w:val="00833F88"/>
    <w:rsid w:val="008344CC"/>
    <w:rsid w:val="00834BCE"/>
    <w:rsid w:val="00834FAA"/>
    <w:rsid w:val="00835A1E"/>
    <w:rsid w:val="00835C91"/>
    <w:rsid w:val="00836779"/>
    <w:rsid w:val="008401D9"/>
    <w:rsid w:val="00840251"/>
    <w:rsid w:val="008403EE"/>
    <w:rsid w:val="00840748"/>
    <w:rsid w:val="00840B2B"/>
    <w:rsid w:val="008410D1"/>
    <w:rsid w:val="0084195B"/>
    <w:rsid w:val="00841E30"/>
    <w:rsid w:val="00842563"/>
    <w:rsid w:val="008432B1"/>
    <w:rsid w:val="00843818"/>
    <w:rsid w:val="00843921"/>
    <w:rsid w:val="008462B4"/>
    <w:rsid w:val="00846BE0"/>
    <w:rsid w:val="00846E88"/>
    <w:rsid w:val="00847909"/>
    <w:rsid w:val="00851081"/>
    <w:rsid w:val="008510BC"/>
    <w:rsid w:val="00851519"/>
    <w:rsid w:val="00851DC6"/>
    <w:rsid w:val="00851EB7"/>
    <w:rsid w:val="00852216"/>
    <w:rsid w:val="008534A7"/>
    <w:rsid w:val="00853E3D"/>
    <w:rsid w:val="00854F40"/>
    <w:rsid w:val="008553CE"/>
    <w:rsid w:val="00855446"/>
    <w:rsid w:val="008558C8"/>
    <w:rsid w:val="0085639F"/>
    <w:rsid w:val="008564E0"/>
    <w:rsid w:val="00861B6F"/>
    <w:rsid w:val="008622C9"/>
    <w:rsid w:val="008625FF"/>
    <w:rsid w:val="00862B77"/>
    <w:rsid w:val="00862D31"/>
    <w:rsid w:val="008635E6"/>
    <w:rsid w:val="00864C50"/>
    <w:rsid w:val="00865311"/>
    <w:rsid w:val="00865FDE"/>
    <w:rsid w:val="008666BC"/>
    <w:rsid w:val="008667F1"/>
    <w:rsid w:val="00867D36"/>
    <w:rsid w:val="00870B7B"/>
    <w:rsid w:val="00870FF8"/>
    <w:rsid w:val="0087125A"/>
    <w:rsid w:val="0087131A"/>
    <w:rsid w:val="00871F94"/>
    <w:rsid w:val="008732FD"/>
    <w:rsid w:val="008741A7"/>
    <w:rsid w:val="0087420E"/>
    <w:rsid w:val="00874501"/>
    <w:rsid w:val="008752AA"/>
    <w:rsid w:val="008752E9"/>
    <w:rsid w:val="00875956"/>
    <w:rsid w:val="00876B3E"/>
    <w:rsid w:val="00877798"/>
    <w:rsid w:val="00880520"/>
    <w:rsid w:val="0088058C"/>
    <w:rsid w:val="00880C18"/>
    <w:rsid w:val="00880EDC"/>
    <w:rsid w:val="00881A02"/>
    <w:rsid w:val="00881B25"/>
    <w:rsid w:val="008827FF"/>
    <w:rsid w:val="00882C4B"/>
    <w:rsid w:val="00883040"/>
    <w:rsid w:val="0088331B"/>
    <w:rsid w:val="00883B47"/>
    <w:rsid w:val="00884B8A"/>
    <w:rsid w:val="00884E52"/>
    <w:rsid w:val="008852E4"/>
    <w:rsid w:val="00885375"/>
    <w:rsid w:val="008854C5"/>
    <w:rsid w:val="00885CBB"/>
    <w:rsid w:val="008860F9"/>
    <w:rsid w:val="00886124"/>
    <w:rsid w:val="00886A79"/>
    <w:rsid w:val="00886FD2"/>
    <w:rsid w:val="00887FBC"/>
    <w:rsid w:val="00890C6E"/>
    <w:rsid w:val="0089162C"/>
    <w:rsid w:val="008929BD"/>
    <w:rsid w:val="00893E38"/>
    <w:rsid w:val="008947F0"/>
    <w:rsid w:val="008948B3"/>
    <w:rsid w:val="00894B8A"/>
    <w:rsid w:val="00895D58"/>
    <w:rsid w:val="00896678"/>
    <w:rsid w:val="00896F44"/>
    <w:rsid w:val="00897F41"/>
    <w:rsid w:val="008A07F2"/>
    <w:rsid w:val="008A0BED"/>
    <w:rsid w:val="008A0E09"/>
    <w:rsid w:val="008A0E7E"/>
    <w:rsid w:val="008A1B09"/>
    <w:rsid w:val="008A1C4F"/>
    <w:rsid w:val="008A1E88"/>
    <w:rsid w:val="008A2A5C"/>
    <w:rsid w:val="008A2DAB"/>
    <w:rsid w:val="008A2F8F"/>
    <w:rsid w:val="008A3180"/>
    <w:rsid w:val="008A4252"/>
    <w:rsid w:val="008A4489"/>
    <w:rsid w:val="008A5074"/>
    <w:rsid w:val="008A58C7"/>
    <w:rsid w:val="008A5C12"/>
    <w:rsid w:val="008A6DBB"/>
    <w:rsid w:val="008A770E"/>
    <w:rsid w:val="008A7941"/>
    <w:rsid w:val="008A7CD3"/>
    <w:rsid w:val="008B0C43"/>
    <w:rsid w:val="008B1841"/>
    <w:rsid w:val="008B3485"/>
    <w:rsid w:val="008B4DEC"/>
    <w:rsid w:val="008B501C"/>
    <w:rsid w:val="008B5354"/>
    <w:rsid w:val="008B5C04"/>
    <w:rsid w:val="008B6CE2"/>
    <w:rsid w:val="008B6D1C"/>
    <w:rsid w:val="008C02B8"/>
    <w:rsid w:val="008C0408"/>
    <w:rsid w:val="008C045E"/>
    <w:rsid w:val="008C06FE"/>
    <w:rsid w:val="008C0FD9"/>
    <w:rsid w:val="008C14B5"/>
    <w:rsid w:val="008C1A42"/>
    <w:rsid w:val="008C1E1F"/>
    <w:rsid w:val="008C2389"/>
    <w:rsid w:val="008C2843"/>
    <w:rsid w:val="008C3293"/>
    <w:rsid w:val="008C36B1"/>
    <w:rsid w:val="008C4361"/>
    <w:rsid w:val="008C4484"/>
    <w:rsid w:val="008C4A74"/>
    <w:rsid w:val="008C591D"/>
    <w:rsid w:val="008C5F81"/>
    <w:rsid w:val="008C61B1"/>
    <w:rsid w:val="008C76B8"/>
    <w:rsid w:val="008C7830"/>
    <w:rsid w:val="008C7862"/>
    <w:rsid w:val="008D019D"/>
    <w:rsid w:val="008D01B1"/>
    <w:rsid w:val="008D0D6E"/>
    <w:rsid w:val="008D1B00"/>
    <w:rsid w:val="008D1C84"/>
    <w:rsid w:val="008D2F04"/>
    <w:rsid w:val="008D2FB3"/>
    <w:rsid w:val="008D3016"/>
    <w:rsid w:val="008D3095"/>
    <w:rsid w:val="008D321D"/>
    <w:rsid w:val="008D3886"/>
    <w:rsid w:val="008D467E"/>
    <w:rsid w:val="008D496B"/>
    <w:rsid w:val="008D4A16"/>
    <w:rsid w:val="008D4CF5"/>
    <w:rsid w:val="008D5213"/>
    <w:rsid w:val="008D5B71"/>
    <w:rsid w:val="008D64AA"/>
    <w:rsid w:val="008D6DDB"/>
    <w:rsid w:val="008D75E2"/>
    <w:rsid w:val="008E0272"/>
    <w:rsid w:val="008E0682"/>
    <w:rsid w:val="008E0DD2"/>
    <w:rsid w:val="008E12B4"/>
    <w:rsid w:val="008E15C4"/>
    <w:rsid w:val="008E19A4"/>
    <w:rsid w:val="008E2DE5"/>
    <w:rsid w:val="008E2F9D"/>
    <w:rsid w:val="008E2FA2"/>
    <w:rsid w:val="008E3F05"/>
    <w:rsid w:val="008E44FA"/>
    <w:rsid w:val="008E470D"/>
    <w:rsid w:val="008E4CFC"/>
    <w:rsid w:val="008E52FB"/>
    <w:rsid w:val="008E5625"/>
    <w:rsid w:val="008E6267"/>
    <w:rsid w:val="008E7063"/>
    <w:rsid w:val="008E7D8A"/>
    <w:rsid w:val="008E7F19"/>
    <w:rsid w:val="008F0B4A"/>
    <w:rsid w:val="008F0BDC"/>
    <w:rsid w:val="008F0F40"/>
    <w:rsid w:val="008F1B2F"/>
    <w:rsid w:val="008F1CC9"/>
    <w:rsid w:val="008F2435"/>
    <w:rsid w:val="008F27E0"/>
    <w:rsid w:val="008F2ABC"/>
    <w:rsid w:val="008F2BBA"/>
    <w:rsid w:val="008F30D1"/>
    <w:rsid w:val="008F3FD7"/>
    <w:rsid w:val="008F43B1"/>
    <w:rsid w:val="008F5ED3"/>
    <w:rsid w:val="008F6188"/>
    <w:rsid w:val="008F61EE"/>
    <w:rsid w:val="008F713B"/>
    <w:rsid w:val="008F7218"/>
    <w:rsid w:val="0090003F"/>
    <w:rsid w:val="00900F08"/>
    <w:rsid w:val="00901AA2"/>
    <w:rsid w:val="00901B1C"/>
    <w:rsid w:val="009020C8"/>
    <w:rsid w:val="00902F93"/>
    <w:rsid w:val="00903AA0"/>
    <w:rsid w:val="009049B9"/>
    <w:rsid w:val="00905825"/>
    <w:rsid w:val="00906F32"/>
    <w:rsid w:val="00906F57"/>
    <w:rsid w:val="00907351"/>
    <w:rsid w:val="0090749B"/>
    <w:rsid w:val="00907F38"/>
    <w:rsid w:val="0091081F"/>
    <w:rsid w:val="00910B85"/>
    <w:rsid w:val="00910B87"/>
    <w:rsid w:val="00911009"/>
    <w:rsid w:val="009110DF"/>
    <w:rsid w:val="00911A09"/>
    <w:rsid w:val="0091236E"/>
    <w:rsid w:val="0091273C"/>
    <w:rsid w:val="00912D59"/>
    <w:rsid w:val="00912DEF"/>
    <w:rsid w:val="009132A0"/>
    <w:rsid w:val="009135E8"/>
    <w:rsid w:val="009137EB"/>
    <w:rsid w:val="00913C98"/>
    <w:rsid w:val="00914384"/>
    <w:rsid w:val="00914469"/>
    <w:rsid w:val="00915179"/>
    <w:rsid w:val="00915832"/>
    <w:rsid w:val="009163C4"/>
    <w:rsid w:val="0091658B"/>
    <w:rsid w:val="009170FA"/>
    <w:rsid w:val="009175AB"/>
    <w:rsid w:val="00917F74"/>
    <w:rsid w:val="0092123B"/>
    <w:rsid w:val="00922AE3"/>
    <w:rsid w:val="00923477"/>
    <w:rsid w:val="00923E2B"/>
    <w:rsid w:val="009248B0"/>
    <w:rsid w:val="00924A18"/>
    <w:rsid w:val="00924A6B"/>
    <w:rsid w:val="00924AE8"/>
    <w:rsid w:val="00924C05"/>
    <w:rsid w:val="009253F7"/>
    <w:rsid w:val="00926C4A"/>
    <w:rsid w:val="00926FC3"/>
    <w:rsid w:val="00927424"/>
    <w:rsid w:val="00927C6D"/>
    <w:rsid w:val="00927E0F"/>
    <w:rsid w:val="009306AE"/>
    <w:rsid w:val="00931053"/>
    <w:rsid w:val="00931121"/>
    <w:rsid w:val="0093137D"/>
    <w:rsid w:val="0093147A"/>
    <w:rsid w:val="00931E7A"/>
    <w:rsid w:val="00932564"/>
    <w:rsid w:val="009330CA"/>
    <w:rsid w:val="00933A1C"/>
    <w:rsid w:val="0093403F"/>
    <w:rsid w:val="009340A9"/>
    <w:rsid w:val="00934904"/>
    <w:rsid w:val="00934ABA"/>
    <w:rsid w:val="00934B29"/>
    <w:rsid w:val="00934D78"/>
    <w:rsid w:val="009350A3"/>
    <w:rsid w:val="00936D1C"/>
    <w:rsid w:val="00936EEA"/>
    <w:rsid w:val="0093788E"/>
    <w:rsid w:val="00937BF0"/>
    <w:rsid w:val="00937C4A"/>
    <w:rsid w:val="00940367"/>
    <w:rsid w:val="009404D6"/>
    <w:rsid w:val="00940EDA"/>
    <w:rsid w:val="009412CA"/>
    <w:rsid w:val="00941435"/>
    <w:rsid w:val="00941912"/>
    <w:rsid w:val="00942483"/>
    <w:rsid w:val="00942A79"/>
    <w:rsid w:val="009438BB"/>
    <w:rsid w:val="00943E7A"/>
    <w:rsid w:val="00943F14"/>
    <w:rsid w:val="0094462E"/>
    <w:rsid w:val="00944919"/>
    <w:rsid w:val="009452A1"/>
    <w:rsid w:val="00945616"/>
    <w:rsid w:val="00945D63"/>
    <w:rsid w:val="0094641D"/>
    <w:rsid w:val="00946E07"/>
    <w:rsid w:val="00947E0B"/>
    <w:rsid w:val="00950663"/>
    <w:rsid w:val="0095227A"/>
    <w:rsid w:val="00953170"/>
    <w:rsid w:val="0095332D"/>
    <w:rsid w:val="00953604"/>
    <w:rsid w:val="0095365E"/>
    <w:rsid w:val="00953869"/>
    <w:rsid w:val="009539B3"/>
    <w:rsid w:val="00954335"/>
    <w:rsid w:val="0095573F"/>
    <w:rsid w:val="00955862"/>
    <w:rsid w:val="00955921"/>
    <w:rsid w:val="0095670F"/>
    <w:rsid w:val="00957F75"/>
    <w:rsid w:val="0096098C"/>
    <w:rsid w:val="00960BAE"/>
    <w:rsid w:val="00960DEA"/>
    <w:rsid w:val="00960FE1"/>
    <w:rsid w:val="0096168E"/>
    <w:rsid w:val="00961BE3"/>
    <w:rsid w:val="00961DF8"/>
    <w:rsid w:val="00963623"/>
    <w:rsid w:val="009642DF"/>
    <w:rsid w:val="0096618F"/>
    <w:rsid w:val="00966220"/>
    <w:rsid w:val="009669CC"/>
    <w:rsid w:val="00966A6F"/>
    <w:rsid w:val="00966C40"/>
    <w:rsid w:val="009673F7"/>
    <w:rsid w:val="009675AF"/>
    <w:rsid w:val="009677F5"/>
    <w:rsid w:val="00967EE1"/>
    <w:rsid w:val="0097022E"/>
    <w:rsid w:val="009707EA"/>
    <w:rsid w:val="00971B18"/>
    <w:rsid w:val="00972456"/>
    <w:rsid w:val="00973BFD"/>
    <w:rsid w:val="00974B19"/>
    <w:rsid w:val="00974C08"/>
    <w:rsid w:val="00975112"/>
    <w:rsid w:val="00975B53"/>
    <w:rsid w:val="00975D31"/>
    <w:rsid w:val="0097608D"/>
    <w:rsid w:val="0097619E"/>
    <w:rsid w:val="00976804"/>
    <w:rsid w:val="00977074"/>
    <w:rsid w:val="009773E2"/>
    <w:rsid w:val="00977CA1"/>
    <w:rsid w:val="00981249"/>
    <w:rsid w:val="0098193F"/>
    <w:rsid w:val="00981C70"/>
    <w:rsid w:val="00982D97"/>
    <w:rsid w:val="00983241"/>
    <w:rsid w:val="00983674"/>
    <w:rsid w:val="00983CAC"/>
    <w:rsid w:val="0098506D"/>
    <w:rsid w:val="0098551C"/>
    <w:rsid w:val="00986B56"/>
    <w:rsid w:val="0099014E"/>
    <w:rsid w:val="009915A8"/>
    <w:rsid w:val="00991861"/>
    <w:rsid w:val="009926A0"/>
    <w:rsid w:val="00992F77"/>
    <w:rsid w:val="009935F5"/>
    <w:rsid w:val="00993B88"/>
    <w:rsid w:val="0099401B"/>
    <w:rsid w:val="0099404E"/>
    <w:rsid w:val="0099449D"/>
    <w:rsid w:val="009946E8"/>
    <w:rsid w:val="00994D2F"/>
    <w:rsid w:val="00995A94"/>
    <w:rsid w:val="00995AD8"/>
    <w:rsid w:val="00995D19"/>
    <w:rsid w:val="00995FF3"/>
    <w:rsid w:val="009970E8"/>
    <w:rsid w:val="0099739D"/>
    <w:rsid w:val="0099746E"/>
    <w:rsid w:val="00997F04"/>
    <w:rsid w:val="009A086D"/>
    <w:rsid w:val="009A0944"/>
    <w:rsid w:val="009A0E70"/>
    <w:rsid w:val="009A0EA4"/>
    <w:rsid w:val="009A12D0"/>
    <w:rsid w:val="009A1855"/>
    <w:rsid w:val="009A1929"/>
    <w:rsid w:val="009A1A92"/>
    <w:rsid w:val="009A1D68"/>
    <w:rsid w:val="009A1ECF"/>
    <w:rsid w:val="009A2716"/>
    <w:rsid w:val="009A2802"/>
    <w:rsid w:val="009A4196"/>
    <w:rsid w:val="009A4C9E"/>
    <w:rsid w:val="009A6907"/>
    <w:rsid w:val="009A6ADF"/>
    <w:rsid w:val="009A6D89"/>
    <w:rsid w:val="009A6DF5"/>
    <w:rsid w:val="009A6E38"/>
    <w:rsid w:val="009A6F24"/>
    <w:rsid w:val="009A77CB"/>
    <w:rsid w:val="009A7FF0"/>
    <w:rsid w:val="009B0076"/>
    <w:rsid w:val="009B01A3"/>
    <w:rsid w:val="009B01B9"/>
    <w:rsid w:val="009B0D58"/>
    <w:rsid w:val="009B15F7"/>
    <w:rsid w:val="009B1604"/>
    <w:rsid w:val="009B1745"/>
    <w:rsid w:val="009B20DD"/>
    <w:rsid w:val="009B2132"/>
    <w:rsid w:val="009B2546"/>
    <w:rsid w:val="009B29E0"/>
    <w:rsid w:val="009B2CC8"/>
    <w:rsid w:val="009B393B"/>
    <w:rsid w:val="009B3E50"/>
    <w:rsid w:val="009B49AB"/>
    <w:rsid w:val="009B52C2"/>
    <w:rsid w:val="009B5EF8"/>
    <w:rsid w:val="009B6897"/>
    <w:rsid w:val="009B7562"/>
    <w:rsid w:val="009B7A98"/>
    <w:rsid w:val="009C02BB"/>
    <w:rsid w:val="009C03B5"/>
    <w:rsid w:val="009C03FC"/>
    <w:rsid w:val="009C119E"/>
    <w:rsid w:val="009C181B"/>
    <w:rsid w:val="009C1FFE"/>
    <w:rsid w:val="009C2A6E"/>
    <w:rsid w:val="009C38ED"/>
    <w:rsid w:val="009C467F"/>
    <w:rsid w:val="009C469F"/>
    <w:rsid w:val="009C5088"/>
    <w:rsid w:val="009C7263"/>
    <w:rsid w:val="009D00BA"/>
    <w:rsid w:val="009D05A7"/>
    <w:rsid w:val="009D066C"/>
    <w:rsid w:val="009D0CED"/>
    <w:rsid w:val="009D0D11"/>
    <w:rsid w:val="009D0F49"/>
    <w:rsid w:val="009D1385"/>
    <w:rsid w:val="009D160F"/>
    <w:rsid w:val="009D212B"/>
    <w:rsid w:val="009D21C8"/>
    <w:rsid w:val="009D2786"/>
    <w:rsid w:val="009D28C3"/>
    <w:rsid w:val="009D308D"/>
    <w:rsid w:val="009D4E05"/>
    <w:rsid w:val="009D661E"/>
    <w:rsid w:val="009D7CCD"/>
    <w:rsid w:val="009E0232"/>
    <w:rsid w:val="009E0B41"/>
    <w:rsid w:val="009E124C"/>
    <w:rsid w:val="009E152F"/>
    <w:rsid w:val="009E1562"/>
    <w:rsid w:val="009E15AD"/>
    <w:rsid w:val="009E2260"/>
    <w:rsid w:val="009E2B60"/>
    <w:rsid w:val="009E2CBB"/>
    <w:rsid w:val="009E2E97"/>
    <w:rsid w:val="009E30BE"/>
    <w:rsid w:val="009E38D7"/>
    <w:rsid w:val="009E3ACF"/>
    <w:rsid w:val="009E4DEB"/>
    <w:rsid w:val="009E53AC"/>
    <w:rsid w:val="009E58F4"/>
    <w:rsid w:val="009E5D1F"/>
    <w:rsid w:val="009E65F9"/>
    <w:rsid w:val="009E68B1"/>
    <w:rsid w:val="009E6E20"/>
    <w:rsid w:val="009E742C"/>
    <w:rsid w:val="009E7E3E"/>
    <w:rsid w:val="009F0757"/>
    <w:rsid w:val="009F0BEF"/>
    <w:rsid w:val="009F143B"/>
    <w:rsid w:val="009F1B32"/>
    <w:rsid w:val="009F233C"/>
    <w:rsid w:val="009F27C7"/>
    <w:rsid w:val="009F2A0A"/>
    <w:rsid w:val="009F2D29"/>
    <w:rsid w:val="009F33F4"/>
    <w:rsid w:val="009F383E"/>
    <w:rsid w:val="009F4180"/>
    <w:rsid w:val="009F58F9"/>
    <w:rsid w:val="009F5C30"/>
    <w:rsid w:val="009F7312"/>
    <w:rsid w:val="009F7575"/>
    <w:rsid w:val="009F7822"/>
    <w:rsid w:val="00A002B2"/>
    <w:rsid w:val="00A002C9"/>
    <w:rsid w:val="00A00347"/>
    <w:rsid w:val="00A010F5"/>
    <w:rsid w:val="00A011D5"/>
    <w:rsid w:val="00A0296B"/>
    <w:rsid w:val="00A02B57"/>
    <w:rsid w:val="00A03248"/>
    <w:rsid w:val="00A03446"/>
    <w:rsid w:val="00A04C21"/>
    <w:rsid w:val="00A05195"/>
    <w:rsid w:val="00A05F9B"/>
    <w:rsid w:val="00A06957"/>
    <w:rsid w:val="00A06FBF"/>
    <w:rsid w:val="00A074E7"/>
    <w:rsid w:val="00A07597"/>
    <w:rsid w:val="00A1031E"/>
    <w:rsid w:val="00A11EBA"/>
    <w:rsid w:val="00A122D2"/>
    <w:rsid w:val="00A125F4"/>
    <w:rsid w:val="00A12610"/>
    <w:rsid w:val="00A126C9"/>
    <w:rsid w:val="00A1290C"/>
    <w:rsid w:val="00A12B88"/>
    <w:rsid w:val="00A12C54"/>
    <w:rsid w:val="00A13195"/>
    <w:rsid w:val="00A136B4"/>
    <w:rsid w:val="00A13E37"/>
    <w:rsid w:val="00A140A3"/>
    <w:rsid w:val="00A147B4"/>
    <w:rsid w:val="00A154E3"/>
    <w:rsid w:val="00A15E0F"/>
    <w:rsid w:val="00A15EFE"/>
    <w:rsid w:val="00A16173"/>
    <w:rsid w:val="00A161F7"/>
    <w:rsid w:val="00A162D4"/>
    <w:rsid w:val="00A1666B"/>
    <w:rsid w:val="00A179D4"/>
    <w:rsid w:val="00A17AE0"/>
    <w:rsid w:val="00A17D40"/>
    <w:rsid w:val="00A20325"/>
    <w:rsid w:val="00A21AF6"/>
    <w:rsid w:val="00A22AFF"/>
    <w:rsid w:val="00A232AF"/>
    <w:rsid w:val="00A241EA"/>
    <w:rsid w:val="00A25272"/>
    <w:rsid w:val="00A25F4E"/>
    <w:rsid w:val="00A267A8"/>
    <w:rsid w:val="00A30B98"/>
    <w:rsid w:val="00A30E9A"/>
    <w:rsid w:val="00A31063"/>
    <w:rsid w:val="00A314DF"/>
    <w:rsid w:val="00A31A0A"/>
    <w:rsid w:val="00A320A0"/>
    <w:rsid w:val="00A32DB6"/>
    <w:rsid w:val="00A32F2A"/>
    <w:rsid w:val="00A33693"/>
    <w:rsid w:val="00A33942"/>
    <w:rsid w:val="00A34A50"/>
    <w:rsid w:val="00A35320"/>
    <w:rsid w:val="00A366EB"/>
    <w:rsid w:val="00A37700"/>
    <w:rsid w:val="00A40107"/>
    <w:rsid w:val="00A40677"/>
    <w:rsid w:val="00A41777"/>
    <w:rsid w:val="00A418B3"/>
    <w:rsid w:val="00A42261"/>
    <w:rsid w:val="00A4266F"/>
    <w:rsid w:val="00A429CF"/>
    <w:rsid w:val="00A42C47"/>
    <w:rsid w:val="00A43201"/>
    <w:rsid w:val="00A43301"/>
    <w:rsid w:val="00A44057"/>
    <w:rsid w:val="00A44440"/>
    <w:rsid w:val="00A4444C"/>
    <w:rsid w:val="00A44677"/>
    <w:rsid w:val="00A44A00"/>
    <w:rsid w:val="00A45C80"/>
    <w:rsid w:val="00A50BDC"/>
    <w:rsid w:val="00A50C30"/>
    <w:rsid w:val="00A514C8"/>
    <w:rsid w:val="00A5196A"/>
    <w:rsid w:val="00A51D32"/>
    <w:rsid w:val="00A520C7"/>
    <w:rsid w:val="00A52116"/>
    <w:rsid w:val="00A528C2"/>
    <w:rsid w:val="00A543F7"/>
    <w:rsid w:val="00A54C39"/>
    <w:rsid w:val="00A55785"/>
    <w:rsid w:val="00A565C7"/>
    <w:rsid w:val="00A5725B"/>
    <w:rsid w:val="00A575F9"/>
    <w:rsid w:val="00A57B0C"/>
    <w:rsid w:val="00A60085"/>
    <w:rsid w:val="00A607CD"/>
    <w:rsid w:val="00A60887"/>
    <w:rsid w:val="00A611DC"/>
    <w:rsid w:val="00A615BA"/>
    <w:rsid w:val="00A616B9"/>
    <w:rsid w:val="00A61DB9"/>
    <w:rsid w:val="00A631A8"/>
    <w:rsid w:val="00A635A4"/>
    <w:rsid w:val="00A6393B"/>
    <w:rsid w:val="00A646FD"/>
    <w:rsid w:val="00A64818"/>
    <w:rsid w:val="00A64970"/>
    <w:rsid w:val="00A64BB9"/>
    <w:rsid w:val="00A654F5"/>
    <w:rsid w:val="00A656D8"/>
    <w:rsid w:val="00A6629B"/>
    <w:rsid w:val="00A6670C"/>
    <w:rsid w:val="00A66818"/>
    <w:rsid w:val="00A67529"/>
    <w:rsid w:val="00A67E3F"/>
    <w:rsid w:val="00A703D8"/>
    <w:rsid w:val="00A711BC"/>
    <w:rsid w:val="00A71968"/>
    <w:rsid w:val="00A71CA3"/>
    <w:rsid w:val="00A71F72"/>
    <w:rsid w:val="00A72251"/>
    <w:rsid w:val="00A7267C"/>
    <w:rsid w:val="00A72B06"/>
    <w:rsid w:val="00A736DF"/>
    <w:rsid w:val="00A73910"/>
    <w:rsid w:val="00A739DB"/>
    <w:rsid w:val="00A73B01"/>
    <w:rsid w:val="00A73FEF"/>
    <w:rsid w:val="00A743F0"/>
    <w:rsid w:val="00A749C6"/>
    <w:rsid w:val="00A74AC5"/>
    <w:rsid w:val="00A74D45"/>
    <w:rsid w:val="00A7534C"/>
    <w:rsid w:val="00A76F6B"/>
    <w:rsid w:val="00A77557"/>
    <w:rsid w:val="00A8029A"/>
    <w:rsid w:val="00A808A8"/>
    <w:rsid w:val="00A80E15"/>
    <w:rsid w:val="00A80E2E"/>
    <w:rsid w:val="00A80FD3"/>
    <w:rsid w:val="00A82406"/>
    <w:rsid w:val="00A82B0F"/>
    <w:rsid w:val="00A834D8"/>
    <w:rsid w:val="00A83C09"/>
    <w:rsid w:val="00A849D0"/>
    <w:rsid w:val="00A84BD7"/>
    <w:rsid w:val="00A8502E"/>
    <w:rsid w:val="00A8565B"/>
    <w:rsid w:val="00A85DCB"/>
    <w:rsid w:val="00A906E8"/>
    <w:rsid w:val="00A91178"/>
    <w:rsid w:val="00A91552"/>
    <w:rsid w:val="00A91B1A"/>
    <w:rsid w:val="00A91CB3"/>
    <w:rsid w:val="00A92560"/>
    <w:rsid w:val="00A92706"/>
    <w:rsid w:val="00A95C65"/>
    <w:rsid w:val="00A95F44"/>
    <w:rsid w:val="00A95F87"/>
    <w:rsid w:val="00A9688B"/>
    <w:rsid w:val="00A96A4A"/>
    <w:rsid w:val="00A96C79"/>
    <w:rsid w:val="00A9705B"/>
    <w:rsid w:val="00A97308"/>
    <w:rsid w:val="00A97466"/>
    <w:rsid w:val="00A97BCC"/>
    <w:rsid w:val="00AA11EB"/>
    <w:rsid w:val="00AA286C"/>
    <w:rsid w:val="00AA2DA9"/>
    <w:rsid w:val="00AA3403"/>
    <w:rsid w:val="00AA36AC"/>
    <w:rsid w:val="00AA3940"/>
    <w:rsid w:val="00AA4498"/>
    <w:rsid w:val="00AA540C"/>
    <w:rsid w:val="00AA584F"/>
    <w:rsid w:val="00AA59E8"/>
    <w:rsid w:val="00AA5B9A"/>
    <w:rsid w:val="00AA5D36"/>
    <w:rsid w:val="00AA60CF"/>
    <w:rsid w:val="00AA65E9"/>
    <w:rsid w:val="00AA666A"/>
    <w:rsid w:val="00AA7CFB"/>
    <w:rsid w:val="00AB0491"/>
    <w:rsid w:val="00AB1194"/>
    <w:rsid w:val="00AB1F48"/>
    <w:rsid w:val="00AB22A1"/>
    <w:rsid w:val="00AB2658"/>
    <w:rsid w:val="00AB2775"/>
    <w:rsid w:val="00AB3D74"/>
    <w:rsid w:val="00AB4026"/>
    <w:rsid w:val="00AB40DF"/>
    <w:rsid w:val="00AB48F1"/>
    <w:rsid w:val="00AB4C79"/>
    <w:rsid w:val="00AB501F"/>
    <w:rsid w:val="00AB549B"/>
    <w:rsid w:val="00AB5E31"/>
    <w:rsid w:val="00AB65F0"/>
    <w:rsid w:val="00AB6A3E"/>
    <w:rsid w:val="00AB6DE5"/>
    <w:rsid w:val="00AB75E0"/>
    <w:rsid w:val="00AC065E"/>
    <w:rsid w:val="00AC0791"/>
    <w:rsid w:val="00AC2E58"/>
    <w:rsid w:val="00AC2ECE"/>
    <w:rsid w:val="00AC3327"/>
    <w:rsid w:val="00AC3DBB"/>
    <w:rsid w:val="00AC3DE1"/>
    <w:rsid w:val="00AC4180"/>
    <w:rsid w:val="00AC4FA2"/>
    <w:rsid w:val="00AC61FC"/>
    <w:rsid w:val="00AC65BF"/>
    <w:rsid w:val="00AC66BF"/>
    <w:rsid w:val="00AC6BCF"/>
    <w:rsid w:val="00AC6E86"/>
    <w:rsid w:val="00AC77A7"/>
    <w:rsid w:val="00AD00BB"/>
    <w:rsid w:val="00AD0A8C"/>
    <w:rsid w:val="00AD167B"/>
    <w:rsid w:val="00AD19D1"/>
    <w:rsid w:val="00AD1DB8"/>
    <w:rsid w:val="00AD2347"/>
    <w:rsid w:val="00AD2358"/>
    <w:rsid w:val="00AD2700"/>
    <w:rsid w:val="00AD2A2D"/>
    <w:rsid w:val="00AD33B6"/>
    <w:rsid w:val="00AD46CE"/>
    <w:rsid w:val="00AD575D"/>
    <w:rsid w:val="00AD5A3D"/>
    <w:rsid w:val="00AD5EA0"/>
    <w:rsid w:val="00AD70E5"/>
    <w:rsid w:val="00AD7B4B"/>
    <w:rsid w:val="00AD7B5A"/>
    <w:rsid w:val="00AD7D5D"/>
    <w:rsid w:val="00AD7F60"/>
    <w:rsid w:val="00AE0DEE"/>
    <w:rsid w:val="00AE0F6B"/>
    <w:rsid w:val="00AE1436"/>
    <w:rsid w:val="00AE20F4"/>
    <w:rsid w:val="00AE2CF8"/>
    <w:rsid w:val="00AE3427"/>
    <w:rsid w:val="00AE36AC"/>
    <w:rsid w:val="00AE384D"/>
    <w:rsid w:val="00AE401B"/>
    <w:rsid w:val="00AE4AC4"/>
    <w:rsid w:val="00AE54E6"/>
    <w:rsid w:val="00AE5845"/>
    <w:rsid w:val="00AE662C"/>
    <w:rsid w:val="00AE6A1F"/>
    <w:rsid w:val="00AE7398"/>
    <w:rsid w:val="00AE751A"/>
    <w:rsid w:val="00AF0C34"/>
    <w:rsid w:val="00AF1193"/>
    <w:rsid w:val="00AF1D1A"/>
    <w:rsid w:val="00AF1F69"/>
    <w:rsid w:val="00AF1F8A"/>
    <w:rsid w:val="00AF2209"/>
    <w:rsid w:val="00AF347F"/>
    <w:rsid w:val="00AF37FA"/>
    <w:rsid w:val="00AF3912"/>
    <w:rsid w:val="00AF3E5E"/>
    <w:rsid w:val="00AF45AA"/>
    <w:rsid w:val="00AF480E"/>
    <w:rsid w:val="00AF6125"/>
    <w:rsid w:val="00AF61FF"/>
    <w:rsid w:val="00AF6396"/>
    <w:rsid w:val="00AF6AFE"/>
    <w:rsid w:val="00AF70D1"/>
    <w:rsid w:val="00AF7C85"/>
    <w:rsid w:val="00AF7FFB"/>
    <w:rsid w:val="00B01776"/>
    <w:rsid w:val="00B0210A"/>
    <w:rsid w:val="00B03080"/>
    <w:rsid w:val="00B03948"/>
    <w:rsid w:val="00B03C0C"/>
    <w:rsid w:val="00B03E00"/>
    <w:rsid w:val="00B04479"/>
    <w:rsid w:val="00B04BD9"/>
    <w:rsid w:val="00B05548"/>
    <w:rsid w:val="00B05A99"/>
    <w:rsid w:val="00B06326"/>
    <w:rsid w:val="00B064CE"/>
    <w:rsid w:val="00B0677F"/>
    <w:rsid w:val="00B06D27"/>
    <w:rsid w:val="00B06DA6"/>
    <w:rsid w:val="00B109DF"/>
    <w:rsid w:val="00B10B11"/>
    <w:rsid w:val="00B11075"/>
    <w:rsid w:val="00B1236F"/>
    <w:rsid w:val="00B1267F"/>
    <w:rsid w:val="00B127B7"/>
    <w:rsid w:val="00B12F9B"/>
    <w:rsid w:val="00B1303F"/>
    <w:rsid w:val="00B130A8"/>
    <w:rsid w:val="00B13734"/>
    <w:rsid w:val="00B1390E"/>
    <w:rsid w:val="00B13A94"/>
    <w:rsid w:val="00B1422F"/>
    <w:rsid w:val="00B142E0"/>
    <w:rsid w:val="00B15A2F"/>
    <w:rsid w:val="00B15CB4"/>
    <w:rsid w:val="00B16B3B"/>
    <w:rsid w:val="00B17FD1"/>
    <w:rsid w:val="00B20094"/>
    <w:rsid w:val="00B203A7"/>
    <w:rsid w:val="00B20487"/>
    <w:rsid w:val="00B20FB4"/>
    <w:rsid w:val="00B213A3"/>
    <w:rsid w:val="00B21580"/>
    <w:rsid w:val="00B21A86"/>
    <w:rsid w:val="00B21C55"/>
    <w:rsid w:val="00B22013"/>
    <w:rsid w:val="00B22905"/>
    <w:rsid w:val="00B22CD2"/>
    <w:rsid w:val="00B22D45"/>
    <w:rsid w:val="00B22DAB"/>
    <w:rsid w:val="00B23CA2"/>
    <w:rsid w:val="00B23F11"/>
    <w:rsid w:val="00B244FA"/>
    <w:rsid w:val="00B2520E"/>
    <w:rsid w:val="00B25B7E"/>
    <w:rsid w:val="00B26542"/>
    <w:rsid w:val="00B27051"/>
    <w:rsid w:val="00B27F33"/>
    <w:rsid w:val="00B315BC"/>
    <w:rsid w:val="00B316A5"/>
    <w:rsid w:val="00B3198C"/>
    <w:rsid w:val="00B32834"/>
    <w:rsid w:val="00B3370F"/>
    <w:rsid w:val="00B34524"/>
    <w:rsid w:val="00B34EC9"/>
    <w:rsid w:val="00B35DFA"/>
    <w:rsid w:val="00B36973"/>
    <w:rsid w:val="00B369D2"/>
    <w:rsid w:val="00B36F4D"/>
    <w:rsid w:val="00B37A0F"/>
    <w:rsid w:val="00B40DD4"/>
    <w:rsid w:val="00B40EB1"/>
    <w:rsid w:val="00B4197C"/>
    <w:rsid w:val="00B424BE"/>
    <w:rsid w:val="00B42596"/>
    <w:rsid w:val="00B4296D"/>
    <w:rsid w:val="00B43A0E"/>
    <w:rsid w:val="00B45766"/>
    <w:rsid w:val="00B45CCD"/>
    <w:rsid w:val="00B45DAA"/>
    <w:rsid w:val="00B45F08"/>
    <w:rsid w:val="00B46DD4"/>
    <w:rsid w:val="00B4740B"/>
    <w:rsid w:val="00B479E1"/>
    <w:rsid w:val="00B47D37"/>
    <w:rsid w:val="00B5052F"/>
    <w:rsid w:val="00B50765"/>
    <w:rsid w:val="00B50969"/>
    <w:rsid w:val="00B51345"/>
    <w:rsid w:val="00B514F5"/>
    <w:rsid w:val="00B51A87"/>
    <w:rsid w:val="00B51FAD"/>
    <w:rsid w:val="00B52887"/>
    <w:rsid w:val="00B52BB2"/>
    <w:rsid w:val="00B54AF8"/>
    <w:rsid w:val="00B54DA0"/>
    <w:rsid w:val="00B55F6D"/>
    <w:rsid w:val="00B56BD1"/>
    <w:rsid w:val="00B56CD7"/>
    <w:rsid w:val="00B56EBE"/>
    <w:rsid w:val="00B577ED"/>
    <w:rsid w:val="00B608B1"/>
    <w:rsid w:val="00B610B4"/>
    <w:rsid w:val="00B6132D"/>
    <w:rsid w:val="00B61551"/>
    <w:rsid w:val="00B61EAE"/>
    <w:rsid w:val="00B62058"/>
    <w:rsid w:val="00B620B7"/>
    <w:rsid w:val="00B6250B"/>
    <w:rsid w:val="00B63FD7"/>
    <w:rsid w:val="00B641DF"/>
    <w:rsid w:val="00B6424B"/>
    <w:rsid w:val="00B65509"/>
    <w:rsid w:val="00B6770B"/>
    <w:rsid w:val="00B70150"/>
    <w:rsid w:val="00B71A09"/>
    <w:rsid w:val="00B71EAE"/>
    <w:rsid w:val="00B726CC"/>
    <w:rsid w:val="00B72D10"/>
    <w:rsid w:val="00B73363"/>
    <w:rsid w:val="00B7398D"/>
    <w:rsid w:val="00B7449F"/>
    <w:rsid w:val="00B74FA2"/>
    <w:rsid w:val="00B758FF"/>
    <w:rsid w:val="00B75C12"/>
    <w:rsid w:val="00B75C76"/>
    <w:rsid w:val="00B761D5"/>
    <w:rsid w:val="00B766BC"/>
    <w:rsid w:val="00B76C6E"/>
    <w:rsid w:val="00B771B3"/>
    <w:rsid w:val="00B771ED"/>
    <w:rsid w:val="00B774F2"/>
    <w:rsid w:val="00B776F8"/>
    <w:rsid w:val="00B77723"/>
    <w:rsid w:val="00B77C35"/>
    <w:rsid w:val="00B812A6"/>
    <w:rsid w:val="00B81E60"/>
    <w:rsid w:val="00B8333A"/>
    <w:rsid w:val="00B83418"/>
    <w:rsid w:val="00B83589"/>
    <w:rsid w:val="00B83A4A"/>
    <w:rsid w:val="00B847FB"/>
    <w:rsid w:val="00B84CBA"/>
    <w:rsid w:val="00B85066"/>
    <w:rsid w:val="00B859F6"/>
    <w:rsid w:val="00B85CAA"/>
    <w:rsid w:val="00B86272"/>
    <w:rsid w:val="00B8642D"/>
    <w:rsid w:val="00B8664A"/>
    <w:rsid w:val="00B86A70"/>
    <w:rsid w:val="00B87248"/>
    <w:rsid w:val="00B877A8"/>
    <w:rsid w:val="00B8785A"/>
    <w:rsid w:val="00B87B17"/>
    <w:rsid w:val="00B87DD7"/>
    <w:rsid w:val="00B87EC8"/>
    <w:rsid w:val="00B904F4"/>
    <w:rsid w:val="00B90C1C"/>
    <w:rsid w:val="00B910E5"/>
    <w:rsid w:val="00B92140"/>
    <w:rsid w:val="00B93F37"/>
    <w:rsid w:val="00B94910"/>
    <w:rsid w:val="00B94975"/>
    <w:rsid w:val="00B95328"/>
    <w:rsid w:val="00B9581B"/>
    <w:rsid w:val="00B965F5"/>
    <w:rsid w:val="00B96616"/>
    <w:rsid w:val="00B96957"/>
    <w:rsid w:val="00B96A5A"/>
    <w:rsid w:val="00B97035"/>
    <w:rsid w:val="00BA00A9"/>
    <w:rsid w:val="00BA070F"/>
    <w:rsid w:val="00BA147D"/>
    <w:rsid w:val="00BA1D71"/>
    <w:rsid w:val="00BA21FC"/>
    <w:rsid w:val="00BA2532"/>
    <w:rsid w:val="00BA2C82"/>
    <w:rsid w:val="00BA2DFC"/>
    <w:rsid w:val="00BA340A"/>
    <w:rsid w:val="00BA39B7"/>
    <w:rsid w:val="00BA44F2"/>
    <w:rsid w:val="00BA48CD"/>
    <w:rsid w:val="00BA4BB3"/>
    <w:rsid w:val="00BA5815"/>
    <w:rsid w:val="00BA59F9"/>
    <w:rsid w:val="00BA5E66"/>
    <w:rsid w:val="00BA5F58"/>
    <w:rsid w:val="00BA685F"/>
    <w:rsid w:val="00BA6D81"/>
    <w:rsid w:val="00BA6DB2"/>
    <w:rsid w:val="00BA7563"/>
    <w:rsid w:val="00BA764A"/>
    <w:rsid w:val="00BA7AE6"/>
    <w:rsid w:val="00BA7E69"/>
    <w:rsid w:val="00BB1863"/>
    <w:rsid w:val="00BB2150"/>
    <w:rsid w:val="00BB22B7"/>
    <w:rsid w:val="00BB2393"/>
    <w:rsid w:val="00BB250A"/>
    <w:rsid w:val="00BB2F69"/>
    <w:rsid w:val="00BB3461"/>
    <w:rsid w:val="00BB3B75"/>
    <w:rsid w:val="00BB3CB2"/>
    <w:rsid w:val="00BB4162"/>
    <w:rsid w:val="00BB4B36"/>
    <w:rsid w:val="00BB567F"/>
    <w:rsid w:val="00BB5848"/>
    <w:rsid w:val="00BB659A"/>
    <w:rsid w:val="00BB7296"/>
    <w:rsid w:val="00BB738C"/>
    <w:rsid w:val="00BC0BBE"/>
    <w:rsid w:val="00BC1362"/>
    <w:rsid w:val="00BC2392"/>
    <w:rsid w:val="00BC2733"/>
    <w:rsid w:val="00BC2852"/>
    <w:rsid w:val="00BC3766"/>
    <w:rsid w:val="00BC37E4"/>
    <w:rsid w:val="00BC3911"/>
    <w:rsid w:val="00BC529E"/>
    <w:rsid w:val="00BC53AD"/>
    <w:rsid w:val="00BC559D"/>
    <w:rsid w:val="00BC5863"/>
    <w:rsid w:val="00BC5F53"/>
    <w:rsid w:val="00BC664B"/>
    <w:rsid w:val="00BC6658"/>
    <w:rsid w:val="00BC78FE"/>
    <w:rsid w:val="00BC7C8E"/>
    <w:rsid w:val="00BC7DCB"/>
    <w:rsid w:val="00BD016A"/>
    <w:rsid w:val="00BD0A1B"/>
    <w:rsid w:val="00BD0A8E"/>
    <w:rsid w:val="00BD0C3A"/>
    <w:rsid w:val="00BD1C3D"/>
    <w:rsid w:val="00BD23DB"/>
    <w:rsid w:val="00BD2656"/>
    <w:rsid w:val="00BD2877"/>
    <w:rsid w:val="00BD2990"/>
    <w:rsid w:val="00BD30A0"/>
    <w:rsid w:val="00BD364E"/>
    <w:rsid w:val="00BD3891"/>
    <w:rsid w:val="00BD3893"/>
    <w:rsid w:val="00BD3F46"/>
    <w:rsid w:val="00BD48C0"/>
    <w:rsid w:val="00BD4E60"/>
    <w:rsid w:val="00BD50A8"/>
    <w:rsid w:val="00BD5470"/>
    <w:rsid w:val="00BD6F9D"/>
    <w:rsid w:val="00BD705B"/>
    <w:rsid w:val="00BD734E"/>
    <w:rsid w:val="00BD7510"/>
    <w:rsid w:val="00BD7904"/>
    <w:rsid w:val="00BD7D61"/>
    <w:rsid w:val="00BE028E"/>
    <w:rsid w:val="00BE049F"/>
    <w:rsid w:val="00BE0849"/>
    <w:rsid w:val="00BE0915"/>
    <w:rsid w:val="00BE1940"/>
    <w:rsid w:val="00BE1F34"/>
    <w:rsid w:val="00BE2516"/>
    <w:rsid w:val="00BE42E3"/>
    <w:rsid w:val="00BE42F4"/>
    <w:rsid w:val="00BE4AF0"/>
    <w:rsid w:val="00BE52C9"/>
    <w:rsid w:val="00BE547C"/>
    <w:rsid w:val="00BE65FE"/>
    <w:rsid w:val="00BE6A8E"/>
    <w:rsid w:val="00BE6BD9"/>
    <w:rsid w:val="00BE716A"/>
    <w:rsid w:val="00BF0A5B"/>
    <w:rsid w:val="00BF0AF1"/>
    <w:rsid w:val="00BF0CCD"/>
    <w:rsid w:val="00BF0D3D"/>
    <w:rsid w:val="00BF0F9F"/>
    <w:rsid w:val="00BF11BB"/>
    <w:rsid w:val="00BF3871"/>
    <w:rsid w:val="00BF4793"/>
    <w:rsid w:val="00BF4A0F"/>
    <w:rsid w:val="00BF4D20"/>
    <w:rsid w:val="00BF5771"/>
    <w:rsid w:val="00BF5EBB"/>
    <w:rsid w:val="00BF6107"/>
    <w:rsid w:val="00BF6170"/>
    <w:rsid w:val="00BF61A5"/>
    <w:rsid w:val="00BF6341"/>
    <w:rsid w:val="00C003CB"/>
    <w:rsid w:val="00C0055A"/>
    <w:rsid w:val="00C00B8F"/>
    <w:rsid w:val="00C00E60"/>
    <w:rsid w:val="00C00E99"/>
    <w:rsid w:val="00C00F42"/>
    <w:rsid w:val="00C02152"/>
    <w:rsid w:val="00C0224A"/>
    <w:rsid w:val="00C02B26"/>
    <w:rsid w:val="00C02B5E"/>
    <w:rsid w:val="00C03685"/>
    <w:rsid w:val="00C039F2"/>
    <w:rsid w:val="00C03B5C"/>
    <w:rsid w:val="00C04BCB"/>
    <w:rsid w:val="00C05433"/>
    <w:rsid w:val="00C055BB"/>
    <w:rsid w:val="00C05AB5"/>
    <w:rsid w:val="00C061F2"/>
    <w:rsid w:val="00C06444"/>
    <w:rsid w:val="00C06B01"/>
    <w:rsid w:val="00C078C3"/>
    <w:rsid w:val="00C07996"/>
    <w:rsid w:val="00C07A9F"/>
    <w:rsid w:val="00C07E3C"/>
    <w:rsid w:val="00C11154"/>
    <w:rsid w:val="00C116F7"/>
    <w:rsid w:val="00C120BE"/>
    <w:rsid w:val="00C125B5"/>
    <w:rsid w:val="00C133BB"/>
    <w:rsid w:val="00C13F1E"/>
    <w:rsid w:val="00C149E4"/>
    <w:rsid w:val="00C156D8"/>
    <w:rsid w:val="00C161A4"/>
    <w:rsid w:val="00C164BA"/>
    <w:rsid w:val="00C165A7"/>
    <w:rsid w:val="00C1671F"/>
    <w:rsid w:val="00C16888"/>
    <w:rsid w:val="00C17605"/>
    <w:rsid w:val="00C2014E"/>
    <w:rsid w:val="00C20193"/>
    <w:rsid w:val="00C211C5"/>
    <w:rsid w:val="00C2151A"/>
    <w:rsid w:val="00C229BF"/>
    <w:rsid w:val="00C22E89"/>
    <w:rsid w:val="00C23948"/>
    <w:rsid w:val="00C23FB8"/>
    <w:rsid w:val="00C2486D"/>
    <w:rsid w:val="00C25353"/>
    <w:rsid w:val="00C2565F"/>
    <w:rsid w:val="00C257C1"/>
    <w:rsid w:val="00C26105"/>
    <w:rsid w:val="00C26BEF"/>
    <w:rsid w:val="00C3031F"/>
    <w:rsid w:val="00C30892"/>
    <w:rsid w:val="00C3109B"/>
    <w:rsid w:val="00C31A45"/>
    <w:rsid w:val="00C3276B"/>
    <w:rsid w:val="00C32A56"/>
    <w:rsid w:val="00C334DA"/>
    <w:rsid w:val="00C334F3"/>
    <w:rsid w:val="00C33A3E"/>
    <w:rsid w:val="00C33B83"/>
    <w:rsid w:val="00C344AB"/>
    <w:rsid w:val="00C34625"/>
    <w:rsid w:val="00C35497"/>
    <w:rsid w:val="00C3599B"/>
    <w:rsid w:val="00C35CE1"/>
    <w:rsid w:val="00C36918"/>
    <w:rsid w:val="00C404F7"/>
    <w:rsid w:val="00C40799"/>
    <w:rsid w:val="00C41915"/>
    <w:rsid w:val="00C42D58"/>
    <w:rsid w:val="00C4397D"/>
    <w:rsid w:val="00C44BFC"/>
    <w:rsid w:val="00C44D3A"/>
    <w:rsid w:val="00C4530C"/>
    <w:rsid w:val="00C45AF4"/>
    <w:rsid w:val="00C4633E"/>
    <w:rsid w:val="00C47340"/>
    <w:rsid w:val="00C4773E"/>
    <w:rsid w:val="00C47C1B"/>
    <w:rsid w:val="00C504F2"/>
    <w:rsid w:val="00C50ED0"/>
    <w:rsid w:val="00C51658"/>
    <w:rsid w:val="00C51CFF"/>
    <w:rsid w:val="00C521B4"/>
    <w:rsid w:val="00C529C7"/>
    <w:rsid w:val="00C538C8"/>
    <w:rsid w:val="00C543A4"/>
    <w:rsid w:val="00C5455A"/>
    <w:rsid w:val="00C54C62"/>
    <w:rsid w:val="00C55147"/>
    <w:rsid w:val="00C566A5"/>
    <w:rsid w:val="00C56DA9"/>
    <w:rsid w:val="00C575AC"/>
    <w:rsid w:val="00C60310"/>
    <w:rsid w:val="00C6047F"/>
    <w:rsid w:val="00C60AE6"/>
    <w:rsid w:val="00C60B56"/>
    <w:rsid w:val="00C6126A"/>
    <w:rsid w:val="00C61816"/>
    <w:rsid w:val="00C61C59"/>
    <w:rsid w:val="00C61F11"/>
    <w:rsid w:val="00C6203B"/>
    <w:rsid w:val="00C62318"/>
    <w:rsid w:val="00C625DD"/>
    <w:rsid w:val="00C62876"/>
    <w:rsid w:val="00C62AB7"/>
    <w:rsid w:val="00C632D0"/>
    <w:rsid w:val="00C633DD"/>
    <w:rsid w:val="00C63A68"/>
    <w:rsid w:val="00C63E45"/>
    <w:rsid w:val="00C64471"/>
    <w:rsid w:val="00C64587"/>
    <w:rsid w:val="00C645AF"/>
    <w:rsid w:val="00C6564E"/>
    <w:rsid w:val="00C660A3"/>
    <w:rsid w:val="00C660F8"/>
    <w:rsid w:val="00C666C7"/>
    <w:rsid w:val="00C66E27"/>
    <w:rsid w:val="00C67202"/>
    <w:rsid w:val="00C6776E"/>
    <w:rsid w:val="00C70778"/>
    <w:rsid w:val="00C70F93"/>
    <w:rsid w:val="00C71C37"/>
    <w:rsid w:val="00C721BC"/>
    <w:rsid w:val="00C74062"/>
    <w:rsid w:val="00C750F3"/>
    <w:rsid w:val="00C75E3F"/>
    <w:rsid w:val="00C7678F"/>
    <w:rsid w:val="00C7694A"/>
    <w:rsid w:val="00C77A13"/>
    <w:rsid w:val="00C809BC"/>
    <w:rsid w:val="00C80BA1"/>
    <w:rsid w:val="00C81522"/>
    <w:rsid w:val="00C8212C"/>
    <w:rsid w:val="00C827F5"/>
    <w:rsid w:val="00C831F8"/>
    <w:rsid w:val="00C83459"/>
    <w:rsid w:val="00C8376F"/>
    <w:rsid w:val="00C838F5"/>
    <w:rsid w:val="00C8423D"/>
    <w:rsid w:val="00C87AF1"/>
    <w:rsid w:val="00C87B4C"/>
    <w:rsid w:val="00C87C57"/>
    <w:rsid w:val="00C9010B"/>
    <w:rsid w:val="00C90506"/>
    <w:rsid w:val="00C9108A"/>
    <w:rsid w:val="00C91512"/>
    <w:rsid w:val="00C91AAE"/>
    <w:rsid w:val="00C91C93"/>
    <w:rsid w:val="00C91D97"/>
    <w:rsid w:val="00C921A0"/>
    <w:rsid w:val="00C9239B"/>
    <w:rsid w:val="00C9444F"/>
    <w:rsid w:val="00C958C9"/>
    <w:rsid w:val="00CA07BD"/>
    <w:rsid w:val="00CA0F01"/>
    <w:rsid w:val="00CA305B"/>
    <w:rsid w:val="00CA42F8"/>
    <w:rsid w:val="00CA4434"/>
    <w:rsid w:val="00CA4955"/>
    <w:rsid w:val="00CA4A0C"/>
    <w:rsid w:val="00CA5119"/>
    <w:rsid w:val="00CA5ADE"/>
    <w:rsid w:val="00CA5D63"/>
    <w:rsid w:val="00CA6042"/>
    <w:rsid w:val="00CA60FC"/>
    <w:rsid w:val="00CA752D"/>
    <w:rsid w:val="00CB003A"/>
    <w:rsid w:val="00CB0554"/>
    <w:rsid w:val="00CB0E4A"/>
    <w:rsid w:val="00CB2E71"/>
    <w:rsid w:val="00CB3481"/>
    <w:rsid w:val="00CB3D89"/>
    <w:rsid w:val="00CB4518"/>
    <w:rsid w:val="00CB4560"/>
    <w:rsid w:val="00CB56D3"/>
    <w:rsid w:val="00CB6BFB"/>
    <w:rsid w:val="00CB6E61"/>
    <w:rsid w:val="00CB7C9C"/>
    <w:rsid w:val="00CC0377"/>
    <w:rsid w:val="00CC0EC0"/>
    <w:rsid w:val="00CC11AD"/>
    <w:rsid w:val="00CC1348"/>
    <w:rsid w:val="00CC3679"/>
    <w:rsid w:val="00CC402C"/>
    <w:rsid w:val="00CC47BB"/>
    <w:rsid w:val="00CC5FE7"/>
    <w:rsid w:val="00CC6242"/>
    <w:rsid w:val="00CC6954"/>
    <w:rsid w:val="00CC71CB"/>
    <w:rsid w:val="00CC7254"/>
    <w:rsid w:val="00CC7392"/>
    <w:rsid w:val="00CC7BA6"/>
    <w:rsid w:val="00CD0435"/>
    <w:rsid w:val="00CD21F4"/>
    <w:rsid w:val="00CD237D"/>
    <w:rsid w:val="00CD308A"/>
    <w:rsid w:val="00CD42AC"/>
    <w:rsid w:val="00CD4360"/>
    <w:rsid w:val="00CD46A5"/>
    <w:rsid w:val="00CD6135"/>
    <w:rsid w:val="00CD61BB"/>
    <w:rsid w:val="00CD668C"/>
    <w:rsid w:val="00CD67BD"/>
    <w:rsid w:val="00CE0B7A"/>
    <w:rsid w:val="00CE0C34"/>
    <w:rsid w:val="00CE0D98"/>
    <w:rsid w:val="00CE2048"/>
    <w:rsid w:val="00CE205D"/>
    <w:rsid w:val="00CE4247"/>
    <w:rsid w:val="00CE4430"/>
    <w:rsid w:val="00CE4EBC"/>
    <w:rsid w:val="00CE5275"/>
    <w:rsid w:val="00CE5D0C"/>
    <w:rsid w:val="00CE6FFC"/>
    <w:rsid w:val="00CE71BF"/>
    <w:rsid w:val="00CE7947"/>
    <w:rsid w:val="00CF0A68"/>
    <w:rsid w:val="00CF0D40"/>
    <w:rsid w:val="00CF12C3"/>
    <w:rsid w:val="00CF1ADF"/>
    <w:rsid w:val="00CF1C93"/>
    <w:rsid w:val="00CF1D59"/>
    <w:rsid w:val="00CF1EA8"/>
    <w:rsid w:val="00CF2518"/>
    <w:rsid w:val="00CF2720"/>
    <w:rsid w:val="00CF36A5"/>
    <w:rsid w:val="00CF37ED"/>
    <w:rsid w:val="00CF3B73"/>
    <w:rsid w:val="00CF4670"/>
    <w:rsid w:val="00CF4717"/>
    <w:rsid w:val="00CF47C8"/>
    <w:rsid w:val="00CF5966"/>
    <w:rsid w:val="00CF5A17"/>
    <w:rsid w:val="00CF65A3"/>
    <w:rsid w:val="00CF7BFF"/>
    <w:rsid w:val="00CF7DE7"/>
    <w:rsid w:val="00D01310"/>
    <w:rsid w:val="00D01714"/>
    <w:rsid w:val="00D0187B"/>
    <w:rsid w:val="00D0203B"/>
    <w:rsid w:val="00D02317"/>
    <w:rsid w:val="00D02399"/>
    <w:rsid w:val="00D02B6F"/>
    <w:rsid w:val="00D02CB0"/>
    <w:rsid w:val="00D02DDC"/>
    <w:rsid w:val="00D02E57"/>
    <w:rsid w:val="00D03BA9"/>
    <w:rsid w:val="00D04790"/>
    <w:rsid w:val="00D04830"/>
    <w:rsid w:val="00D07A0E"/>
    <w:rsid w:val="00D10348"/>
    <w:rsid w:val="00D10926"/>
    <w:rsid w:val="00D10D7B"/>
    <w:rsid w:val="00D113B2"/>
    <w:rsid w:val="00D118C8"/>
    <w:rsid w:val="00D13DF8"/>
    <w:rsid w:val="00D160D3"/>
    <w:rsid w:val="00D161B5"/>
    <w:rsid w:val="00D165CF"/>
    <w:rsid w:val="00D16DC3"/>
    <w:rsid w:val="00D17B03"/>
    <w:rsid w:val="00D2085A"/>
    <w:rsid w:val="00D2133E"/>
    <w:rsid w:val="00D21420"/>
    <w:rsid w:val="00D218C0"/>
    <w:rsid w:val="00D21971"/>
    <w:rsid w:val="00D22214"/>
    <w:rsid w:val="00D22E48"/>
    <w:rsid w:val="00D23986"/>
    <w:rsid w:val="00D23F47"/>
    <w:rsid w:val="00D25430"/>
    <w:rsid w:val="00D25576"/>
    <w:rsid w:val="00D255EC"/>
    <w:rsid w:val="00D26508"/>
    <w:rsid w:val="00D27126"/>
    <w:rsid w:val="00D30ABE"/>
    <w:rsid w:val="00D31382"/>
    <w:rsid w:val="00D31A2F"/>
    <w:rsid w:val="00D31D8A"/>
    <w:rsid w:val="00D31FD1"/>
    <w:rsid w:val="00D3210A"/>
    <w:rsid w:val="00D32A5E"/>
    <w:rsid w:val="00D32AD8"/>
    <w:rsid w:val="00D33C64"/>
    <w:rsid w:val="00D33F2C"/>
    <w:rsid w:val="00D3512A"/>
    <w:rsid w:val="00D35BC4"/>
    <w:rsid w:val="00D3600E"/>
    <w:rsid w:val="00D362BE"/>
    <w:rsid w:val="00D375B4"/>
    <w:rsid w:val="00D400B4"/>
    <w:rsid w:val="00D41332"/>
    <w:rsid w:val="00D4291D"/>
    <w:rsid w:val="00D4341D"/>
    <w:rsid w:val="00D45003"/>
    <w:rsid w:val="00D45005"/>
    <w:rsid w:val="00D450E5"/>
    <w:rsid w:val="00D45600"/>
    <w:rsid w:val="00D458DE"/>
    <w:rsid w:val="00D4591A"/>
    <w:rsid w:val="00D45B6B"/>
    <w:rsid w:val="00D46EDA"/>
    <w:rsid w:val="00D4765F"/>
    <w:rsid w:val="00D478C9"/>
    <w:rsid w:val="00D507A7"/>
    <w:rsid w:val="00D50955"/>
    <w:rsid w:val="00D50B6D"/>
    <w:rsid w:val="00D5130C"/>
    <w:rsid w:val="00D51363"/>
    <w:rsid w:val="00D5221D"/>
    <w:rsid w:val="00D5383B"/>
    <w:rsid w:val="00D5402F"/>
    <w:rsid w:val="00D55233"/>
    <w:rsid w:val="00D554AD"/>
    <w:rsid w:val="00D55539"/>
    <w:rsid w:val="00D55A7D"/>
    <w:rsid w:val="00D56152"/>
    <w:rsid w:val="00D56454"/>
    <w:rsid w:val="00D57419"/>
    <w:rsid w:val="00D605B4"/>
    <w:rsid w:val="00D6094A"/>
    <w:rsid w:val="00D60AEB"/>
    <w:rsid w:val="00D61684"/>
    <w:rsid w:val="00D62C6C"/>
    <w:rsid w:val="00D63103"/>
    <w:rsid w:val="00D635B6"/>
    <w:rsid w:val="00D652E9"/>
    <w:rsid w:val="00D65613"/>
    <w:rsid w:val="00D65E1D"/>
    <w:rsid w:val="00D67846"/>
    <w:rsid w:val="00D678BD"/>
    <w:rsid w:val="00D67ACD"/>
    <w:rsid w:val="00D701D1"/>
    <w:rsid w:val="00D70262"/>
    <w:rsid w:val="00D70716"/>
    <w:rsid w:val="00D71C3B"/>
    <w:rsid w:val="00D7260F"/>
    <w:rsid w:val="00D7294C"/>
    <w:rsid w:val="00D72AE1"/>
    <w:rsid w:val="00D7378A"/>
    <w:rsid w:val="00D74794"/>
    <w:rsid w:val="00D75878"/>
    <w:rsid w:val="00D75D28"/>
    <w:rsid w:val="00D76068"/>
    <w:rsid w:val="00D767C6"/>
    <w:rsid w:val="00D769FC"/>
    <w:rsid w:val="00D77B3F"/>
    <w:rsid w:val="00D80879"/>
    <w:rsid w:val="00D809FF"/>
    <w:rsid w:val="00D8220D"/>
    <w:rsid w:val="00D825BE"/>
    <w:rsid w:val="00D82B3E"/>
    <w:rsid w:val="00D8441E"/>
    <w:rsid w:val="00D84506"/>
    <w:rsid w:val="00D84706"/>
    <w:rsid w:val="00D847B2"/>
    <w:rsid w:val="00D84DD3"/>
    <w:rsid w:val="00D851E5"/>
    <w:rsid w:val="00D85544"/>
    <w:rsid w:val="00D85B61"/>
    <w:rsid w:val="00D85F8A"/>
    <w:rsid w:val="00D86C93"/>
    <w:rsid w:val="00D8776D"/>
    <w:rsid w:val="00D87C86"/>
    <w:rsid w:val="00D87E51"/>
    <w:rsid w:val="00D92086"/>
    <w:rsid w:val="00D9213C"/>
    <w:rsid w:val="00D921CE"/>
    <w:rsid w:val="00D92732"/>
    <w:rsid w:val="00D93677"/>
    <w:rsid w:val="00D93F51"/>
    <w:rsid w:val="00D95312"/>
    <w:rsid w:val="00D96661"/>
    <w:rsid w:val="00D97170"/>
    <w:rsid w:val="00D97898"/>
    <w:rsid w:val="00D97E99"/>
    <w:rsid w:val="00DA07A1"/>
    <w:rsid w:val="00DA1862"/>
    <w:rsid w:val="00DA1DF6"/>
    <w:rsid w:val="00DA24AF"/>
    <w:rsid w:val="00DA32DE"/>
    <w:rsid w:val="00DA3826"/>
    <w:rsid w:val="00DA4129"/>
    <w:rsid w:val="00DA4A33"/>
    <w:rsid w:val="00DA4E4B"/>
    <w:rsid w:val="00DA5011"/>
    <w:rsid w:val="00DA5733"/>
    <w:rsid w:val="00DA6AB8"/>
    <w:rsid w:val="00DA7DEF"/>
    <w:rsid w:val="00DB09CB"/>
    <w:rsid w:val="00DB0A7A"/>
    <w:rsid w:val="00DB1073"/>
    <w:rsid w:val="00DB20D0"/>
    <w:rsid w:val="00DB20F0"/>
    <w:rsid w:val="00DB221D"/>
    <w:rsid w:val="00DB26D3"/>
    <w:rsid w:val="00DB2C9B"/>
    <w:rsid w:val="00DB2CF0"/>
    <w:rsid w:val="00DB2FC3"/>
    <w:rsid w:val="00DB3DD3"/>
    <w:rsid w:val="00DB4849"/>
    <w:rsid w:val="00DB56CB"/>
    <w:rsid w:val="00DB62E2"/>
    <w:rsid w:val="00DB6A8B"/>
    <w:rsid w:val="00DB6D3E"/>
    <w:rsid w:val="00DB7702"/>
    <w:rsid w:val="00DC04B6"/>
    <w:rsid w:val="00DC0BF2"/>
    <w:rsid w:val="00DC14E2"/>
    <w:rsid w:val="00DC2052"/>
    <w:rsid w:val="00DC3022"/>
    <w:rsid w:val="00DC3066"/>
    <w:rsid w:val="00DC4009"/>
    <w:rsid w:val="00DC483F"/>
    <w:rsid w:val="00DC4CE8"/>
    <w:rsid w:val="00DC4DA4"/>
    <w:rsid w:val="00DC4F7D"/>
    <w:rsid w:val="00DC6089"/>
    <w:rsid w:val="00DD0506"/>
    <w:rsid w:val="00DD0970"/>
    <w:rsid w:val="00DD0E3F"/>
    <w:rsid w:val="00DD18C6"/>
    <w:rsid w:val="00DD2216"/>
    <w:rsid w:val="00DD22E8"/>
    <w:rsid w:val="00DD3925"/>
    <w:rsid w:val="00DD3A64"/>
    <w:rsid w:val="00DD3D9F"/>
    <w:rsid w:val="00DD434F"/>
    <w:rsid w:val="00DD4603"/>
    <w:rsid w:val="00DD478D"/>
    <w:rsid w:val="00DD4CB7"/>
    <w:rsid w:val="00DD4D14"/>
    <w:rsid w:val="00DD5038"/>
    <w:rsid w:val="00DD527B"/>
    <w:rsid w:val="00DD60EB"/>
    <w:rsid w:val="00DD64AB"/>
    <w:rsid w:val="00DD6710"/>
    <w:rsid w:val="00DD69D1"/>
    <w:rsid w:val="00DD6C7E"/>
    <w:rsid w:val="00DD7713"/>
    <w:rsid w:val="00DD77A3"/>
    <w:rsid w:val="00DE0280"/>
    <w:rsid w:val="00DE0433"/>
    <w:rsid w:val="00DE1A1A"/>
    <w:rsid w:val="00DE271E"/>
    <w:rsid w:val="00DE2C03"/>
    <w:rsid w:val="00DE31E8"/>
    <w:rsid w:val="00DE4042"/>
    <w:rsid w:val="00DE5CD2"/>
    <w:rsid w:val="00DE5EF1"/>
    <w:rsid w:val="00DE60DA"/>
    <w:rsid w:val="00DE648C"/>
    <w:rsid w:val="00DE7C5A"/>
    <w:rsid w:val="00DE7E0F"/>
    <w:rsid w:val="00DE7FEB"/>
    <w:rsid w:val="00DF0148"/>
    <w:rsid w:val="00DF046D"/>
    <w:rsid w:val="00DF169D"/>
    <w:rsid w:val="00DF17B1"/>
    <w:rsid w:val="00DF1D98"/>
    <w:rsid w:val="00DF1DD0"/>
    <w:rsid w:val="00DF2C3C"/>
    <w:rsid w:val="00DF3220"/>
    <w:rsid w:val="00DF3446"/>
    <w:rsid w:val="00DF393B"/>
    <w:rsid w:val="00DF3B64"/>
    <w:rsid w:val="00DF3F2F"/>
    <w:rsid w:val="00DF468C"/>
    <w:rsid w:val="00DF550A"/>
    <w:rsid w:val="00DF5933"/>
    <w:rsid w:val="00DF626A"/>
    <w:rsid w:val="00DF6B92"/>
    <w:rsid w:val="00DF6C5A"/>
    <w:rsid w:val="00DF7370"/>
    <w:rsid w:val="00DF75F5"/>
    <w:rsid w:val="00DF78B0"/>
    <w:rsid w:val="00DF7AD7"/>
    <w:rsid w:val="00DF7BDC"/>
    <w:rsid w:val="00DF7CCF"/>
    <w:rsid w:val="00DF7D3F"/>
    <w:rsid w:val="00E002E5"/>
    <w:rsid w:val="00E01438"/>
    <w:rsid w:val="00E01EDF"/>
    <w:rsid w:val="00E01FAE"/>
    <w:rsid w:val="00E028C2"/>
    <w:rsid w:val="00E03447"/>
    <w:rsid w:val="00E03CFF"/>
    <w:rsid w:val="00E04EC9"/>
    <w:rsid w:val="00E05A84"/>
    <w:rsid w:val="00E05AD2"/>
    <w:rsid w:val="00E0728F"/>
    <w:rsid w:val="00E07A9F"/>
    <w:rsid w:val="00E1020F"/>
    <w:rsid w:val="00E10370"/>
    <w:rsid w:val="00E1062B"/>
    <w:rsid w:val="00E10A80"/>
    <w:rsid w:val="00E11C03"/>
    <w:rsid w:val="00E11D44"/>
    <w:rsid w:val="00E11F85"/>
    <w:rsid w:val="00E12FBB"/>
    <w:rsid w:val="00E13ADB"/>
    <w:rsid w:val="00E13B0C"/>
    <w:rsid w:val="00E13DEA"/>
    <w:rsid w:val="00E15BA0"/>
    <w:rsid w:val="00E17A13"/>
    <w:rsid w:val="00E21779"/>
    <w:rsid w:val="00E2262C"/>
    <w:rsid w:val="00E23480"/>
    <w:rsid w:val="00E23B10"/>
    <w:rsid w:val="00E24C5A"/>
    <w:rsid w:val="00E25B49"/>
    <w:rsid w:val="00E26CE9"/>
    <w:rsid w:val="00E27FD1"/>
    <w:rsid w:val="00E30A89"/>
    <w:rsid w:val="00E30BB9"/>
    <w:rsid w:val="00E30D38"/>
    <w:rsid w:val="00E32906"/>
    <w:rsid w:val="00E335E2"/>
    <w:rsid w:val="00E33990"/>
    <w:rsid w:val="00E33CFB"/>
    <w:rsid w:val="00E34153"/>
    <w:rsid w:val="00E341E4"/>
    <w:rsid w:val="00E34550"/>
    <w:rsid w:val="00E34EE8"/>
    <w:rsid w:val="00E352CC"/>
    <w:rsid w:val="00E356B2"/>
    <w:rsid w:val="00E36158"/>
    <w:rsid w:val="00E36185"/>
    <w:rsid w:val="00E36CD1"/>
    <w:rsid w:val="00E37377"/>
    <w:rsid w:val="00E37A7A"/>
    <w:rsid w:val="00E37D26"/>
    <w:rsid w:val="00E40590"/>
    <w:rsid w:val="00E41179"/>
    <w:rsid w:val="00E41847"/>
    <w:rsid w:val="00E41E6E"/>
    <w:rsid w:val="00E426D6"/>
    <w:rsid w:val="00E43196"/>
    <w:rsid w:val="00E437A9"/>
    <w:rsid w:val="00E43B74"/>
    <w:rsid w:val="00E4418C"/>
    <w:rsid w:val="00E4457E"/>
    <w:rsid w:val="00E44653"/>
    <w:rsid w:val="00E45024"/>
    <w:rsid w:val="00E45752"/>
    <w:rsid w:val="00E46600"/>
    <w:rsid w:val="00E46F26"/>
    <w:rsid w:val="00E47A25"/>
    <w:rsid w:val="00E47B21"/>
    <w:rsid w:val="00E52639"/>
    <w:rsid w:val="00E535BC"/>
    <w:rsid w:val="00E5368B"/>
    <w:rsid w:val="00E53DB2"/>
    <w:rsid w:val="00E54325"/>
    <w:rsid w:val="00E54919"/>
    <w:rsid w:val="00E5499B"/>
    <w:rsid w:val="00E54B82"/>
    <w:rsid w:val="00E54DAF"/>
    <w:rsid w:val="00E54E12"/>
    <w:rsid w:val="00E54EA3"/>
    <w:rsid w:val="00E5583E"/>
    <w:rsid w:val="00E55CEE"/>
    <w:rsid w:val="00E56654"/>
    <w:rsid w:val="00E56B75"/>
    <w:rsid w:val="00E56B9E"/>
    <w:rsid w:val="00E57035"/>
    <w:rsid w:val="00E577D6"/>
    <w:rsid w:val="00E57A01"/>
    <w:rsid w:val="00E57ECA"/>
    <w:rsid w:val="00E60433"/>
    <w:rsid w:val="00E6077C"/>
    <w:rsid w:val="00E629EE"/>
    <w:rsid w:val="00E63FC6"/>
    <w:rsid w:val="00E64A03"/>
    <w:rsid w:val="00E64AE9"/>
    <w:rsid w:val="00E663CD"/>
    <w:rsid w:val="00E666DC"/>
    <w:rsid w:val="00E66D07"/>
    <w:rsid w:val="00E67280"/>
    <w:rsid w:val="00E710BC"/>
    <w:rsid w:val="00E71194"/>
    <w:rsid w:val="00E71218"/>
    <w:rsid w:val="00E712D4"/>
    <w:rsid w:val="00E7161B"/>
    <w:rsid w:val="00E722B6"/>
    <w:rsid w:val="00E73EA8"/>
    <w:rsid w:val="00E74239"/>
    <w:rsid w:val="00E74785"/>
    <w:rsid w:val="00E74AF9"/>
    <w:rsid w:val="00E74F9F"/>
    <w:rsid w:val="00E7504F"/>
    <w:rsid w:val="00E75196"/>
    <w:rsid w:val="00E75771"/>
    <w:rsid w:val="00E75D7C"/>
    <w:rsid w:val="00E76167"/>
    <w:rsid w:val="00E7668E"/>
    <w:rsid w:val="00E76CC7"/>
    <w:rsid w:val="00E81191"/>
    <w:rsid w:val="00E81E9A"/>
    <w:rsid w:val="00E8231E"/>
    <w:rsid w:val="00E8295A"/>
    <w:rsid w:val="00E835AF"/>
    <w:rsid w:val="00E84112"/>
    <w:rsid w:val="00E84118"/>
    <w:rsid w:val="00E84229"/>
    <w:rsid w:val="00E84330"/>
    <w:rsid w:val="00E84A11"/>
    <w:rsid w:val="00E84C1D"/>
    <w:rsid w:val="00E854B1"/>
    <w:rsid w:val="00E85A7C"/>
    <w:rsid w:val="00E869BC"/>
    <w:rsid w:val="00E86AAE"/>
    <w:rsid w:val="00E87001"/>
    <w:rsid w:val="00E87327"/>
    <w:rsid w:val="00E873FC"/>
    <w:rsid w:val="00E876BA"/>
    <w:rsid w:val="00E90145"/>
    <w:rsid w:val="00E90237"/>
    <w:rsid w:val="00E90C2A"/>
    <w:rsid w:val="00E90CD5"/>
    <w:rsid w:val="00E90CF2"/>
    <w:rsid w:val="00E91267"/>
    <w:rsid w:val="00E92A06"/>
    <w:rsid w:val="00E92A5F"/>
    <w:rsid w:val="00E92E82"/>
    <w:rsid w:val="00E9352C"/>
    <w:rsid w:val="00E93811"/>
    <w:rsid w:val="00E93838"/>
    <w:rsid w:val="00E9427D"/>
    <w:rsid w:val="00E944CF"/>
    <w:rsid w:val="00E94C55"/>
    <w:rsid w:val="00E95029"/>
    <w:rsid w:val="00E95273"/>
    <w:rsid w:val="00E95275"/>
    <w:rsid w:val="00E96439"/>
    <w:rsid w:val="00E9697C"/>
    <w:rsid w:val="00E9723D"/>
    <w:rsid w:val="00E97E7C"/>
    <w:rsid w:val="00EA113F"/>
    <w:rsid w:val="00EA12F7"/>
    <w:rsid w:val="00EA1EF8"/>
    <w:rsid w:val="00EA2037"/>
    <w:rsid w:val="00EA223A"/>
    <w:rsid w:val="00EA302E"/>
    <w:rsid w:val="00EA33E5"/>
    <w:rsid w:val="00EA34E5"/>
    <w:rsid w:val="00EA3AC8"/>
    <w:rsid w:val="00EA401C"/>
    <w:rsid w:val="00EA4602"/>
    <w:rsid w:val="00EA4DDA"/>
    <w:rsid w:val="00EA5365"/>
    <w:rsid w:val="00EA59F5"/>
    <w:rsid w:val="00EA68AB"/>
    <w:rsid w:val="00EA68DF"/>
    <w:rsid w:val="00EB04E4"/>
    <w:rsid w:val="00EB25C1"/>
    <w:rsid w:val="00EB283A"/>
    <w:rsid w:val="00EB2D36"/>
    <w:rsid w:val="00EB46D0"/>
    <w:rsid w:val="00EB4C94"/>
    <w:rsid w:val="00EB61B8"/>
    <w:rsid w:val="00EB6256"/>
    <w:rsid w:val="00EB6477"/>
    <w:rsid w:val="00EB64E1"/>
    <w:rsid w:val="00EB67BD"/>
    <w:rsid w:val="00EB77D7"/>
    <w:rsid w:val="00EC00F6"/>
    <w:rsid w:val="00EC0B94"/>
    <w:rsid w:val="00EC0F0C"/>
    <w:rsid w:val="00EC116F"/>
    <w:rsid w:val="00EC162E"/>
    <w:rsid w:val="00EC1770"/>
    <w:rsid w:val="00EC1DBB"/>
    <w:rsid w:val="00EC205E"/>
    <w:rsid w:val="00EC3B59"/>
    <w:rsid w:val="00EC44D4"/>
    <w:rsid w:val="00EC4E84"/>
    <w:rsid w:val="00EC51CE"/>
    <w:rsid w:val="00EC543F"/>
    <w:rsid w:val="00EC548D"/>
    <w:rsid w:val="00EC59B7"/>
    <w:rsid w:val="00EC5F85"/>
    <w:rsid w:val="00EC5FC7"/>
    <w:rsid w:val="00EC7063"/>
    <w:rsid w:val="00EC7369"/>
    <w:rsid w:val="00EC73CE"/>
    <w:rsid w:val="00EC7764"/>
    <w:rsid w:val="00ED07F2"/>
    <w:rsid w:val="00ED082F"/>
    <w:rsid w:val="00ED0CFF"/>
    <w:rsid w:val="00ED1A9D"/>
    <w:rsid w:val="00ED291D"/>
    <w:rsid w:val="00ED35F0"/>
    <w:rsid w:val="00ED4346"/>
    <w:rsid w:val="00ED43FA"/>
    <w:rsid w:val="00ED4D0C"/>
    <w:rsid w:val="00ED5E72"/>
    <w:rsid w:val="00ED6809"/>
    <w:rsid w:val="00ED696A"/>
    <w:rsid w:val="00ED6A49"/>
    <w:rsid w:val="00ED6BA6"/>
    <w:rsid w:val="00ED73AD"/>
    <w:rsid w:val="00EE188F"/>
    <w:rsid w:val="00EE278C"/>
    <w:rsid w:val="00EE2FED"/>
    <w:rsid w:val="00EE4CC7"/>
    <w:rsid w:val="00EE515A"/>
    <w:rsid w:val="00EE57D8"/>
    <w:rsid w:val="00EE5B33"/>
    <w:rsid w:val="00EE5DB8"/>
    <w:rsid w:val="00EE5EEF"/>
    <w:rsid w:val="00EE6D00"/>
    <w:rsid w:val="00EE70CF"/>
    <w:rsid w:val="00EE7B55"/>
    <w:rsid w:val="00EE7E55"/>
    <w:rsid w:val="00EF0339"/>
    <w:rsid w:val="00EF1587"/>
    <w:rsid w:val="00EF2654"/>
    <w:rsid w:val="00EF3935"/>
    <w:rsid w:val="00EF48A1"/>
    <w:rsid w:val="00EF4989"/>
    <w:rsid w:val="00EF4A7B"/>
    <w:rsid w:val="00EF54D8"/>
    <w:rsid w:val="00EF5F8D"/>
    <w:rsid w:val="00EF68B8"/>
    <w:rsid w:val="00EF6BAE"/>
    <w:rsid w:val="00EF75EB"/>
    <w:rsid w:val="00EF79E5"/>
    <w:rsid w:val="00EF7BAE"/>
    <w:rsid w:val="00F009B0"/>
    <w:rsid w:val="00F01528"/>
    <w:rsid w:val="00F01DFF"/>
    <w:rsid w:val="00F01E64"/>
    <w:rsid w:val="00F03340"/>
    <w:rsid w:val="00F03563"/>
    <w:rsid w:val="00F036DA"/>
    <w:rsid w:val="00F03B82"/>
    <w:rsid w:val="00F0587A"/>
    <w:rsid w:val="00F0672E"/>
    <w:rsid w:val="00F06E67"/>
    <w:rsid w:val="00F07680"/>
    <w:rsid w:val="00F104AC"/>
    <w:rsid w:val="00F10F1B"/>
    <w:rsid w:val="00F11294"/>
    <w:rsid w:val="00F1156F"/>
    <w:rsid w:val="00F117DD"/>
    <w:rsid w:val="00F11C11"/>
    <w:rsid w:val="00F122F6"/>
    <w:rsid w:val="00F12E0E"/>
    <w:rsid w:val="00F13500"/>
    <w:rsid w:val="00F13AED"/>
    <w:rsid w:val="00F13B18"/>
    <w:rsid w:val="00F13D46"/>
    <w:rsid w:val="00F14322"/>
    <w:rsid w:val="00F14C55"/>
    <w:rsid w:val="00F14C88"/>
    <w:rsid w:val="00F15179"/>
    <w:rsid w:val="00F15531"/>
    <w:rsid w:val="00F156D6"/>
    <w:rsid w:val="00F15B2F"/>
    <w:rsid w:val="00F15F04"/>
    <w:rsid w:val="00F16073"/>
    <w:rsid w:val="00F16A1B"/>
    <w:rsid w:val="00F17D2E"/>
    <w:rsid w:val="00F2010B"/>
    <w:rsid w:val="00F20B7E"/>
    <w:rsid w:val="00F22618"/>
    <w:rsid w:val="00F244E9"/>
    <w:rsid w:val="00F249CA"/>
    <w:rsid w:val="00F24B7C"/>
    <w:rsid w:val="00F24D52"/>
    <w:rsid w:val="00F24DAF"/>
    <w:rsid w:val="00F26341"/>
    <w:rsid w:val="00F27100"/>
    <w:rsid w:val="00F277F8"/>
    <w:rsid w:val="00F27850"/>
    <w:rsid w:val="00F302CA"/>
    <w:rsid w:val="00F305F4"/>
    <w:rsid w:val="00F31E9B"/>
    <w:rsid w:val="00F324E1"/>
    <w:rsid w:val="00F3251E"/>
    <w:rsid w:val="00F338B5"/>
    <w:rsid w:val="00F33AAC"/>
    <w:rsid w:val="00F3416F"/>
    <w:rsid w:val="00F34361"/>
    <w:rsid w:val="00F344F9"/>
    <w:rsid w:val="00F34B34"/>
    <w:rsid w:val="00F3503D"/>
    <w:rsid w:val="00F3593C"/>
    <w:rsid w:val="00F36985"/>
    <w:rsid w:val="00F36E48"/>
    <w:rsid w:val="00F36FFE"/>
    <w:rsid w:val="00F37235"/>
    <w:rsid w:val="00F37697"/>
    <w:rsid w:val="00F378C0"/>
    <w:rsid w:val="00F37CF8"/>
    <w:rsid w:val="00F40426"/>
    <w:rsid w:val="00F40B24"/>
    <w:rsid w:val="00F415B1"/>
    <w:rsid w:val="00F41B4F"/>
    <w:rsid w:val="00F41B72"/>
    <w:rsid w:val="00F42692"/>
    <w:rsid w:val="00F42E04"/>
    <w:rsid w:val="00F430A1"/>
    <w:rsid w:val="00F4332E"/>
    <w:rsid w:val="00F43FBB"/>
    <w:rsid w:val="00F45247"/>
    <w:rsid w:val="00F4643A"/>
    <w:rsid w:val="00F46553"/>
    <w:rsid w:val="00F466F9"/>
    <w:rsid w:val="00F470F3"/>
    <w:rsid w:val="00F473FE"/>
    <w:rsid w:val="00F50666"/>
    <w:rsid w:val="00F50F1D"/>
    <w:rsid w:val="00F5128D"/>
    <w:rsid w:val="00F515D4"/>
    <w:rsid w:val="00F51C6B"/>
    <w:rsid w:val="00F51E0C"/>
    <w:rsid w:val="00F522F3"/>
    <w:rsid w:val="00F524AD"/>
    <w:rsid w:val="00F53106"/>
    <w:rsid w:val="00F53EC6"/>
    <w:rsid w:val="00F547FF"/>
    <w:rsid w:val="00F5496B"/>
    <w:rsid w:val="00F54AEB"/>
    <w:rsid w:val="00F552AF"/>
    <w:rsid w:val="00F55447"/>
    <w:rsid w:val="00F558F7"/>
    <w:rsid w:val="00F55A2F"/>
    <w:rsid w:val="00F55B8F"/>
    <w:rsid w:val="00F55BCA"/>
    <w:rsid w:val="00F55F55"/>
    <w:rsid w:val="00F56242"/>
    <w:rsid w:val="00F5697A"/>
    <w:rsid w:val="00F572CC"/>
    <w:rsid w:val="00F5749F"/>
    <w:rsid w:val="00F578A5"/>
    <w:rsid w:val="00F578B8"/>
    <w:rsid w:val="00F57A57"/>
    <w:rsid w:val="00F6092A"/>
    <w:rsid w:val="00F614A3"/>
    <w:rsid w:val="00F61664"/>
    <w:rsid w:val="00F620E7"/>
    <w:rsid w:val="00F62F90"/>
    <w:rsid w:val="00F63205"/>
    <w:rsid w:val="00F637EB"/>
    <w:rsid w:val="00F63C1E"/>
    <w:rsid w:val="00F6414E"/>
    <w:rsid w:val="00F645B6"/>
    <w:rsid w:val="00F65351"/>
    <w:rsid w:val="00F65C87"/>
    <w:rsid w:val="00F67A7C"/>
    <w:rsid w:val="00F705E2"/>
    <w:rsid w:val="00F71274"/>
    <w:rsid w:val="00F71B25"/>
    <w:rsid w:val="00F71DD5"/>
    <w:rsid w:val="00F7270A"/>
    <w:rsid w:val="00F72AF6"/>
    <w:rsid w:val="00F73C34"/>
    <w:rsid w:val="00F742C8"/>
    <w:rsid w:val="00F7442E"/>
    <w:rsid w:val="00F74C06"/>
    <w:rsid w:val="00F752D8"/>
    <w:rsid w:val="00F752E0"/>
    <w:rsid w:val="00F76388"/>
    <w:rsid w:val="00F76D33"/>
    <w:rsid w:val="00F76E0A"/>
    <w:rsid w:val="00F776F3"/>
    <w:rsid w:val="00F77828"/>
    <w:rsid w:val="00F77D51"/>
    <w:rsid w:val="00F80AEB"/>
    <w:rsid w:val="00F8106A"/>
    <w:rsid w:val="00F81479"/>
    <w:rsid w:val="00F817C6"/>
    <w:rsid w:val="00F82139"/>
    <w:rsid w:val="00F82BFD"/>
    <w:rsid w:val="00F83636"/>
    <w:rsid w:val="00F83BAB"/>
    <w:rsid w:val="00F83D78"/>
    <w:rsid w:val="00F84871"/>
    <w:rsid w:val="00F8491D"/>
    <w:rsid w:val="00F85382"/>
    <w:rsid w:val="00F86693"/>
    <w:rsid w:val="00F8727C"/>
    <w:rsid w:val="00F87344"/>
    <w:rsid w:val="00F91563"/>
    <w:rsid w:val="00F9347D"/>
    <w:rsid w:val="00F93837"/>
    <w:rsid w:val="00F93E58"/>
    <w:rsid w:val="00F9421A"/>
    <w:rsid w:val="00F94A08"/>
    <w:rsid w:val="00F94C47"/>
    <w:rsid w:val="00F950A1"/>
    <w:rsid w:val="00F952BB"/>
    <w:rsid w:val="00F95319"/>
    <w:rsid w:val="00F95424"/>
    <w:rsid w:val="00F9638A"/>
    <w:rsid w:val="00F97C4F"/>
    <w:rsid w:val="00FA0321"/>
    <w:rsid w:val="00FA0AA4"/>
    <w:rsid w:val="00FA1BE2"/>
    <w:rsid w:val="00FA1EDB"/>
    <w:rsid w:val="00FA21AC"/>
    <w:rsid w:val="00FA2C97"/>
    <w:rsid w:val="00FA3500"/>
    <w:rsid w:val="00FA3A85"/>
    <w:rsid w:val="00FA3F0D"/>
    <w:rsid w:val="00FA3F62"/>
    <w:rsid w:val="00FA4A5A"/>
    <w:rsid w:val="00FA5446"/>
    <w:rsid w:val="00FA54FC"/>
    <w:rsid w:val="00FA58DD"/>
    <w:rsid w:val="00FA5B0F"/>
    <w:rsid w:val="00FA62AF"/>
    <w:rsid w:val="00FA672A"/>
    <w:rsid w:val="00FA6A25"/>
    <w:rsid w:val="00FA6E42"/>
    <w:rsid w:val="00FA75BB"/>
    <w:rsid w:val="00FB02FA"/>
    <w:rsid w:val="00FB05A8"/>
    <w:rsid w:val="00FB0612"/>
    <w:rsid w:val="00FB0B35"/>
    <w:rsid w:val="00FB0F3A"/>
    <w:rsid w:val="00FB1E30"/>
    <w:rsid w:val="00FB2077"/>
    <w:rsid w:val="00FB231B"/>
    <w:rsid w:val="00FB247A"/>
    <w:rsid w:val="00FB2907"/>
    <w:rsid w:val="00FB30B6"/>
    <w:rsid w:val="00FB3C40"/>
    <w:rsid w:val="00FB41CE"/>
    <w:rsid w:val="00FB49FB"/>
    <w:rsid w:val="00FB5240"/>
    <w:rsid w:val="00FB5ABB"/>
    <w:rsid w:val="00FB5C8E"/>
    <w:rsid w:val="00FB623A"/>
    <w:rsid w:val="00FB62D9"/>
    <w:rsid w:val="00FB7F44"/>
    <w:rsid w:val="00FC0719"/>
    <w:rsid w:val="00FC07B3"/>
    <w:rsid w:val="00FC1363"/>
    <w:rsid w:val="00FC197D"/>
    <w:rsid w:val="00FC361D"/>
    <w:rsid w:val="00FC484F"/>
    <w:rsid w:val="00FC5EFD"/>
    <w:rsid w:val="00FC6372"/>
    <w:rsid w:val="00FD02DC"/>
    <w:rsid w:val="00FD0B16"/>
    <w:rsid w:val="00FD313A"/>
    <w:rsid w:val="00FD3C8A"/>
    <w:rsid w:val="00FD4838"/>
    <w:rsid w:val="00FD5512"/>
    <w:rsid w:val="00FD5CFC"/>
    <w:rsid w:val="00FD75A6"/>
    <w:rsid w:val="00FE0073"/>
    <w:rsid w:val="00FE013B"/>
    <w:rsid w:val="00FE0598"/>
    <w:rsid w:val="00FE0851"/>
    <w:rsid w:val="00FE0F43"/>
    <w:rsid w:val="00FE11D7"/>
    <w:rsid w:val="00FE14F3"/>
    <w:rsid w:val="00FE1CB0"/>
    <w:rsid w:val="00FE1F6A"/>
    <w:rsid w:val="00FE2444"/>
    <w:rsid w:val="00FE2FEC"/>
    <w:rsid w:val="00FE3FDF"/>
    <w:rsid w:val="00FE4E26"/>
    <w:rsid w:val="00FE5DBE"/>
    <w:rsid w:val="00FE62D6"/>
    <w:rsid w:val="00FE70B5"/>
    <w:rsid w:val="00FE718D"/>
    <w:rsid w:val="00FF0343"/>
    <w:rsid w:val="00FF041B"/>
    <w:rsid w:val="00FF0503"/>
    <w:rsid w:val="00FF183A"/>
    <w:rsid w:val="00FF2395"/>
    <w:rsid w:val="00FF2A4B"/>
    <w:rsid w:val="00FF4970"/>
    <w:rsid w:val="00FF49DF"/>
    <w:rsid w:val="00FF5C1E"/>
    <w:rsid w:val="00FF5D2A"/>
    <w:rsid w:val="00FF6132"/>
    <w:rsid w:val="00FF61D8"/>
    <w:rsid w:val="00FF6F67"/>
    <w:rsid w:val="00FF7D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F232685-025E-4873-8E7F-20103E04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A3"/>
    <w:rPr>
      <w:sz w:val="24"/>
      <w:szCs w:val="24"/>
      <w:lang w:val="es-ES" w:eastAsia="es-ES"/>
    </w:rPr>
  </w:style>
  <w:style w:type="paragraph" w:styleId="Ttulo1">
    <w:name w:val="heading 1"/>
    <w:basedOn w:val="Normal"/>
    <w:next w:val="Normal"/>
    <w:link w:val="Ttulo1Car"/>
    <w:uiPriority w:val="9"/>
    <w:qFormat/>
    <w:rsid w:val="00F614A3"/>
    <w:pPr>
      <w:keepNext/>
      <w:overflowPunct w:val="0"/>
      <w:autoSpaceDE w:val="0"/>
      <w:autoSpaceDN w:val="0"/>
      <w:adjustRightInd w:val="0"/>
      <w:spacing w:before="120" w:after="120" w:line="360" w:lineRule="auto"/>
      <w:textAlignment w:val="baseline"/>
      <w:outlineLvl w:val="0"/>
    </w:pPr>
    <w:rPr>
      <w:b/>
      <w:bCs/>
      <w:color w:val="0000FF"/>
      <w:spacing w:val="8"/>
      <w:kern w:val="28"/>
      <w:sz w:val="32"/>
      <w:szCs w:val="32"/>
      <w:lang w:val="es-ES_tradnl"/>
    </w:rPr>
  </w:style>
  <w:style w:type="paragraph" w:styleId="Ttulo3">
    <w:name w:val="heading 3"/>
    <w:basedOn w:val="Normal"/>
    <w:next w:val="Normal"/>
    <w:link w:val="Ttulo3Car"/>
    <w:uiPriority w:val="9"/>
    <w:qFormat/>
    <w:rsid w:val="00F614A3"/>
    <w:pPr>
      <w:keepNext/>
      <w:spacing w:line="340" w:lineRule="atLeast"/>
      <w:ind w:hanging="567"/>
      <w:jc w:val="center"/>
      <w:outlineLvl w:val="2"/>
    </w:pPr>
    <w:rPr>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614A3"/>
    <w:rPr>
      <w:rFonts w:eastAsia="Times New Roman" w:cs="Times New Roman"/>
      <w:b/>
      <w:bCs/>
      <w:color w:val="0000FF"/>
      <w:spacing w:val="8"/>
      <w:kern w:val="28"/>
      <w:sz w:val="32"/>
      <w:szCs w:val="32"/>
      <w:lang w:val="es-ES_tradnl" w:eastAsia="es-ES"/>
    </w:rPr>
  </w:style>
  <w:style w:type="character" w:customStyle="1" w:styleId="Ttulo3Car">
    <w:name w:val="Título 3 Car"/>
    <w:basedOn w:val="Fuentedeprrafopredeter"/>
    <w:link w:val="Ttulo3"/>
    <w:uiPriority w:val="9"/>
    <w:locked/>
    <w:rsid w:val="00F614A3"/>
    <w:rPr>
      <w:rFonts w:eastAsia="Times New Roman" w:cs="Times New Roman"/>
      <w:b/>
      <w:sz w:val="20"/>
      <w:szCs w:val="20"/>
      <w:lang w:val="es-ES" w:eastAsia="es-ES"/>
    </w:rPr>
  </w:style>
  <w:style w:type="paragraph" w:styleId="Sangradetextonormal">
    <w:name w:val="Body Text Indent"/>
    <w:basedOn w:val="Normal"/>
    <w:link w:val="SangradetextonormalCar"/>
    <w:uiPriority w:val="99"/>
    <w:rsid w:val="00F614A3"/>
    <w:pPr>
      <w:overflowPunct w:val="0"/>
      <w:autoSpaceDE w:val="0"/>
      <w:autoSpaceDN w:val="0"/>
      <w:adjustRightInd w:val="0"/>
      <w:ind w:left="3969"/>
      <w:textAlignment w:val="baseline"/>
    </w:pPr>
    <w:rPr>
      <w:sz w:val="28"/>
      <w:szCs w:val="28"/>
      <w:lang w:val="es-ES_tradnl"/>
    </w:rPr>
  </w:style>
  <w:style w:type="character" w:customStyle="1" w:styleId="SangradetextonormalCar">
    <w:name w:val="Sangría de texto normal Car"/>
    <w:basedOn w:val="Fuentedeprrafopredeter"/>
    <w:link w:val="Sangradetextonormal"/>
    <w:uiPriority w:val="99"/>
    <w:locked/>
    <w:rsid w:val="00F614A3"/>
    <w:rPr>
      <w:rFonts w:eastAsia="Times New Roman" w:cs="Times New Roman"/>
      <w:sz w:val="28"/>
      <w:szCs w:val="28"/>
      <w:lang w:val="es-ES_tradnl" w:eastAsia="es-ES"/>
    </w:rPr>
  </w:style>
  <w:style w:type="paragraph" w:styleId="Descripcin">
    <w:name w:val="caption"/>
    <w:basedOn w:val="Normal"/>
    <w:next w:val="Normal"/>
    <w:uiPriority w:val="35"/>
    <w:qFormat/>
    <w:rsid w:val="00F614A3"/>
    <w:pPr>
      <w:spacing w:line="360" w:lineRule="atLeast"/>
      <w:jc w:val="center"/>
    </w:pPr>
    <w:rPr>
      <w:b/>
      <w:sz w:val="28"/>
      <w:szCs w:val="20"/>
      <w:lang w:val="es-ES_tradnl"/>
    </w:rPr>
  </w:style>
  <w:style w:type="paragraph" w:styleId="Encabezado">
    <w:name w:val="header"/>
    <w:basedOn w:val="Normal"/>
    <w:link w:val="EncabezadoCar"/>
    <w:uiPriority w:val="99"/>
    <w:rsid w:val="00F614A3"/>
    <w:pPr>
      <w:tabs>
        <w:tab w:val="center" w:pos="4252"/>
        <w:tab w:val="right" w:pos="8504"/>
      </w:tabs>
    </w:pPr>
  </w:style>
  <w:style w:type="character" w:customStyle="1" w:styleId="EncabezadoCar">
    <w:name w:val="Encabezado Car"/>
    <w:basedOn w:val="Fuentedeprrafopredeter"/>
    <w:link w:val="Encabezado"/>
    <w:uiPriority w:val="99"/>
    <w:locked/>
    <w:rsid w:val="00F614A3"/>
    <w:rPr>
      <w:rFonts w:eastAsia="Times New Roman" w:cs="Times New Roman"/>
      <w:sz w:val="24"/>
      <w:szCs w:val="24"/>
      <w:lang w:val="es-ES" w:eastAsia="es-ES"/>
    </w:rPr>
  </w:style>
  <w:style w:type="character" w:styleId="Nmerodepgina">
    <w:name w:val="page number"/>
    <w:basedOn w:val="Fuentedeprrafopredeter"/>
    <w:uiPriority w:val="99"/>
    <w:rsid w:val="00F614A3"/>
    <w:rPr>
      <w:rFonts w:cs="Times New Roman"/>
    </w:rPr>
  </w:style>
  <w:style w:type="paragraph" w:styleId="Piedepgina">
    <w:name w:val="footer"/>
    <w:basedOn w:val="Normal"/>
    <w:link w:val="PiedepginaCar"/>
    <w:uiPriority w:val="99"/>
    <w:rsid w:val="00F614A3"/>
    <w:pPr>
      <w:tabs>
        <w:tab w:val="center" w:pos="4252"/>
        <w:tab w:val="right" w:pos="8504"/>
      </w:tabs>
    </w:pPr>
  </w:style>
  <w:style w:type="character" w:customStyle="1" w:styleId="PiedepginaCar">
    <w:name w:val="Pie de página Car"/>
    <w:basedOn w:val="Fuentedeprrafopredeter"/>
    <w:link w:val="Piedepgina"/>
    <w:uiPriority w:val="99"/>
    <w:locked/>
    <w:rsid w:val="00F614A3"/>
    <w:rPr>
      <w:rFonts w:eastAsia="Times New Roman" w:cs="Times New Roman"/>
      <w:sz w:val="24"/>
      <w:szCs w:val="24"/>
      <w:lang w:val="es-ES" w:eastAsia="es-ES"/>
    </w:rPr>
  </w:style>
  <w:style w:type="paragraph" w:styleId="Textonotapie">
    <w:name w:val="footnote text"/>
    <w:aliases w:val="Ref. de nota al pie1,Texto nota pie Car2,texto de nota al pi Car1,Texto nota pie Car Car1"/>
    <w:basedOn w:val="Normal"/>
    <w:link w:val="TextonotapieCar"/>
    <w:uiPriority w:val="99"/>
    <w:qFormat/>
    <w:rsid w:val="00F614A3"/>
    <w:rPr>
      <w:sz w:val="20"/>
      <w:szCs w:val="20"/>
    </w:rPr>
  </w:style>
  <w:style w:type="character" w:customStyle="1" w:styleId="TextonotapieCar">
    <w:name w:val="Texto nota pie Car"/>
    <w:aliases w:val="Ref. de nota al pie1 Car,Texto nota pie Car2 Car,texto de nota al pi Car1 Car,Texto nota pie Car Car1 Car"/>
    <w:basedOn w:val="Fuentedeprrafopredeter"/>
    <w:link w:val="Textonotapie"/>
    <w:uiPriority w:val="99"/>
    <w:locked/>
    <w:rsid w:val="00F614A3"/>
    <w:rPr>
      <w:rFonts w:eastAsia="Times New Roman" w:cs="Times New Roman"/>
      <w:sz w:val="20"/>
      <w:szCs w:val="20"/>
      <w:lang w:val="es-ES" w:eastAsia="es-ES"/>
    </w:rPr>
  </w:style>
  <w:style w:type="character" w:styleId="Textoennegrita">
    <w:name w:val="Strong"/>
    <w:basedOn w:val="Fuentedeprrafopredeter"/>
    <w:uiPriority w:val="22"/>
    <w:qFormat/>
    <w:rsid w:val="00F614A3"/>
    <w:rPr>
      <w:b/>
    </w:rPr>
  </w:style>
  <w:style w:type="character" w:styleId="Hipervnculo">
    <w:name w:val="Hyperlink"/>
    <w:basedOn w:val="Fuentedeprrafopredeter"/>
    <w:uiPriority w:val="99"/>
    <w:rsid w:val="00F614A3"/>
    <w:rPr>
      <w:color w:val="0000FF"/>
      <w:u w:val="single"/>
    </w:rPr>
  </w:style>
  <w:style w:type="table" w:styleId="Tablaconcuadrcula">
    <w:name w:val="Table Grid"/>
    <w:basedOn w:val="Tablanormal"/>
    <w:uiPriority w:val="39"/>
    <w:rsid w:val="00F614A3"/>
    <w:rPr>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F614A3"/>
    <w:pPr>
      <w:spacing w:after="160" w:line="240" w:lineRule="exact"/>
    </w:pPr>
    <w:rPr>
      <w:noProof/>
      <w:color w:val="000000"/>
      <w:sz w:val="20"/>
      <w:szCs w:val="20"/>
      <w:lang w:val="es-CO" w:eastAsia="es-CO"/>
    </w:rPr>
  </w:style>
  <w:style w:type="character" w:styleId="Refdecomentario">
    <w:name w:val="annotation reference"/>
    <w:basedOn w:val="Fuentedeprrafopredeter"/>
    <w:uiPriority w:val="99"/>
    <w:semiHidden/>
    <w:rsid w:val="00F614A3"/>
    <w:rPr>
      <w:sz w:val="16"/>
    </w:rPr>
  </w:style>
  <w:style w:type="paragraph" w:styleId="Textocomentario">
    <w:name w:val="annotation text"/>
    <w:basedOn w:val="Normal"/>
    <w:link w:val="TextocomentarioCar"/>
    <w:uiPriority w:val="99"/>
    <w:semiHidden/>
    <w:rsid w:val="00F614A3"/>
    <w:rPr>
      <w:sz w:val="20"/>
      <w:szCs w:val="20"/>
    </w:rPr>
  </w:style>
  <w:style w:type="character" w:customStyle="1" w:styleId="TextocomentarioCar">
    <w:name w:val="Texto comentario Car"/>
    <w:basedOn w:val="Fuentedeprrafopredeter"/>
    <w:link w:val="Textocomentario"/>
    <w:uiPriority w:val="99"/>
    <w:semiHidden/>
    <w:locked/>
    <w:rsid w:val="00F614A3"/>
    <w:rPr>
      <w:rFonts w:eastAsia="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F614A3"/>
    <w:rPr>
      <w:b/>
      <w:bCs/>
    </w:rPr>
  </w:style>
  <w:style w:type="character" w:customStyle="1" w:styleId="AsuntodelcomentarioCar">
    <w:name w:val="Asunto del comentario Car"/>
    <w:basedOn w:val="TextocomentarioCar"/>
    <w:link w:val="Asuntodelcomentario"/>
    <w:uiPriority w:val="99"/>
    <w:semiHidden/>
    <w:locked/>
    <w:rsid w:val="00F614A3"/>
    <w:rPr>
      <w:rFonts w:eastAsia="Times New Roman" w:cs="Times New Roman"/>
      <w:b/>
      <w:bCs/>
      <w:sz w:val="20"/>
      <w:szCs w:val="20"/>
      <w:lang w:val="es-ES" w:eastAsia="es-ES"/>
    </w:rPr>
  </w:style>
  <w:style w:type="paragraph" w:styleId="Textodeglobo">
    <w:name w:val="Balloon Text"/>
    <w:basedOn w:val="Normal"/>
    <w:link w:val="TextodegloboCar"/>
    <w:uiPriority w:val="99"/>
    <w:semiHidden/>
    <w:rsid w:val="00F614A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614A3"/>
    <w:rPr>
      <w:rFonts w:ascii="Tahoma" w:hAnsi="Tahoma" w:cs="Tahoma"/>
      <w:sz w:val="16"/>
      <w:szCs w:val="16"/>
      <w:lang w:val="es-ES" w:eastAsia="es-ES"/>
    </w:rPr>
  </w:style>
  <w:style w:type="paragraph" w:styleId="Mapadeldocumento">
    <w:name w:val="Document Map"/>
    <w:basedOn w:val="Normal"/>
    <w:link w:val="MapadeldocumentoCar"/>
    <w:uiPriority w:val="99"/>
    <w:semiHidden/>
    <w:rsid w:val="00F614A3"/>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F614A3"/>
    <w:rPr>
      <w:rFonts w:ascii="Tahoma" w:hAnsi="Tahoma" w:cs="Tahoma"/>
      <w:sz w:val="20"/>
      <w:szCs w:val="20"/>
      <w:shd w:val="clear" w:color="auto" w:fill="000080"/>
      <w:lang w:val="es-ES" w:eastAsia="es-ES"/>
    </w:rPr>
  </w:style>
  <w:style w:type="paragraph" w:styleId="Prrafodelista">
    <w:name w:val="List Paragraph"/>
    <w:basedOn w:val="Normal"/>
    <w:uiPriority w:val="34"/>
    <w:qFormat/>
    <w:rsid w:val="00F614A3"/>
    <w:pPr>
      <w:ind w:left="708"/>
    </w:pPr>
  </w:style>
  <w:style w:type="paragraph" w:styleId="NormalWeb">
    <w:name w:val="Normal (Web)"/>
    <w:basedOn w:val="Normal"/>
    <w:uiPriority w:val="99"/>
    <w:unhideWhenUsed/>
    <w:rsid w:val="00F614A3"/>
    <w:pPr>
      <w:spacing w:before="100" w:beforeAutospacing="1" w:after="100" w:afterAutospacing="1"/>
    </w:pPr>
    <w:rPr>
      <w:lang w:val="es-CO" w:eastAsia="es-CO"/>
    </w:rPr>
  </w:style>
  <w:style w:type="paragraph" w:customStyle="1" w:styleId="estilo1">
    <w:name w:val="estilo1"/>
    <w:basedOn w:val="Normal"/>
    <w:rsid w:val="002F350B"/>
    <w:pPr>
      <w:spacing w:before="100" w:beforeAutospacing="1" w:after="100" w:afterAutospacing="1"/>
    </w:pPr>
    <w:rPr>
      <w:lang w:val="es-CO" w:eastAsia="es-CO"/>
    </w:rPr>
  </w:style>
  <w:style w:type="character" w:customStyle="1" w:styleId="apple-converted-space">
    <w:name w:val="apple-converted-space"/>
    <w:basedOn w:val="Fuentedeprrafopredeter"/>
    <w:rsid w:val="00870FF8"/>
    <w:rPr>
      <w:rFonts w:cs="Times New Roman"/>
    </w:rPr>
  </w:style>
  <w:style w:type="character" w:styleId="Refdenotaalfinal">
    <w:name w:val="endnote reference"/>
    <w:basedOn w:val="Fuentedeprrafopredeter"/>
    <w:uiPriority w:val="99"/>
    <w:semiHidden/>
    <w:unhideWhenUsed/>
    <w:rsid w:val="00B514F5"/>
    <w:rPr>
      <w:rFonts w:cs="Times New Roman"/>
    </w:rPr>
  </w:style>
  <w:style w:type="paragraph" w:customStyle="1" w:styleId="pa9">
    <w:name w:val="pa9"/>
    <w:basedOn w:val="Normal"/>
    <w:rsid w:val="00A9705B"/>
    <w:pPr>
      <w:spacing w:before="100" w:beforeAutospacing="1" w:after="100" w:afterAutospacing="1"/>
    </w:pPr>
    <w:rPr>
      <w:lang w:val="es-CO" w:eastAsia="es-CO"/>
    </w:rPr>
  </w:style>
  <w:style w:type="character" w:customStyle="1" w:styleId="spelle">
    <w:name w:val="spelle"/>
    <w:basedOn w:val="Fuentedeprrafopredeter"/>
    <w:rsid w:val="00DB1073"/>
    <w:rPr>
      <w:rFonts w:cs="Times New Roman"/>
    </w:rPr>
  </w:style>
  <w:style w:type="paragraph" w:styleId="Textoindependiente">
    <w:name w:val="Body Text"/>
    <w:basedOn w:val="Normal"/>
    <w:link w:val="TextoindependienteCar"/>
    <w:uiPriority w:val="99"/>
    <w:semiHidden/>
    <w:unhideWhenUsed/>
    <w:rsid w:val="0044307D"/>
    <w:pPr>
      <w:spacing w:after="120"/>
    </w:pPr>
  </w:style>
  <w:style w:type="character" w:customStyle="1" w:styleId="TextoindependienteCar">
    <w:name w:val="Texto independiente Car"/>
    <w:basedOn w:val="Fuentedeprrafopredeter"/>
    <w:link w:val="Textoindependiente"/>
    <w:uiPriority w:val="99"/>
    <w:semiHidden/>
    <w:locked/>
    <w:rsid w:val="0044307D"/>
    <w:rPr>
      <w:rFonts w:eastAsia="Times New Roman" w:cs="Times New Roman"/>
      <w:sz w:val="24"/>
      <w:szCs w:val="24"/>
      <w:lang w:val="es-ES" w:eastAsia="es-ES"/>
    </w:rPr>
  </w:style>
  <w:style w:type="paragraph" w:styleId="Textonotaalfinal">
    <w:name w:val="endnote text"/>
    <w:basedOn w:val="Normal"/>
    <w:link w:val="TextonotaalfinalCar"/>
    <w:uiPriority w:val="99"/>
    <w:semiHidden/>
    <w:unhideWhenUsed/>
    <w:rsid w:val="0041778E"/>
    <w:rPr>
      <w:sz w:val="20"/>
      <w:szCs w:val="20"/>
    </w:rPr>
  </w:style>
  <w:style w:type="character" w:customStyle="1" w:styleId="TextonotaalfinalCar">
    <w:name w:val="Texto nota al final Car"/>
    <w:basedOn w:val="Fuentedeprrafopredeter"/>
    <w:link w:val="Textonotaalfinal"/>
    <w:uiPriority w:val="99"/>
    <w:semiHidden/>
    <w:locked/>
    <w:rsid w:val="0041778E"/>
    <w:rPr>
      <w:rFonts w:eastAsia="Times New Roman" w:cs="Times New Roman"/>
      <w:sz w:val="20"/>
      <w:szCs w:val="20"/>
      <w:lang w:val="es-ES" w:eastAsia="es-ES"/>
    </w:rPr>
  </w:style>
  <w:style w:type="paragraph" w:customStyle="1" w:styleId="pa8">
    <w:name w:val="pa8"/>
    <w:basedOn w:val="Normal"/>
    <w:rsid w:val="000D29FB"/>
    <w:pPr>
      <w:spacing w:before="100" w:beforeAutospacing="1" w:after="100" w:afterAutospacing="1"/>
    </w:pPr>
    <w:rPr>
      <w:lang w:val="es-CO" w:eastAsia="es-CO"/>
    </w:rPr>
  </w:style>
  <w:style w:type="paragraph" w:customStyle="1" w:styleId="pa22">
    <w:name w:val="pa22"/>
    <w:basedOn w:val="Normal"/>
    <w:rsid w:val="003813A7"/>
    <w:pPr>
      <w:spacing w:before="100" w:beforeAutospacing="1" w:after="100" w:afterAutospacing="1"/>
    </w:pPr>
    <w:rPr>
      <w:lang w:val="es-CO" w:eastAsia="es-CO"/>
    </w:rPr>
  </w:style>
  <w:style w:type="table" w:customStyle="1" w:styleId="Tabladecuadrcula5oscura-nfasis11">
    <w:name w:val="Tabla de cuadrícula 5 oscura - Énfasis 11"/>
    <w:basedOn w:val="Tablanormal"/>
    <w:uiPriority w:val="50"/>
    <w:rsid w:val="00973BFD"/>
    <w:rPr>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7E2FA"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rPr>
        <w:rFonts w:cs="Times New Roman"/>
      </w:rPr>
      <w:tblPr/>
      <w:tcPr>
        <w:shd w:val="clear" w:color="auto" w:fill="90C5F6" w:themeFill="accent1" w:themeFillTint="66"/>
      </w:tcPr>
    </w:tblStylePr>
    <w:tblStylePr w:type="band1Horz">
      <w:rPr>
        <w:rFonts w:cs="Times New Roman"/>
      </w:rPr>
      <w:tblPr/>
      <w:tcPr>
        <w:shd w:val="clear" w:color="auto" w:fill="90C5F6" w:themeFill="accent1" w:themeFillTint="66"/>
      </w:tcPr>
    </w:tblStylePr>
  </w:style>
  <w:style w:type="character" w:customStyle="1" w:styleId="FontStyle43">
    <w:name w:val="Font Style43"/>
    <w:basedOn w:val="Fuentedeprrafopredeter"/>
    <w:uiPriority w:val="99"/>
    <w:rsid w:val="009A6F24"/>
    <w:rPr>
      <w:rFonts w:ascii="Arial Narrow" w:hAnsi="Arial Narrow" w:cs="Arial Narrow"/>
      <w:i/>
      <w:iCs/>
      <w:sz w:val="18"/>
      <w:szCs w:val="18"/>
    </w:rPr>
  </w:style>
  <w:style w:type="character" w:customStyle="1" w:styleId="FontStyle47">
    <w:name w:val="Font Style47"/>
    <w:basedOn w:val="Fuentedeprrafopredeter"/>
    <w:uiPriority w:val="99"/>
    <w:rsid w:val="009A6F24"/>
    <w:rPr>
      <w:rFonts w:ascii="Arial Narrow" w:hAnsi="Arial Narrow" w:cs="Arial Narrow"/>
      <w:b/>
      <w:bCs/>
      <w:i/>
      <w:iCs/>
      <w:sz w:val="18"/>
      <w:szCs w:val="18"/>
    </w:rPr>
  </w:style>
  <w:style w:type="paragraph" w:customStyle="1" w:styleId="Style11">
    <w:name w:val="Style11"/>
    <w:basedOn w:val="Normal"/>
    <w:uiPriority w:val="99"/>
    <w:rsid w:val="00E43B74"/>
    <w:pPr>
      <w:widowControl w:val="0"/>
      <w:autoSpaceDE w:val="0"/>
      <w:autoSpaceDN w:val="0"/>
      <w:adjustRightInd w:val="0"/>
      <w:spacing w:line="230" w:lineRule="exact"/>
    </w:pPr>
    <w:rPr>
      <w:rFonts w:ascii="Arial Narrow" w:eastAsiaTheme="minorEastAsia" w:hAnsi="Arial Narrow"/>
    </w:rPr>
  </w:style>
  <w:style w:type="paragraph" w:customStyle="1" w:styleId="Style12">
    <w:name w:val="Style12"/>
    <w:basedOn w:val="Normal"/>
    <w:uiPriority w:val="99"/>
    <w:rsid w:val="00E43B74"/>
    <w:pPr>
      <w:widowControl w:val="0"/>
      <w:autoSpaceDE w:val="0"/>
      <w:autoSpaceDN w:val="0"/>
      <w:adjustRightInd w:val="0"/>
      <w:jc w:val="center"/>
    </w:pPr>
    <w:rPr>
      <w:rFonts w:ascii="Arial Narrow" w:eastAsiaTheme="minorEastAsia" w:hAnsi="Arial Narrow"/>
    </w:rPr>
  </w:style>
  <w:style w:type="paragraph" w:customStyle="1" w:styleId="Style14">
    <w:name w:val="Style14"/>
    <w:basedOn w:val="Normal"/>
    <w:uiPriority w:val="99"/>
    <w:rsid w:val="00C504F2"/>
    <w:pPr>
      <w:widowControl w:val="0"/>
      <w:autoSpaceDE w:val="0"/>
      <w:autoSpaceDN w:val="0"/>
      <w:adjustRightInd w:val="0"/>
      <w:jc w:val="left"/>
    </w:pPr>
    <w:rPr>
      <w:rFonts w:ascii="Arial Narrow" w:eastAsiaTheme="minorEastAsia" w:hAnsi="Arial Narrow"/>
    </w:rPr>
  </w:style>
  <w:style w:type="paragraph" w:customStyle="1" w:styleId="Style18">
    <w:name w:val="Style18"/>
    <w:basedOn w:val="Normal"/>
    <w:uiPriority w:val="99"/>
    <w:rsid w:val="00C504F2"/>
    <w:pPr>
      <w:widowControl w:val="0"/>
      <w:autoSpaceDE w:val="0"/>
      <w:autoSpaceDN w:val="0"/>
      <w:adjustRightInd w:val="0"/>
      <w:jc w:val="right"/>
    </w:pPr>
    <w:rPr>
      <w:rFonts w:ascii="Arial Narrow" w:eastAsiaTheme="minorEastAsia" w:hAnsi="Arial Narrow"/>
    </w:rPr>
  </w:style>
  <w:style w:type="paragraph" w:customStyle="1" w:styleId="Style38">
    <w:name w:val="Style38"/>
    <w:basedOn w:val="Normal"/>
    <w:uiPriority w:val="99"/>
    <w:rsid w:val="00C504F2"/>
    <w:pPr>
      <w:widowControl w:val="0"/>
      <w:autoSpaceDE w:val="0"/>
      <w:autoSpaceDN w:val="0"/>
      <w:adjustRightInd w:val="0"/>
      <w:jc w:val="left"/>
    </w:pPr>
    <w:rPr>
      <w:rFonts w:ascii="Arial Narrow" w:eastAsiaTheme="minorEastAsia" w:hAnsi="Arial Narrow"/>
    </w:rPr>
  </w:style>
  <w:style w:type="character" w:customStyle="1" w:styleId="FontStyle55">
    <w:name w:val="Font Style55"/>
    <w:basedOn w:val="Fuentedeprrafopredeter"/>
    <w:uiPriority w:val="99"/>
    <w:rsid w:val="00C504F2"/>
    <w:rPr>
      <w:rFonts w:ascii="Arial Narrow" w:hAnsi="Arial Narrow" w:cs="Arial Narrow"/>
      <w:sz w:val="16"/>
      <w:szCs w:val="16"/>
    </w:rPr>
  </w:style>
  <w:style w:type="character" w:customStyle="1" w:styleId="FontStyle56">
    <w:name w:val="Font Style56"/>
    <w:basedOn w:val="Fuentedeprrafopredeter"/>
    <w:uiPriority w:val="99"/>
    <w:rsid w:val="00C504F2"/>
    <w:rPr>
      <w:rFonts w:ascii="Arial Narrow" w:hAnsi="Arial Narrow" w:cs="Arial Narrow"/>
      <w:b/>
      <w:bCs/>
      <w:sz w:val="16"/>
      <w:szCs w:val="16"/>
    </w:rPr>
  </w:style>
  <w:style w:type="character" w:customStyle="1" w:styleId="FontStyle58">
    <w:name w:val="Font Style58"/>
    <w:basedOn w:val="Fuentedeprrafopredeter"/>
    <w:uiPriority w:val="99"/>
    <w:rsid w:val="00A40677"/>
    <w:rPr>
      <w:rFonts w:ascii="Arial Narrow" w:hAnsi="Arial Narrow" w:cs="Arial Narrow"/>
      <w:sz w:val="18"/>
      <w:szCs w:val="18"/>
    </w:rPr>
  </w:style>
  <w:style w:type="character" w:customStyle="1" w:styleId="FontStyle57">
    <w:name w:val="Font Style57"/>
    <w:basedOn w:val="Fuentedeprrafopredeter"/>
    <w:uiPriority w:val="99"/>
    <w:rsid w:val="00A40677"/>
    <w:rPr>
      <w:rFonts w:ascii="Impact" w:hAnsi="Impact" w:cs="Impact"/>
      <w:sz w:val="12"/>
      <w:szCs w:val="12"/>
    </w:rPr>
  </w:style>
  <w:style w:type="character" w:customStyle="1" w:styleId="FontStyle53">
    <w:name w:val="Font Style53"/>
    <w:basedOn w:val="Fuentedeprrafopredeter"/>
    <w:uiPriority w:val="99"/>
    <w:rsid w:val="00A40677"/>
    <w:rPr>
      <w:rFonts w:ascii="Arial Narrow" w:hAnsi="Arial Narrow" w:cs="Arial Narrow"/>
      <w:b/>
      <w:bCs/>
      <w:sz w:val="22"/>
      <w:szCs w:val="22"/>
    </w:rPr>
  </w:style>
  <w:style w:type="table" w:customStyle="1" w:styleId="Tabladecuadrcula21">
    <w:name w:val="Tabla de cuadrícula 21"/>
    <w:basedOn w:val="Tablanormal"/>
    <w:uiPriority w:val="47"/>
    <w:rsid w:val="00AE6A1F"/>
    <w:pPr>
      <w:jc w:val="left"/>
    </w:pPr>
    <w:rPr>
      <w:rFonts w:asciiTheme="minorHAnsi" w:hAnsiTheme="minorHAnsi"/>
      <w:sz w:val="22"/>
      <w:szCs w:val="22"/>
      <w:lang w:val="es-E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rFonts w:cs="Times New Roman"/>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rFonts w:cs="Times New Roman"/>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Tabladecuadrcula1clara1">
    <w:name w:val="Tabla de cuadrícula 1 clara1"/>
    <w:basedOn w:val="Tablanormal"/>
    <w:uiPriority w:val="46"/>
    <w:rsid w:val="00AE6A1F"/>
    <w:rPr>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Sinespaciado1">
    <w:name w:val="Sin espaciado1"/>
    <w:uiPriority w:val="99"/>
    <w:rsid w:val="007415E8"/>
    <w:pPr>
      <w:jc w:val="left"/>
    </w:pPr>
    <w:rPr>
      <w:rFonts w:ascii="Calibri" w:hAnsi="Calibri"/>
      <w:sz w:val="22"/>
      <w:szCs w:val="22"/>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uiPriority w:val="99"/>
    <w:locked/>
    <w:rsid w:val="00B77C35"/>
    <w:rPr>
      <w:rFonts w:ascii="Calibri" w:hAnsi="Calibri"/>
      <w:sz w:val="20"/>
    </w:rPr>
  </w:style>
  <w:style w:type="character" w:customStyle="1" w:styleId="fuenteencabezado1">
    <w:name w:val="fuente_encabezado1"/>
    <w:rsid w:val="00B77C35"/>
    <w:rPr>
      <w:rFonts w:ascii="Arial" w:hAnsi="Arial"/>
      <w:b/>
      <w:color w:val="A06528"/>
      <w:sz w:val="9"/>
    </w:rPr>
  </w:style>
  <w:style w:type="paragraph" w:customStyle="1" w:styleId="Sinespaciado2">
    <w:name w:val="Sin espaciado2"/>
    <w:uiPriority w:val="99"/>
    <w:rsid w:val="00927424"/>
    <w:pPr>
      <w:jc w:val="left"/>
    </w:pPr>
    <w:rPr>
      <w:rFonts w:ascii="Calibri" w:hAnsi="Calibri"/>
      <w:sz w:val="22"/>
      <w:szCs w:val="22"/>
    </w:rPr>
  </w:style>
  <w:style w:type="paragraph" w:customStyle="1" w:styleId="Sinespaciado3">
    <w:name w:val="Sin espaciado3"/>
    <w:rsid w:val="008947F0"/>
    <w:pPr>
      <w:jc w:val="left"/>
    </w:pPr>
    <w:rPr>
      <w:rFonts w:ascii="Calibri" w:hAnsi="Calibri"/>
      <w:sz w:val="22"/>
      <w:szCs w:val="22"/>
    </w:rPr>
  </w:style>
  <w:style w:type="paragraph" w:customStyle="1" w:styleId="Prrafodelista1">
    <w:name w:val="Párrafo de lista1"/>
    <w:basedOn w:val="Normal"/>
    <w:rsid w:val="00E03447"/>
    <w:pPr>
      <w:spacing w:after="200" w:line="276" w:lineRule="auto"/>
      <w:ind w:left="708"/>
      <w:jc w:val="left"/>
    </w:pPr>
    <w:rPr>
      <w:rFonts w:ascii="Calibri" w:hAnsi="Calibri"/>
      <w:sz w:val="22"/>
      <w:szCs w:val="22"/>
      <w:lang w:val="es-CO" w:eastAsia="en-US"/>
    </w:rPr>
  </w:style>
  <w:style w:type="paragraph" w:customStyle="1" w:styleId="Sinespaciado4">
    <w:name w:val="Sin espaciado4"/>
    <w:rsid w:val="00E03447"/>
    <w:pPr>
      <w:jc w:val="left"/>
    </w:pPr>
    <w:rPr>
      <w:rFonts w:ascii="Calibri" w:hAnsi="Calibri"/>
      <w:sz w:val="22"/>
      <w:szCs w:val="22"/>
    </w:rPr>
  </w:style>
  <w:style w:type="paragraph" w:styleId="Revisin">
    <w:name w:val="Revision"/>
    <w:hidden/>
    <w:uiPriority w:val="99"/>
    <w:semiHidden/>
    <w:rsid w:val="006F68ED"/>
    <w:pPr>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058143">
      <w:marLeft w:val="0"/>
      <w:marRight w:val="0"/>
      <w:marTop w:val="0"/>
      <w:marBottom w:val="0"/>
      <w:divBdr>
        <w:top w:val="none" w:sz="0" w:space="0" w:color="auto"/>
        <w:left w:val="none" w:sz="0" w:space="0" w:color="auto"/>
        <w:bottom w:val="none" w:sz="0" w:space="0" w:color="auto"/>
        <w:right w:val="none" w:sz="0" w:space="0" w:color="auto"/>
      </w:divBdr>
    </w:div>
    <w:div w:id="311058144">
      <w:marLeft w:val="0"/>
      <w:marRight w:val="0"/>
      <w:marTop w:val="0"/>
      <w:marBottom w:val="0"/>
      <w:divBdr>
        <w:top w:val="none" w:sz="0" w:space="0" w:color="auto"/>
        <w:left w:val="none" w:sz="0" w:space="0" w:color="auto"/>
        <w:bottom w:val="none" w:sz="0" w:space="0" w:color="auto"/>
        <w:right w:val="none" w:sz="0" w:space="0" w:color="auto"/>
      </w:divBdr>
    </w:div>
    <w:div w:id="311058145">
      <w:marLeft w:val="0"/>
      <w:marRight w:val="0"/>
      <w:marTop w:val="0"/>
      <w:marBottom w:val="0"/>
      <w:divBdr>
        <w:top w:val="none" w:sz="0" w:space="0" w:color="auto"/>
        <w:left w:val="none" w:sz="0" w:space="0" w:color="auto"/>
        <w:bottom w:val="none" w:sz="0" w:space="0" w:color="auto"/>
        <w:right w:val="none" w:sz="0" w:space="0" w:color="auto"/>
      </w:divBdr>
    </w:div>
    <w:div w:id="311058146">
      <w:marLeft w:val="0"/>
      <w:marRight w:val="0"/>
      <w:marTop w:val="0"/>
      <w:marBottom w:val="0"/>
      <w:divBdr>
        <w:top w:val="none" w:sz="0" w:space="0" w:color="auto"/>
        <w:left w:val="none" w:sz="0" w:space="0" w:color="auto"/>
        <w:bottom w:val="none" w:sz="0" w:space="0" w:color="auto"/>
        <w:right w:val="none" w:sz="0" w:space="0" w:color="auto"/>
      </w:divBdr>
    </w:div>
    <w:div w:id="311058148">
      <w:marLeft w:val="0"/>
      <w:marRight w:val="0"/>
      <w:marTop w:val="0"/>
      <w:marBottom w:val="0"/>
      <w:divBdr>
        <w:top w:val="none" w:sz="0" w:space="0" w:color="auto"/>
        <w:left w:val="none" w:sz="0" w:space="0" w:color="auto"/>
        <w:bottom w:val="none" w:sz="0" w:space="0" w:color="auto"/>
        <w:right w:val="none" w:sz="0" w:space="0" w:color="auto"/>
      </w:divBdr>
      <w:divsChild>
        <w:div w:id="311058150">
          <w:marLeft w:val="0"/>
          <w:marRight w:val="0"/>
          <w:marTop w:val="0"/>
          <w:marBottom w:val="0"/>
          <w:divBdr>
            <w:top w:val="none" w:sz="0" w:space="0" w:color="auto"/>
            <w:left w:val="none" w:sz="0" w:space="0" w:color="auto"/>
            <w:bottom w:val="none" w:sz="0" w:space="0" w:color="auto"/>
            <w:right w:val="none" w:sz="0" w:space="0" w:color="auto"/>
          </w:divBdr>
        </w:div>
      </w:divsChild>
    </w:div>
    <w:div w:id="311058151">
      <w:marLeft w:val="0"/>
      <w:marRight w:val="0"/>
      <w:marTop w:val="0"/>
      <w:marBottom w:val="0"/>
      <w:divBdr>
        <w:top w:val="none" w:sz="0" w:space="0" w:color="auto"/>
        <w:left w:val="none" w:sz="0" w:space="0" w:color="auto"/>
        <w:bottom w:val="none" w:sz="0" w:space="0" w:color="auto"/>
        <w:right w:val="none" w:sz="0" w:space="0" w:color="auto"/>
      </w:divBdr>
    </w:div>
    <w:div w:id="311058153">
      <w:marLeft w:val="0"/>
      <w:marRight w:val="0"/>
      <w:marTop w:val="0"/>
      <w:marBottom w:val="0"/>
      <w:divBdr>
        <w:top w:val="none" w:sz="0" w:space="0" w:color="auto"/>
        <w:left w:val="none" w:sz="0" w:space="0" w:color="auto"/>
        <w:bottom w:val="none" w:sz="0" w:space="0" w:color="auto"/>
        <w:right w:val="none" w:sz="0" w:space="0" w:color="auto"/>
      </w:divBdr>
    </w:div>
    <w:div w:id="311058154">
      <w:marLeft w:val="0"/>
      <w:marRight w:val="0"/>
      <w:marTop w:val="0"/>
      <w:marBottom w:val="0"/>
      <w:divBdr>
        <w:top w:val="none" w:sz="0" w:space="0" w:color="auto"/>
        <w:left w:val="none" w:sz="0" w:space="0" w:color="auto"/>
        <w:bottom w:val="none" w:sz="0" w:space="0" w:color="auto"/>
        <w:right w:val="none" w:sz="0" w:space="0" w:color="auto"/>
      </w:divBdr>
    </w:div>
    <w:div w:id="311058156">
      <w:marLeft w:val="0"/>
      <w:marRight w:val="0"/>
      <w:marTop w:val="0"/>
      <w:marBottom w:val="0"/>
      <w:divBdr>
        <w:top w:val="none" w:sz="0" w:space="0" w:color="auto"/>
        <w:left w:val="none" w:sz="0" w:space="0" w:color="auto"/>
        <w:bottom w:val="none" w:sz="0" w:space="0" w:color="auto"/>
        <w:right w:val="none" w:sz="0" w:space="0" w:color="auto"/>
      </w:divBdr>
    </w:div>
    <w:div w:id="311058157">
      <w:marLeft w:val="0"/>
      <w:marRight w:val="0"/>
      <w:marTop w:val="0"/>
      <w:marBottom w:val="0"/>
      <w:divBdr>
        <w:top w:val="none" w:sz="0" w:space="0" w:color="auto"/>
        <w:left w:val="none" w:sz="0" w:space="0" w:color="auto"/>
        <w:bottom w:val="none" w:sz="0" w:space="0" w:color="auto"/>
        <w:right w:val="none" w:sz="0" w:space="0" w:color="auto"/>
      </w:divBdr>
    </w:div>
    <w:div w:id="311058158">
      <w:marLeft w:val="0"/>
      <w:marRight w:val="0"/>
      <w:marTop w:val="0"/>
      <w:marBottom w:val="0"/>
      <w:divBdr>
        <w:top w:val="none" w:sz="0" w:space="0" w:color="auto"/>
        <w:left w:val="none" w:sz="0" w:space="0" w:color="auto"/>
        <w:bottom w:val="none" w:sz="0" w:space="0" w:color="auto"/>
        <w:right w:val="none" w:sz="0" w:space="0" w:color="auto"/>
      </w:divBdr>
    </w:div>
    <w:div w:id="311058159">
      <w:marLeft w:val="0"/>
      <w:marRight w:val="0"/>
      <w:marTop w:val="0"/>
      <w:marBottom w:val="0"/>
      <w:divBdr>
        <w:top w:val="none" w:sz="0" w:space="0" w:color="auto"/>
        <w:left w:val="none" w:sz="0" w:space="0" w:color="auto"/>
        <w:bottom w:val="none" w:sz="0" w:space="0" w:color="auto"/>
        <w:right w:val="none" w:sz="0" w:space="0" w:color="auto"/>
      </w:divBdr>
    </w:div>
    <w:div w:id="311058160">
      <w:marLeft w:val="0"/>
      <w:marRight w:val="0"/>
      <w:marTop w:val="0"/>
      <w:marBottom w:val="0"/>
      <w:divBdr>
        <w:top w:val="none" w:sz="0" w:space="0" w:color="auto"/>
        <w:left w:val="none" w:sz="0" w:space="0" w:color="auto"/>
        <w:bottom w:val="none" w:sz="0" w:space="0" w:color="auto"/>
        <w:right w:val="none" w:sz="0" w:space="0" w:color="auto"/>
      </w:divBdr>
      <w:divsChild>
        <w:div w:id="311058219">
          <w:marLeft w:val="0"/>
          <w:marRight w:val="0"/>
          <w:marTop w:val="0"/>
          <w:marBottom w:val="0"/>
          <w:divBdr>
            <w:top w:val="none" w:sz="0" w:space="0" w:color="auto"/>
            <w:left w:val="none" w:sz="0" w:space="0" w:color="auto"/>
            <w:bottom w:val="none" w:sz="0" w:space="0" w:color="auto"/>
            <w:right w:val="none" w:sz="0" w:space="0" w:color="auto"/>
          </w:divBdr>
        </w:div>
      </w:divsChild>
    </w:div>
    <w:div w:id="311058161">
      <w:marLeft w:val="0"/>
      <w:marRight w:val="0"/>
      <w:marTop w:val="0"/>
      <w:marBottom w:val="0"/>
      <w:divBdr>
        <w:top w:val="none" w:sz="0" w:space="0" w:color="auto"/>
        <w:left w:val="none" w:sz="0" w:space="0" w:color="auto"/>
        <w:bottom w:val="none" w:sz="0" w:space="0" w:color="auto"/>
        <w:right w:val="none" w:sz="0" w:space="0" w:color="auto"/>
      </w:divBdr>
    </w:div>
    <w:div w:id="311058164">
      <w:marLeft w:val="0"/>
      <w:marRight w:val="0"/>
      <w:marTop w:val="0"/>
      <w:marBottom w:val="0"/>
      <w:divBdr>
        <w:top w:val="none" w:sz="0" w:space="0" w:color="auto"/>
        <w:left w:val="none" w:sz="0" w:space="0" w:color="auto"/>
        <w:bottom w:val="none" w:sz="0" w:space="0" w:color="auto"/>
        <w:right w:val="none" w:sz="0" w:space="0" w:color="auto"/>
      </w:divBdr>
    </w:div>
    <w:div w:id="311058166">
      <w:marLeft w:val="0"/>
      <w:marRight w:val="0"/>
      <w:marTop w:val="0"/>
      <w:marBottom w:val="0"/>
      <w:divBdr>
        <w:top w:val="none" w:sz="0" w:space="0" w:color="auto"/>
        <w:left w:val="none" w:sz="0" w:space="0" w:color="auto"/>
        <w:bottom w:val="none" w:sz="0" w:space="0" w:color="auto"/>
        <w:right w:val="none" w:sz="0" w:space="0" w:color="auto"/>
      </w:divBdr>
    </w:div>
    <w:div w:id="311058167">
      <w:marLeft w:val="0"/>
      <w:marRight w:val="0"/>
      <w:marTop w:val="0"/>
      <w:marBottom w:val="0"/>
      <w:divBdr>
        <w:top w:val="none" w:sz="0" w:space="0" w:color="auto"/>
        <w:left w:val="none" w:sz="0" w:space="0" w:color="auto"/>
        <w:bottom w:val="none" w:sz="0" w:space="0" w:color="auto"/>
        <w:right w:val="none" w:sz="0" w:space="0" w:color="auto"/>
      </w:divBdr>
    </w:div>
    <w:div w:id="311058168">
      <w:marLeft w:val="0"/>
      <w:marRight w:val="0"/>
      <w:marTop w:val="0"/>
      <w:marBottom w:val="0"/>
      <w:divBdr>
        <w:top w:val="none" w:sz="0" w:space="0" w:color="auto"/>
        <w:left w:val="none" w:sz="0" w:space="0" w:color="auto"/>
        <w:bottom w:val="none" w:sz="0" w:space="0" w:color="auto"/>
        <w:right w:val="none" w:sz="0" w:space="0" w:color="auto"/>
      </w:divBdr>
    </w:div>
    <w:div w:id="311058171">
      <w:marLeft w:val="0"/>
      <w:marRight w:val="0"/>
      <w:marTop w:val="0"/>
      <w:marBottom w:val="0"/>
      <w:divBdr>
        <w:top w:val="none" w:sz="0" w:space="0" w:color="auto"/>
        <w:left w:val="none" w:sz="0" w:space="0" w:color="auto"/>
        <w:bottom w:val="none" w:sz="0" w:space="0" w:color="auto"/>
        <w:right w:val="none" w:sz="0" w:space="0" w:color="auto"/>
      </w:divBdr>
      <w:divsChild>
        <w:div w:id="311058152">
          <w:marLeft w:val="0"/>
          <w:marRight w:val="0"/>
          <w:marTop w:val="0"/>
          <w:marBottom w:val="0"/>
          <w:divBdr>
            <w:top w:val="none" w:sz="0" w:space="0" w:color="auto"/>
            <w:left w:val="none" w:sz="0" w:space="0" w:color="auto"/>
            <w:bottom w:val="none" w:sz="0" w:space="0" w:color="auto"/>
            <w:right w:val="none" w:sz="0" w:space="0" w:color="auto"/>
          </w:divBdr>
        </w:div>
        <w:div w:id="311058174">
          <w:marLeft w:val="0"/>
          <w:marRight w:val="0"/>
          <w:marTop w:val="0"/>
          <w:marBottom w:val="0"/>
          <w:divBdr>
            <w:top w:val="none" w:sz="0" w:space="0" w:color="auto"/>
            <w:left w:val="none" w:sz="0" w:space="0" w:color="auto"/>
            <w:bottom w:val="none" w:sz="0" w:space="0" w:color="auto"/>
            <w:right w:val="none" w:sz="0" w:space="0" w:color="auto"/>
          </w:divBdr>
        </w:div>
        <w:div w:id="311058176">
          <w:marLeft w:val="0"/>
          <w:marRight w:val="0"/>
          <w:marTop w:val="0"/>
          <w:marBottom w:val="0"/>
          <w:divBdr>
            <w:top w:val="none" w:sz="0" w:space="0" w:color="auto"/>
            <w:left w:val="none" w:sz="0" w:space="0" w:color="auto"/>
            <w:bottom w:val="none" w:sz="0" w:space="0" w:color="auto"/>
            <w:right w:val="none" w:sz="0" w:space="0" w:color="auto"/>
          </w:divBdr>
        </w:div>
        <w:div w:id="311058237">
          <w:marLeft w:val="0"/>
          <w:marRight w:val="0"/>
          <w:marTop w:val="0"/>
          <w:marBottom w:val="0"/>
          <w:divBdr>
            <w:top w:val="none" w:sz="0" w:space="0" w:color="auto"/>
            <w:left w:val="none" w:sz="0" w:space="0" w:color="auto"/>
            <w:bottom w:val="none" w:sz="0" w:space="0" w:color="auto"/>
            <w:right w:val="none" w:sz="0" w:space="0" w:color="auto"/>
          </w:divBdr>
        </w:div>
      </w:divsChild>
    </w:div>
    <w:div w:id="311058172">
      <w:marLeft w:val="0"/>
      <w:marRight w:val="0"/>
      <w:marTop w:val="0"/>
      <w:marBottom w:val="0"/>
      <w:divBdr>
        <w:top w:val="none" w:sz="0" w:space="0" w:color="auto"/>
        <w:left w:val="none" w:sz="0" w:space="0" w:color="auto"/>
        <w:bottom w:val="none" w:sz="0" w:space="0" w:color="auto"/>
        <w:right w:val="none" w:sz="0" w:space="0" w:color="auto"/>
      </w:divBdr>
    </w:div>
    <w:div w:id="311058173">
      <w:marLeft w:val="0"/>
      <w:marRight w:val="0"/>
      <w:marTop w:val="0"/>
      <w:marBottom w:val="0"/>
      <w:divBdr>
        <w:top w:val="none" w:sz="0" w:space="0" w:color="auto"/>
        <w:left w:val="none" w:sz="0" w:space="0" w:color="auto"/>
        <w:bottom w:val="none" w:sz="0" w:space="0" w:color="auto"/>
        <w:right w:val="none" w:sz="0" w:space="0" w:color="auto"/>
      </w:divBdr>
    </w:div>
    <w:div w:id="311058175">
      <w:marLeft w:val="0"/>
      <w:marRight w:val="0"/>
      <w:marTop w:val="0"/>
      <w:marBottom w:val="0"/>
      <w:divBdr>
        <w:top w:val="none" w:sz="0" w:space="0" w:color="auto"/>
        <w:left w:val="none" w:sz="0" w:space="0" w:color="auto"/>
        <w:bottom w:val="none" w:sz="0" w:space="0" w:color="auto"/>
        <w:right w:val="none" w:sz="0" w:space="0" w:color="auto"/>
      </w:divBdr>
    </w:div>
    <w:div w:id="311058177">
      <w:marLeft w:val="0"/>
      <w:marRight w:val="0"/>
      <w:marTop w:val="0"/>
      <w:marBottom w:val="0"/>
      <w:divBdr>
        <w:top w:val="none" w:sz="0" w:space="0" w:color="auto"/>
        <w:left w:val="none" w:sz="0" w:space="0" w:color="auto"/>
        <w:bottom w:val="none" w:sz="0" w:space="0" w:color="auto"/>
        <w:right w:val="none" w:sz="0" w:space="0" w:color="auto"/>
      </w:divBdr>
    </w:div>
    <w:div w:id="311058178">
      <w:marLeft w:val="0"/>
      <w:marRight w:val="0"/>
      <w:marTop w:val="0"/>
      <w:marBottom w:val="0"/>
      <w:divBdr>
        <w:top w:val="none" w:sz="0" w:space="0" w:color="auto"/>
        <w:left w:val="none" w:sz="0" w:space="0" w:color="auto"/>
        <w:bottom w:val="none" w:sz="0" w:space="0" w:color="auto"/>
        <w:right w:val="none" w:sz="0" w:space="0" w:color="auto"/>
      </w:divBdr>
    </w:div>
    <w:div w:id="311058179">
      <w:marLeft w:val="0"/>
      <w:marRight w:val="0"/>
      <w:marTop w:val="0"/>
      <w:marBottom w:val="0"/>
      <w:divBdr>
        <w:top w:val="none" w:sz="0" w:space="0" w:color="auto"/>
        <w:left w:val="none" w:sz="0" w:space="0" w:color="auto"/>
        <w:bottom w:val="none" w:sz="0" w:space="0" w:color="auto"/>
        <w:right w:val="none" w:sz="0" w:space="0" w:color="auto"/>
      </w:divBdr>
    </w:div>
    <w:div w:id="311058180">
      <w:marLeft w:val="0"/>
      <w:marRight w:val="0"/>
      <w:marTop w:val="0"/>
      <w:marBottom w:val="0"/>
      <w:divBdr>
        <w:top w:val="none" w:sz="0" w:space="0" w:color="auto"/>
        <w:left w:val="none" w:sz="0" w:space="0" w:color="auto"/>
        <w:bottom w:val="none" w:sz="0" w:space="0" w:color="auto"/>
        <w:right w:val="none" w:sz="0" w:space="0" w:color="auto"/>
      </w:divBdr>
    </w:div>
    <w:div w:id="311058181">
      <w:marLeft w:val="0"/>
      <w:marRight w:val="0"/>
      <w:marTop w:val="0"/>
      <w:marBottom w:val="0"/>
      <w:divBdr>
        <w:top w:val="none" w:sz="0" w:space="0" w:color="auto"/>
        <w:left w:val="none" w:sz="0" w:space="0" w:color="auto"/>
        <w:bottom w:val="none" w:sz="0" w:space="0" w:color="auto"/>
        <w:right w:val="none" w:sz="0" w:space="0" w:color="auto"/>
      </w:divBdr>
    </w:div>
    <w:div w:id="311058182">
      <w:marLeft w:val="0"/>
      <w:marRight w:val="0"/>
      <w:marTop w:val="0"/>
      <w:marBottom w:val="0"/>
      <w:divBdr>
        <w:top w:val="none" w:sz="0" w:space="0" w:color="auto"/>
        <w:left w:val="none" w:sz="0" w:space="0" w:color="auto"/>
        <w:bottom w:val="none" w:sz="0" w:space="0" w:color="auto"/>
        <w:right w:val="none" w:sz="0" w:space="0" w:color="auto"/>
      </w:divBdr>
    </w:div>
    <w:div w:id="311058185">
      <w:marLeft w:val="0"/>
      <w:marRight w:val="0"/>
      <w:marTop w:val="0"/>
      <w:marBottom w:val="0"/>
      <w:divBdr>
        <w:top w:val="none" w:sz="0" w:space="0" w:color="auto"/>
        <w:left w:val="none" w:sz="0" w:space="0" w:color="auto"/>
        <w:bottom w:val="none" w:sz="0" w:space="0" w:color="auto"/>
        <w:right w:val="none" w:sz="0" w:space="0" w:color="auto"/>
      </w:divBdr>
    </w:div>
    <w:div w:id="311058186">
      <w:marLeft w:val="0"/>
      <w:marRight w:val="0"/>
      <w:marTop w:val="0"/>
      <w:marBottom w:val="0"/>
      <w:divBdr>
        <w:top w:val="none" w:sz="0" w:space="0" w:color="auto"/>
        <w:left w:val="none" w:sz="0" w:space="0" w:color="auto"/>
        <w:bottom w:val="none" w:sz="0" w:space="0" w:color="auto"/>
        <w:right w:val="none" w:sz="0" w:space="0" w:color="auto"/>
      </w:divBdr>
    </w:div>
    <w:div w:id="311058187">
      <w:marLeft w:val="0"/>
      <w:marRight w:val="0"/>
      <w:marTop w:val="0"/>
      <w:marBottom w:val="0"/>
      <w:divBdr>
        <w:top w:val="none" w:sz="0" w:space="0" w:color="auto"/>
        <w:left w:val="none" w:sz="0" w:space="0" w:color="auto"/>
        <w:bottom w:val="none" w:sz="0" w:space="0" w:color="auto"/>
        <w:right w:val="none" w:sz="0" w:space="0" w:color="auto"/>
      </w:divBdr>
    </w:div>
    <w:div w:id="311058188">
      <w:marLeft w:val="0"/>
      <w:marRight w:val="0"/>
      <w:marTop w:val="0"/>
      <w:marBottom w:val="0"/>
      <w:divBdr>
        <w:top w:val="none" w:sz="0" w:space="0" w:color="auto"/>
        <w:left w:val="none" w:sz="0" w:space="0" w:color="auto"/>
        <w:bottom w:val="none" w:sz="0" w:space="0" w:color="auto"/>
        <w:right w:val="none" w:sz="0" w:space="0" w:color="auto"/>
      </w:divBdr>
    </w:div>
    <w:div w:id="311058189">
      <w:marLeft w:val="0"/>
      <w:marRight w:val="0"/>
      <w:marTop w:val="0"/>
      <w:marBottom w:val="0"/>
      <w:divBdr>
        <w:top w:val="none" w:sz="0" w:space="0" w:color="auto"/>
        <w:left w:val="none" w:sz="0" w:space="0" w:color="auto"/>
        <w:bottom w:val="none" w:sz="0" w:space="0" w:color="auto"/>
        <w:right w:val="none" w:sz="0" w:space="0" w:color="auto"/>
      </w:divBdr>
      <w:divsChild>
        <w:div w:id="311058206">
          <w:marLeft w:val="0"/>
          <w:marRight w:val="0"/>
          <w:marTop w:val="0"/>
          <w:marBottom w:val="0"/>
          <w:divBdr>
            <w:top w:val="none" w:sz="0" w:space="0" w:color="auto"/>
            <w:left w:val="none" w:sz="0" w:space="0" w:color="auto"/>
            <w:bottom w:val="none" w:sz="0" w:space="0" w:color="auto"/>
            <w:right w:val="none" w:sz="0" w:space="0" w:color="auto"/>
          </w:divBdr>
        </w:div>
      </w:divsChild>
    </w:div>
    <w:div w:id="311058190">
      <w:marLeft w:val="0"/>
      <w:marRight w:val="0"/>
      <w:marTop w:val="0"/>
      <w:marBottom w:val="0"/>
      <w:divBdr>
        <w:top w:val="none" w:sz="0" w:space="0" w:color="auto"/>
        <w:left w:val="none" w:sz="0" w:space="0" w:color="auto"/>
        <w:bottom w:val="none" w:sz="0" w:space="0" w:color="auto"/>
        <w:right w:val="none" w:sz="0" w:space="0" w:color="auto"/>
      </w:divBdr>
      <w:divsChild>
        <w:div w:id="311058149">
          <w:marLeft w:val="0"/>
          <w:marRight w:val="0"/>
          <w:marTop w:val="0"/>
          <w:marBottom w:val="0"/>
          <w:divBdr>
            <w:top w:val="none" w:sz="0" w:space="0" w:color="auto"/>
            <w:left w:val="none" w:sz="0" w:space="0" w:color="auto"/>
            <w:bottom w:val="none" w:sz="0" w:space="0" w:color="auto"/>
            <w:right w:val="none" w:sz="0" w:space="0" w:color="auto"/>
          </w:divBdr>
        </w:div>
      </w:divsChild>
    </w:div>
    <w:div w:id="311058192">
      <w:marLeft w:val="0"/>
      <w:marRight w:val="0"/>
      <w:marTop w:val="0"/>
      <w:marBottom w:val="0"/>
      <w:divBdr>
        <w:top w:val="none" w:sz="0" w:space="0" w:color="auto"/>
        <w:left w:val="none" w:sz="0" w:space="0" w:color="auto"/>
        <w:bottom w:val="none" w:sz="0" w:space="0" w:color="auto"/>
        <w:right w:val="none" w:sz="0" w:space="0" w:color="auto"/>
      </w:divBdr>
      <w:divsChild>
        <w:div w:id="311058255">
          <w:marLeft w:val="547"/>
          <w:marRight w:val="0"/>
          <w:marTop w:val="0"/>
          <w:marBottom w:val="0"/>
          <w:divBdr>
            <w:top w:val="none" w:sz="0" w:space="0" w:color="auto"/>
            <w:left w:val="none" w:sz="0" w:space="0" w:color="auto"/>
            <w:bottom w:val="none" w:sz="0" w:space="0" w:color="auto"/>
            <w:right w:val="none" w:sz="0" w:space="0" w:color="auto"/>
          </w:divBdr>
        </w:div>
      </w:divsChild>
    </w:div>
    <w:div w:id="311058193">
      <w:marLeft w:val="0"/>
      <w:marRight w:val="0"/>
      <w:marTop w:val="0"/>
      <w:marBottom w:val="0"/>
      <w:divBdr>
        <w:top w:val="none" w:sz="0" w:space="0" w:color="auto"/>
        <w:left w:val="none" w:sz="0" w:space="0" w:color="auto"/>
        <w:bottom w:val="none" w:sz="0" w:space="0" w:color="auto"/>
        <w:right w:val="none" w:sz="0" w:space="0" w:color="auto"/>
      </w:divBdr>
    </w:div>
    <w:div w:id="311058194">
      <w:marLeft w:val="0"/>
      <w:marRight w:val="0"/>
      <w:marTop w:val="0"/>
      <w:marBottom w:val="0"/>
      <w:divBdr>
        <w:top w:val="none" w:sz="0" w:space="0" w:color="auto"/>
        <w:left w:val="none" w:sz="0" w:space="0" w:color="auto"/>
        <w:bottom w:val="none" w:sz="0" w:space="0" w:color="auto"/>
        <w:right w:val="none" w:sz="0" w:space="0" w:color="auto"/>
      </w:divBdr>
    </w:div>
    <w:div w:id="311058196">
      <w:marLeft w:val="0"/>
      <w:marRight w:val="0"/>
      <w:marTop w:val="0"/>
      <w:marBottom w:val="0"/>
      <w:divBdr>
        <w:top w:val="none" w:sz="0" w:space="0" w:color="auto"/>
        <w:left w:val="none" w:sz="0" w:space="0" w:color="auto"/>
        <w:bottom w:val="none" w:sz="0" w:space="0" w:color="auto"/>
        <w:right w:val="none" w:sz="0" w:space="0" w:color="auto"/>
      </w:divBdr>
    </w:div>
    <w:div w:id="311058197">
      <w:marLeft w:val="0"/>
      <w:marRight w:val="0"/>
      <w:marTop w:val="0"/>
      <w:marBottom w:val="0"/>
      <w:divBdr>
        <w:top w:val="none" w:sz="0" w:space="0" w:color="auto"/>
        <w:left w:val="none" w:sz="0" w:space="0" w:color="auto"/>
        <w:bottom w:val="none" w:sz="0" w:space="0" w:color="auto"/>
        <w:right w:val="none" w:sz="0" w:space="0" w:color="auto"/>
      </w:divBdr>
    </w:div>
    <w:div w:id="311058198">
      <w:marLeft w:val="0"/>
      <w:marRight w:val="0"/>
      <w:marTop w:val="0"/>
      <w:marBottom w:val="0"/>
      <w:divBdr>
        <w:top w:val="none" w:sz="0" w:space="0" w:color="auto"/>
        <w:left w:val="none" w:sz="0" w:space="0" w:color="auto"/>
        <w:bottom w:val="none" w:sz="0" w:space="0" w:color="auto"/>
        <w:right w:val="none" w:sz="0" w:space="0" w:color="auto"/>
      </w:divBdr>
    </w:div>
    <w:div w:id="311058199">
      <w:marLeft w:val="0"/>
      <w:marRight w:val="0"/>
      <w:marTop w:val="0"/>
      <w:marBottom w:val="0"/>
      <w:divBdr>
        <w:top w:val="none" w:sz="0" w:space="0" w:color="auto"/>
        <w:left w:val="none" w:sz="0" w:space="0" w:color="auto"/>
        <w:bottom w:val="none" w:sz="0" w:space="0" w:color="auto"/>
        <w:right w:val="none" w:sz="0" w:space="0" w:color="auto"/>
      </w:divBdr>
    </w:div>
    <w:div w:id="311058202">
      <w:marLeft w:val="0"/>
      <w:marRight w:val="0"/>
      <w:marTop w:val="0"/>
      <w:marBottom w:val="0"/>
      <w:divBdr>
        <w:top w:val="none" w:sz="0" w:space="0" w:color="auto"/>
        <w:left w:val="none" w:sz="0" w:space="0" w:color="auto"/>
        <w:bottom w:val="none" w:sz="0" w:space="0" w:color="auto"/>
        <w:right w:val="none" w:sz="0" w:space="0" w:color="auto"/>
      </w:divBdr>
    </w:div>
    <w:div w:id="311058203">
      <w:marLeft w:val="0"/>
      <w:marRight w:val="0"/>
      <w:marTop w:val="0"/>
      <w:marBottom w:val="0"/>
      <w:divBdr>
        <w:top w:val="none" w:sz="0" w:space="0" w:color="auto"/>
        <w:left w:val="none" w:sz="0" w:space="0" w:color="auto"/>
        <w:bottom w:val="none" w:sz="0" w:space="0" w:color="auto"/>
        <w:right w:val="none" w:sz="0" w:space="0" w:color="auto"/>
      </w:divBdr>
    </w:div>
    <w:div w:id="311058204">
      <w:marLeft w:val="0"/>
      <w:marRight w:val="0"/>
      <w:marTop w:val="0"/>
      <w:marBottom w:val="0"/>
      <w:divBdr>
        <w:top w:val="none" w:sz="0" w:space="0" w:color="auto"/>
        <w:left w:val="none" w:sz="0" w:space="0" w:color="auto"/>
        <w:bottom w:val="none" w:sz="0" w:space="0" w:color="auto"/>
        <w:right w:val="none" w:sz="0" w:space="0" w:color="auto"/>
      </w:divBdr>
    </w:div>
    <w:div w:id="311058205">
      <w:marLeft w:val="0"/>
      <w:marRight w:val="0"/>
      <w:marTop w:val="0"/>
      <w:marBottom w:val="0"/>
      <w:divBdr>
        <w:top w:val="none" w:sz="0" w:space="0" w:color="auto"/>
        <w:left w:val="none" w:sz="0" w:space="0" w:color="auto"/>
        <w:bottom w:val="none" w:sz="0" w:space="0" w:color="auto"/>
        <w:right w:val="none" w:sz="0" w:space="0" w:color="auto"/>
      </w:divBdr>
    </w:div>
    <w:div w:id="311058207">
      <w:marLeft w:val="0"/>
      <w:marRight w:val="0"/>
      <w:marTop w:val="0"/>
      <w:marBottom w:val="0"/>
      <w:divBdr>
        <w:top w:val="none" w:sz="0" w:space="0" w:color="auto"/>
        <w:left w:val="none" w:sz="0" w:space="0" w:color="auto"/>
        <w:bottom w:val="none" w:sz="0" w:space="0" w:color="auto"/>
        <w:right w:val="none" w:sz="0" w:space="0" w:color="auto"/>
      </w:divBdr>
    </w:div>
    <w:div w:id="311058208">
      <w:marLeft w:val="0"/>
      <w:marRight w:val="0"/>
      <w:marTop w:val="0"/>
      <w:marBottom w:val="0"/>
      <w:divBdr>
        <w:top w:val="none" w:sz="0" w:space="0" w:color="auto"/>
        <w:left w:val="none" w:sz="0" w:space="0" w:color="auto"/>
        <w:bottom w:val="none" w:sz="0" w:space="0" w:color="auto"/>
        <w:right w:val="none" w:sz="0" w:space="0" w:color="auto"/>
      </w:divBdr>
    </w:div>
    <w:div w:id="311058209">
      <w:marLeft w:val="0"/>
      <w:marRight w:val="0"/>
      <w:marTop w:val="0"/>
      <w:marBottom w:val="0"/>
      <w:divBdr>
        <w:top w:val="none" w:sz="0" w:space="0" w:color="auto"/>
        <w:left w:val="none" w:sz="0" w:space="0" w:color="auto"/>
        <w:bottom w:val="none" w:sz="0" w:space="0" w:color="auto"/>
        <w:right w:val="none" w:sz="0" w:space="0" w:color="auto"/>
      </w:divBdr>
      <w:divsChild>
        <w:div w:id="311058170">
          <w:marLeft w:val="547"/>
          <w:marRight w:val="0"/>
          <w:marTop w:val="0"/>
          <w:marBottom w:val="0"/>
          <w:divBdr>
            <w:top w:val="none" w:sz="0" w:space="0" w:color="auto"/>
            <w:left w:val="none" w:sz="0" w:space="0" w:color="auto"/>
            <w:bottom w:val="none" w:sz="0" w:space="0" w:color="auto"/>
            <w:right w:val="none" w:sz="0" w:space="0" w:color="auto"/>
          </w:divBdr>
        </w:div>
      </w:divsChild>
    </w:div>
    <w:div w:id="311058211">
      <w:marLeft w:val="0"/>
      <w:marRight w:val="0"/>
      <w:marTop w:val="0"/>
      <w:marBottom w:val="0"/>
      <w:divBdr>
        <w:top w:val="none" w:sz="0" w:space="0" w:color="auto"/>
        <w:left w:val="none" w:sz="0" w:space="0" w:color="auto"/>
        <w:bottom w:val="none" w:sz="0" w:space="0" w:color="auto"/>
        <w:right w:val="none" w:sz="0" w:space="0" w:color="auto"/>
      </w:divBdr>
      <w:divsChild>
        <w:div w:id="311058162">
          <w:marLeft w:val="0"/>
          <w:marRight w:val="0"/>
          <w:marTop w:val="0"/>
          <w:marBottom w:val="0"/>
          <w:divBdr>
            <w:top w:val="none" w:sz="0" w:space="0" w:color="auto"/>
            <w:left w:val="none" w:sz="0" w:space="0" w:color="auto"/>
            <w:bottom w:val="none" w:sz="0" w:space="0" w:color="auto"/>
            <w:right w:val="none" w:sz="0" w:space="0" w:color="auto"/>
          </w:divBdr>
        </w:div>
        <w:div w:id="311058163">
          <w:marLeft w:val="0"/>
          <w:marRight w:val="0"/>
          <w:marTop w:val="0"/>
          <w:marBottom w:val="0"/>
          <w:divBdr>
            <w:top w:val="none" w:sz="0" w:space="0" w:color="auto"/>
            <w:left w:val="none" w:sz="0" w:space="0" w:color="auto"/>
            <w:bottom w:val="none" w:sz="0" w:space="0" w:color="auto"/>
            <w:right w:val="none" w:sz="0" w:space="0" w:color="auto"/>
          </w:divBdr>
        </w:div>
        <w:div w:id="311058183">
          <w:marLeft w:val="0"/>
          <w:marRight w:val="0"/>
          <w:marTop w:val="0"/>
          <w:marBottom w:val="0"/>
          <w:divBdr>
            <w:top w:val="none" w:sz="0" w:space="0" w:color="auto"/>
            <w:left w:val="none" w:sz="0" w:space="0" w:color="auto"/>
            <w:bottom w:val="none" w:sz="0" w:space="0" w:color="auto"/>
            <w:right w:val="none" w:sz="0" w:space="0" w:color="auto"/>
          </w:divBdr>
        </w:div>
        <w:div w:id="311058195">
          <w:marLeft w:val="0"/>
          <w:marRight w:val="0"/>
          <w:marTop w:val="0"/>
          <w:marBottom w:val="0"/>
          <w:divBdr>
            <w:top w:val="none" w:sz="0" w:space="0" w:color="auto"/>
            <w:left w:val="none" w:sz="0" w:space="0" w:color="auto"/>
            <w:bottom w:val="none" w:sz="0" w:space="0" w:color="auto"/>
            <w:right w:val="none" w:sz="0" w:space="0" w:color="auto"/>
          </w:divBdr>
        </w:div>
        <w:div w:id="311058200">
          <w:marLeft w:val="0"/>
          <w:marRight w:val="0"/>
          <w:marTop w:val="0"/>
          <w:marBottom w:val="0"/>
          <w:divBdr>
            <w:top w:val="none" w:sz="0" w:space="0" w:color="auto"/>
            <w:left w:val="none" w:sz="0" w:space="0" w:color="auto"/>
            <w:bottom w:val="none" w:sz="0" w:space="0" w:color="auto"/>
            <w:right w:val="none" w:sz="0" w:space="0" w:color="auto"/>
          </w:divBdr>
        </w:div>
        <w:div w:id="311058201">
          <w:marLeft w:val="0"/>
          <w:marRight w:val="0"/>
          <w:marTop w:val="0"/>
          <w:marBottom w:val="0"/>
          <w:divBdr>
            <w:top w:val="none" w:sz="0" w:space="0" w:color="auto"/>
            <w:left w:val="none" w:sz="0" w:space="0" w:color="auto"/>
            <w:bottom w:val="none" w:sz="0" w:space="0" w:color="auto"/>
            <w:right w:val="none" w:sz="0" w:space="0" w:color="auto"/>
          </w:divBdr>
        </w:div>
        <w:div w:id="311058218">
          <w:marLeft w:val="0"/>
          <w:marRight w:val="0"/>
          <w:marTop w:val="0"/>
          <w:marBottom w:val="0"/>
          <w:divBdr>
            <w:top w:val="none" w:sz="0" w:space="0" w:color="auto"/>
            <w:left w:val="none" w:sz="0" w:space="0" w:color="auto"/>
            <w:bottom w:val="none" w:sz="0" w:space="0" w:color="auto"/>
            <w:right w:val="none" w:sz="0" w:space="0" w:color="auto"/>
          </w:divBdr>
        </w:div>
        <w:div w:id="311058220">
          <w:marLeft w:val="0"/>
          <w:marRight w:val="0"/>
          <w:marTop w:val="0"/>
          <w:marBottom w:val="0"/>
          <w:divBdr>
            <w:top w:val="none" w:sz="0" w:space="0" w:color="auto"/>
            <w:left w:val="none" w:sz="0" w:space="0" w:color="auto"/>
            <w:bottom w:val="none" w:sz="0" w:space="0" w:color="auto"/>
            <w:right w:val="none" w:sz="0" w:space="0" w:color="auto"/>
          </w:divBdr>
        </w:div>
        <w:div w:id="311058224">
          <w:marLeft w:val="0"/>
          <w:marRight w:val="0"/>
          <w:marTop w:val="0"/>
          <w:marBottom w:val="0"/>
          <w:divBdr>
            <w:top w:val="none" w:sz="0" w:space="0" w:color="auto"/>
            <w:left w:val="none" w:sz="0" w:space="0" w:color="auto"/>
            <w:bottom w:val="none" w:sz="0" w:space="0" w:color="auto"/>
            <w:right w:val="none" w:sz="0" w:space="0" w:color="auto"/>
          </w:divBdr>
        </w:div>
        <w:div w:id="311058251">
          <w:marLeft w:val="0"/>
          <w:marRight w:val="0"/>
          <w:marTop w:val="0"/>
          <w:marBottom w:val="0"/>
          <w:divBdr>
            <w:top w:val="none" w:sz="0" w:space="0" w:color="auto"/>
            <w:left w:val="none" w:sz="0" w:space="0" w:color="auto"/>
            <w:bottom w:val="none" w:sz="0" w:space="0" w:color="auto"/>
            <w:right w:val="none" w:sz="0" w:space="0" w:color="auto"/>
          </w:divBdr>
        </w:div>
        <w:div w:id="311058253">
          <w:marLeft w:val="0"/>
          <w:marRight w:val="0"/>
          <w:marTop w:val="0"/>
          <w:marBottom w:val="0"/>
          <w:divBdr>
            <w:top w:val="none" w:sz="0" w:space="0" w:color="auto"/>
            <w:left w:val="none" w:sz="0" w:space="0" w:color="auto"/>
            <w:bottom w:val="none" w:sz="0" w:space="0" w:color="auto"/>
            <w:right w:val="none" w:sz="0" w:space="0" w:color="auto"/>
          </w:divBdr>
        </w:div>
      </w:divsChild>
    </w:div>
    <w:div w:id="311058214">
      <w:marLeft w:val="0"/>
      <w:marRight w:val="0"/>
      <w:marTop w:val="0"/>
      <w:marBottom w:val="0"/>
      <w:divBdr>
        <w:top w:val="none" w:sz="0" w:space="0" w:color="auto"/>
        <w:left w:val="none" w:sz="0" w:space="0" w:color="auto"/>
        <w:bottom w:val="none" w:sz="0" w:space="0" w:color="auto"/>
        <w:right w:val="none" w:sz="0" w:space="0" w:color="auto"/>
      </w:divBdr>
    </w:div>
    <w:div w:id="311058215">
      <w:marLeft w:val="0"/>
      <w:marRight w:val="0"/>
      <w:marTop w:val="0"/>
      <w:marBottom w:val="0"/>
      <w:divBdr>
        <w:top w:val="none" w:sz="0" w:space="0" w:color="auto"/>
        <w:left w:val="none" w:sz="0" w:space="0" w:color="auto"/>
        <w:bottom w:val="none" w:sz="0" w:space="0" w:color="auto"/>
        <w:right w:val="none" w:sz="0" w:space="0" w:color="auto"/>
      </w:divBdr>
      <w:divsChild>
        <w:div w:id="311058165">
          <w:marLeft w:val="0"/>
          <w:marRight w:val="0"/>
          <w:marTop w:val="0"/>
          <w:marBottom w:val="0"/>
          <w:divBdr>
            <w:top w:val="none" w:sz="0" w:space="0" w:color="auto"/>
            <w:left w:val="none" w:sz="0" w:space="0" w:color="auto"/>
            <w:bottom w:val="none" w:sz="0" w:space="0" w:color="auto"/>
            <w:right w:val="none" w:sz="0" w:space="0" w:color="auto"/>
          </w:divBdr>
        </w:div>
        <w:div w:id="311058184">
          <w:marLeft w:val="0"/>
          <w:marRight w:val="0"/>
          <w:marTop w:val="0"/>
          <w:marBottom w:val="0"/>
          <w:divBdr>
            <w:top w:val="none" w:sz="0" w:space="0" w:color="auto"/>
            <w:left w:val="none" w:sz="0" w:space="0" w:color="auto"/>
            <w:bottom w:val="none" w:sz="0" w:space="0" w:color="auto"/>
            <w:right w:val="none" w:sz="0" w:space="0" w:color="auto"/>
          </w:divBdr>
        </w:div>
        <w:div w:id="311058239">
          <w:marLeft w:val="0"/>
          <w:marRight w:val="0"/>
          <w:marTop w:val="0"/>
          <w:marBottom w:val="0"/>
          <w:divBdr>
            <w:top w:val="none" w:sz="0" w:space="0" w:color="auto"/>
            <w:left w:val="none" w:sz="0" w:space="0" w:color="auto"/>
            <w:bottom w:val="none" w:sz="0" w:space="0" w:color="auto"/>
            <w:right w:val="none" w:sz="0" w:space="0" w:color="auto"/>
          </w:divBdr>
        </w:div>
      </w:divsChild>
    </w:div>
    <w:div w:id="311058216">
      <w:marLeft w:val="0"/>
      <w:marRight w:val="0"/>
      <w:marTop w:val="0"/>
      <w:marBottom w:val="0"/>
      <w:divBdr>
        <w:top w:val="none" w:sz="0" w:space="0" w:color="auto"/>
        <w:left w:val="none" w:sz="0" w:space="0" w:color="auto"/>
        <w:bottom w:val="none" w:sz="0" w:space="0" w:color="auto"/>
        <w:right w:val="none" w:sz="0" w:space="0" w:color="auto"/>
      </w:divBdr>
    </w:div>
    <w:div w:id="311058221">
      <w:marLeft w:val="0"/>
      <w:marRight w:val="0"/>
      <w:marTop w:val="0"/>
      <w:marBottom w:val="0"/>
      <w:divBdr>
        <w:top w:val="none" w:sz="0" w:space="0" w:color="auto"/>
        <w:left w:val="none" w:sz="0" w:space="0" w:color="auto"/>
        <w:bottom w:val="none" w:sz="0" w:space="0" w:color="auto"/>
        <w:right w:val="none" w:sz="0" w:space="0" w:color="auto"/>
      </w:divBdr>
    </w:div>
    <w:div w:id="311058222">
      <w:marLeft w:val="0"/>
      <w:marRight w:val="0"/>
      <w:marTop w:val="0"/>
      <w:marBottom w:val="0"/>
      <w:divBdr>
        <w:top w:val="none" w:sz="0" w:space="0" w:color="auto"/>
        <w:left w:val="none" w:sz="0" w:space="0" w:color="auto"/>
        <w:bottom w:val="none" w:sz="0" w:space="0" w:color="auto"/>
        <w:right w:val="none" w:sz="0" w:space="0" w:color="auto"/>
      </w:divBdr>
    </w:div>
    <w:div w:id="311058226">
      <w:marLeft w:val="0"/>
      <w:marRight w:val="0"/>
      <w:marTop w:val="0"/>
      <w:marBottom w:val="0"/>
      <w:divBdr>
        <w:top w:val="none" w:sz="0" w:space="0" w:color="auto"/>
        <w:left w:val="none" w:sz="0" w:space="0" w:color="auto"/>
        <w:bottom w:val="none" w:sz="0" w:space="0" w:color="auto"/>
        <w:right w:val="none" w:sz="0" w:space="0" w:color="auto"/>
      </w:divBdr>
    </w:div>
    <w:div w:id="311058227">
      <w:marLeft w:val="0"/>
      <w:marRight w:val="0"/>
      <w:marTop w:val="0"/>
      <w:marBottom w:val="0"/>
      <w:divBdr>
        <w:top w:val="none" w:sz="0" w:space="0" w:color="auto"/>
        <w:left w:val="none" w:sz="0" w:space="0" w:color="auto"/>
        <w:bottom w:val="none" w:sz="0" w:space="0" w:color="auto"/>
        <w:right w:val="none" w:sz="0" w:space="0" w:color="auto"/>
      </w:divBdr>
    </w:div>
    <w:div w:id="311058228">
      <w:marLeft w:val="0"/>
      <w:marRight w:val="0"/>
      <w:marTop w:val="0"/>
      <w:marBottom w:val="0"/>
      <w:divBdr>
        <w:top w:val="none" w:sz="0" w:space="0" w:color="auto"/>
        <w:left w:val="none" w:sz="0" w:space="0" w:color="auto"/>
        <w:bottom w:val="none" w:sz="0" w:space="0" w:color="auto"/>
        <w:right w:val="none" w:sz="0" w:space="0" w:color="auto"/>
      </w:divBdr>
      <w:divsChild>
        <w:div w:id="311058147">
          <w:marLeft w:val="547"/>
          <w:marRight w:val="0"/>
          <w:marTop w:val="0"/>
          <w:marBottom w:val="0"/>
          <w:divBdr>
            <w:top w:val="none" w:sz="0" w:space="0" w:color="auto"/>
            <w:left w:val="none" w:sz="0" w:space="0" w:color="auto"/>
            <w:bottom w:val="none" w:sz="0" w:space="0" w:color="auto"/>
            <w:right w:val="none" w:sz="0" w:space="0" w:color="auto"/>
          </w:divBdr>
        </w:div>
        <w:div w:id="311058155">
          <w:marLeft w:val="547"/>
          <w:marRight w:val="0"/>
          <w:marTop w:val="0"/>
          <w:marBottom w:val="0"/>
          <w:divBdr>
            <w:top w:val="none" w:sz="0" w:space="0" w:color="auto"/>
            <w:left w:val="none" w:sz="0" w:space="0" w:color="auto"/>
            <w:bottom w:val="none" w:sz="0" w:space="0" w:color="auto"/>
            <w:right w:val="none" w:sz="0" w:space="0" w:color="auto"/>
          </w:divBdr>
        </w:div>
        <w:div w:id="311058191">
          <w:marLeft w:val="547"/>
          <w:marRight w:val="0"/>
          <w:marTop w:val="0"/>
          <w:marBottom w:val="0"/>
          <w:divBdr>
            <w:top w:val="none" w:sz="0" w:space="0" w:color="auto"/>
            <w:left w:val="none" w:sz="0" w:space="0" w:color="auto"/>
            <w:bottom w:val="none" w:sz="0" w:space="0" w:color="auto"/>
            <w:right w:val="none" w:sz="0" w:space="0" w:color="auto"/>
          </w:divBdr>
        </w:div>
        <w:div w:id="311058229">
          <w:marLeft w:val="547"/>
          <w:marRight w:val="0"/>
          <w:marTop w:val="0"/>
          <w:marBottom w:val="0"/>
          <w:divBdr>
            <w:top w:val="none" w:sz="0" w:space="0" w:color="auto"/>
            <w:left w:val="none" w:sz="0" w:space="0" w:color="auto"/>
            <w:bottom w:val="none" w:sz="0" w:space="0" w:color="auto"/>
            <w:right w:val="none" w:sz="0" w:space="0" w:color="auto"/>
          </w:divBdr>
        </w:div>
      </w:divsChild>
    </w:div>
    <w:div w:id="311058231">
      <w:marLeft w:val="0"/>
      <w:marRight w:val="0"/>
      <w:marTop w:val="0"/>
      <w:marBottom w:val="0"/>
      <w:divBdr>
        <w:top w:val="none" w:sz="0" w:space="0" w:color="auto"/>
        <w:left w:val="none" w:sz="0" w:space="0" w:color="auto"/>
        <w:bottom w:val="none" w:sz="0" w:space="0" w:color="auto"/>
        <w:right w:val="none" w:sz="0" w:space="0" w:color="auto"/>
      </w:divBdr>
      <w:divsChild>
        <w:div w:id="311058169">
          <w:marLeft w:val="547"/>
          <w:marRight w:val="0"/>
          <w:marTop w:val="0"/>
          <w:marBottom w:val="0"/>
          <w:divBdr>
            <w:top w:val="none" w:sz="0" w:space="0" w:color="auto"/>
            <w:left w:val="none" w:sz="0" w:space="0" w:color="auto"/>
            <w:bottom w:val="none" w:sz="0" w:space="0" w:color="auto"/>
            <w:right w:val="none" w:sz="0" w:space="0" w:color="auto"/>
          </w:divBdr>
        </w:div>
        <w:div w:id="311058210">
          <w:marLeft w:val="547"/>
          <w:marRight w:val="0"/>
          <w:marTop w:val="0"/>
          <w:marBottom w:val="0"/>
          <w:divBdr>
            <w:top w:val="none" w:sz="0" w:space="0" w:color="auto"/>
            <w:left w:val="none" w:sz="0" w:space="0" w:color="auto"/>
            <w:bottom w:val="none" w:sz="0" w:space="0" w:color="auto"/>
            <w:right w:val="none" w:sz="0" w:space="0" w:color="auto"/>
          </w:divBdr>
        </w:div>
        <w:div w:id="311058213">
          <w:marLeft w:val="547"/>
          <w:marRight w:val="0"/>
          <w:marTop w:val="0"/>
          <w:marBottom w:val="0"/>
          <w:divBdr>
            <w:top w:val="none" w:sz="0" w:space="0" w:color="auto"/>
            <w:left w:val="none" w:sz="0" w:space="0" w:color="auto"/>
            <w:bottom w:val="none" w:sz="0" w:space="0" w:color="auto"/>
            <w:right w:val="none" w:sz="0" w:space="0" w:color="auto"/>
          </w:divBdr>
        </w:div>
        <w:div w:id="311058223">
          <w:marLeft w:val="547"/>
          <w:marRight w:val="0"/>
          <w:marTop w:val="0"/>
          <w:marBottom w:val="0"/>
          <w:divBdr>
            <w:top w:val="none" w:sz="0" w:space="0" w:color="auto"/>
            <w:left w:val="none" w:sz="0" w:space="0" w:color="auto"/>
            <w:bottom w:val="none" w:sz="0" w:space="0" w:color="auto"/>
            <w:right w:val="none" w:sz="0" w:space="0" w:color="auto"/>
          </w:divBdr>
        </w:div>
      </w:divsChild>
    </w:div>
    <w:div w:id="311058232">
      <w:marLeft w:val="0"/>
      <w:marRight w:val="0"/>
      <w:marTop w:val="0"/>
      <w:marBottom w:val="0"/>
      <w:divBdr>
        <w:top w:val="none" w:sz="0" w:space="0" w:color="auto"/>
        <w:left w:val="none" w:sz="0" w:space="0" w:color="auto"/>
        <w:bottom w:val="none" w:sz="0" w:space="0" w:color="auto"/>
        <w:right w:val="none" w:sz="0" w:space="0" w:color="auto"/>
      </w:divBdr>
    </w:div>
    <w:div w:id="311058233">
      <w:marLeft w:val="0"/>
      <w:marRight w:val="0"/>
      <w:marTop w:val="0"/>
      <w:marBottom w:val="0"/>
      <w:divBdr>
        <w:top w:val="none" w:sz="0" w:space="0" w:color="auto"/>
        <w:left w:val="none" w:sz="0" w:space="0" w:color="auto"/>
        <w:bottom w:val="none" w:sz="0" w:space="0" w:color="auto"/>
        <w:right w:val="none" w:sz="0" w:space="0" w:color="auto"/>
      </w:divBdr>
    </w:div>
    <w:div w:id="311058234">
      <w:marLeft w:val="0"/>
      <w:marRight w:val="0"/>
      <w:marTop w:val="0"/>
      <w:marBottom w:val="0"/>
      <w:divBdr>
        <w:top w:val="none" w:sz="0" w:space="0" w:color="auto"/>
        <w:left w:val="none" w:sz="0" w:space="0" w:color="auto"/>
        <w:bottom w:val="none" w:sz="0" w:space="0" w:color="auto"/>
        <w:right w:val="none" w:sz="0" w:space="0" w:color="auto"/>
      </w:divBdr>
    </w:div>
    <w:div w:id="311058235">
      <w:marLeft w:val="0"/>
      <w:marRight w:val="0"/>
      <w:marTop w:val="0"/>
      <w:marBottom w:val="0"/>
      <w:divBdr>
        <w:top w:val="none" w:sz="0" w:space="0" w:color="auto"/>
        <w:left w:val="none" w:sz="0" w:space="0" w:color="auto"/>
        <w:bottom w:val="none" w:sz="0" w:space="0" w:color="auto"/>
        <w:right w:val="none" w:sz="0" w:space="0" w:color="auto"/>
      </w:divBdr>
    </w:div>
    <w:div w:id="311058236">
      <w:marLeft w:val="0"/>
      <w:marRight w:val="0"/>
      <w:marTop w:val="0"/>
      <w:marBottom w:val="0"/>
      <w:divBdr>
        <w:top w:val="none" w:sz="0" w:space="0" w:color="auto"/>
        <w:left w:val="none" w:sz="0" w:space="0" w:color="auto"/>
        <w:bottom w:val="none" w:sz="0" w:space="0" w:color="auto"/>
        <w:right w:val="none" w:sz="0" w:space="0" w:color="auto"/>
      </w:divBdr>
    </w:div>
    <w:div w:id="311058238">
      <w:marLeft w:val="0"/>
      <w:marRight w:val="0"/>
      <w:marTop w:val="0"/>
      <w:marBottom w:val="0"/>
      <w:divBdr>
        <w:top w:val="none" w:sz="0" w:space="0" w:color="auto"/>
        <w:left w:val="none" w:sz="0" w:space="0" w:color="auto"/>
        <w:bottom w:val="none" w:sz="0" w:space="0" w:color="auto"/>
        <w:right w:val="none" w:sz="0" w:space="0" w:color="auto"/>
      </w:divBdr>
    </w:div>
    <w:div w:id="311058242">
      <w:marLeft w:val="0"/>
      <w:marRight w:val="0"/>
      <w:marTop w:val="0"/>
      <w:marBottom w:val="0"/>
      <w:divBdr>
        <w:top w:val="none" w:sz="0" w:space="0" w:color="auto"/>
        <w:left w:val="none" w:sz="0" w:space="0" w:color="auto"/>
        <w:bottom w:val="none" w:sz="0" w:space="0" w:color="auto"/>
        <w:right w:val="none" w:sz="0" w:space="0" w:color="auto"/>
      </w:divBdr>
    </w:div>
    <w:div w:id="311058243">
      <w:marLeft w:val="0"/>
      <w:marRight w:val="0"/>
      <w:marTop w:val="0"/>
      <w:marBottom w:val="0"/>
      <w:divBdr>
        <w:top w:val="none" w:sz="0" w:space="0" w:color="auto"/>
        <w:left w:val="none" w:sz="0" w:space="0" w:color="auto"/>
        <w:bottom w:val="none" w:sz="0" w:space="0" w:color="auto"/>
        <w:right w:val="none" w:sz="0" w:space="0" w:color="auto"/>
      </w:divBdr>
    </w:div>
    <w:div w:id="311058244">
      <w:marLeft w:val="0"/>
      <w:marRight w:val="0"/>
      <w:marTop w:val="0"/>
      <w:marBottom w:val="0"/>
      <w:divBdr>
        <w:top w:val="none" w:sz="0" w:space="0" w:color="auto"/>
        <w:left w:val="none" w:sz="0" w:space="0" w:color="auto"/>
        <w:bottom w:val="none" w:sz="0" w:space="0" w:color="auto"/>
        <w:right w:val="none" w:sz="0" w:space="0" w:color="auto"/>
      </w:divBdr>
    </w:div>
    <w:div w:id="311058245">
      <w:marLeft w:val="0"/>
      <w:marRight w:val="0"/>
      <w:marTop w:val="0"/>
      <w:marBottom w:val="0"/>
      <w:divBdr>
        <w:top w:val="none" w:sz="0" w:space="0" w:color="auto"/>
        <w:left w:val="none" w:sz="0" w:space="0" w:color="auto"/>
        <w:bottom w:val="none" w:sz="0" w:space="0" w:color="auto"/>
        <w:right w:val="none" w:sz="0" w:space="0" w:color="auto"/>
      </w:divBdr>
      <w:divsChild>
        <w:div w:id="311058225">
          <w:marLeft w:val="547"/>
          <w:marRight w:val="0"/>
          <w:marTop w:val="0"/>
          <w:marBottom w:val="0"/>
          <w:divBdr>
            <w:top w:val="none" w:sz="0" w:space="0" w:color="auto"/>
            <w:left w:val="none" w:sz="0" w:space="0" w:color="auto"/>
            <w:bottom w:val="none" w:sz="0" w:space="0" w:color="auto"/>
            <w:right w:val="none" w:sz="0" w:space="0" w:color="auto"/>
          </w:divBdr>
        </w:div>
        <w:div w:id="311058240">
          <w:marLeft w:val="547"/>
          <w:marRight w:val="0"/>
          <w:marTop w:val="0"/>
          <w:marBottom w:val="0"/>
          <w:divBdr>
            <w:top w:val="none" w:sz="0" w:space="0" w:color="auto"/>
            <w:left w:val="none" w:sz="0" w:space="0" w:color="auto"/>
            <w:bottom w:val="none" w:sz="0" w:space="0" w:color="auto"/>
            <w:right w:val="none" w:sz="0" w:space="0" w:color="auto"/>
          </w:divBdr>
        </w:div>
        <w:div w:id="311058241">
          <w:marLeft w:val="547"/>
          <w:marRight w:val="0"/>
          <w:marTop w:val="0"/>
          <w:marBottom w:val="0"/>
          <w:divBdr>
            <w:top w:val="none" w:sz="0" w:space="0" w:color="auto"/>
            <w:left w:val="none" w:sz="0" w:space="0" w:color="auto"/>
            <w:bottom w:val="none" w:sz="0" w:space="0" w:color="auto"/>
            <w:right w:val="none" w:sz="0" w:space="0" w:color="auto"/>
          </w:divBdr>
        </w:div>
        <w:div w:id="311058260">
          <w:marLeft w:val="547"/>
          <w:marRight w:val="0"/>
          <w:marTop w:val="0"/>
          <w:marBottom w:val="0"/>
          <w:divBdr>
            <w:top w:val="none" w:sz="0" w:space="0" w:color="auto"/>
            <w:left w:val="none" w:sz="0" w:space="0" w:color="auto"/>
            <w:bottom w:val="none" w:sz="0" w:space="0" w:color="auto"/>
            <w:right w:val="none" w:sz="0" w:space="0" w:color="auto"/>
          </w:divBdr>
        </w:div>
      </w:divsChild>
    </w:div>
    <w:div w:id="311058246">
      <w:marLeft w:val="0"/>
      <w:marRight w:val="0"/>
      <w:marTop w:val="0"/>
      <w:marBottom w:val="0"/>
      <w:divBdr>
        <w:top w:val="none" w:sz="0" w:space="0" w:color="auto"/>
        <w:left w:val="none" w:sz="0" w:space="0" w:color="auto"/>
        <w:bottom w:val="none" w:sz="0" w:space="0" w:color="auto"/>
        <w:right w:val="none" w:sz="0" w:space="0" w:color="auto"/>
      </w:divBdr>
      <w:divsChild>
        <w:div w:id="311058217">
          <w:marLeft w:val="547"/>
          <w:marRight w:val="0"/>
          <w:marTop w:val="0"/>
          <w:marBottom w:val="0"/>
          <w:divBdr>
            <w:top w:val="none" w:sz="0" w:space="0" w:color="auto"/>
            <w:left w:val="none" w:sz="0" w:space="0" w:color="auto"/>
            <w:bottom w:val="none" w:sz="0" w:space="0" w:color="auto"/>
            <w:right w:val="none" w:sz="0" w:space="0" w:color="auto"/>
          </w:divBdr>
        </w:div>
      </w:divsChild>
    </w:div>
    <w:div w:id="311058247">
      <w:marLeft w:val="0"/>
      <w:marRight w:val="0"/>
      <w:marTop w:val="0"/>
      <w:marBottom w:val="0"/>
      <w:divBdr>
        <w:top w:val="none" w:sz="0" w:space="0" w:color="auto"/>
        <w:left w:val="none" w:sz="0" w:space="0" w:color="auto"/>
        <w:bottom w:val="none" w:sz="0" w:space="0" w:color="auto"/>
        <w:right w:val="none" w:sz="0" w:space="0" w:color="auto"/>
      </w:divBdr>
    </w:div>
    <w:div w:id="311058248">
      <w:marLeft w:val="0"/>
      <w:marRight w:val="0"/>
      <w:marTop w:val="0"/>
      <w:marBottom w:val="0"/>
      <w:divBdr>
        <w:top w:val="none" w:sz="0" w:space="0" w:color="auto"/>
        <w:left w:val="none" w:sz="0" w:space="0" w:color="auto"/>
        <w:bottom w:val="none" w:sz="0" w:space="0" w:color="auto"/>
        <w:right w:val="none" w:sz="0" w:space="0" w:color="auto"/>
      </w:divBdr>
    </w:div>
    <w:div w:id="311058249">
      <w:marLeft w:val="0"/>
      <w:marRight w:val="0"/>
      <w:marTop w:val="0"/>
      <w:marBottom w:val="0"/>
      <w:divBdr>
        <w:top w:val="none" w:sz="0" w:space="0" w:color="auto"/>
        <w:left w:val="none" w:sz="0" w:space="0" w:color="auto"/>
        <w:bottom w:val="none" w:sz="0" w:space="0" w:color="auto"/>
        <w:right w:val="none" w:sz="0" w:space="0" w:color="auto"/>
      </w:divBdr>
      <w:divsChild>
        <w:div w:id="311058230">
          <w:marLeft w:val="0"/>
          <w:marRight w:val="0"/>
          <w:marTop w:val="0"/>
          <w:marBottom w:val="0"/>
          <w:divBdr>
            <w:top w:val="none" w:sz="0" w:space="0" w:color="auto"/>
            <w:left w:val="none" w:sz="0" w:space="0" w:color="auto"/>
            <w:bottom w:val="none" w:sz="0" w:space="0" w:color="auto"/>
            <w:right w:val="none" w:sz="0" w:space="0" w:color="auto"/>
          </w:divBdr>
        </w:div>
      </w:divsChild>
    </w:div>
    <w:div w:id="311058250">
      <w:marLeft w:val="0"/>
      <w:marRight w:val="0"/>
      <w:marTop w:val="0"/>
      <w:marBottom w:val="0"/>
      <w:divBdr>
        <w:top w:val="none" w:sz="0" w:space="0" w:color="auto"/>
        <w:left w:val="none" w:sz="0" w:space="0" w:color="auto"/>
        <w:bottom w:val="none" w:sz="0" w:space="0" w:color="auto"/>
        <w:right w:val="none" w:sz="0" w:space="0" w:color="auto"/>
      </w:divBdr>
    </w:div>
    <w:div w:id="311058252">
      <w:marLeft w:val="0"/>
      <w:marRight w:val="0"/>
      <w:marTop w:val="0"/>
      <w:marBottom w:val="0"/>
      <w:divBdr>
        <w:top w:val="none" w:sz="0" w:space="0" w:color="auto"/>
        <w:left w:val="none" w:sz="0" w:space="0" w:color="auto"/>
        <w:bottom w:val="none" w:sz="0" w:space="0" w:color="auto"/>
        <w:right w:val="none" w:sz="0" w:space="0" w:color="auto"/>
      </w:divBdr>
    </w:div>
    <w:div w:id="311058254">
      <w:marLeft w:val="0"/>
      <w:marRight w:val="0"/>
      <w:marTop w:val="0"/>
      <w:marBottom w:val="0"/>
      <w:divBdr>
        <w:top w:val="none" w:sz="0" w:space="0" w:color="auto"/>
        <w:left w:val="none" w:sz="0" w:space="0" w:color="auto"/>
        <w:bottom w:val="none" w:sz="0" w:space="0" w:color="auto"/>
        <w:right w:val="none" w:sz="0" w:space="0" w:color="auto"/>
      </w:divBdr>
    </w:div>
    <w:div w:id="311058256">
      <w:marLeft w:val="0"/>
      <w:marRight w:val="0"/>
      <w:marTop w:val="0"/>
      <w:marBottom w:val="0"/>
      <w:divBdr>
        <w:top w:val="none" w:sz="0" w:space="0" w:color="auto"/>
        <w:left w:val="none" w:sz="0" w:space="0" w:color="auto"/>
        <w:bottom w:val="none" w:sz="0" w:space="0" w:color="auto"/>
        <w:right w:val="none" w:sz="0" w:space="0" w:color="auto"/>
      </w:divBdr>
      <w:divsChild>
        <w:div w:id="311058259">
          <w:marLeft w:val="0"/>
          <w:marRight w:val="0"/>
          <w:marTop w:val="0"/>
          <w:marBottom w:val="0"/>
          <w:divBdr>
            <w:top w:val="none" w:sz="0" w:space="0" w:color="auto"/>
            <w:left w:val="none" w:sz="0" w:space="0" w:color="auto"/>
            <w:bottom w:val="none" w:sz="0" w:space="0" w:color="auto"/>
            <w:right w:val="none" w:sz="0" w:space="0" w:color="auto"/>
          </w:divBdr>
        </w:div>
      </w:divsChild>
    </w:div>
    <w:div w:id="311058257">
      <w:marLeft w:val="0"/>
      <w:marRight w:val="0"/>
      <w:marTop w:val="0"/>
      <w:marBottom w:val="0"/>
      <w:divBdr>
        <w:top w:val="none" w:sz="0" w:space="0" w:color="auto"/>
        <w:left w:val="none" w:sz="0" w:space="0" w:color="auto"/>
        <w:bottom w:val="none" w:sz="0" w:space="0" w:color="auto"/>
        <w:right w:val="none" w:sz="0" w:space="0" w:color="auto"/>
      </w:divBdr>
    </w:div>
    <w:div w:id="311058258">
      <w:marLeft w:val="0"/>
      <w:marRight w:val="0"/>
      <w:marTop w:val="0"/>
      <w:marBottom w:val="0"/>
      <w:divBdr>
        <w:top w:val="none" w:sz="0" w:space="0" w:color="auto"/>
        <w:left w:val="none" w:sz="0" w:space="0" w:color="auto"/>
        <w:bottom w:val="none" w:sz="0" w:space="0" w:color="auto"/>
        <w:right w:val="none" w:sz="0" w:space="0" w:color="auto"/>
      </w:divBdr>
      <w:divsChild>
        <w:div w:id="311058212">
          <w:marLeft w:val="547"/>
          <w:marRight w:val="0"/>
          <w:marTop w:val="0"/>
          <w:marBottom w:val="0"/>
          <w:divBdr>
            <w:top w:val="none" w:sz="0" w:space="0" w:color="auto"/>
            <w:left w:val="none" w:sz="0" w:space="0" w:color="auto"/>
            <w:bottom w:val="none" w:sz="0" w:space="0" w:color="auto"/>
            <w:right w:val="none" w:sz="0" w:space="0" w:color="auto"/>
          </w:divBdr>
        </w:div>
      </w:divsChild>
    </w:div>
    <w:div w:id="311058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alud.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0951079031787698E-2"/>
          <c:y val="0.11454505686789151"/>
          <c:w val="0.90358595800524932"/>
          <c:h val="0.78841832270966128"/>
        </c:manualLayout>
      </c:layout>
      <c:lineChart>
        <c:grouping val="standard"/>
        <c:varyColors val="0"/>
        <c:ser>
          <c:idx val="0"/>
          <c:order val="0"/>
          <c:tx>
            <c:strRef>
              <c:f>Hoja1!$B$1</c:f>
              <c:strCache>
                <c:ptCount val="1"/>
                <c:pt idx="0">
                  <c:v>CTC</c:v>
                </c:pt>
              </c:strCache>
            </c:strRef>
          </c:tx>
          <c:spPr>
            <a:ln w="22209" cap="rnd">
              <a:solidFill>
                <a:schemeClr val="accent6"/>
              </a:solidFill>
              <a:round/>
            </a:ln>
            <a:effectLst/>
          </c:spPr>
          <c:marker>
            <c:symbol val="diamond"/>
            <c:size val="5"/>
            <c:spPr>
              <a:solidFill>
                <a:schemeClr val="accent6"/>
              </a:solidFill>
              <a:ln w="9518">
                <a:solidFill>
                  <a:schemeClr val="accent6"/>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Hoja1!$A$2:$A$9</c:f>
              <c:numCache>
                <c:formatCode>General</c:formatCode>
                <c:ptCount val="8"/>
                <c:pt idx="0">
                  <c:v>2008</c:v>
                </c:pt>
                <c:pt idx="1">
                  <c:v>2009</c:v>
                </c:pt>
                <c:pt idx="2">
                  <c:v>2010</c:v>
                </c:pt>
                <c:pt idx="3">
                  <c:v>2011</c:v>
                </c:pt>
                <c:pt idx="4">
                  <c:v>2012</c:v>
                </c:pt>
                <c:pt idx="5">
                  <c:v>2013</c:v>
                </c:pt>
                <c:pt idx="6">
                  <c:v>2014</c:v>
                </c:pt>
                <c:pt idx="7">
                  <c:v>2015</c:v>
                </c:pt>
              </c:numCache>
            </c:numRef>
          </c:cat>
          <c:val>
            <c:numRef>
              <c:f>Hoja1!$B$2:$B$9</c:f>
              <c:numCache>
                <c:formatCode>0%</c:formatCode>
                <c:ptCount val="8"/>
                <c:pt idx="0">
                  <c:v>0.41</c:v>
                </c:pt>
                <c:pt idx="1">
                  <c:v>0.55000000000000004</c:v>
                </c:pt>
                <c:pt idx="2">
                  <c:v>0.7</c:v>
                </c:pt>
                <c:pt idx="3">
                  <c:v>0.77</c:v>
                </c:pt>
                <c:pt idx="4">
                  <c:v>0.76</c:v>
                </c:pt>
                <c:pt idx="5">
                  <c:v>0.77</c:v>
                </c:pt>
                <c:pt idx="6">
                  <c:v>0.79</c:v>
                </c:pt>
                <c:pt idx="7">
                  <c:v>0.79</c:v>
                </c:pt>
              </c:numCache>
            </c:numRef>
          </c:val>
          <c:smooth val="0"/>
        </c:ser>
        <c:ser>
          <c:idx val="1"/>
          <c:order val="1"/>
          <c:tx>
            <c:strRef>
              <c:f>Hoja1!$C$1</c:f>
              <c:strCache>
                <c:ptCount val="1"/>
                <c:pt idx="0">
                  <c:v>TUTELAS</c:v>
                </c:pt>
              </c:strCache>
            </c:strRef>
          </c:tx>
          <c:spPr>
            <a:ln w="22209" cap="rnd">
              <a:solidFill>
                <a:schemeClr val="accent1"/>
              </a:solidFill>
              <a:round/>
            </a:ln>
            <a:effectLst/>
          </c:spPr>
          <c:marker>
            <c:symbol val="square"/>
            <c:size val="5"/>
            <c:spPr>
              <a:solidFill>
                <a:schemeClr val="accent1"/>
              </a:solidFill>
              <a:ln w="9518">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Hoja1!$A$2:$A$9</c:f>
              <c:numCache>
                <c:formatCode>General</c:formatCode>
                <c:ptCount val="8"/>
                <c:pt idx="0">
                  <c:v>2008</c:v>
                </c:pt>
                <c:pt idx="1">
                  <c:v>2009</c:v>
                </c:pt>
                <c:pt idx="2">
                  <c:v>2010</c:v>
                </c:pt>
                <c:pt idx="3">
                  <c:v>2011</c:v>
                </c:pt>
                <c:pt idx="4">
                  <c:v>2012</c:v>
                </c:pt>
                <c:pt idx="5">
                  <c:v>2013</c:v>
                </c:pt>
                <c:pt idx="6">
                  <c:v>2014</c:v>
                </c:pt>
                <c:pt idx="7">
                  <c:v>2015</c:v>
                </c:pt>
              </c:numCache>
            </c:numRef>
          </c:cat>
          <c:val>
            <c:numRef>
              <c:f>Hoja1!$C$2:$C$9</c:f>
              <c:numCache>
                <c:formatCode>0%</c:formatCode>
                <c:ptCount val="8"/>
                <c:pt idx="0">
                  <c:v>0.59</c:v>
                </c:pt>
                <c:pt idx="1">
                  <c:v>0.45</c:v>
                </c:pt>
                <c:pt idx="2">
                  <c:v>0.3</c:v>
                </c:pt>
                <c:pt idx="3">
                  <c:v>0.23</c:v>
                </c:pt>
                <c:pt idx="4">
                  <c:v>0.24</c:v>
                </c:pt>
                <c:pt idx="5">
                  <c:v>0.23</c:v>
                </c:pt>
                <c:pt idx="6">
                  <c:v>0.21</c:v>
                </c:pt>
                <c:pt idx="7">
                  <c:v>0.21</c:v>
                </c:pt>
              </c:numCache>
            </c:numRef>
          </c:val>
          <c:smooth val="0"/>
        </c:ser>
        <c:dLbls>
          <c:showLegendKey val="0"/>
          <c:showVal val="0"/>
          <c:showCatName val="0"/>
          <c:showSerName val="0"/>
          <c:showPercent val="0"/>
          <c:showBubbleSize val="0"/>
        </c:dLbls>
        <c:marker val="1"/>
        <c:smooth val="0"/>
        <c:axId val="-1130023616"/>
        <c:axId val="-1130017632"/>
      </c:lineChart>
      <c:catAx>
        <c:axId val="-1130023616"/>
        <c:scaling>
          <c:orientation val="minMax"/>
        </c:scaling>
        <c:delete val="0"/>
        <c:axPos val="b"/>
        <c:majorGridlines>
          <c:spPr>
            <a:ln w="9518"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18" cap="flat" cmpd="sng" algn="ctr">
            <a:solidFill>
              <a:schemeClr val="tx1">
                <a:lumMod val="15000"/>
                <a:lumOff val="85000"/>
              </a:schemeClr>
            </a:solidFill>
            <a:round/>
          </a:ln>
          <a:effectLst/>
        </c:spPr>
        <c:txPr>
          <a:bodyPr rot="-60000000" spcFirstLastPara="1" vertOverflow="ellipsis" vert="horz" wrap="square" anchor="ctr" anchorCtr="1"/>
          <a:lstStyle/>
          <a:p>
            <a:pPr>
              <a:defRPr sz="799"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130017632"/>
        <c:crosses val="autoZero"/>
        <c:auto val="1"/>
        <c:lblAlgn val="ctr"/>
        <c:lblOffset val="100"/>
        <c:noMultiLvlLbl val="0"/>
      </c:catAx>
      <c:valAx>
        <c:axId val="-1130017632"/>
        <c:scaling>
          <c:orientation val="minMax"/>
        </c:scaling>
        <c:delete val="0"/>
        <c:axPos val="l"/>
        <c:numFmt formatCode="0%" sourceLinked="0"/>
        <c:majorTickMark val="none"/>
        <c:minorTickMark val="none"/>
        <c:tickLblPos val="nextTo"/>
        <c:spPr>
          <a:noFill/>
          <a:ln w="9518" cap="flat" cmpd="sng" algn="ctr">
            <a:solidFill>
              <a:schemeClr val="dk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130023616"/>
        <c:crosses val="autoZero"/>
        <c:crossBetween val="between"/>
      </c:valAx>
      <c:spPr>
        <a:noFill/>
        <a:ln w="25382">
          <a:noFill/>
        </a:ln>
      </c:spPr>
    </c:plotArea>
    <c:legend>
      <c:legendPos val="t"/>
      <c:overlay val="0"/>
      <c:spPr>
        <a:noFill/>
        <a:ln>
          <a:noFill/>
        </a:ln>
        <a:effectLst/>
      </c:spPr>
      <c:txPr>
        <a:bodyPr rot="0" spcFirstLastPara="1" vertOverflow="ellipsis" vert="horz" wrap="square" anchor="ctr" anchorCtr="1"/>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lt1"/>
    </a:solidFill>
    <a:ln w="9518"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Hoja1!$B$1</c:f>
              <c:strCache>
                <c:ptCount val="1"/>
                <c:pt idx="0">
                  <c:v>Medicamentos</c:v>
                </c:pt>
              </c:strCache>
            </c:strRef>
          </c:tx>
          <c:spPr>
            <a:solidFill>
              <a:schemeClr val="accent1"/>
            </a:solidFill>
            <a:ln>
              <a:noFill/>
            </a:ln>
            <a:effectLst/>
          </c:spPr>
          <c:invertIfNegative val="0"/>
          <c:cat>
            <c:numRef>
              <c:f>Hoja1!$A$2:$A$9</c:f>
              <c:numCache>
                <c:formatCode>General</c:formatCode>
                <c:ptCount val="8"/>
                <c:pt idx="0">
                  <c:v>2008</c:v>
                </c:pt>
                <c:pt idx="1">
                  <c:v>2009</c:v>
                </c:pt>
                <c:pt idx="2">
                  <c:v>2010</c:v>
                </c:pt>
                <c:pt idx="3">
                  <c:v>2011</c:v>
                </c:pt>
                <c:pt idx="4">
                  <c:v>2012</c:v>
                </c:pt>
                <c:pt idx="5">
                  <c:v>2013</c:v>
                </c:pt>
                <c:pt idx="6">
                  <c:v>2014</c:v>
                </c:pt>
                <c:pt idx="7">
                  <c:v>2015</c:v>
                </c:pt>
              </c:numCache>
            </c:numRef>
          </c:cat>
          <c:val>
            <c:numRef>
              <c:f>Hoja1!$B$2:$B$9</c:f>
              <c:numCache>
                <c:formatCode>"$"#,##0_);[Red]\("$"#,##0\)</c:formatCode>
                <c:ptCount val="8"/>
                <c:pt idx="0" formatCode="General">
                  <c:v>1171012</c:v>
                </c:pt>
                <c:pt idx="1">
                  <c:v>2334408</c:v>
                </c:pt>
                <c:pt idx="2">
                  <c:v>3253543</c:v>
                </c:pt>
                <c:pt idx="3">
                  <c:v>2807548</c:v>
                </c:pt>
                <c:pt idx="4">
                  <c:v>2315405</c:v>
                </c:pt>
                <c:pt idx="5">
                  <c:v>2700063</c:v>
                </c:pt>
                <c:pt idx="6">
                  <c:v>2287334</c:v>
                </c:pt>
                <c:pt idx="7">
                  <c:v>2258438</c:v>
                </c:pt>
              </c:numCache>
            </c:numRef>
          </c:val>
        </c:ser>
        <c:ser>
          <c:idx val="1"/>
          <c:order val="1"/>
          <c:tx>
            <c:strRef>
              <c:f>Hoja1!$C$1</c:f>
              <c:strCache>
                <c:ptCount val="1"/>
                <c:pt idx="0">
                  <c:v>Procedimientos</c:v>
                </c:pt>
              </c:strCache>
            </c:strRef>
          </c:tx>
          <c:spPr>
            <a:solidFill>
              <a:schemeClr val="accent2"/>
            </a:solidFill>
            <a:ln>
              <a:noFill/>
            </a:ln>
            <a:effectLst/>
          </c:spPr>
          <c:invertIfNegative val="0"/>
          <c:cat>
            <c:numRef>
              <c:f>Hoja1!$A$2:$A$9</c:f>
              <c:numCache>
                <c:formatCode>General</c:formatCode>
                <c:ptCount val="8"/>
                <c:pt idx="0">
                  <c:v>2008</c:v>
                </c:pt>
                <c:pt idx="1">
                  <c:v>2009</c:v>
                </c:pt>
                <c:pt idx="2">
                  <c:v>2010</c:v>
                </c:pt>
                <c:pt idx="3">
                  <c:v>2011</c:v>
                </c:pt>
                <c:pt idx="4">
                  <c:v>2012</c:v>
                </c:pt>
                <c:pt idx="5">
                  <c:v>2013</c:v>
                </c:pt>
                <c:pt idx="6">
                  <c:v>2014</c:v>
                </c:pt>
                <c:pt idx="7">
                  <c:v>2015</c:v>
                </c:pt>
              </c:numCache>
            </c:numRef>
          </c:cat>
          <c:val>
            <c:numRef>
              <c:f>Hoja1!$C$2:$C$9</c:f>
              <c:numCache>
                <c:formatCode>"$"#,##0_);[Red]\("$"#,##0\)</c:formatCode>
                <c:ptCount val="8"/>
                <c:pt idx="0">
                  <c:v>346720</c:v>
                </c:pt>
                <c:pt idx="1">
                  <c:v>518335</c:v>
                </c:pt>
                <c:pt idx="2">
                  <c:v>585705</c:v>
                </c:pt>
                <c:pt idx="3">
                  <c:v>444875</c:v>
                </c:pt>
                <c:pt idx="4">
                  <c:v>465604</c:v>
                </c:pt>
                <c:pt idx="5">
                  <c:v>637756</c:v>
                </c:pt>
                <c:pt idx="6">
                  <c:v>597041</c:v>
                </c:pt>
                <c:pt idx="7">
                  <c:v>700499</c:v>
                </c:pt>
              </c:numCache>
            </c:numRef>
          </c:val>
        </c:ser>
        <c:ser>
          <c:idx val="2"/>
          <c:order val="2"/>
          <c:tx>
            <c:strRef>
              <c:f>Hoja1!$D$1</c:f>
              <c:strCache>
                <c:ptCount val="1"/>
                <c:pt idx="0">
                  <c:v>Insumos</c:v>
                </c:pt>
              </c:strCache>
            </c:strRef>
          </c:tx>
          <c:spPr>
            <a:solidFill>
              <a:schemeClr val="accent3"/>
            </a:solidFill>
            <a:ln>
              <a:noFill/>
            </a:ln>
            <a:effectLst/>
          </c:spPr>
          <c:invertIfNegative val="0"/>
          <c:cat>
            <c:numRef>
              <c:f>Hoja1!$A$2:$A$9</c:f>
              <c:numCache>
                <c:formatCode>General</c:formatCode>
                <c:ptCount val="8"/>
                <c:pt idx="0">
                  <c:v>2008</c:v>
                </c:pt>
                <c:pt idx="1">
                  <c:v>2009</c:v>
                </c:pt>
                <c:pt idx="2">
                  <c:v>2010</c:v>
                </c:pt>
                <c:pt idx="3">
                  <c:v>2011</c:v>
                </c:pt>
                <c:pt idx="4">
                  <c:v>2012</c:v>
                </c:pt>
                <c:pt idx="5">
                  <c:v>2013</c:v>
                </c:pt>
                <c:pt idx="6">
                  <c:v>2014</c:v>
                </c:pt>
                <c:pt idx="7">
                  <c:v>2015</c:v>
                </c:pt>
              </c:numCache>
            </c:numRef>
          </c:cat>
          <c:val>
            <c:numRef>
              <c:f>Hoja1!$D$2:$D$9</c:f>
              <c:numCache>
                <c:formatCode>"$"#,##0_);[Red]\("$"#,##0\)</c:formatCode>
                <c:ptCount val="8"/>
                <c:pt idx="0">
                  <c:v>209046</c:v>
                </c:pt>
                <c:pt idx="1">
                  <c:v>308147</c:v>
                </c:pt>
                <c:pt idx="2">
                  <c:v>271999</c:v>
                </c:pt>
                <c:pt idx="3">
                  <c:v>234430</c:v>
                </c:pt>
                <c:pt idx="4">
                  <c:v>181827</c:v>
                </c:pt>
                <c:pt idx="5">
                  <c:v>237247</c:v>
                </c:pt>
                <c:pt idx="6">
                  <c:v>197606</c:v>
                </c:pt>
                <c:pt idx="7">
                  <c:v>309193</c:v>
                </c:pt>
              </c:numCache>
            </c:numRef>
          </c:val>
        </c:ser>
        <c:ser>
          <c:idx val="3"/>
          <c:order val="3"/>
          <c:tx>
            <c:strRef>
              <c:f>Hoja1!$E$1</c:f>
              <c:strCache>
                <c:ptCount val="1"/>
                <c:pt idx="0">
                  <c:v>Sin identificar</c:v>
                </c:pt>
              </c:strCache>
            </c:strRef>
          </c:tx>
          <c:spPr>
            <a:solidFill>
              <a:schemeClr val="accent4"/>
            </a:solidFill>
            <a:ln>
              <a:noFill/>
            </a:ln>
            <a:effectLst/>
          </c:spPr>
          <c:invertIfNegative val="0"/>
          <c:cat>
            <c:numRef>
              <c:f>Hoja1!$A$2:$A$9</c:f>
              <c:numCache>
                <c:formatCode>General</c:formatCode>
                <c:ptCount val="8"/>
                <c:pt idx="0">
                  <c:v>2008</c:v>
                </c:pt>
                <c:pt idx="1">
                  <c:v>2009</c:v>
                </c:pt>
                <c:pt idx="2">
                  <c:v>2010</c:v>
                </c:pt>
                <c:pt idx="3">
                  <c:v>2011</c:v>
                </c:pt>
                <c:pt idx="4">
                  <c:v>2012</c:v>
                </c:pt>
                <c:pt idx="5">
                  <c:v>2013</c:v>
                </c:pt>
                <c:pt idx="6">
                  <c:v>2014</c:v>
                </c:pt>
                <c:pt idx="7">
                  <c:v>2015</c:v>
                </c:pt>
              </c:numCache>
            </c:numRef>
          </c:cat>
          <c:val>
            <c:numRef>
              <c:f>Hoja1!$E$2:$E$9</c:f>
              <c:numCache>
                <c:formatCode>General</c:formatCode>
                <c:ptCount val="8"/>
                <c:pt idx="0" formatCode="&quot;$&quot;#,##0_);[Red]\(&quot;$&quot;#,##0\)">
                  <c:v>713460</c:v>
                </c:pt>
              </c:numCache>
            </c:numRef>
          </c:val>
        </c:ser>
        <c:dLbls>
          <c:showLegendKey val="0"/>
          <c:showVal val="0"/>
          <c:showCatName val="0"/>
          <c:showSerName val="0"/>
          <c:showPercent val="0"/>
          <c:showBubbleSize val="0"/>
        </c:dLbls>
        <c:gapWidth val="182"/>
        <c:axId val="-1130019264"/>
        <c:axId val="-1130017088"/>
      </c:barChart>
      <c:catAx>
        <c:axId val="-1130019264"/>
        <c:scaling>
          <c:orientation val="minMax"/>
        </c:scaling>
        <c:delete val="0"/>
        <c:axPos val="b"/>
        <c:numFmt formatCode="General" sourceLinked="1"/>
        <c:majorTickMark val="none"/>
        <c:minorTickMark val="none"/>
        <c:tickLblPos val="nextTo"/>
        <c:spPr>
          <a:noFill/>
          <a:ln w="9513"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130017088"/>
        <c:crosses val="autoZero"/>
        <c:auto val="1"/>
        <c:lblAlgn val="ctr"/>
        <c:lblOffset val="100"/>
        <c:noMultiLvlLbl val="0"/>
      </c:catAx>
      <c:valAx>
        <c:axId val="-1130017088"/>
        <c:scaling>
          <c:orientation val="minMax"/>
        </c:scaling>
        <c:delete val="0"/>
        <c:axPos val="l"/>
        <c:majorGridlines>
          <c:spPr>
            <a:ln w="9513"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130019264"/>
        <c:crosses val="autoZero"/>
        <c:crossBetween val="between"/>
      </c:valAx>
      <c:spPr>
        <a:noFill/>
        <a:ln w="25367">
          <a:noFill/>
        </a:ln>
      </c:spPr>
    </c:plotArea>
    <c:legend>
      <c:legendPos val="b"/>
      <c:layout>
        <c:manualLayout>
          <c:xMode val="edge"/>
          <c:yMode val="edge"/>
          <c:wMode val="edge"/>
          <c:hMode val="edge"/>
          <c:x val="0.17706639129125254"/>
          <c:y val="0.87126534084425211"/>
          <c:w val="0.86071898799535307"/>
          <c:h val="0.98401087215876659"/>
        </c:manualLayout>
      </c:layout>
      <c:overlay val="0"/>
      <c:spPr>
        <a:noFill/>
        <a:ln>
          <a:noFill/>
        </a:ln>
        <a:effectLst/>
      </c:spPr>
      <c:txPr>
        <a:bodyPr rot="0" spcFirstLastPara="1" vertOverflow="ellipsis" vert="horz" wrap="square" anchor="ctr" anchorCtr="1"/>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13" cap="flat" cmpd="sng" algn="ctr">
      <a:solidFill>
        <a:schemeClr val="tx1">
          <a:lumMod val="15000"/>
          <a:lumOff val="85000"/>
        </a:schemeClr>
      </a:solidFill>
      <a:round/>
    </a:ln>
    <a:effectLst/>
  </c:spPr>
  <c:txPr>
    <a:bodyPr/>
    <a:lstStyle/>
    <a:p>
      <a:pPr>
        <a:defRPr sz="899">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Hoja1!$B$1</c:f>
              <c:strCache>
                <c:ptCount val="1"/>
                <c:pt idx="0">
                  <c:v>Recobros por servicios excluidos del POS</c:v>
                </c:pt>
              </c:strCache>
            </c:strRef>
          </c:tx>
          <c:spPr>
            <a:ln w="22216" cap="rnd">
              <a:solidFill>
                <a:srgbClr val="92D050"/>
              </a:solidFill>
              <a:round/>
            </a:ln>
            <a:effectLst/>
          </c:spPr>
          <c:marker>
            <c:symbol val="diamond"/>
            <c:size val="5"/>
            <c:spPr>
              <a:solidFill>
                <a:srgbClr val="92D050"/>
              </a:solidFill>
              <a:ln w="9521">
                <a:solidFill>
                  <a:srgbClr val="92D05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Hoja1!$A$2:$A$7</c:f>
              <c:numCache>
                <c:formatCode>General</c:formatCode>
                <c:ptCount val="6"/>
                <c:pt idx="0">
                  <c:v>2010</c:v>
                </c:pt>
                <c:pt idx="1">
                  <c:v>2011</c:v>
                </c:pt>
                <c:pt idx="2">
                  <c:v>2012</c:v>
                </c:pt>
                <c:pt idx="3">
                  <c:v>2013</c:v>
                </c:pt>
                <c:pt idx="4">
                  <c:v>2014</c:v>
                </c:pt>
                <c:pt idx="5">
                  <c:v>2015</c:v>
                </c:pt>
              </c:numCache>
            </c:numRef>
          </c:cat>
          <c:val>
            <c:numRef>
              <c:f>Hoja1!$B$2:$B$7</c:f>
              <c:numCache>
                <c:formatCode>"$"#,##0</c:formatCode>
                <c:ptCount val="6"/>
                <c:pt idx="0">
                  <c:v>57068</c:v>
                </c:pt>
                <c:pt idx="1">
                  <c:v>42973</c:v>
                </c:pt>
                <c:pt idx="2">
                  <c:v>41808</c:v>
                </c:pt>
                <c:pt idx="3">
                  <c:v>62366</c:v>
                </c:pt>
                <c:pt idx="4">
                  <c:v>84891</c:v>
                </c:pt>
                <c:pt idx="5">
                  <c:v>156326</c:v>
                </c:pt>
              </c:numCache>
            </c:numRef>
          </c:val>
          <c:smooth val="0"/>
        </c:ser>
        <c:dLbls>
          <c:showLegendKey val="0"/>
          <c:showVal val="0"/>
          <c:showCatName val="0"/>
          <c:showSerName val="0"/>
          <c:showPercent val="0"/>
          <c:showBubbleSize val="0"/>
        </c:dLbls>
        <c:marker val="1"/>
        <c:smooth val="0"/>
        <c:axId val="-1130015456"/>
        <c:axId val="-1130018176"/>
      </c:lineChart>
      <c:catAx>
        <c:axId val="-1130015456"/>
        <c:scaling>
          <c:orientation val="minMax"/>
        </c:scaling>
        <c:delete val="0"/>
        <c:axPos val="b"/>
        <c:majorGridlines>
          <c:spPr>
            <a:ln w="9521"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130018176"/>
        <c:crosses val="autoZero"/>
        <c:auto val="1"/>
        <c:lblAlgn val="ctr"/>
        <c:lblOffset val="100"/>
        <c:noMultiLvlLbl val="0"/>
      </c:catAx>
      <c:valAx>
        <c:axId val="-1130018176"/>
        <c:scaling>
          <c:orientation val="minMax"/>
        </c:scaling>
        <c:delete val="0"/>
        <c:axPos val="l"/>
        <c:numFmt formatCode="\$#,##0" sourceLinked="0"/>
        <c:majorTickMark val="none"/>
        <c:minorTickMark val="none"/>
        <c:tickLblPos val="nextTo"/>
        <c:spPr>
          <a:noFill/>
          <a:ln w="9521"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130015456"/>
        <c:crosses val="autoZero"/>
        <c:crossBetween val="between"/>
      </c:valAx>
      <c:spPr>
        <a:noFill/>
        <a:ln w="25390">
          <a:noFill/>
        </a:ln>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lt1"/>
    </a:solidFill>
    <a:ln w="9521"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Hoja1!$B$1</c:f>
              <c:strCache>
                <c:ptCount val="1"/>
                <c:pt idx="0">
                  <c:v>Complementos nutricionales</c:v>
                </c:pt>
              </c:strCache>
            </c:strRef>
          </c:tx>
          <c:spPr>
            <a:solidFill>
              <a:schemeClr val="accent1"/>
            </a:solidFill>
            <a:ln>
              <a:noFill/>
            </a:ln>
            <a:effectLst/>
          </c:spPr>
          <c:invertIfNegative val="0"/>
          <c:cat>
            <c:numRef>
              <c:f>Hoja1!$A$2:$A$7</c:f>
              <c:numCache>
                <c:formatCode>General</c:formatCode>
                <c:ptCount val="6"/>
                <c:pt idx="0">
                  <c:v>2010</c:v>
                </c:pt>
                <c:pt idx="1">
                  <c:v>2011</c:v>
                </c:pt>
                <c:pt idx="2">
                  <c:v>2012</c:v>
                </c:pt>
                <c:pt idx="3">
                  <c:v>2013</c:v>
                </c:pt>
                <c:pt idx="4">
                  <c:v>2014</c:v>
                </c:pt>
                <c:pt idx="5">
                  <c:v>2015</c:v>
                </c:pt>
              </c:numCache>
            </c:numRef>
          </c:cat>
          <c:val>
            <c:numRef>
              <c:f>Hoja1!$B$2:$B$7</c:f>
              <c:numCache>
                <c:formatCode>General</c:formatCode>
                <c:ptCount val="6"/>
                <c:pt idx="0">
                  <c:v>33400</c:v>
                </c:pt>
                <c:pt idx="1">
                  <c:v>18115</c:v>
                </c:pt>
                <c:pt idx="2">
                  <c:v>9477</c:v>
                </c:pt>
                <c:pt idx="3">
                  <c:v>12617</c:v>
                </c:pt>
                <c:pt idx="4">
                  <c:v>15346</c:v>
                </c:pt>
                <c:pt idx="5">
                  <c:v>60189</c:v>
                </c:pt>
              </c:numCache>
            </c:numRef>
          </c:val>
        </c:ser>
        <c:ser>
          <c:idx val="1"/>
          <c:order val="1"/>
          <c:tx>
            <c:strRef>
              <c:f>Hoja1!$C$1</c:f>
              <c:strCache>
                <c:ptCount val="1"/>
                <c:pt idx="0">
                  <c:v>Transporte no ambulancia</c:v>
                </c:pt>
              </c:strCache>
            </c:strRef>
          </c:tx>
          <c:spPr>
            <a:solidFill>
              <a:schemeClr val="accent2"/>
            </a:solidFill>
            <a:ln>
              <a:noFill/>
            </a:ln>
            <a:effectLst/>
          </c:spPr>
          <c:invertIfNegative val="0"/>
          <c:cat>
            <c:numRef>
              <c:f>Hoja1!$A$2:$A$7</c:f>
              <c:numCache>
                <c:formatCode>General</c:formatCode>
                <c:ptCount val="6"/>
                <c:pt idx="0">
                  <c:v>2010</c:v>
                </c:pt>
                <c:pt idx="1">
                  <c:v>2011</c:v>
                </c:pt>
                <c:pt idx="2">
                  <c:v>2012</c:v>
                </c:pt>
                <c:pt idx="3">
                  <c:v>2013</c:v>
                </c:pt>
                <c:pt idx="4">
                  <c:v>2014</c:v>
                </c:pt>
                <c:pt idx="5">
                  <c:v>2015</c:v>
                </c:pt>
              </c:numCache>
            </c:numRef>
          </c:cat>
          <c:val>
            <c:numRef>
              <c:f>Hoja1!$C$2:$C$7</c:f>
              <c:numCache>
                <c:formatCode>General</c:formatCode>
                <c:ptCount val="6"/>
                <c:pt idx="0">
                  <c:v>4902</c:v>
                </c:pt>
                <c:pt idx="1">
                  <c:v>8016</c:v>
                </c:pt>
                <c:pt idx="2">
                  <c:v>10507</c:v>
                </c:pt>
                <c:pt idx="3">
                  <c:v>15582</c:v>
                </c:pt>
                <c:pt idx="4">
                  <c:v>26050</c:v>
                </c:pt>
                <c:pt idx="5">
                  <c:v>33369</c:v>
                </c:pt>
              </c:numCache>
            </c:numRef>
          </c:val>
        </c:ser>
        <c:ser>
          <c:idx val="2"/>
          <c:order val="2"/>
          <c:tx>
            <c:strRef>
              <c:f>Hoja1!$D$1</c:f>
              <c:strCache>
                <c:ptCount val="1"/>
                <c:pt idx="0">
                  <c:v>Pañales</c:v>
                </c:pt>
              </c:strCache>
            </c:strRef>
          </c:tx>
          <c:spPr>
            <a:solidFill>
              <a:schemeClr val="accent3"/>
            </a:solidFill>
            <a:ln>
              <a:noFill/>
            </a:ln>
            <a:effectLst/>
          </c:spPr>
          <c:invertIfNegative val="0"/>
          <c:cat>
            <c:numRef>
              <c:f>Hoja1!$A$2:$A$7</c:f>
              <c:numCache>
                <c:formatCode>General</c:formatCode>
                <c:ptCount val="6"/>
                <c:pt idx="0">
                  <c:v>2010</c:v>
                </c:pt>
                <c:pt idx="1">
                  <c:v>2011</c:v>
                </c:pt>
                <c:pt idx="2">
                  <c:v>2012</c:v>
                </c:pt>
                <c:pt idx="3">
                  <c:v>2013</c:v>
                </c:pt>
                <c:pt idx="4">
                  <c:v>2014</c:v>
                </c:pt>
                <c:pt idx="5">
                  <c:v>2015</c:v>
                </c:pt>
              </c:numCache>
            </c:numRef>
          </c:cat>
          <c:val>
            <c:numRef>
              <c:f>Hoja1!$D$2:$D$7</c:f>
              <c:numCache>
                <c:formatCode>General</c:formatCode>
                <c:ptCount val="6"/>
                <c:pt idx="0">
                  <c:v>3117</c:v>
                </c:pt>
                <c:pt idx="1">
                  <c:v>4842</c:v>
                </c:pt>
                <c:pt idx="2">
                  <c:v>6993</c:v>
                </c:pt>
                <c:pt idx="3">
                  <c:v>12620</c:v>
                </c:pt>
                <c:pt idx="4">
                  <c:v>18714</c:v>
                </c:pt>
                <c:pt idx="5">
                  <c:v>9255</c:v>
                </c:pt>
              </c:numCache>
            </c:numRef>
          </c:val>
        </c:ser>
        <c:ser>
          <c:idx val="3"/>
          <c:order val="3"/>
          <c:tx>
            <c:strRef>
              <c:f>Hoja1!$E$1</c:f>
              <c:strCache>
                <c:ptCount val="1"/>
                <c:pt idx="0">
                  <c:v>Sillas de ruedas y coches neurológicos</c:v>
                </c:pt>
              </c:strCache>
            </c:strRef>
          </c:tx>
          <c:spPr>
            <a:solidFill>
              <a:schemeClr val="accent4"/>
            </a:solidFill>
            <a:ln>
              <a:noFill/>
            </a:ln>
            <a:effectLst/>
          </c:spPr>
          <c:invertIfNegative val="0"/>
          <c:cat>
            <c:numRef>
              <c:f>Hoja1!$A$2:$A$7</c:f>
              <c:numCache>
                <c:formatCode>General</c:formatCode>
                <c:ptCount val="6"/>
                <c:pt idx="0">
                  <c:v>2010</c:v>
                </c:pt>
                <c:pt idx="1">
                  <c:v>2011</c:v>
                </c:pt>
                <c:pt idx="2">
                  <c:v>2012</c:v>
                </c:pt>
                <c:pt idx="3">
                  <c:v>2013</c:v>
                </c:pt>
                <c:pt idx="4">
                  <c:v>2014</c:v>
                </c:pt>
                <c:pt idx="5">
                  <c:v>2015</c:v>
                </c:pt>
              </c:numCache>
            </c:numRef>
          </c:cat>
          <c:val>
            <c:numRef>
              <c:f>Hoja1!$E$2:$E$7</c:f>
              <c:numCache>
                <c:formatCode>General</c:formatCode>
                <c:ptCount val="6"/>
                <c:pt idx="0">
                  <c:v>3343</c:v>
                </c:pt>
                <c:pt idx="1">
                  <c:v>3230</c:v>
                </c:pt>
                <c:pt idx="2">
                  <c:v>3838</c:v>
                </c:pt>
                <c:pt idx="3">
                  <c:v>6135</c:v>
                </c:pt>
                <c:pt idx="4">
                  <c:v>7674</c:v>
                </c:pt>
                <c:pt idx="5">
                  <c:v>32095</c:v>
                </c:pt>
              </c:numCache>
            </c:numRef>
          </c:val>
        </c:ser>
        <c:ser>
          <c:idx val="4"/>
          <c:order val="4"/>
          <c:tx>
            <c:strRef>
              <c:f>Hoja1!$F$1</c:f>
              <c:strCache>
                <c:ptCount val="1"/>
                <c:pt idx="0">
                  <c:v>Fórmulas lácteas</c:v>
                </c:pt>
              </c:strCache>
            </c:strRef>
          </c:tx>
          <c:spPr>
            <a:solidFill>
              <a:schemeClr val="accent5"/>
            </a:solidFill>
            <a:ln>
              <a:noFill/>
            </a:ln>
            <a:effectLst/>
          </c:spPr>
          <c:invertIfNegative val="0"/>
          <c:cat>
            <c:numRef>
              <c:f>Hoja1!$A$2:$A$7</c:f>
              <c:numCache>
                <c:formatCode>General</c:formatCode>
                <c:ptCount val="6"/>
                <c:pt idx="0">
                  <c:v>2010</c:v>
                </c:pt>
                <c:pt idx="1">
                  <c:v>2011</c:v>
                </c:pt>
                <c:pt idx="2">
                  <c:v>2012</c:v>
                </c:pt>
                <c:pt idx="3">
                  <c:v>2013</c:v>
                </c:pt>
                <c:pt idx="4">
                  <c:v>2014</c:v>
                </c:pt>
                <c:pt idx="5">
                  <c:v>2015</c:v>
                </c:pt>
              </c:numCache>
            </c:numRef>
          </c:cat>
          <c:val>
            <c:numRef>
              <c:f>Hoja1!$F$2:$F$7</c:f>
              <c:numCache>
                <c:formatCode>General</c:formatCode>
                <c:ptCount val="6"/>
                <c:pt idx="0">
                  <c:v>5221</c:v>
                </c:pt>
                <c:pt idx="1">
                  <c:v>2058</c:v>
                </c:pt>
                <c:pt idx="2">
                  <c:v>2640</c:v>
                </c:pt>
                <c:pt idx="3">
                  <c:v>4387</c:v>
                </c:pt>
                <c:pt idx="4">
                  <c:v>3394</c:v>
                </c:pt>
                <c:pt idx="5">
                  <c:v>6493</c:v>
                </c:pt>
              </c:numCache>
            </c:numRef>
          </c:val>
        </c:ser>
        <c:dLbls>
          <c:showLegendKey val="0"/>
          <c:showVal val="0"/>
          <c:showCatName val="0"/>
          <c:showSerName val="0"/>
          <c:showPercent val="0"/>
          <c:showBubbleSize val="0"/>
        </c:dLbls>
        <c:gapWidth val="182"/>
        <c:axId val="-1130025792"/>
        <c:axId val="-1130025248"/>
      </c:barChart>
      <c:catAx>
        <c:axId val="-1130025792"/>
        <c:scaling>
          <c:orientation val="minMax"/>
        </c:scaling>
        <c:delete val="0"/>
        <c:axPos val="b"/>
        <c:numFmt formatCode="General" sourceLinked="1"/>
        <c:majorTickMark val="none"/>
        <c:minorTickMark val="none"/>
        <c:tickLblPos val="nextTo"/>
        <c:spPr>
          <a:noFill/>
          <a:ln w="9517"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130025248"/>
        <c:crosses val="autoZero"/>
        <c:auto val="1"/>
        <c:lblAlgn val="ctr"/>
        <c:lblOffset val="100"/>
        <c:noMultiLvlLbl val="0"/>
      </c:catAx>
      <c:valAx>
        <c:axId val="-1130025248"/>
        <c:scaling>
          <c:orientation val="minMax"/>
        </c:scaling>
        <c:delete val="0"/>
        <c:axPos val="l"/>
        <c:majorGridlines>
          <c:spPr>
            <a:ln w="9517"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crossAx val="-1130025792"/>
        <c:crosses val="autoZero"/>
        <c:crossBetween val="between"/>
      </c:valAx>
      <c:spPr>
        <a:noFill/>
        <a:ln w="25378">
          <a:noFill/>
        </a:ln>
      </c:spPr>
    </c:plotArea>
    <c:legend>
      <c:legendPos val="b"/>
      <c:layout>
        <c:manualLayout>
          <c:xMode val="edge"/>
          <c:yMode val="edge"/>
          <c:wMode val="edge"/>
          <c:hMode val="edge"/>
          <c:x val="0.17706647615793589"/>
          <c:y val="0.80108976377952756"/>
          <c:w val="0.86071906692136868"/>
          <c:h val="0.98401079865016872"/>
        </c:manualLayout>
      </c:layout>
      <c:overlay val="0"/>
      <c:spPr>
        <a:noFill/>
        <a:ln>
          <a:noFill/>
        </a:ln>
        <a:effectLst/>
      </c:spPr>
      <c:txPr>
        <a:bodyPr rot="0" spcFirstLastPara="1" vertOverflow="ellipsis" vert="horz" wrap="square" anchor="ctr" anchorCtr="1"/>
        <a:lstStyle/>
        <a:p>
          <a:pPr>
            <a:defRPr sz="899"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17" cap="flat" cmpd="sng" algn="ctr">
      <a:solidFill>
        <a:schemeClr val="tx1">
          <a:lumMod val="15000"/>
          <a:lumOff val="85000"/>
        </a:schemeClr>
      </a:solidFill>
      <a:round/>
    </a:ln>
    <a:effectLst/>
  </c:spPr>
  <c:txPr>
    <a:bodyPr/>
    <a:lstStyle/>
    <a:p>
      <a:pPr>
        <a:defRPr sz="899">
          <a:solidFill>
            <a:sysClr val="windowText" lastClr="000000"/>
          </a:solidFill>
          <a:latin typeface="Times New Roman" panose="02020603050405020304" pitchFamily="18" charset="0"/>
          <a:cs typeface="Times New Roman" panose="02020603050405020304" pitchFamily="18" charset="0"/>
        </a:defRPr>
      </a:pPr>
      <a:endParaRPr lang="es-ES"/>
    </a:p>
  </c:txPr>
  <c:externalData r:id="rId2">
    <c:autoUpdate val="0"/>
  </c:externalData>
</c:chartSpace>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185C8-20E7-40AE-9064-CCDF1971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31365</Words>
  <Characters>172512</Characters>
  <Application>Microsoft Office Word</Application>
  <DocSecurity>0</DocSecurity>
  <Lines>1437</Lines>
  <Paragraphs>406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Kattia Marcela Arrieta Mercado</dc:creator>
  <cp:keywords/>
  <dc:description/>
  <cp:lastModifiedBy>Isaac Saenz Cruz</cp:lastModifiedBy>
  <cp:revision>2</cp:revision>
  <cp:lastPrinted>2017-02-20T21:14:00Z</cp:lastPrinted>
  <dcterms:created xsi:type="dcterms:W3CDTF">2017-07-07T21:33:00Z</dcterms:created>
  <dcterms:modified xsi:type="dcterms:W3CDTF">2017-07-07T21:33:00Z</dcterms:modified>
</cp:coreProperties>
</file>